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627C" w14:textId="76D7E25A" w:rsidR="004C1153" w:rsidRDefault="009B00EB" w:rsidP="009B00EB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6B1DA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20930A2C-F1A3-4191-85B4-AB9C6AD94357" style="width:455.25pt;height:425.25pt">
            <v:imagedata r:id="rId8" o:title=""/>
          </v:shape>
        </w:pict>
      </w:r>
    </w:p>
    <w:bookmarkEnd w:id="0"/>
    <w:p w14:paraId="45320AAF" w14:textId="77777777" w:rsidR="004C1153" w:rsidRDefault="004C1153" w:rsidP="004C1153">
      <w:pPr>
        <w:rPr>
          <w:noProof/>
        </w:rPr>
        <w:sectPr w:rsidR="004C1153" w:rsidSect="009B00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2BD0BB09" w14:textId="0CCFCD6B" w:rsidR="007C2D30" w:rsidRPr="006D337C" w:rsidRDefault="00AF64D7" w:rsidP="006D337C">
      <w:pPr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Priloga I: Pregled ukrepov, za katere so bile v letu 2024 prevzete obveznosti za sredstva</w:t>
      </w: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4110"/>
        <w:gridCol w:w="2381"/>
        <w:gridCol w:w="29"/>
        <w:gridCol w:w="1973"/>
        <w:gridCol w:w="29"/>
      </w:tblGrid>
      <w:tr w:rsidR="00AF64D7" w:rsidRPr="00705CF9" w14:paraId="6CF9A965" w14:textId="77777777" w:rsidTr="000A7C66">
        <w:trPr>
          <w:trHeight w:val="567"/>
          <w:tblHeader/>
          <w:jc w:val="center"/>
        </w:trPr>
        <w:tc>
          <w:tcPr>
            <w:tcW w:w="14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  <w:vAlign w:val="center"/>
          </w:tcPr>
          <w:p w14:paraId="01A40B7C" w14:textId="77777777" w:rsidR="00AF64D7" w:rsidRPr="00D43D47" w:rsidRDefault="00AF64D7" w:rsidP="009A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</w:rPr>
            </w:pPr>
            <w:r>
              <w:rPr>
                <w:rFonts w:ascii="Times New Roman" w:hAnsi="Times New Roman"/>
                <w:b/>
                <w:noProof/>
                <w:color w:val="002060"/>
              </w:rPr>
              <w:t>Organizator</w:t>
            </w:r>
            <w:r w:rsidRPr="00D43D47"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color w:val="002060"/>
                <w:lang w:eastAsia="en-GB"/>
              </w:rPr>
              <w:footnoteReference w:id="1"/>
            </w:r>
          </w:p>
        </w:tc>
        <w:tc>
          <w:tcPr>
            <w:tcW w:w="41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  <w:vAlign w:val="center"/>
          </w:tcPr>
          <w:p w14:paraId="0D5944E7" w14:textId="77777777" w:rsidR="00AF64D7" w:rsidRPr="00D43D47" w:rsidRDefault="003F68D4" w:rsidP="009A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</w:rPr>
            </w:pPr>
            <w:r>
              <w:rPr>
                <w:rFonts w:ascii="Times New Roman" w:hAnsi="Times New Roman"/>
                <w:b/>
                <w:noProof/>
                <w:color w:val="002060"/>
              </w:rPr>
              <w:t>Naslov ukrepa</w:t>
            </w:r>
          </w:p>
        </w:tc>
        <w:tc>
          <w:tcPr>
            <w:tcW w:w="241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  <w:vAlign w:val="center"/>
          </w:tcPr>
          <w:p w14:paraId="34B515E1" w14:textId="77777777" w:rsidR="00AF64D7" w:rsidRPr="00D43D47" w:rsidRDefault="00AF64D7" w:rsidP="00FC7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2060"/>
              </w:rPr>
            </w:pPr>
            <w:r>
              <w:rPr>
                <w:rFonts w:ascii="Times New Roman" w:hAnsi="Times New Roman"/>
                <w:b/>
                <w:noProof/>
                <w:color w:val="002060"/>
              </w:rPr>
              <w:t xml:space="preserve">Kraj in datum </w:t>
            </w:r>
          </w:p>
        </w:tc>
        <w:tc>
          <w:tcPr>
            <w:tcW w:w="2002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  <w:vAlign w:val="center"/>
          </w:tcPr>
          <w:p w14:paraId="22889645" w14:textId="7F19713A" w:rsidR="00AF64D7" w:rsidRPr="00D43D47" w:rsidRDefault="00AF64D7" w:rsidP="000E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</w:rPr>
            </w:pPr>
            <w:r>
              <w:rPr>
                <w:rFonts w:ascii="Times New Roman" w:hAnsi="Times New Roman"/>
                <w:b/>
                <w:noProof/>
                <w:color w:val="002060"/>
              </w:rPr>
              <w:t>Prispevek Komisije</w:t>
            </w:r>
            <w:r w:rsidR="000E58ED" w:rsidRPr="00D43D47"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color w:val="002060"/>
                <w:lang w:eastAsia="en-GB"/>
              </w:rPr>
              <w:footnoteReference w:id="2"/>
            </w:r>
          </w:p>
        </w:tc>
      </w:tr>
      <w:tr w:rsidR="00434608" w:rsidRPr="008E7324" w14:paraId="30E26E68" w14:textId="77777777" w:rsidTr="00527D67">
        <w:trPr>
          <w:trHeight w:val="283"/>
          <w:jc w:val="center"/>
        </w:trPr>
        <w:tc>
          <w:tcPr>
            <w:tcW w:w="9959" w:type="dxa"/>
            <w:gridSpan w:val="6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14:paraId="1C77897E" w14:textId="77777777" w:rsidR="00434608" w:rsidRPr="008E7324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32"/>
              </w:rPr>
              <w:t>Seminarji</w:t>
            </w:r>
          </w:p>
        </w:tc>
      </w:tr>
      <w:tr w:rsidR="00434608" w:rsidRPr="00930506" w14:paraId="5FA56B5C" w14:textId="77777777" w:rsidTr="00527D67">
        <w:trPr>
          <w:trHeight w:val="850"/>
          <w:jc w:val="center"/>
        </w:trPr>
        <w:tc>
          <w:tcPr>
            <w:tcW w:w="1437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9B25821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BDP</w:t>
            </w:r>
          </w:p>
          <w:p w14:paraId="49EBEDB6" w14:textId="77777777" w:rsidR="00434608" w:rsidRPr="00B12ACF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Portugalska</w:t>
            </w:r>
          </w:p>
        </w:tc>
        <w:tc>
          <w:tcPr>
            <w:tcW w:w="4110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B0B458A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Pericles 2025 – praktična vizija boja proti ponarejanju (zaščita eura pred ponarejanjem v letu 2025)</w:t>
            </w:r>
          </w:p>
        </w:tc>
        <w:tc>
          <w:tcPr>
            <w:tcW w:w="2410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A77CAF2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u w:val="single"/>
              </w:rPr>
              <w:t>Lizbona (PT)</w:t>
            </w:r>
            <w:r>
              <w:rPr>
                <w:rFonts w:ascii="Times New Roman" w:hAnsi="Times New Roman"/>
                <w:noProof/>
              </w:rPr>
              <w:t>:</w:t>
            </w:r>
          </w:p>
          <w:p w14:paraId="60B1A404" w14:textId="77777777" w:rsidR="00434608" w:rsidRPr="00B12ACF" w:rsidRDefault="00434608" w:rsidP="00527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18.–20. marec 2025</w:t>
            </w:r>
          </w:p>
        </w:tc>
        <w:tc>
          <w:tcPr>
            <w:tcW w:w="2002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9EE2245" w14:textId="05BC0031" w:rsidR="00434608" w:rsidRPr="00B12ACF" w:rsidRDefault="00251712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86 042,00 EUR</w:t>
            </w:r>
          </w:p>
        </w:tc>
      </w:tr>
      <w:tr w:rsidR="00434608" w:rsidRPr="007B7C68" w14:paraId="77A7C10F" w14:textId="77777777" w:rsidTr="00527D67">
        <w:trPr>
          <w:trHeight w:val="397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68148E66" w14:textId="77777777" w:rsidR="00434608" w:rsidRPr="005916CE" w:rsidRDefault="00434608" w:rsidP="00527D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</w:rPr>
              <w:t>Glavni cilj ukrepa</w:t>
            </w:r>
            <w:r>
              <w:rPr>
                <w:rFonts w:ascii="Times New Roman" w:hAnsi="Times New Roman"/>
                <w:noProof/>
              </w:rPr>
              <w:t>: povečanje učinkovitosti pri preverjanju pristnosti eurokovancev in razvrščanju ponarejenih kovancev.</w:t>
            </w:r>
          </w:p>
        </w:tc>
      </w:tr>
      <w:tr w:rsidR="00434608" w:rsidRPr="00930506" w14:paraId="1E83544C" w14:textId="77777777" w:rsidTr="00527D67">
        <w:trPr>
          <w:trHeight w:val="850"/>
          <w:jc w:val="center"/>
        </w:trPr>
        <w:tc>
          <w:tcPr>
            <w:tcW w:w="1437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9A64CC3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Evropska komisija</w:t>
            </w:r>
          </w:p>
          <w:p w14:paraId="7BDBDFD4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GD ECFIN</w:t>
            </w:r>
          </w:p>
        </w:tc>
        <w:tc>
          <w:tcPr>
            <w:tcW w:w="4110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D26C61F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Tretje srečanje platforme EU-Kitajska o zaščiti valut pred ponarejanjem</w:t>
            </w:r>
          </w:p>
        </w:tc>
        <w:tc>
          <w:tcPr>
            <w:tcW w:w="2410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38B61B7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222222"/>
              </w:rPr>
            </w:pPr>
            <w:r>
              <w:rPr>
                <w:rFonts w:ascii="Times New Roman" w:hAnsi="Times New Roman"/>
                <w:noProof/>
                <w:color w:val="222222"/>
                <w:u w:val="single"/>
              </w:rPr>
              <w:t>Bruselj (BE)</w:t>
            </w:r>
            <w:r>
              <w:rPr>
                <w:rFonts w:ascii="Times New Roman" w:hAnsi="Times New Roman"/>
                <w:noProof/>
                <w:color w:val="222222"/>
              </w:rPr>
              <w:t>:</w:t>
            </w:r>
          </w:p>
          <w:p w14:paraId="653063C6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222222"/>
              </w:rPr>
            </w:pPr>
            <w:r>
              <w:rPr>
                <w:rFonts w:ascii="Times New Roman" w:hAnsi="Times New Roman"/>
                <w:noProof/>
                <w:color w:val="222222"/>
              </w:rPr>
              <w:t>17.–18. september 2024</w:t>
            </w:r>
          </w:p>
          <w:p w14:paraId="0C7088E9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222222"/>
              </w:rPr>
            </w:pPr>
            <w:r>
              <w:rPr>
                <w:rFonts w:ascii="Times New Roman" w:hAnsi="Times New Roman"/>
                <w:noProof/>
                <w:color w:val="222222"/>
                <w:u w:val="single"/>
              </w:rPr>
              <w:t>Haag (NL)</w:t>
            </w:r>
            <w:r>
              <w:rPr>
                <w:rFonts w:ascii="Times New Roman" w:hAnsi="Times New Roman"/>
                <w:noProof/>
                <w:color w:val="222222"/>
              </w:rPr>
              <w:t>:</w:t>
            </w:r>
          </w:p>
          <w:p w14:paraId="54410E49" w14:textId="77777777" w:rsidR="00434608" w:rsidRPr="00B1460E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222222"/>
              </w:rPr>
            </w:pPr>
            <w:r>
              <w:rPr>
                <w:rFonts w:ascii="Times New Roman" w:hAnsi="Times New Roman"/>
                <w:noProof/>
                <w:color w:val="222222"/>
              </w:rPr>
              <w:t>19. september 2024</w:t>
            </w:r>
          </w:p>
        </w:tc>
        <w:tc>
          <w:tcPr>
            <w:tcW w:w="2002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ECDF6D6" w14:textId="335345F6" w:rsidR="00434608" w:rsidRPr="00E8573E" w:rsidRDefault="00251712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117 000,00 EUR</w:t>
            </w:r>
          </w:p>
        </w:tc>
      </w:tr>
      <w:tr w:rsidR="00434608" w:rsidRPr="007B7C68" w14:paraId="20BC7A3B" w14:textId="77777777" w:rsidTr="00527D67">
        <w:trPr>
          <w:trHeight w:val="397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2F45B84F" w14:textId="4965C0ED" w:rsidR="00434608" w:rsidRPr="005916CE" w:rsidRDefault="00434608" w:rsidP="00527D6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</w:rPr>
              <w:t>Glavni cilj ukrepa</w:t>
            </w:r>
            <w:r>
              <w:rPr>
                <w:rFonts w:ascii="Times New Roman" w:hAnsi="Times New Roman"/>
                <w:noProof/>
              </w:rPr>
              <w:t>: povečanje učinkovitosti pri preverjanju pristnosti eurokovancev in razvrščanju ponarejenih kovancev.</w:t>
            </w:r>
          </w:p>
        </w:tc>
      </w:tr>
      <w:tr w:rsidR="00434608" w:rsidRPr="00930506" w14:paraId="2319A127" w14:textId="77777777" w:rsidTr="006579D4">
        <w:trPr>
          <w:trHeight w:val="850"/>
          <w:jc w:val="center"/>
        </w:trPr>
        <w:tc>
          <w:tcPr>
            <w:tcW w:w="1437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9A9E081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Evropska komisija</w:t>
            </w:r>
          </w:p>
          <w:p w14:paraId="0516A21D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GD ECFIN</w:t>
            </w:r>
          </w:p>
        </w:tc>
        <w:tc>
          <w:tcPr>
            <w:tcW w:w="4110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055DFB7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 xml:space="preserve">Šesto srečanje platforme 1210  </w:t>
            </w:r>
          </w:p>
        </w:tc>
        <w:tc>
          <w:tcPr>
            <w:tcW w:w="2410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9745DA1" w14:textId="49376478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  <w:u w:val="single"/>
              </w:rPr>
              <w:t>Zagreb (HR)</w:t>
            </w:r>
            <w:r>
              <w:rPr>
                <w:rFonts w:ascii="Times New Roman" w:hAnsi="Times New Roman"/>
                <w:noProof/>
              </w:rPr>
              <w:t>:</w:t>
            </w:r>
          </w:p>
          <w:p w14:paraId="50389D6A" w14:textId="744EC685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2.–3. oktober 2024</w:t>
            </w:r>
            <w:r>
              <w:rPr>
                <w:rFonts w:ascii="Times New Roman" w:hAnsi="Times New Roman"/>
                <w:noProof/>
                <w:color w:val="222222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6FBC0A1" w14:textId="4659EB94" w:rsidR="00434608" w:rsidRPr="00E8573E" w:rsidRDefault="00251712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130 808,60 EUR</w:t>
            </w:r>
          </w:p>
        </w:tc>
      </w:tr>
      <w:tr w:rsidR="006579D4" w:rsidRPr="00930506" w14:paraId="75464DC7" w14:textId="77777777" w:rsidTr="006579D4">
        <w:trPr>
          <w:trHeight w:val="597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FFFFF" w:themeFill="background1"/>
            <w:vAlign w:val="center"/>
          </w:tcPr>
          <w:p w14:paraId="4AB74E5E" w14:textId="27062480" w:rsidR="006579D4" w:rsidRDefault="006579D4" w:rsidP="006579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Glavni cilj ukrepa</w:t>
            </w:r>
            <w:r>
              <w:rPr>
                <w:rFonts w:ascii="Times New Roman" w:hAnsi="Times New Roman"/>
                <w:noProof/>
              </w:rPr>
              <w:t>: povečanje učinkovitosti pri preverjanju pristnosti eurokovancev in razvrščanju ponarejenih kovancev.</w:t>
            </w:r>
          </w:p>
        </w:tc>
      </w:tr>
      <w:tr w:rsidR="006579D4" w:rsidRPr="00930506" w14:paraId="73CAAAD7" w14:textId="77777777" w:rsidTr="00527D67">
        <w:trPr>
          <w:trHeight w:val="850"/>
          <w:jc w:val="center"/>
        </w:trPr>
        <w:tc>
          <w:tcPr>
            <w:tcW w:w="1437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B437942" w14:textId="77777777" w:rsidR="006579D4" w:rsidRPr="00F00342" w:rsidRDefault="006579D4" w:rsidP="0065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BIBE</w:t>
            </w:r>
          </w:p>
          <w:p w14:paraId="60894D8D" w14:textId="468FB789" w:rsidR="006579D4" w:rsidRPr="00E8573E" w:rsidRDefault="006579D4" w:rsidP="0065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Španija</w:t>
            </w:r>
          </w:p>
        </w:tc>
        <w:tc>
          <w:tcPr>
            <w:tcW w:w="4110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E70F231" w14:textId="1280E574" w:rsidR="006579D4" w:rsidRDefault="006579D4" w:rsidP="006579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/>
                <w:noProof/>
              </w:rPr>
              <w:t>Specializirani tečaj o ponarejanju za iberoameriške države 2025 (Curso Quito 2025)</w:t>
            </w:r>
          </w:p>
        </w:tc>
        <w:tc>
          <w:tcPr>
            <w:tcW w:w="2410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5EF4F15" w14:textId="77777777" w:rsidR="006579D4" w:rsidRPr="00F00342" w:rsidRDefault="006579D4" w:rsidP="0065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Quito (EC)</w:t>
            </w:r>
            <w:r>
              <w:rPr>
                <w:rFonts w:ascii="Times New Roman" w:hAnsi="Times New Roman"/>
                <w:noProof/>
              </w:rPr>
              <w:t>:</w:t>
            </w:r>
          </w:p>
          <w:p w14:paraId="78B9BE74" w14:textId="77777777" w:rsidR="006579D4" w:rsidRPr="00F00342" w:rsidRDefault="006579D4" w:rsidP="0065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25.–28. november 2025</w:t>
            </w:r>
          </w:p>
          <w:p w14:paraId="1E07FEB8" w14:textId="77777777" w:rsidR="006579D4" w:rsidRPr="00251712" w:rsidRDefault="006579D4" w:rsidP="00657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  <w:u w:val="single"/>
                <w:lang w:val="en-IE"/>
              </w:rPr>
            </w:pPr>
          </w:p>
        </w:tc>
        <w:tc>
          <w:tcPr>
            <w:tcW w:w="2002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3C3A62C" w14:textId="08CC62A7" w:rsidR="006579D4" w:rsidRDefault="006579D4" w:rsidP="0065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180 081,00 EUR</w:t>
            </w:r>
          </w:p>
        </w:tc>
      </w:tr>
      <w:tr w:rsidR="006579D4" w:rsidRPr="007B7C68" w14:paraId="6276D9B0" w14:textId="77777777" w:rsidTr="00527D67">
        <w:trPr>
          <w:trHeight w:val="397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100D1F4F" w14:textId="7C1EE225" w:rsidR="006579D4" w:rsidRPr="00602174" w:rsidRDefault="006579D4" w:rsidP="00527D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Glavni cilj ukrepa</w:t>
            </w:r>
            <w:r>
              <w:rPr>
                <w:rFonts w:ascii="Times New Roman" w:hAnsi="Times New Roman"/>
                <w:noProof/>
              </w:rPr>
              <w:t>: krepitev sodelovanja in izmenjava znanja.</w:t>
            </w:r>
          </w:p>
        </w:tc>
      </w:tr>
      <w:tr w:rsidR="00434608" w:rsidRPr="008E7324" w14:paraId="43B28D4B" w14:textId="77777777" w:rsidTr="00527D67">
        <w:trPr>
          <w:trHeight w:val="283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14:paraId="4E523B1C" w14:textId="77777777" w:rsidR="00434608" w:rsidRPr="008E7324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32"/>
              </w:rPr>
              <w:t>Tehnična usposabljanja</w:t>
            </w:r>
          </w:p>
        </w:tc>
      </w:tr>
      <w:tr w:rsidR="00434608" w:rsidRPr="000A7C66" w14:paraId="02FB02F8" w14:textId="77777777" w:rsidTr="00527D67">
        <w:trPr>
          <w:trHeight w:val="284"/>
          <w:jc w:val="center"/>
        </w:trPr>
        <w:tc>
          <w:tcPr>
            <w:tcW w:w="1437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3E35435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HNB</w:t>
            </w:r>
          </w:p>
          <w:p w14:paraId="3322468D" w14:textId="77777777" w:rsidR="00434608" w:rsidRPr="000A7C66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Hrvaška</w:t>
            </w:r>
          </w:p>
        </w:tc>
        <w:tc>
          <w:tcPr>
            <w:tcW w:w="4110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44F96C22" w14:textId="77777777" w:rsidR="00434608" w:rsidRPr="000A7C66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Usposabljanje na področju tehnične analize ponarejenih eurov in izvrševanje mreže ALERT v Jugovzhodni Evropi (ALERT)</w:t>
            </w:r>
          </w:p>
        </w:tc>
        <w:tc>
          <w:tcPr>
            <w:tcW w:w="241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FB6372F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Zagreb (HR)</w:t>
            </w:r>
            <w:r>
              <w:rPr>
                <w:rFonts w:ascii="Times New Roman" w:hAnsi="Times New Roman"/>
                <w:noProof/>
              </w:rPr>
              <w:t>:</w:t>
            </w:r>
          </w:p>
          <w:p w14:paraId="7C6FCFF3" w14:textId="77777777" w:rsidR="00434608" w:rsidRPr="008D0E04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8. november 2024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889A139" w14:textId="52F20737" w:rsidR="00434608" w:rsidRPr="000A7C66" w:rsidRDefault="00251712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119 377,33 EUR</w:t>
            </w:r>
          </w:p>
        </w:tc>
      </w:tr>
      <w:tr w:rsidR="00434608" w:rsidRPr="000A7C66" w14:paraId="6DFBC20D" w14:textId="77777777" w:rsidTr="00527D67">
        <w:trPr>
          <w:trHeight w:val="284"/>
          <w:jc w:val="center"/>
        </w:trPr>
        <w:tc>
          <w:tcPr>
            <w:tcW w:w="1437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2AD8FD9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IE" w:eastAsia="en-GB"/>
              </w:rPr>
            </w:pPr>
          </w:p>
        </w:tc>
        <w:tc>
          <w:tcPr>
            <w:tcW w:w="4110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7747B0A" w14:textId="77777777" w:rsidR="00434608" w:rsidRPr="008D0E04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AA0D4C6" w14:textId="612DB0C7" w:rsidR="00434608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Tečaji tehničnega usposabljanja v sodelujočih državah: ME, MK, RS, AL, TR, XK, BH, EL </w:t>
            </w:r>
          </w:p>
          <w:p w14:paraId="270F74DE" w14:textId="77777777" w:rsidR="00434608" w:rsidRPr="008D0E04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(februar–junij 2024)</w:t>
            </w:r>
          </w:p>
        </w:tc>
        <w:tc>
          <w:tcPr>
            <w:tcW w:w="2002" w:type="dxa"/>
            <w:gridSpan w:val="2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7032053" w14:textId="77777777" w:rsidR="00434608" w:rsidRPr="000A7C66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434608" w:rsidRPr="000A7C66" w14:paraId="583A575F" w14:textId="77777777" w:rsidTr="00527D67">
        <w:trPr>
          <w:trHeight w:val="284"/>
          <w:jc w:val="center"/>
        </w:trPr>
        <w:tc>
          <w:tcPr>
            <w:tcW w:w="1437" w:type="dxa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E506BE0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IE" w:eastAsia="en-GB"/>
              </w:rPr>
            </w:pPr>
          </w:p>
        </w:tc>
        <w:tc>
          <w:tcPr>
            <w:tcW w:w="4110" w:type="dxa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E4753A8" w14:textId="77777777" w:rsidR="00434608" w:rsidRPr="008D0E04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161216F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Istanbul (TR)</w:t>
            </w:r>
            <w:r>
              <w:rPr>
                <w:rFonts w:ascii="Times New Roman" w:hAnsi="Times New Roman"/>
                <w:noProof/>
              </w:rPr>
              <w:t>:</w:t>
            </w:r>
          </w:p>
          <w:p w14:paraId="764C6B26" w14:textId="77777777" w:rsidR="00434608" w:rsidRPr="008D0E04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15.–16. september 2025</w:t>
            </w:r>
          </w:p>
        </w:tc>
        <w:tc>
          <w:tcPr>
            <w:tcW w:w="2002" w:type="dxa"/>
            <w:gridSpan w:val="2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CB78A1C" w14:textId="77777777" w:rsidR="00434608" w:rsidRPr="000A7C66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434608" w:rsidRPr="00FC7265" w14:paraId="3A8F17BF" w14:textId="77777777" w:rsidTr="00527D67">
        <w:trPr>
          <w:trHeight w:val="397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5136B373" w14:textId="77777777" w:rsidR="00434608" w:rsidRPr="00FC7265" w:rsidRDefault="00434608" w:rsidP="0052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Glavni cilj ukrepa</w:t>
            </w:r>
            <w:r>
              <w:rPr>
                <w:rFonts w:ascii="Times New Roman" w:hAnsi="Times New Roman"/>
                <w:noProof/>
              </w:rPr>
              <w:t>: krepitev sodelovanja in izmenjava znanja.</w:t>
            </w:r>
          </w:p>
        </w:tc>
      </w:tr>
      <w:tr w:rsidR="00434608" w:rsidRPr="009663EA" w14:paraId="68F50854" w14:textId="77777777" w:rsidTr="00527D67">
        <w:trPr>
          <w:trHeight w:val="850"/>
          <w:jc w:val="center"/>
        </w:trPr>
        <w:tc>
          <w:tcPr>
            <w:tcW w:w="1437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F464ABE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BDE</w:t>
            </w:r>
          </w:p>
          <w:p w14:paraId="26AE444D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Španija</w:t>
            </w:r>
          </w:p>
        </w:tc>
        <w:tc>
          <w:tcPr>
            <w:tcW w:w="4110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67EF952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sz w:val="24"/>
              </w:rPr>
              <w:t>Usposabljanje na področju analize ponarejenih kovancev za tehnične strokovnjake</w:t>
            </w:r>
            <w:r>
              <w:rPr>
                <w:rFonts w:ascii="Times New Roman" w:hAnsi="Times New Roman"/>
                <w:noProof/>
              </w:rPr>
              <w:t xml:space="preserve"> (</w:t>
            </w:r>
            <w:r>
              <w:rPr>
                <w:rFonts w:ascii="Times New Roman" w:hAnsi="Times New Roman"/>
                <w:noProof/>
                <w:sz w:val="24"/>
              </w:rPr>
              <w:t>Ta-coins 2025)</w:t>
            </w:r>
          </w:p>
        </w:tc>
        <w:tc>
          <w:tcPr>
            <w:tcW w:w="2410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02F6CDF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Madrid (ES)</w:t>
            </w:r>
            <w:r>
              <w:rPr>
                <w:rFonts w:ascii="Times New Roman" w:hAnsi="Times New Roman"/>
                <w:noProof/>
              </w:rPr>
              <w:t>:</w:t>
            </w:r>
          </w:p>
          <w:p w14:paraId="467075B0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junij 2025</w:t>
            </w:r>
          </w:p>
        </w:tc>
        <w:tc>
          <w:tcPr>
            <w:tcW w:w="2002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35FB023" w14:textId="58B30E02" w:rsidR="00434608" w:rsidRPr="00E8573E" w:rsidRDefault="00251712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45 102,00 EUR</w:t>
            </w:r>
          </w:p>
        </w:tc>
      </w:tr>
      <w:tr w:rsidR="00434608" w:rsidRPr="00FC7265" w14:paraId="02A7DCB3" w14:textId="77777777" w:rsidTr="00527D67">
        <w:trPr>
          <w:trHeight w:val="397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1B4D61A6" w14:textId="77777777" w:rsidR="00434608" w:rsidRPr="00FC7265" w:rsidRDefault="00434608" w:rsidP="0052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Glavni cilj ukrepa</w:t>
            </w:r>
            <w:r>
              <w:rPr>
                <w:rFonts w:ascii="Times New Roman" w:hAnsi="Times New Roman"/>
                <w:noProof/>
              </w:rPr>
              <w:t>: povečanje učinkovitosti pri preverjanju pristnosti eurokovancev in razvrščanju ponarejenih kovancev.</w:t>
            </w:r>
            <w:r>
              <w:rPr>
                <w:rFonts w:ascii="Times New Roman" w:hAnsi="Times New Roman"/>
                <w:i/>
                <w:noProof/>
              </w:rPr>
              <w:tab/>
            </w:r>
          </w:p>
        </w:tc>
      </w:tr>
      <w:tr w:rsidR="00434608" w:rsidRPr="008E7324" w14:paraId="7BAEE685" w14:textId="77777777" w:rsidTr="00527D67">
        <w:trPr>
          <w:trHeight w:val="340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14:paraId="7CCA65C3" w14:textId="77777777" w:rsidR="00434608" w:rsidRPr="008E7324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32"/>
              </w:rPr>
              <w:t>Izmenjave osebja</w:t>
            </w:r>
          </w:p>
        </w:tc>
      </w:tr>
      <w:tr w:rsidR="00434608" w:rsidRPr="00E8573E" w14:paraId="4F23CF93" w14:textId="77777777" w:rsidTr="00527D67">
        <w:trPr>
          <w:trHeight w:val="850"/>
          <w:jc w:val="center"/>
        </w:trPr>
        <w:tc>
          <w:tcPr>
            <w:tcW w:w="1437" w:type="dxa"/>
            <w:vMerge w:val="restart"/>
            <w:tcBorders>
              <w:top w:val="double" w:sz="4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FCE76D2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CCAFM</w:t>
            </w:r>
          </w:p>
          <w:p w14:paraId="2EB155E5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Italija</w:t>
            </w:r>
          </w:p>
        </w:tc>
        <w:tc>
          <w:tcPr>
            <w:tcW w:w="4110" w:type="dxa"/>
            <w:vMerge w:val="restart"/>
            <w:tcBorders>
              <w:top w:val="double" w:sz="4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438F28E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Izmenjava osebja na področju preiskovalnih metod v boju proti ponarejanju valut</w:t>
            </w:r>
          </w:p>
          <w:p w14:paraId="77BE0C8C" w14:textId="359B9B38" w:rsidR="00434608" w:rsidRPr="00E8573E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(SEITACC5)</w:t>
            </w:r>
          </w:p>
        </w:tc>
        <w:tc>
          <w:tcPr>
            <w:tcW w:w="2410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0F44454" w14:textId="1C08A90D" w:rsidR="00434608" w:rsidRPr="00CC06FD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Rim (IT) – v letu 2025</w:t>
            </w:r>
            <w:r>
              <w:rPr>
                <w:rFonts w:ascii="Times New Roman" w:hAnsi="Times New Roman"/>
                <w:noProof/>
              </w:rPr>
              <w:t>:</w:t>
            </w:r>
          </w:p>
          <w:p w14:paraId="45EE32E4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18.–21. februar (BH) </w:t>
            </w:r>
          </w:p>
          <w:p w14:paraId="5E232FA4" w14:textId="77777777" w:rsidR="00434608" w:rsidRP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7.–11. april (EL, MD, MK, XK)</w:t>
            </w:r>
          </w:p>
          <w:p w14:paraId="06E7861E" w14:textId="77777777" w:rsidR="00434608" w:rsidRPr="00376233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14.–16. maj (AT)</w:t>
            </w:r>
          </w:p>
        </w:tc>
        <w:tc>
          <w:tcPr>
            <w:tcW w:w="2002" w:type="dxa"/>
            <w:gridSpan w:val="2"/>
            <w:vMerge w:val="restart"/>
            <w:tcBorders>
              <w:top w:val="double" w:sz="4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B10D0B6" w14:textId="0846430B" w:rsidR="00434608" w:rsidRPr="00E8573E" w:rsidRDefault="00251712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76 439,73 EUR </w:t>
            </w:r>
          </w:p>
        </w:tc>
      </w:tr>
      <w:tr w:rsidR="00434608" w:rsidRPr="00E8573E" w14:paraId="4998E514" w14:textId="77777777" w:rsidTr="00527D67">
        <w:trPr>
          <w:trHeight w:val="210"/>
          <w:jc w:val="center"/>
        </w:trPr>
        <w:tc>
          <w:tcPr>
            <w:tcW w:w="1437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BDF252D" w14:textId="77777777" w:rsidR="00434608" w:rsidRPr="00376233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IE" w:eastAsia="en-GB"/>
              </w:rPr>
            </w:pPr>
          </w:p>
        </w:tc>
        <w:tc>
          <w:tcPr>
            <w:tcW w:w="4110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AA202F8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458B2D8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Obiski</w:t>
            </w:r>
            <w:r>
              <w:rPr>
                <w:rFonts w:ascii="Times New Roman" w:hAnsi="Times New Roman"/>
                <w:noProof/>
              </w:rPr>
              <w:t xml:space="preserve"> sodelujočih držav </w:t>
            </w:r>
            <w:r>
              <w:rPr>
                <w:rFonts w:ascii="Times New Roman" w:hAnsi="Times New Roman"/>
                <w:noProof/>
                <w:u w:val="single"/>
              </w:rPr>
              <w:t>v letu 2025</w:t>
            </w:r>
            <w:r>
              <w:rPr>
                <w:rFonts w:ascii="Times New Roman" w:hAnsi="Times New Roman"/>
                <w:noProof/>
              </w:rPr>
              <w:t xml:space="preserve">: AT, BH, EL, </w:t>
            </w:r>
          </w:p>
          <w:p w14:paraId="79D1DEA2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MD, MK, XK </w:t>
            </w:r>
          </w:p>
          <w:p w14:paraId="0356E8B6" w14:textId="77777777" w:rsidR="00434608" w:rsidRPr="006D192D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(april–september)</w:t>
            </w:r>
          </w:p>
        </w:tc>
        <w:tc>
          <w:tcPr>
            <w:tcW w:w="2002" w:type="dxa"/>
            <w:gridSpan w:val="2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82A4B56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434608" w:rsidRPr="00E8573E" w14:paraId="419B46E1" w14:textId="77777777" w:rsidTr="00527D67">
        <w:trPr>
          <w:trHeight w:val="210"/>
          <w:jc w:val="center"/>
        </w:trPr>
        <w:tc>
          <w:tcPr>
            <w:tcW w:w="1437" w:type="dxa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9990B02" w14:textId="77777777" w:rsidR="00434608" w:rsidRPr="00650F19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IE" w:eastAsia="en-GB"/>
              </w:rPr>
            </w:pPr>
          </w:p>
        </w:tc>
        <w:tc>
          <w:tcPr>
            <w:tcW w:w="4110" w:type="dxa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4F47FDEE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7E561C4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Napotitve v letu 2025</w:t>
            </w:r>
            <w:r>
              <w:rPr>
                <w:rFonts w:ascii="Times New Roman" w:hAnsi="Times New Roman"/>
                <w:noProof/>
              </w:rPr>
              <w:t>: 12.–23. maj: avstrijski policijski strokovnjak pri CCAFM</w:t>
            </w:r>
          </w:p>
          <w:p w14:paraId="55E4488F" w14:textId="77777777" w:rsidR="00434608" w:rsidRPr="006D192D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1.–12. september: strokovnjak iz CCAFM pri avstrijskih organih</w:t>
            </w:r>
          </w:p>
        </w:tc>
        <w:tc>
          <w:tcPr>
            <w:tcW w:w="2002" w:type="dxa"/>
            <w:gridSpan w:val="2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1C0842C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434608" w:rsidRPr="007B7C68" w14:paraId="42D871B3" w14:textId="77777777" w:rsidTr="00527D67">
        <w:trPr>
          <w:trHeight w:val="397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7CFAF6BB" w14:textId="77777777" w:rsidR="00434608" w:rsidRPr="00F60AC0" w:rsidRDefault="00434608" w:rsidP="00527D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</w:rPr>
              <w:t>Glavni cilj ukrepa:</w:t>
            </w:r>
            <w:r>
              <w:rPr>
                <w:rFonts w:ascii="Times New Roman" w:hAnsi="Times New Roman"/>
                <w:noProof/>
              </w:rPr>
              <w:t xml:space="preserve"> krepitev sodelovanja in izmenjava znanja.</w:t>
            </w:r>
          </w:p>
        </w:tc>
      </w:tr>
      <w:tr w:rsidR="00434608" w:rsidRPr="007B7C68" w14:paraId="62728582" w14:textId="77777777" w:rsidTr="00DC67D0">
        <w:trPr>
          <w:gridAfter w:val="1"/>
          <w:wAfter w:w="29" w:type="dxa"/>
          <w:trHeight w:val="20"/>
          <w:jc w:val="center"/>
        </w:trPr>
        <w:tc>
          <w:tcPr>
            <w:tcW w:w="1437" w:type="dxa"/>
            <w:vMerge w:val="restart"/>
            <w:tcBorders>
              <w:top w:val="double" w:sz="4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48EACFC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GdF</w:t>
            </w:r>
          </w:p>
          <w:p w14:paraId="708EE190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Italija</w:t>
            </w:r>
          </w:p>
        </w:tc>
        <w:tc>
          <w:tcPr>
            <w:tcW w:w="4110" w:type="dxa"/>
            <w:vMerge w:val="restart"/>
            <w:tcBorders>
              <w:top w:val="double" w:sz="4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4703CFC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Italijanske in turške agencije v skupnem boju proti ponarejanju eura (2024-IT-INTEGRATE)</w:t>
            </w:r>
          </w:p>
        </w:tc>
        <w:tc>
          <w:tcPr>
            <w:tcW w:w="2381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0E06A22" w14:textId="42070530" w:rsidR="00434608" w:rsidRPr="00750F24" w:rsidRDefault="00DD0763" w:rsidP="00DC6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Italija</w:t>
            </w:r>
            <w:r>
              <w:rPr>
                <w:rFonts w:ascii="Times New Roman" w:hAnsi="Times New Roman"/>
                <w:noProof/>
              </w:rPr>
              <w:t>: februar 2025</w:t>
            </w:r>
          </w:p>
        </w:tc>
        <w:tc>
          <w:tcPr>
            <w:tcW w:w="2002" w:type="dxa"/>
            <w:gridSpan w:val="2"/>
            <w:vMerge w:val="restart"/>
            <w:tcBorders>
              <w:top w:val="double" w:sz="4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4C548B58" w14:textId="611579D8" w:rsidR="00434608" w:rsidRPr="00E8573E" w:rsidRDefault="00A84F8A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44 685,00 EUR</w:t>
            </w:r>
            <w:r w:rsidRPr="00E8573E">
              <w:rPr>
                <w:rFonts w:ascii="Times New Roman" w:eastAsia="Times New Roman" w:hAnsi="Times New Roman" w:cs="Times New Roman"/>
                <w:noProof/>
                <w:vertAlign w:val="superscript"/>
                <w:lang w:eastAsia="en-GB"/>
              </w:rPr>
              <w:footnoteReference w:id="3"/>
            </w:r>
          </w:p>
        </w:tc>
      </w:tr>
      <w:tr w:rsidR="00434608" w:rsidRPr="007B7C68" w14:paraId="6C80F780" w14:textId="77777777" w:rsidTr="00DC67D0">
        <w:trPr>
          <w:gridAfter w:val="1"/>
          <w:wAfter w:w="29" w:type="dxa"/>
          <w:trHeight w:val="20"/>
          <w:jc w:val="center"/>
        </w:trPr>
        <w:tc>
          <w:tcPr>
            <w:tcW w:w="1437" w:type="dxa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E78C48F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4110" w:type="dxa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A199736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  <w:lang w:val="en-US"/>
              </w:rPr>
            </w:pPr>
          </w:p>
        </w:tc>
        <w:tc>
          <w:tcPr>
            <w:tcW w:w="2381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8248DAA" w14:textId="6AD4ABFE" w:rsidR="00434608" w:rsidRPr="00E8573E" w:rsidRDefault="00DD0763" w:rsidP="00DC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Turčija</w:t>
            </w:r>
            <w:r>
              <w:rPr>
                <w:rFonts w:ascii="Times New Roman" w:hAnsi="Times New Roman"/>
                <w:noProof/>
              </w:rPr>
              <w:t>: april 2025</w:t>
            </w:r>
          </w:p>
        </w:tc>
        <w:tc>
          <w:tcPr>
            <w:tcW w:w="2002" w:type="dxa"/>
            <w:gridSpan w:val="2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D5B8EC4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434608" w:rsidRPr="007B7C68" w14:paraId="6C917869" w14:textId="77777777" w:rsidTr="00527D67">
        <w:trPr>
          <w:trHeight w:val="397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2AA3E4E9" w14:textId="77777777" w:rsidR="00434608" w:rsidRPr="00F60AC0" w:rsidRDefault="00434608" w:rsidP="00527D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</w:rPr>
              <w:t>Glavni cilj ukrepa:</w:t>
            </w:r>
            <w:r>
              <w:rPr>
                <w:rFonts w:ascii="Times New Roman" w:hAnsi="Times New Roman"/>
                <w:noProof/>
              </w:rPr>
              <w:t xml:space="preserve"> krepitev sodelovanja in izmenjava znanja.</w:t>
            </w:r>
          </w:p>
        </w:tc>
      </w:tr>
      <w:tr w:rsidR="00434608" w:rsidRPr="007B7C68" w14:paraId="5C875E4D" w14:textId="77777777" w:rsidTr="00DC67D0">
        <w:trPr>
          <w:gridAfter w:val="1"/>
          <w:wAfter w:w="29" w:type="dxa"/>
          <w:trHeight w:val="20"/>
          <w:jc w:val="center"/>
        </w:trPr>
        <w:tc>
          <w:tcPr>
            <w:tcW w:w="1437" w:type="dxa"/>
            <w:vMerge w:val="restart"/>
            <w:tcBorders>
              <w:top w:val="double" w:sz="4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3C55612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BIBE</w:t>
            </w:r>
          </w:p>
          <w:p w14:paraId="6483C92D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Španija</w:t>
            </w:r>
          </w:p>
        </w:tc>
        <w:tc>
          <w:tcPr>
            <w:tcW w:w="4110" w:type="dxa"/>
            <w:vMerge w:val="restart"/>
            <w:tcBorders>
              <w:top w:val="double" w:sz="4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EC9BEFB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Spodbujanje ustanovitve nacionalnega urada za usklajevanje v Urugvaju v letu 2025 (projekt NCO Uruguay)</w:t>
            </w:r>
          </w:p>
        </w:tc>
        <w:tc>
          <w:tcPr>
            <w:tcW w:w="2381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809F440" w14:textId="5856F86E" w:rsidR="00434608" w:rsidRPr="00E8573E" w:rsidRDefault="00413D42" w:rsidP="00DC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Urugvaj</w:t>
            </w:r>
            <w:r>
              <w:rPr>
                <w:rFonts w:ascii="Times New Roman" w:hAnsi="Times New Roman"/>
                <w:noProof/>
              </w:rPr>
              <w:t>: 5.–9. maj 2025</w:t>
            </w:r>
          </w:p>
        </w:tc>
        <w:tc>
          <w:tcPr>
            <w:tcW w:w="2002" w:type="dxa"/>
            <w:gridSpan w:val="2"/>
            <w:vMerge w:val="restart"/>
            <w:tcBorders>
              <w:top w:val="double" w:sz="4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0EC18FC" w14:textId="5D90C3AC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37 542,06 EUR</w:t>
            </w:r>
            <w:r w:rsidRPr="00E8573E">
              <w:rPr>
                <w:rFonts w:ascii="Times New Roman" w:eastAsia="Times New Roman" w:hAnsi="Times New Roman" w:cs="Times New Roman"/>
                <w:noProof/>
                <w:vertAlign w:val="superscript"/>
                <w:lang w:eastAsia="en-GB"/>
              </w:rPr>
              <w:footnoteReference w:id="4"/>
            </w:r>
          </w:p>
        </w:tc>
      </w:tr>
      <w:tr w:rsidR="00434608" w:rsidRPr="007B7C68" w14:paraId="2184E10A" w14:textId="77777777" w:rsidTr="00DC67D0">
        <w:trPr>
          <w:gridAfter w:val="1"/>
          <w:wAfter w:w="29" w:type="dxa"/>
          <w:trHeight w:val="20"/>
          <w:jc w:val="center"/>
        </w:trPr>
        <w:tc>
          <w:tcPr>
            <w:tcW w:w="1437" w:type="dxa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039993F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  <w:tc>
          <w:tcPr>
            <w:tcW w:w="4110" w:type="dxa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4CB8E798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  <w:lang w:val="en-US"/>
              </w:rPr>
            </w:pPr>
          </w:p>
        </w:tc>
        <w:tc>
          <w:tcPr>
            <w:tcW w:w="2381" w:type="dxa"/>
            <w:tcBorders>
              <w:top w:val="double" w:sz="4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8CFF66E" w14:textId="0B1A4E62" w:rsidR="00434608" w:rsidRPr="00E8573E" w:rsidRDefault="00413D42" w:rsidP="00DC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Španija</w:t>
            </w:r>
            <w:r>
              <w:rPr>
                <w:rFonts w:ascii="Times New Roman" w:hAnsi="Times New Roman"/>
                <w:noProof/>
              </w:rPr>
              <w:t>: 9.–13. junij 2025</w:t>
            </w:r>
          </w:p>
        </w:tc>
        <w:tc>
          <w:tcPr>
            <w:tcW w:w="2002" w:type="dxa"/>
            <w:gridSpan w:val="2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D2DCFAC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434608" w:rsidRPr="007B7C68" w14:paraId="55657208" w14:textId="77777777" w:rsidTr="00527D67">
        <w:trPr>
          <w:trHeight w:val="397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01B9F129" w14:textId="77777777" w:rsidR="00434608" w:rsidRPr="00F60AC0" w:rsidRDefault="00434608" w:rsidP="00527D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</w:rPr>
              <w:t>Glavni cilj ukrepa:</w:t>
            </w:r>
            <w:r>
              <w:rPr>
                <w:rFonts w:ascii="Times New Roman" w:hAnsi="Times New Roman"/>
                <w:noProof/>
              </w:rPr>
              <w:t xml:space="preserve"> krepitev sodelovanja in izmenjava znanja.</w:t>
            </w:r>
          </w:p>
        </w:tc>
      </w:tr>
      <w:tr w:rsidR="00434608" w:rsidRPr="008E7324" w14:paraId="07A545FE" w14:textId="77777777" w:rsidTr="00527D67">
        <w:tblPrEx>
          <w:tblBorders>
            <w:top w:val="single" w:sz="12" w:space="0" w:color="4F81BD" w:themeColor="accent1"/>
            <w:left w:val="single" w:sz="12" w:space="0" w:color="4F81BD" w:themeColor="accent1"/>
            <w:bottom w:val="single" w:sz="12" w:space="0" w:color="4F81BD" w:themeColor="accent1"/>
            <w:right w:val="single" w:sz="12" w:space="0" w:color="4F81BD" w:themeColor="accent1"/>
            <w:insideH w:val="single" w:sz="12" w:space="0" w:color="4F81BD" w:themeColor="accent1"/>
            <w:insideV w:val="single" w:sz="12" w:space="0" w:color="4F81BD" w:themeColor="accent1"/>
          </w:tblBorders>
        </w:tblPrEx>
        <w:trPr>
          <w:trHeight w:val="340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14:paraId="2FD48955" w14:textId="77777777" w:rsidR="00434608" w:rsidRPr="008D0E04" w:rsidRDefault="00434608" w:rsidP="0052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36"/>
              </w:rPr>
              <w:t>Nakup opreme</w:t>
            </w:r>
          </w:p>
        </w:tc>
      </w:tr>
      <w:tr w:rsidR="00434608" w:rsidRPr="007B7C68" w14:paraId="4E0C97E0" w14:textId="77777777" w:rsidTr="00527D67">
        <w:trPr>
          <w:trHeight w:val="340"/>
          <w:jc w:val="center"/>
        </w:trPr>
        <w:tc>
          <w:tcPr>
            <w:tcW w:w="1437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A7AD905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PJ</w:t>
            </w:r>
          </w:p>
          <w:p w14:paraId="05E4740E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Portugalska</w:t>
            </w:r>
          </w:p>
        </w:tc>
        <w:tc>
          <w:tcPr>
            <w:tcW w:w="4110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844EB65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Pobuda za krepitev zmogljivosti za odkrivanje, analizo in sporočanje ponarejenih eurobankovcev s strani policijskih organov Zelenortskih otokov (COUNTERACT)</w:t>
            </w:r>
          </w:p>
        </w:tc>
        <w:tc>
          <w:tcPr>
            <w:tcW w:w="241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7073EE8" w14:textId="77777777" w:rsidR="00434608" w:rsidRDefault="00434608" w:rsidP="00527D6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Praia (CV)</w:t>
            </w:r>
            <w:r>
              <w:rPr>
                <w:rFonts w:ascii="Times New Roman" w:hAnsi="Times New Roman"/>
                <w:noProof/>
              </w:rPr>
              <w:t>:</w:t>
            </w:r>
          </w:p>
          <w:p w14:paraId="4F9B2D27" w14:textId="77777777" w:rsidR="00434608" w:rsidRDefault="00434608" w:rsidP="00527D6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4.–8. november 2024</w:t>
            </w:r>
          </w:p>
          <w:p w14:paraId="6C05337A" w14:textId="0F200384" w:rsidR="00DC67D0" w:rsidRPr="003F3834" w:rsidRDefault="00DC67D0" w:rsidP="00527D6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10.–21. marec 2025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E94D06D" w14:textId="697DC2E0" w:rsidR="00434608" w:rsidRPr="00E8573E" w:rsidRDefault="00251712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76 908,62 EUR </w:t>
            </w:r>
          </w:p>
        </w:tc>
      </w:tr>
      <w:tr w:rsidR="00434608" w:rsidRPr="007B7C68" w14:paraId="7925D187" w14:textId="77777777" w:rsidTr="00527D67">
        <w:trPr>
          <w:trHeight w:val="340"/>
          <w:jc w:val="center"/>
        </w:trPr>
        <w:tc>
          <w:tcPr>
            <w:tcW w:w="1437" w:type="dxa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7C089F1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it-IT" w:eastAsia="en-GB"/>
              </w:rPr>
            </w:pPr>
          </w:p>
        </w:tc>
        <w:tc>
          <w:tcPr>
            <w:tcW w:w="4110" w:type="dxa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0788865" w14:textId="77777777" w:rsidR="00434608" w:rsidRPr="00E8573E" w:rsidRDefault="00434608" w:rsidP="00527D67">
            <w:pPr>
              <w:spacing w:after="0" w:line="240" w:lineRule="auto"/>
              <w:rPr>
                <w:rFonts w:ascii="Times New Roman" w:eastAsia="Cambria" w:hAnsi="Times New Roman" w:cs="Times New Roman"/>
                <w:noProof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B153F41" w14:textId="77777777" w:rsidR="00434608" w:rsidRPr="00B12ACF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u w:val="single"/>
              </w:rPr>
              <w:t>Spletna pomoč</w:t>
            </w:r>
            <w:r>
              <w:rPr>
                <w:rFonts w:ascii="Times New Roman" w:hAnsi="Times New Roman"/>
                <w:noProof/>
              </w:rPr>
              <w:t>:</w:t>
            </w:r>
          </w:p>
          <w:p w14:paraId="6928776B" w14:textId="77777777" w:rsidR="00434608" w:rsidRPr="00B12ACF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1. april–31. julij 2025</w:t>
            </w:r>
          </w:p>
        </w:tc>
        <w:tc>
          <w:tcPr>
            <w:tcW w:w="2002" w:type="dxa"/>
            <w:gridSpan w:val="2"/>
            <w:vMerge/>
            <w:tcBorders>
              <w:left w:val="single" w:sz="12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07A268D" w14:textId="77777777" w:rsidR="0043460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434608" w:rsidRPr="007B7C68" w14:paraId="59F4F828" w14:textId="77777777" w:rsidTr="00527D67">
        <w:trPr>
          <w:trHeight w:val="397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3AE40DDF" w14:textId="77777777" w:rsidR="00434608" w:rsidRPr="00F60AC0" w:rsidRDefault="00434608" w:rsidP="00527D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</w:rPr>
              <w:t>Glavni cilj ukrepa:</w:t>
            </w:r>
            <w:r>
              <w:rPr>
                <w:rFonts w:ascii="Times New Roman" w:hAnsi="Times New Roman"/>
                <w:noProof/>
              </w:rPr>
              <w:t xml:space="preserve"> podpora nacionalnim pristojnim organom tretjih držav pri boju proti ponarejanju eura.</w:t>
            </w:r>
          </w:p>
        </w:tc>
      </w:tr>
      <w:tr w:rsidR="00434608" w:rsidRPr="007B7C68" w14:paraId="41585F59" w14:textId="77777777" w:rsidTr="00527D67">
        <w:tblPrEx>
          <w:tblBorders>
            <w:top w:val="single" w:sz="12" w:space="0" w:color="4F81BD" w:themeColor="accent1"/>
            <w:left w:val="single" w:sz="12" w:space="0" w:color="4F81BD" w:themeColor="accent1"/>
            <w:bottom w:val="single" w:sz="12" w:space="0" w:color="4F81BD" w:themeColor="accent1"/>
            <w:right w:val="single" w:sz="12" w:space="0" w:color="4F81BD" w:themeColor="accent1"/>
            <w:insideH w:val="single" w:sz="12" w:space="0" w:color="4F81BD" w:themeColor="accent1"/>
            <w:insideV w:val="single" w:sz="12" w:space="0" w:color="4F81BD" w:themeColor="accent1"/>
          </w:tblBorders>
        </w:tblPrEx>
        <w:trPr>
          <w:trHeight w:val="340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5E0EFB3" w14:textId="77777777" w:rsidR="00434608" w:rsidRPr="007B7C68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36"/>
              </w:rPr>
              <w:t>Orodje e-Grants</w:t>
            </w:r>
          </w:p>
        </w:tc>
      </w:tr>
      <w:tr w:rsidR="00434608" w:rsidRPr="00967BFA" w14:paraId="51FE5A2C" w14:textId="77777777" w:rsidTr="00527D67">
        <w:tblPrEx>
          <w:tblBorders>
            <w:top w:val="single" w:sz="12" w:space="0" w:color="4F81BD" w:themeColor="accent1"/>
            <w:left w:val="single" w:sz="12" w:space="0" w:color="4F81BD" w:themeColor="accent1"/>
            <w:bottom w:val="single" w:sz="12" w:space="0" w:color="4F81BD" w:themeColor="accent1"/>
            <w:right w:val="single" w:sz="12" w:space="0" w:color="4F81BD" w:themeColor="accent1"/>
            <w:insideH w:val="single" w:sz="12" w:space="0" w:color="4F81BD" w:themeColor="accent1"/>
            <w:insideV w:val="single" w:sz="12" w:space="0" w:color="4F81BD" w:themeColor="accent1"/>
          </w:tblBorders>
        </w:tblPrEx>
        <w:trPr>
          <w:trHeight w:val="794"/>
          <w:jc w:val="center"/>
        </w:trPr>
        <w:tc>
          <w:tcPr>
            <w:tcW w:w="1437" w:type="dxa"/>
            <w:tcBorders>
              <w:bottom w:val="double" w:sz="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64EB172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Evropska komisija</w:t>
            </w:r>
          </w:p>
          <w:p w14:paraId="43FA53A1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GD ECFIN</w:t>
            </w:r>
          </w:p>
        </w:tc>
        <w:tc>
          <w:tcPr>
            <w:tcW w:w="6520" w:type="dxa"/>
            <w:gridSpan w:val="3"/>
            <w:tcBorders>
              <w:bottom w:val="double" w:sz="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5673302" w14:textId="77777777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letna pristojbina za orodje e-Grants</w:t>
            </w:r>
          </w:p>
        </w:tc>
        <w:tc>
          <w:tcPr>
            <w:tcW w:w="2002" w:type="dxa"/>
            <w:gridSpan w:val="2"/>
            <w:tcBorders>
              <w:bottom w:val="double" w:sz="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31CC6AB" w14:textId="1D778691" w:rsidR="00434608" w:rsidRPr="00E8573E" w:rsidRDefault="00434608" w:rsidP="0052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37 225,00 EUR</w:t>
            </w:r>
          </w:p>
        </w:tc>
      </w:tr>
      <w:tr w:rsidR="00434608" w:rsidRPr="003F68D4" w14:paraId="2542AF24" w14:textId="77777777" w:rsidTr="00527D67">
        <w:tblPrEx>
          <w:tblBorders>
            <w:top w:val="single" w:sz="12" w:space="0" w:color="4F81BD" w:themeColor="accent1"/>
            <w:left w:val="single" w:sz="12" w:space="0" w:color="4F81BD" w:themeColor="accent1"/>
            <w:bottom w:val="single" w:sz="12" w:space="0" w:color="4F81BD" w:themeColor="accent1"/>
            <w:right w:val="single" w:sz="12" w:space="0" w:color="4F81BD" w:themeColor="accent1"/>
            <w:insideH w:val="single" w:sz="12" w:space="0" w:color="4F81BD" w:themeColor="accent1"/>
            <w:insideV w:val="single" w:sz="12" w:space="0" w:color="4F81BD" w:themeColor="accent1"/>
          </w:tblBorders>
        </w:tblPrEx>
        <w:trPr>
          <w:trHeight w:val="397"/>
          <w:jc w:val="center"/>
        </w:trPr>
        <w:tc>
          <w:tcPr>
            <w:tcW w:w="9959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25D631D6" w14:textId="77777777" w:rsidR="00434608" w:rsidRPr="003F68D4" w:rsidRDefault="00434608" w:rsidP="00527D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Uporaba orodja e-Grants vključuje letno pristojbino za njegovo uporabo kot prispevek za vzdrževanje platforme e-Grants in ekipe za tehnično podporo platforme, ki izvaja zahteve za spremembe in gosti infrastrukturo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.</w:t>
            </w:r>
          </w:p>
        </w:tc>
      </w:tr>
    </w:tbl>
    <w:p w14:paraId="0A45CE19" w14:textId="77777777" w:rsidR="00434608" w:rsidRDefault="00434608" w:rsidP="00434608">
      <w:pPr>
        <w:spacing w:before="120" w:after="120"/>
        <w:rPr>
          <w:noProof/>
        </w:rPr>
      </w:pPr>
    </w:p>
    <w:p w14:paraId="7F6F112A" w14:textId="77777777" w:rsidR="00CB3F78" w:rsidRDefault="00CB3F78" w:rsidP="004A208D">
      <w:pPr>
        <w:spacing w:before="120" w:after="120"/>
        <w:rPr>
          <w:noProof/>
        </w:rPr>
      </w:pPr>
    </w:p>
    <w:sectPr w:rsidR="00CB3F78" w:rsidSect="00D77C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135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BA779" w14:textId="77777777" w:rsidR="00417C17" w:rsidRDefault="00417C17" w:rsidP="007379AE">
      <w:pPr>
        <w:spacing w:after="0" w:line="240" w:lineRule="auto"/>
      </w:pPr>
      <w:r>
        <w:separator/>
      </w:r>
    </w:p>
  </w:endnote>
  <w:endnote w:type="continuationSeparator" w:id="0">
    <w:p w14:paraId="2665A149" w14:textId="77777777" w:rsidR="00417C17" w:rsidRDefault="00417C17" w:rsidP="0073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424EC" w14:textId="194BE4CF" w:rsidR="009B00EB" w:rsidRPr="009B00EB" w:rsidRDefault="009B00EB" w:rsidP="009B00EB">
    <w:pPr>
      <w:pStyle w:val="FooterCoverPage"/>
      <w:rPr>
        <w:rFonts w:ascii="Arial" w:hAnsi="Arial" w:cs="Arial"/>
        <w:b/>
        <w:sz w:val="48"/>
      </w:rPr>
    </w:pPr>
    <w:r w:rsidRPr="009B00EB">
      <w:rPr>
        <w:rFonts w:ascii="Arial" w:hAnsi="Arial" w:cs="Arial"/>
        <w:b/>
        <w:sz w:val="48"/>
      </w:rPr>
      <w:t>SL</w:t>
    </w:r>
    <w:r w:rsidRPr="009B00EB">
      <w:rPr>
        <w:rFonts w:ascii="Arial" w:hAnsi="Arial" w:cs="Arial"/>
        <w:b/>
        <w:sz w:val="48"/>
      </w:rPr>
      <w:tab/>
    </w:r>
    <w:r w:rsidRPr="009B00EB">
      <w:rPr>
        <w:rFonts w:ascii="Arial" w:hAnsi="Arial" w:cs="Arial"/>
        <w:b/>
        <w:sz w:val="48"/>
      </w:rPr>
      <w:tab/>
    </w:r>
    <w:r w:rsidRPr="009B00EB">
      <w:tab/>
    </w:r>
    <w:r w:rsidRPr="009B00EB">
      <w:rPr>
        <w:rFonts w:ascii="Arial" w:hAnsi="Arial" w:cs="Arial"/>
        <w:b/>
        <w:sz w:val="48"/>
      </w:rPr>
      <w:t>SL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CB59" w14:textId="5FD7CB47" w:rsidR="009B00EB" w:rsidRPr="009B00EB" w:rsidRDefault="009B00EB" w:rsidP="009B00EB">
    <w:pPr>
      <w:pStyle w:val="FooterCoverPage"/>
      <w:rPr>
        <w:rFonts w:ascii="Arial" w:hAnsi="Arial" w:cs="Arial"/>
        <w:b/>
        <w:sz w:val="48"/>
      </w:rPr>
    </w:pPr>
    <w:r w:rsidRPr="009B00EB">
      <w:rPr>
        <w:rFonts w:ascii="Arial" w:hAnsi="Arial" w:cs="Arial"/>
        <w:b/>
        <w:sz w:val="48"/>
      </w:rPr>
      <w:t>SL</w:t>
    </w:r>
    <w:r w:rsidRPr="009B00EB">
      <w:rPr>
        <w:rFonts w:ascii="Arial" w:hAnsi="Arial" w:cs="Arial"/>
        <w:b/>
        <w:sz w:val="48"/>
      </w:rPr>
      <w:tab/>
    </w:r>
    <w:r w:rsidRPr="009B00EB">
      <w:rPr>
        <w:rFonts w:ascii="Arial" w:hAnsi="Arial" w:cs="Arial"/>
        <w:b/>
        <w:sz w:val="48"/>
      </w:rPr>
      <w:tab/>
    </w:r>
    <w:r w:rsidRPr="009B00EB">
      <w:tab/>
    </w:r>
    <w:r w:rsidRPr="009B00EB">
      <w:rPr>
        <w:rFonts w:ascii="Arial" w:hAnsi="Arial" w:cs="Arial"/>
        <w:b/>
        <w:sz w:val="48"/>
      </w:rPr>
      <w:t>SL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BEF0A" w14:textId="77777777" w:rsidR="009B00EB" w:rsidRPr="009B00EB" w:rsidRDefault="009B00EB" w:rsidP="009B00EB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6E068" w14:textId="77777777" w:rsidR="004C1153" w:rsidRDefault="004C115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427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C093F" w14:textId="32EA809E" w:rsidR="005A7EDA" w:rsidRDefault="005A7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0EB">
          <w:rPr>
            <w:noProof/>
          </w:rPr>
          <w:t>1</w:t>
        </w:r>
        <w:r>
          <w:fldChar w:fldCharType="end"/>
        </w:r>
      </w:p>
    </w:sdtContent>
  </w:sdt>
  <w:p w14:paraId="13BBA2B0" w14:textId="77777777" w:rsidR="004C1153" w:rsidRDefault="004C115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53E9" w14:textId="77777777" w:rsidR="004C1153" w:rsidRDefault="004C1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C7C81" w14:textId="77777777" w:rsidR="00417C17" w:rsidRDefault="00417C17" w:rsidP="007379AE">
      <w:pPr>
        <w:spacing w:after="0" w:line="240" w:lineRule="auto"/>
      </w:pPr>
      <w:r>
        <w:separator/>
      </w:r>
    </w:p>
  </w:footnote>
  <w:footnote w:type="continuationSeparator" w:id="0">
    <w:p w14:paraId="740A8D57" w14:textId="77777777" w:rsidR="00417C17" w:rsidRDefault="00417C17" w:rsidP="007379AE">
      <w:pPr>
        <w:spacing w:after="0" w:line="240" w:lineRule="auto"/>
      </w:pPr>
      <w:r>
        <w:continuationSeparator/>
      </w:r>
    </w:p>
  </w:footnote>
  <w:footnote w:id="1">
    <w:p w14:paraId="2F2B4336" w14:textId="77777777" w:rsidR="00AF64D7" w:rsidRPr="002B05C6" w:rsidRDefault="00AF64D7" w:rsidP="0062394B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>
        <w:tab/>
      </w:r>
      <w:r>
        <w:rPr>
          <w:rFonts w:ascii="Times New Roman" w:hAnsi="Times New Roman"/>
          <w:sz w:val="20"/>
        </w:rPr>
        <w:t>Polna imena organizatorjev so navedena na seznamu pristojnih nacionalnih organov iz člena 2, točka (b), Uredbe Sveta (ES) št. 1338/2001 (UL C 264, 12.8.2015, str. 2).</w:t>
      </w:r>
      <w:r>
        <w:rPr>
          <w:rFonts w:ascii="Times New Roman" w:hAnsi="Times New Roman"/>
          <w:sz w:val="16"/>
        </w:rPr>
        <w:t xml:space="preserve"> </w:t>
      </w:r>
    </w:p>
  </w:footnote>
  <w:footnote w:id="2">
    <w:p w14:paraId="2CF7DAF2" w14:textId="73759518" w:rsidR="000E58ED" w:rsidRPr="000E58ED" w:rsidRDefault="000E58ED" w:rsidP="000E58ED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  <w:sz w:val="20"/>
        </w:rPr>
        <w:t>Odobrena sredstva v EUR – proračunska vrstica:  06.030100-C1-ECFIN.</w:t>
      </w:r>
    </w:p>
  </w:footnote>
  <w:footnote w:id="3">
    <w:p w14:paraId="0FF041FE" w14:textId="48431554" w:rsidR="00A84F8A" w:rsidRPr="004A19D8" w:rsidRDefault="00A84F8A" w:rsidP="00A84F8A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 w:rsidR="00275068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Proračunska vrstica 06.030100-C4-ECFIN.</w:t>
      </w:r>
    </w:p>
  </w:footnote>
  <w:footnote w:id="4">
    <w:p w14:paraId="7606F2D9" w14:textId="38F8440C" w:rsidR="00434608" w:rsidRPr="004A19D8" w:rsidRDefault="00434608" w:rsidP="00434608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Proračunski vrstici:  06.030100-C1-ECFIN (15 770,72 EUR) in 06.030100-C4-ECFIN (21 771,34 EUR).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459F" w14:textId="77777777" w:rsidR="009B00EB" w:rsidRPr="009B00EB" w:rsidRDefault="009B00EB" w:rsidP="009B00EB">
    <w:pPr>
      <w:pStyle w:val="HeaderCoverPag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73E71" w14:textId="77777777" w:rsidR="009B00EB" w:rsidRPr="009B00EB" w:rsidRDefault="009B00EB" w:rsidP="009B00EB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DF42" w14:textId="77777777" w:rsidR="009B00EB" w:rsidRPr="009B00EB" w:rsidRDefault="009B00EB" w:rsidP="009B00EB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9E3E" w14:textId="77777777" w:rsidR="004C1153" w:rsidRDefault="004C115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FF95" w14:textId="77777777" w:rsidR="004C1153" w:rsidRDefault="004C1153" w:rsidP="007379AE">
    <w:pPr>
      <w:pStyle w:val="Default"/>
    </w:pPr>
    <w:r>
      <w:tab/>
    </w:r>
  </w:p>
  <w:p w14:paraId="3E74B65E" w14:textId="77777777" w:rsidR="004C1153" w:rsidRPr="007379AE" w:rsidRDefault="004C1153" w:rsidP="007379AE"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5E41" w14:textId="77777777" w:rsidR="004C1153" w:rsidRDefault="004C1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A46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16DA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0F29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3F82"/>
    <w:multiLevelType w:val="hybridMultilevel"/>
    <w:tmpl w:val="FCD661FE"/>
    <w:lvl w:ilvl="0" w:tplc="D78A7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90278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67BD3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97037"/>
    <w:multiLevelType w:val="hybridMultilevel"/>
    <w:tmpl w:val="81226E5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1667C"/>
    <w:multiLevelType w:val="multilevel"/>
    <w:tmpl w:val="9D94D5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  <w:color w:val="auto"/>
      </w:rPr>
    </w:lvl>
  </w:abstractNum>
  <w:abstractNum w:abstractNumId="8" w15:restartNumberingAfterBreak="0">
    <w:nsid w:val="2DFA11EE"/>
    <w:multiLevelType w:val="hybridMultilevel"/>
    <w:tmpl w:val="FF6A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B4CB5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53ED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4D0B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F0D8F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F10B0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753C7"/>
    <w:multiLevelType w:val="hybridMultilevel"/>
    <w:tmpl w:val="25A6D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F4217"/>
    <w:multiLevelType w:val="hybridMultilevel"/>
    <w:tmpl w:val="006A4A24"/>
    <w:lvl w:ilvl="0" w:tplc="D8F6F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04F8C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7163C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03971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21870"/>
    <w:multiLevelType w:val="hybridMultilevel"/>
    <w:tmpl w:val="8FB45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14"/>
  </w:num>
  <w:num w:numId="5">
    <w:abstractNumId w:val="11"/>
  </w:num>
  <w:num w:numId="6">
    <w:abstractNumId w:val="18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6"/>
  </w:num>
  <w:num w:numId="14">
    <w:abstractNumId w:val="0"/>
  </w:num>
  <w:num w:numId="15">
    <w:abstractNumId w:val="17"/>
  </w:num>
  <w:num w:numId="16">
    <w:abstractNumId w:val="4"/>
  </w:num>
  <w:num w:numId="17">
    <w:abstractNumId w:val="13"/>
  </w:num>
  <w:num w:numId="18">
    <w:abstractNumId w:val="12"/>
  </w:num>
  <w:num w:numId="19">
    <w:abstractNumId w:val="19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PT" w:vendorID="64" w:dllVersion="6" w:nlCheck="1" w:checkStyle="0"/>
  <w:activeWritingStyle w:appName="MSWord" w:lang="en-IE" w:vendorID="64" w:dllVersion="6" w:nlCheck="1" w:checkStyle="1"/>
  <w:activeWritingStyle w:appName="MSWord" w:lang="es-ES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s-ES_tradnl" w:vendorID="64" w:dllVersion="0" w:nlCheck="1" w:checkStyle="0"/>
  <w:activeWritingStyle w:appName="MSWord" w:lang="nl-NL" w:vendorID="64" w:dllVersion="0" w:nlCheck="1" w:checkStyle="0"/>
  <w:revisionView w:markup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k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20930A2C-F1A3-4191-85B4-AB9C6AD94357"/>
    <w:docVar w:name="LW_COVERPAGE_TYPE" w:val="1"/>
    <w:docVar w:name="LW_CROSSREFERENCE" w:val="&lt;UNUSED&gt;"/>
    <w:docVar w:name="LW_DocType" w:val="NORMAL"/>
    <w:docVar w:name="LW_EMISSION" w:val="27.6.2025"/>
    <w:docVar w:name="LW_EMISSION_ISODATE" w:val="2025-06-27"/>
    <w:docVar w:name="LW_EMISSION_LOCATION" w:val="BRX"/>
    <w:docVar w:name="LW_EMISSION_PREFIX" w:val="Bruselj, "/>
    <w:docVar w:name="LW_EMISSION_SUFFIX" w:val=" "/>
    <w:docVar w:name="LW_ID_DOCTYPE_NONLW" w:val="CP-039"/>
    <w:docVar w:name="LW_LANGUE" w:val="SL"/>
    <w:docVar w:name="LW_LEVEL_OF_SENSITIVITY" w:val="Standard treatment"/>
    <w:docVar w:name="LW_NOM.INST" w:val="EVROPSKA KOMISIJA"/>
    <w:docVar w:name="LW_NOM.INST_JOINTDOC" w:val="&lt;EMPTY&gt;"/>
    <w:docVar w:name="LW_OBJETACTEPRINCIPAL.CP" w:val="&lt;FMT:Font=Calibri CE&gt;o izvajanju in rezultatih programa Pericles IV za za\u353?\u269?ito eura pred ponarejanjem v letu 2024&lt;/FMT&gt;_x000d__x000d__x000d__x000d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5) 337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PRILOGA_x000b_"/>
    <w:docVar w:name="LW_TYPEACTEPRINCIPAL.CP" w:val="PORO\u268?ILU KOMISIJE EVROPSKEMU PARLAMENTU, SVETU IN EVROPSKI CENTRALNI BANKI_x000b_"/>
    <w:docVar w:name="LwApiVersions" w:val="LW4CoDe 1.24.5.0; LW 9.0, Build 20240221"/>
  </w:docVars>
  <w:rsids>
    <w:rsidRoot w:val="000E1CAF"/>
    <w:rsid w:val="00002EFD"/>
    <w:rsid w:val="00011239"/>
    <w:rsid w:val="00011C84"/>
    <w:rsid w:val="00016ECC"/>
    <w:rsid w:val="000355D3"/>
    <w:rsid w:val="00035E95"/>
    <w:rsid w:val="0004351C"/>
    <w:rsid w:val="00043C2A"/>
    <w:rsid w:val="00062403"/>
    <w:rsid w:val="0007048D"/>
    <w:rsid w:val="0007761D"/>
    <w:rsid w:val="000A3317"/>
    <w:rsid w:val="000A7C66"/>
    <w:rsid w:val="000B21B6"/>
    <w:rsid w:val="000B321E"/>
    <w:rsid w:val="000B4AFA"/>
    <w:rsid w:val="000C02F2"/>
    <w:rsid w:val="000D3B23"/>
    <w:rsid w:val="000D412A"/>
    <w:rsid w:val="000E1632"/>
    <w:rsid w:val="000E1CAF"/>
    <w:rsid w:val="000E58ED"/>
    <w:rsid w:val="000F0233"/>
    <w:rsid w:val="00113BD5"/>
    <w:rsid w:val="00116CD2"/>
    <w:rsid w:val="0013481B"/>
    <w:rsid w:val="00162809"/>
    <w:rsid w:val="00165B1D"/>
    <w:rsid w:val="00166D72"/>
    <w:rsid w:val="00171068"/>
    <w:rsid w:val="001752DD"/>
    <w:rsid w:val="001972E0"/>
    <w:rsid w:val="001A01ED"/>
    <w:rsid w:val="001C0580"/>
    <w:rsid w:val="001C177A"/>
    <w:rsid w:val="001C2E6D"/>
    <w:rsid w:val="001C312C"/>
    <w:rsid w:val="001E45DA"/>
    <w:rsid w:val="001E7C90"/>
    <w:rsid w:val="00246984"/>
    <w:rsid w:val="00251712"/>
    <w:rsid w:val="00275068"/>
    <w:rsid w:val="00282293"/>
    <w:rsid w:val="00295074"/>
    <w:rsid w:val="00295568"/>
    <w:rsid w:val="002B05C6"/>
    <w:rsid w:val="002B378F"/>
    <w:rsid w:val="002B5EC6"/>
    <w:rsid w:val="002B7CB2"/>
    <w:rsid w:val="002D7E38"/>
    <w:rsid w:val="002E0AE7"/>
    <w:rsid w:val="002E47EA"/>
    <w:rsid w:val="002F1FCC"/>
    <w:rsid w:val="00305133"/>
    <w:rsid w:val="0030697E"/>
    <w:rsid w:val="00311F6E"/>
    <w:rsid w:val="00312381"/>
    <w:rsid w:val="00324552"/>
    <w:rsid w:val="003268AE"/>
    <w:rsid w:val="0033411E"/>
    <w:rsid w:val="003374E8"/>
    <w:rsid w:val="003470AC"/>
    <w:rsid w:val="00352A9E"/>
    <w:rsid w:val="003674AC"/>
    <w:rsid w:val="0038010D"/>
    <w:rsid w:val="00381604"/>
    <w:rsid w:val="00387370"/>
    <w:rsid w:val="003A06E0"/>
    <w:rsid w:val="003C10E9"/>
    <w:rsid w:val="003D1085"/>
    <w:rsid w:val="003D41D2"/>
    <w:rsid w:val="003D509E"/>
    <w:rsid w:val="003D6EC3"/>
    <w:rsid w:val="003E60ED"/>
    <w:rsid w:val="003F3834"/>
    <w:rsid w:val="003F68D4"/>
    <w:rsid w:val="00413D42"/>
    <w:rsid w:val="00417C17"/>
    <w:rsid w:val="004227E4"/>
    <w:rsid w:val="00434608"/>
    <w:rsid w:val="0043463C"/>
    <w:rsid w:val="00442F3A"/>
    <w:rsid w:val="004442A0"/>
    <w:rsid w:val="00472E41"/>
    <w:rsid w:val="00482CF1"/>
    <w:rsid w:val="00483C00"/>
    <w:rsid w:val="004A19D8"/>
    <w:rsid w:val="004A208D"/>
    <w:rsid w:val="004B3D74"/>
    <w:rsid w:val="004C1153"/>
    <w:rsid w:val="004C3315"/>
    <w:rsid w:val="004D0DF3"/>
    <w:rsid w:val="004E262C"/>
    <w:rsid w:val="004E5238"/>
    <w:rsid w:val="004E5C5A"/>
    <w:rsid w:val="004E7005"/>
    <w:rsid w:val="004E72F0"/>
    <w:rsid w:val="005174BD"/>
    <w:rsid w:val="0053000F"/>
    <w:rsid w:val="005422FA"/>
    <w:rsid w:val="005453A9"/>
    <w:rsid w:val="00546548"/>
    <w:rsid w:val="00555017"/>
    <w:rsid w:val="005916CE"/>
    <w:rsid w:val="00595D8F"/>
    <w:rsid w:val="005A7EDA"/>
    <w:rsid w:val="0062394B"/>
    <w:rsid w:val="006579D4"/>
    <w:rsid w:val="0066556E"/>
    <w:rsid w:val="00672854"/>
    <w:rsid w:val="00683897"/>
    <w:rsid w:val="00686960"/>
    <w:rsid w:val="00693851"/>
    <w:rsid w:val="006A48BF"/>
    <w:rsid w:val="006D192D"/>
    <w:rsid w:val="006D337C"/>
    <w:rsid w:val="006D4D5B"/>
    <w:rsid w:val="006F4393"/>
    <w:rsid w:val="006F5492"/>
    <w:rsid w:val="00701F5F"/>
    <w:rsid w:val="00705CF9"/>
    <w:rsid w:val="007379AE"/>
    <w:rsid w:val="00737AEE"/>
    <w:rsid w:val="00750279"/>
    <w:rsid w:val="00750F05"/>
    <w:rsid w:val="00750F24"/>
    <w:rsid w:val="0078368A"/>
    <w:rsid w:val="00785323"/>
    <w:rsid w:val="007B6F53"/>
    <w:rsid w:val="007C2D30"/>
    <w:rsid w:val="007C3373"/>
    <w:rsid w:val="007F4C55"/>
    <w:rsid w:val="00826689"/>
    <w:rsid w:val="00837CA9"/>
    <w:rsid w:val="008454E9"/>
    <w:rsid w:val="00845577"/>
    <w:rsid w:val="008729BE"/>
    <w:rsid w:val="00884F42"/>
    <w:rsid w:val="00895474"/>
    <w:rsid w:val="00896F3F"/>
    <w:rsid w:val="008B0890"/>
    <w:rsid w:val="008D3EF2"/>
    <w:rsid w:val="008D7FB1"/>
    <w:rsid w:val="008E0B05"/>
    <w:rsid w:val="008E7324"/>
    <w:rsid w:val="00930506"/>
    <w:rsid w:val="00932971"/>
    <w:rsid w:val="00952ECE"/>
    <w:rsid w:val="00952FE0"/>
    <w:rsid w:val="009663EA"/>
    <w:rsid w:val="00967BFA"/>
    <w:rsid w:val="00977D40"/>
    <w:rsid w:val="00992A07"/>
    <w:rsid w:val="00995797"/>
    <w:rsid w:val="009A5A7D"/>
    <w:rsid w:val="009A7B3D"/>
    <w:rsid w:val="009B00EB"/>
    <w:rsid w:val="009B17F1"/>
    <w:rsid w:val="009C3ECE"/>
    <w:rsid w:val="009C4C0C"/>
    <w:rsid w:val="009C4C6D"/>
    <w:rsid w:val="00A12943"/>
    <w:rsid w:val="00A221DF"/>
    <w:rsid w:val="00A22223"/>
    <w:rsid w:val="00A84F8A"/>
    <w:rsid w:val="00A8669B"/>
    <w:rsid w:val="00A91652"/>
    <w:rsid w:val="00AA41B2"/>
    <w:rsid w:val="00AA61C2"/>
    <w:rsid w:val="00AA62B5"/>
    <w:rsid w:val="00AB0607"/>
    <w:rsid w:val="00AC0B19"/>
    <w:rsid w:val="00AE2A99"/>
    <w:rsid w:val="00AE7718"/>
    <w:rsid w:val="00AF373E"/>
    <w:rsid w:val="00AF40CF"/>
    <w:rsid w:val="00AF64D7"/>
    <w:rsid w:val="00B10FAD"/>
    <w:rsid w:val="00B40767"/>
    <w:rsid w:val="00B84A98"/>
    <w:rsid w:val="00BE4893"/>
    <w:rsid w:val="00C00E7E"/>
    <w:rsid w:val="00C07E12"/>
    <w:rsid w:val="00C12345"/>
    <w:rsid w:val="00C34182"/>
    <w:rsid w:val="00C35D03"/>
    <w:rsid w:val="00C52DB6"/>
    <w:rsid w:val="00C66CAD"/>
    <w:rsid w:val="00C835CA"/>
    <w:rsid w:val="00C95D26"/>
    <w:rsid w:val="00CA4F34"/>
    <w:rsid w:val="00CB3F78"/>
    <w:rsid w:val="00CD4DEA"/>
    <w:rsid w:val="00CE433E"/>
    <w:rsid w:val="00D101BE"/>
    <w:rsid w:val="00D1165A"/>
    <w:rsid w:val="00D1773C"/>
    <w:rsid w:val="00D219DB"/>
    <w:rsid w:val="00D25A53"/>
    <w:rsid w:val="00D334CC"/>
    <w:rsid w:val="00D36AF9"/>
    <w:rsid w:val="00D41186"/>
    <w:rsid w:val="00D41F68"/>
    <w:rsid w:val="00D43D47"/>
    <w:rsid w:val="00D53BBC"/>
    <w:rsid w:val="00D77C2C"/>
    <w:rsid w:val="00D82490"/>
    <w:rsid w:val="00D9483F"/>
    <w:rsid w:val="00DB1589"/>
    <w:rsid w:val="00DB7C9B"/>
    <w:rsid w:val="00DC67D0"/>
    <w:rsid w:val="00DC7BA0"/>
    <w:rsid w:val="00DD0763"/>
    <w:rsid w:val="00DD34CA"/>
    <w:rsid w:val="00DF0DEC"/>
    <w:rsid w:val="00DF4F6A"/>
    <w:rsid w:val="00E032E9"/>
    <w:rsid w:val="00E150BD"/>
    <w:rsid w:val="00E16BF7"/>
    <w:rsid w:val="00E174AA"/>
    <w:rsid w:val="00E26775"/>
    <w:rsid w:val="00E313B4"/>
    <w:rsid w:val="00E36CA7"/>
    <w:rsid w:val="00E63ABD"/>
    <w:rsid w:val="00E8573E"/>
    <w:rsid w:val="00E87F60"/>
    <w:rsid w:val="00E96E20"/>
    <w:rsid w:val="00ED21D0"/>
    <w:rsid w:val="00F12752"/>
    <w:rsid w:val="00F327FA"/>
    <w:rsid w:val="00F40E33"/>
    <w:rsid w:val="00F60AC0"/>
    <w:rsid w:val="00F66905"/>
    <w:rsid w:val="00F74373"/>
    <w:rsid w:val="00F92040"/>
    <w:rsid w:val="00FA269B"/>
    <w:rsid w:val="00FB217F"/>
    <w:rsid w:val="00FB485A"/>
    <w:rsid w:val="00FC101F"/>
    <w:rsid w:val="00FC7265"/>
    <w:rsid w:val="00FD2E1A"/>
    <w:rsid w:val="00FD62AB"/>
    <w:rsid w:val="00FF664A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82DC2AF"/>
  <w15:docId w15:val="{CBE1C37A-92A8-48E5-9D07-403094DB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8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rsid w:val="00472E41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472E41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4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02EFD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2EFD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02EFD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2EFD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737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sid w:val="004C1153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4C115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4C1153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4C1153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4C1153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4C1153"/>
    <w:rPr>
      <w:rFonts w:ascii="Times New Roman" w:hAnsi="Times New Roman" w:cs="Times New Roman"/>
      <w:sz w:val="24"/>
    </w:rPr>
  </w:style>
  <w:style w:type="paragraph" w:styleId="FootnoteText">
    <w:name w:val="footnote text"/>
    <w:aliases w:val="Schriftart: 9 pt,Schriftart: 10 pt,Schriftart: 8 pt,WB-Fußnotentext,Footnote text,Footnote Text Char Char Char Char,Footnote Text Char Char,Footnote Text Char Char Char Char Char,Footnote Text Char Char Char Char Char Char Char Char, Char"/>
    <w:basedOn w:val="Normal"/>
    <w:link w:val="FootnoteTextChar"/>
    <w:unhideWhenUsed/>
    <w:qFormat/>
    <w:rsid w:val="002B37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ootnote text Char,Footnote Text Char Char Char Char Char1,Footnote Text Char Char Char,Footnote Text Char Char Char Char Char Char, Char Char"/>
    <w:basedOn w:val="DefaultParagraphFont"/>
    <w:link w:val="FootnoteText"/>
    <w:qFormat/>
    <w:rsid w:val="002B378F"/>
    <w:rPr>
      <w:sz w:val="20"/>
      <w:szCs w:val="20"/>
    </w:rPr>
  </w:style>
  <w:style w:type="character" w:styleId="FootnoteReference">
    <w:name w:val="footnote reference"/>
    <w:aliases w:val="Footnote symbol,Voetnootverwijzing,Times 10 Point,Exposant 3 Point,Footnote,footnote ref,FR,Fußnotenzeichen diss neu, Exposant 3 Point,Odwołanie przypisu,Appel note de bas de p,Footnote Reference Number,Footnote Reference Superscript"/>
    <w:basedOn w:val="DefaultParagraphFont"/>
    <w:link w:val="BVIfnrCarCarCarCarCharCharCharChar"/>
    <w:uiPriority w:val="99"/>
    <w:unhideWhenUsed/>
    <w:qFormat/>
    <w:rsid w:val="002B378F"/>
    <w:rPr>
      <w:vertAlign w:val="superscript"/>
    </w:rPr>
  </w:style>
  <w:style w:type="character" w:styleId="Strong">
    <w:name w:val="Strong"/>
    <w:basedOn w:val="DefaultParagraphFont"/>
    <w:uiPriority w:val="22"/>
    <w:qFormat/>
    <w:rsid w:val="002B378F"/>
    <w:rPr>
      <w:b/>
      <w:bCs/>
    </w:rPr>
  </w:style>
  <w:style w:type="paragraph" w:customStyle="1" w:styleId="Declassification">
    <w:name w:val="Declassification"/>
    <w:basedOn w:val="Normal"/>
    <w:next w:val="Normal"/>
    <w:rsid w:val="00002EFD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rsid w:val="00002EFD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rsid w:val="00002EF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rsid w:val="00002EFD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rsid w:val="00002EF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rsid w:val="00AF64D7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rsid w:val="00AF64D7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rsid w:val="00AF64D7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rsid w:val="00AF64D7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7C2D3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BVIfnrCarCarCarCarCharCharCharChar">
    <w:name w:val="BVI fnr Car Car Car Car Char Char Char Char"/>
    <w:basedOn w:val="Normal"/>
    <w:link w:val="FootnoteReference"/>
    <w:uiPriority w:val="99"/>
    <w:rsid w:val="002E47EA"/>
    <w:pPr>
      <w:spacing w:before="200" w:after="160"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3FE6-AD04-48BB-AF92-B3F2B682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EC CoDe</cp:lastModifiedBy>
  <cp:revision>14</cp:revision>
  <cp:lastPrinted>2017-03-24T12:47:00Z</cp:lastPrinted>
  <dcterms:created xsi:type="dcterms:W3CDTF">2024-11-07T10:09:00Z</dcterms:created>
  <dcterms:modified xsi:type="dcterms:W3CDTF">2025-06-26T20:05:00Z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9.1, Build 20240808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  <property fmtid="{D5CDD505-2E9C-101B-9397-08002B2CF9AE}" pid="12" name="MSIP_Label_6bd9ddd1-4d20-43f6-abfa-fc3c07406f94_Enabled">
    <vt:lpwstr>true</vt:lpwstr>
  </property>
  <property fmtid="{D5CDD505-2E9C-101B-9397-08002B2CF9AE}" pid="13" name="MSIP_Label_6bd9ddd1-4d20-43f6-abfa-fc3c07406f94_SetDate">
    <vt:lpwstr>2023-04-12T12:36:14Z</vt:lpwstr>
  </property>
  <property fmtid="{D5CDD505-2E9C-101B-9397-08002B2CF9AE}" pid="14" name="MSIP_Label_6bd9ddd1-4d20-43f6-abfa-fc3c07406f94_Method">
    <vt:lpwstr>Standard</vt:lpwstr>
  </property>
  <property fmtid="{D5CDD505-2E9C-101B-9397-08002B2CF9AE}" pid="15" name="MSIP_Label_6bd9ddd1-4d20-43f6-abfa-fc3c07406f94_Name">
    <vt:lpwstr>Commission Use</vt:lpwstr>
  </property>
  <property fmtid="{D5CDD505-2E9C-101B-9397-08002B2CF9AE}" pid="16" name="MSIP_Label_6bd9ddd1-4d20-43f6-abfa-fc3c07406f94_SiteId">
    <vt:lpwstr>b24c8b06-522c-46fe-9080-70926f8dddb1</vt:lpwstr>
  </property>
  <property fmtid="{D5CDD505-2E9C-101B-9397-08002B2CF9AE}" pid="17" name="MSIP_Label_6bd9ddd1-4d20-43f6-abfa-fc3c07406f94_ActionId">
    <vt:lpwstr>23ea6509-fb57-4998-b4b4-83bc6f966e46</vt:lpwstr>
  </property>
  <property fmtid="{D5CDD505-2E9C-101B-9397-08002B2CF9AE}" pid="18" name="MSIP_Label_6bd9ddd1-4d20-43f6-abfa-fc3c07406f94_ContentBits">
    <vt:lpwstr>0</vt:lpwstr>
  </property>
</Properties>
</file>