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CC8E0" w14:textId="223C7F95" w:rsidR="000077AD" w:rsidRPr="007E1485" w:rsidRDefault="007F7443" w:rsidP="007F7443">
      <w:pPr>
        <w:pStyle w:val="Pagedecouverture"/>
        <w:rPr>
          <w:noProof/>
        </w:rPr>
      </w:pPr>
      <w:bookmarkStart w:id="0" w:name="_Hlk133402189"/>
      <w:bookmarkStart w:id="1" w:name="LW_BM_COVERPAGE"/>
      <w:r>
        <w:rPr>
          <w:noProof/>
        </w:rPr>
        <w:pict w14:anchorId="498D3D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4029183C-C0F3-4BC8-B54C-4B07293C4563" style="width:455.25pt;height:351.75pt">
            <v:imagedata r:id="rId11" o:title=""/>
          </v:shape>
        </w:pict>
      </w:r>
    </w:p>
    <w:bookmarkEnd w:id="1"/>
    <w:p w14:paraId="51519115" w14:textId="77777777" w:rsidR="000077AD" w:rsidRPr="00FB72F4" w:rsidRDefault="000077AD" w:rsidP="000077AD">
      <w:pPr>
        <w:rPr>
          <w:noProof/>
        </w:rPr>
        <w:sectPr w:rsidR="000077AD" w:rsidRPr="00FB72F4" w:rsidSect="007F744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14:paraId="1DB8790E" w14:textId="4908BDD1" w:rsidR="005A7026" w:rsidRPr="005A7026" w:rsidRDefault="005A7026" w:rsidP="005A7026">
      <w:pPr>
        <w:pStyle w:val="Typedudocument"/>
        <w:rPr>
          <w:noProof/>
        </w:rPr>
      </w:pPr>
      <w:bookmarkStart w:id="2" w:name="_GoBack"/>
      <w:bookmarkEnd w:id="2"/>
      <w:r w:rsidRPr="005A7026">
        <w:rPr>
          <w:noProof/>
        </w:rPr>
        <w:lastRenderedPageBreak/>
        <w:t>REPORT FROM THE COMMISSION TO THE EUROPEAN PARLIAMENT AND THE COUNCIL</w:t>
      </w:r>
    </w:p>
    <w:p w14:paraId="74F414AE" w14:textId="3401B7DD" w:rsidR="005A7026" w:rsidRPr="005A7026" w:rsidRDefault="005A7026" w:rsidP="005A7026">
      <w:pPr>
        <w:pStyle w:val="Titreobjet"/>
        <w:rPr>
          <w:noProof/>
        </w:rPr>
      </w:pPr>
      <w:bookmarkStart w:id="3" w:name="_Hlk199254745"/>
      <w:r w:rsidRPr="005A7026">
        <w:rPr>
          <w:noProof/>
        </w:rPr>
        <w:t>Annual Report 2024: Nineteenth annual report on the implementation of the EU assistance under Council Regulation (EC) No 389/2006 of 27 February 2006 establishing an instrument of financial support for encouraging the economic development of the Turkish Cypriot community</w:t>
      </w:r>
      <w:bookmarkEnd w:id="3"/>
    </w:p>
    <w:p w14:paraId="1DC762F3" w14:textId="3F59D95A" w:rsidR="00B06FD6" w:rsidRPr="00FB72F4" w:rsidRDefault="00B06FD6" w:rsidP="00B06FD6">
      <w:pPr>
        <w:rPr>
          <w:noProof/>
          <w:sz w:val="16"/>
        </w:rPr>
      </w:pPr>
    </w:p>
    <w:p w14:paraId="22357C5D" w14:textId="78E86A66" w:rsidR="006C615B" w:rsidRPr="00FB72F4" w:rsidRDefault="00F42B39" w:rsidP="00A96741">
      <w:pPr>
        <w:keepNext/>
        <w:keepLines/>
        <w:numPr>
          <w:ilvl w:val="0"/>
          <w:numId w:val="2"/>
        </w:numPr>
        <w:spacing w:after="120" w:line="240" w:lineRule="auto"/>
        <w:jc w:val="both"/>
        <w:outlineLvl w:val="0"/>
        <w:rPr>
          <w:rFonts w:ascii="Times New Roman" w:hAnsi="Times New Roman"/>
          <w:b/>
          <w:noProof/>
          <w:sz w:val="24"/>
        </w:rPr>
      </w:pPr>
      <w:r w:rsidRPr="00FB72F4">
        <w:rPr>
          <w:rFonts w:ascii="Times New Roman" w:hAnsi="Times New Roman"/>
          <w:b/>
          <w:smallCaps/>
          <w:noProof/>
          <w:sz w:val="24"/>
        </w:rPr>
        <w:t>Introduction</w:t>
      </w:r>
    </w:p>
    <w:p w14:paraId="78F0C390" w14:textId="5848DB7F" w:rsidR="006C615B" w:rsidRPr="00FB72F4" w:rsidRDefault="00F42B39" w:rsidP="00852E89">
      <w:pPr>
        <w:keepNext/>
        <w:spacing w:before="120" w:after="12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>Council Regulation (EC) No</w:t>
      </w:r>
      <w:r w:rsidR="00924858" w:rsidRPr="00FB72F4">
        <w:rPr>
          <w:rFonts w:ascii="Times New Roman,Calibri" w:hAnsi="Times New Roman,Calibri" w:hint="eastAsia"/>
          <w:noProof/>
          <w:sz w:val="24"/>
        </w:rPr>
        <w:t> </w:t>
      </w:r>
      <w:r w:rsidRPr="00FB72F4">
        <w:rPr>
          <w:rFonts w:ascii="Times New Roman,Calibri" w:hAnsi="Times New Roman,Calibri"/>
          <w:noProof/>
          <w:sz w:val="24"/>
        </w:rPr>
        <w:t>389/2006</w:t>
      </w:r>
      <w:r w:rsidRPr="00FB72F4">
        <w:rPr>
          <w:rStyle w:val="FootnoteReference"/>
          <w:noProof/>
        </w:rPr>
        <w:footnoteReference w:id="2"/>
      </w:r>
      <w:r w:rsidRPr="00FB72F4">
        <w:rPr>
          <w:rFonts w:ascii="Times New Roman,Calibri" w:hAnsi="Times New Roman,Calibri"/>
          <w:noProof/>
          <w:sz w:val="24"/>
        </w:rPr>
        <w:t xml:space="preserve"> (the 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</w:t>
      </w:r>
      <w:r w:rsidR="00036827" w:rsidRPr="00FB72F4">
        <w:rPr>
          <w:rFonts w:ascii="Times New Roman,Calibri" w:hAnsi="Times New Roman,Calibri"/>
          <w:noProof/>
          <w:sz w:val="24"/>
        </w:rPr>
        <w:t xml:space="preserve">Aid </w:t>
      </w:r>
      <w:r w:rsidR="00036827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Regulation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)</w:t>
      </w:r>
      <w:r w:rsidRPr="00FB72F4">
        <w:rPr>
          <w:rFonts w:ascii="Times New Roman,Calibri" w:hAnsi="Times New Roman,Calibri"/>
          <w:noProof/>
          <w:sz w:val="24"/>
        </w:rPr>
        <w:t xml:space="preserve"> is the basis for </w:t>
      </w:r>
      <w:r w:rsidR="007001B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providing</w:t>
      </w:r>
      <w:r w:rsidR="007001B9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assistance to the Turkish Cypriot community</w:t>
      </w:r>
      <w:r w:rsidR="002536E3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 xml:space="preserve">and requires annual reporting to the </w:t>
      </w:r>
      <w:r w:rsidR="00AA79EC" w:rsidRPr="00FB72F4">
        <w:rPr>
          <w:rFonts w:ascii="Times New Roman,Calibri" w:hAnsi="Times New Roman,Calibri"/>
          <w:noProof/>
          <w:sz w:val="24"/>
        </w:rPr>
        <w:t xml:space="preserve">European Parliament </w:t>
      </w:r>
      <w:r w:rsidRPr="00FB72F4">
        <w:rPr>
          <w:rFonts w:ascii="Times New Roman,Calibri" w:hAnsi="Times New Roman,Calibri"/>
          <w:noProof/>
          <w:sz w:val="24"/>
        </w:rPr>
        <w:t>and the</w:t>
      </w:r>
      <w:r w:rsidR="00AA79EC" w:rsidRPr="00FB72F4">
        <w:rPr>
          <w:rFonts w:ascii="Times New Roman,Calibri" w:hAnsi="Times New Roman,Calibri"/>
          <w:noProof/>
          <w:sz w:val="24"/>
        </w:rPr>
        <w:t xml:space="preserve"> Council</w:t>
      </w:r>
      <w:r w:rsidRPr="00FB72F4">
        <w:rPr>
          <w:rFonts w:ascii="Times New Roman,Calibri" w:hAnsi="Times New Roman,Calibri"/>
          <w:noProof/>
          <w:sz w:val="24"/>
        </w:rPr>
        <w:t>.</w:t>
      </w:r>
      <w:r w:rsidR="00521F40" w:rsidRPr="00FB72F4">
        <w:rPr>
          <w:rFonts w:ascii="Times New Roman,Calibri" w:hAnsi="Times New Roman,Calibri"/>
          <w:noProof/>
          <w:sz w:val="24"/>
        </w:rPr>
        <w:t xml:space="preserve"> The </w:t>
      </w:r>
      <w:r w:rsidR="007001B9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aid programme</w:t>
      </w:r>
      <w:r w:rsidR="007001B9" w:rsidRPr="00FB72F4">
        <w:rPr>
          <w:rFonts w:ascii="Times New Roman,Calibri" w:hAnsi="Times New Roman,Calibri"/>
          <w:noProof/>
          <w:sz w:val="24"/>
        </w:rPr>
        <w:t xml:space="preserve"> </w:t>
      </w:r>
      <w:r w:rsidR="00521F40" w:rsidRPr="00FB72F4">
        <w:rPr>
          <w:rFonts w:ascii="Times New Roman,Calibri" w:hAnsi="Times New Roman,Calibri"/>
          <w:noProof/>
          <w:sz w:val="24"/>
        </w:rPr>
        <w:t xml:space="preserve">for the Turkish Cypriot community aims to facilitate the reunification of Cyprus by encouraging the economic development of </w:t>
      </w:r>
      <w:r w:rsidR="007001B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this </w:t>
      </w:r>
      <w:r w:rsidR="007001B9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community</w:t>
      </w:r>
      <w:r w:rsidR="00521F40" w:rsidRPr="00FB72F4">
        <w:rPr>
          <w:rFonts w:ascii="Times New Roman,Calibri" w:hAnsi="Times New Roman,Calibri"/>
          <w:noProof/>
          <w:sz w:val="24"/>
        </w:rPr>
        <w:t xml:space="preserve">, with a particular emphasis on the economic integration of the island, improving contacts and building bridges between the two communities and with the EU, and preparation for </w:t>
      </w:r>
      <w:r w:rsidR="00951DE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implementing</w:t>
      </w:r>
      <w:r w:rsidR="00951DE9" w:rsidRPr="00FB72F4">
        <w:rPr>
          <w:rFonts w:ascii="Times New Roman,Calibri" w:hAnsi="Times New Roman,Calibri"/>
          <w:noProof/>
          <w:sz w:val="24"/>
        </w:rPr>
        <w:t xml:space="preserve"> </w:t>
      </w:r>
      <w:r w:rsidR="00521F40" w:rsidRPr="00FB72F4">
        <w:rPr>
          <w:rFonts w:ascii="Times New Roman,Calibri" w:hAnsi="Times New Roman,Calibri"/>
          <w:noProof/>
          <w:sz w:val="24"/>
        </w:rPr>
        <w:t xml:space="preserve">the EU </w:t>
      </w:r>
      <w:r w:rsidR="00521F40" w:rsidRPr="00FB72F4">
        <w:rPr>
          <w:rFonts w:ascii="Times New Roman,Calibri" w:hAnsi="Times New Roman,Calibri"/>
          <w:i/>
          <w:noProof/>
          <w:sz w:val="24"/>
        </w:rPr>
        <w:t>acquis</w:t>
      </w:r>
      <w:r w:rsidR="00DB2BDC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,</w:t>
      </w:r>
      <w:r w:rsidR="00DB2BDC" w:rsidRPr="001C341E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following a solution to the Cyprus problem</w:t>
      </w:r>
      <w:r w:rsidR="00521F40" w:rsidRPr="00FB72F4">
        <w:rPr>
          <w:rFonts w:ascii="Times New Roman,Calibri" w:hAnsi="Times New Roman,Calibri"/>
          <w:noProof/>
          <w:sz w:val="24"/>
        </w:rPr>
        <w:t>.</w:t>
      </w:r>
    </w:p>
    <w:p w14:paraId="51D1C6BA" w14:textId="77777777" w:rsidR="006C615B" w:rsidRPr="00FB72F4" w:rsidRDefault="00F42B39" w:rsidP="00A96741">
      <w:pPr>
        <w:keepNext/>
        <w:keepLines/>
        <w:numPr>
          <w:ilvl w:val="0"/>
          <w:numId w:val="2"/>
        </w:numPr>
        <w:spacing w:after="120" w:line="240" w:lineRule="auto"/>
        <w:jc w:val="both"/>
        <w:outlineLvl w:val="0"/>
        <w:rPr>
          <w:rFonts w:ascii="Times New Roman" w:hAnsi="Times New Roman"/>
          <w:b/>
          <w:noProof/>
          <w:sz w:val="24"/>
        </w:rPr>
      </w:pPr>
      <w:r w:rsidRPr="00FB72F4">
        <w:rPr>
          <w:rFonts w:ascii="Times New Roman" w:hAnsi="Times New Roman"/>
          <w:b/>
          <w:smallCaps/>
          <w:noProof/>
          <w:sz w:val="24"/>
        </w:rPr>
        <w:t>Programming of the assistance</w:t>
      </w:r>
    </w:p>
    <w:p w14:paraId="2CC12222" w14:textId="69F53184" w:rsidR="00DD365D" w:rsidRPr="00FB72F4" w:rsidRDefault="00F42B39" w:rsidP="00DD365D">
      <w:pPr>
        <w:keepNext/>
        <w:spacing w:before="120" w:after="120" w:line="240" w:lineRule="auto"/>
        <w:ind w:left="851"/>
        <w:jc w:val="both"/>
        <w:rPr>
          <w:rFonts w:ascii="Times New Roman" w:hAnsi="Times New Roman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Between 2006 and the end of </w:t>
      </w:r>
      <w:r w:rsidR="001F4BE7" w:rsidRPr="00FB72F4">
        <w:rPr>
          <w:rFonts w:ascii="Times New Roman,Calibri" w:hAnsi="Times New Roman,Calibri"/>
          <w:noProof/>
          <w:sz w:val="24"/>
        </w:rPr>
        <w:t>20</w:t>
      </w:r>
      <w:r w:rsidR="00114EEB" w:rsidRPr="00FB72F4">
        <w:rPr>
          <w:rFonts w:ascii="Times New Roman,Calibri" w:hAnsi="Times New Roman,Calibri"/>
          <w:noProof/>
          <w:sz w:val="24"/>
        </w:rPr>
        <w:t>2</w:t>
      </w:r>
      <w:r w:rsidR="002F37D6" w:rsidRPr="00FB72F4">
        <w:rPr>
          <w:rFonts w:ascii="Times New Roman,Calibri" w:hAnsi="Times New Roman,Calibri"/>
          <w:noProof/>
          <w:sz w:val="24"/>
        </w:rPr>
        <w:t>4</w:t>
      </w:r>
      <w:r w:rsidRPr="00FB72F4">
        <w:rPr>
          <w:rFonts w:ascii="Times New Roman,Calibri" w:hAnsi="Times New Roman,Calibri"/>
          <w:noProof/>
          <w:sz w:val="24"/>
        </w:rPr>
        <w:t xml:space="preserve">, </w:t>
      </w:r>
      <w:r w:rsidR="000A5319" w:rsidRPr="00FB72F4">
        <w:rPr>
          <w:rFonts w:ascii="Times New Roman,Calibri" w:hAnsi="Times New Roman,Calibri"/>
          <w:noProof/>
          <w:sz w:val="24"/>
        </w:rPr>
        <w:t>EUR</w:t>
      </w:r>
      <w:r w:rsidR="000A5319" w:rsidRPr="00FB72F4">
        <w:rPr>
          <w:rFonts w:ascii="Times New Roman,Calibri" w:hAnsi="Times New Roman,Calibri" w:hint="eastAsia"/>
          <w:noProof/>
          <w:sz w:val="24"/>
        </w:rPr>
        <w:t> </w:t>
      </w:r>
      <w:r w:rsidR="000A5319" w:rsidRPr="00FB72F4">
        <w:rPr>
          <w:rFonts w:ascii="Times New Roman,Calibri" w:hAnsi="Times New Roman,Calibri"/>
          <w:noProof/>
          <w:sz w:val="24"/>
        </w:rPr>
        <w:t>726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 </w:t>
      </w:r>
      <w:r w:rsidR="000A5319" w:rsidRPr="00FB72F4">
        <w:rPr>
          <w:rFonts w:ascii="Times New Roman,Calibri" w:hAnsi="Times New Roman,Calibri"/>
          <w:noProof/>
          <w:sz w:val="24"/>
        </w:rPr>
        <w:t>949</w:t>
      </w:r>
      <w:r w:rsidR="004911A2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 </w:t>
      </w:r>
      <w:r w:rsidR="000A5319" w:rsidRPr="00FB72F4">
        <w:rPr>
          <w:rFonts w:ascii="Times New Roman,Calibri" w:hAnsi="Times New Roman,Calibri"/>
          <w:noProof/>
          <w:sz w:val="24"/>
        </w:rPr>
        <w:t>162.93</w:t>
      </w:r>
      <w:r w:rsidRPr="00FB72F4">
        <w:rPr>
          <w:rFonts w:ascii="Times New Roman,Calibri" w:hAnsi="Times New Roman,Calibri"/>
          <w:noProof/>
          <w:sz w:val="24"/>
        </w:rPr>
        <w:t xml:space="preserve"> </w:t>
      </w:r>
      <w:r w:rsidR="009D7611" w:rsidRPr="00FB72F4">
        <w:rPr>
          <w:rFonts w:ascii="Times New Roman,Calibri" w:hAnsi="Times New Roman,Calibri"/>
          <w:noProof/>
          <w:sz w:val="24"/>
        </w:rPr>
        <w:t xml:space="preserve">was </w:t>
      </w:r>
      <w:r w:rsidRPr="00FB72F4">
        <w:rPr>
          <w:rFonts w:ascii="Times New Roman,Calibri" w:hAnsi="Times New Roman,Calibri"/>
          <w:noProof/>
          <w:sz w:val="24"/>
        </w:rPr>
        <w:t xml:space="preserve">programmed for operations under the Aid Regulation. The amount committed in </w:t>
      </w:r>
      <w:r w:rsidR="00F11A9E" w:rsidRPr="00FB72F4">
        <w:rPr>
          <w:rFonts w:ascii="Times New Roman,Calibri" w:hAnsi="Times New Roman,Calibri"/>
          <w:noProof/>
          <w:sz w:val="24"/>
        </w:rPr>
        <w:t xml:space="preserve">September </w:t>
      </w:r>
      <w:r w:rsidR="00114EEB" w:rsidRPr="00FB72F4">
        <w:rPr>
          <w:rFonts w:ascii="Times New Roman,Calibri" w:hAnsi="Times New Roman,Calibri"/>
          <w:noProof/>
          <w:sz w:val="24"/>
        </w:rPr>
        <w:t>202</w:t>
      </w:r>
      <w:r w:rsidR="002F37D6" w:rsidRPr="00FB72F4">
        <w:rPr>
          <w:rFonts w:ascii="Times New Roman,Calibri" w:hAnsi="Times New Roman,Calibri"/>
          <w:noProof/>
          <w:sz w:val="24"/>
        </w:rPr>
        <w:t>4</w:t>
      </w:r>
      <w:r w:rsidR="00114EEB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 xml:space="preserve">for the </w:t>
      </w:r>
      <w:r w:rsidR="001F4BE7" w:rsidRPr="00FB72F4">
        <w:rPr>
          <w:rFonts w:ascii="Times New Roman,Calibri" w:hAnsi="Times New Roman,Calibri"/>
          <w:noProof/>
          <w:sz w:val="24"/>
        </w:rPr>
        <w:t>202</w:t>
      </w:r>
      <w:r w:rsidR="002F37D6" w:rsidRPr="00FB72F4">
        <w:rPr>
          <w:rFonts w:ascii="Times New Roman,Calibri" w:hAnsi="Times New Roman,Calibri"/>
          <w:noProof/>
          <w:sz w:val="24"/>
        </w:rPr>
        <w:t>4</w:t>
      </w:r>
      <w:r w:rsidRPr="00FB72F4">
        <w:rPr>
          <w:rFonts w:ascii="Times New Roman,Calibri" w:hAnsi="Times New Roman,Calibri"/>
          <w:noProof/>
          <w:sz w:val="24"/>
        </w:rPr>
        <w:t xml:space="preserve"> annual action programme was </w:t>
      </w:r>
      <w:r w:rsidRPr="00E51B2F">
        <w:rPr>
          <w:rFonts w:ascii="Times New Roman,Calibri" w:hAnsi="Times New Roman,Calibri"/>
          <w:noProof/>
          <w:sz w:val="24"/>
        </w:rPr>
        <w:t>EUR</w:t>
      </w:r>
      <w:r w:rsidR="00924858" w:rsidRPr="00E51B2F">
        <w:rPr>
          <w:rFonts w:ascii="Times New Roman,Calibri" w:hAnsi="Times New Roman,Calibri" w:hint="eastAsia"/>
          <w:noProof/>
          <w:sz w:val="24"/>
        </w:rPr>
        <w:t> </w:t>
      </w:r>
      <w:r w:rsidR="00F11A9E" w:rsidRPr="00E51B2F">
        <w:rPr>
          <w:rFonts w:ascii="Times New Roman,Calibri" w:hAnsi="Times New Roman,Calibri"/>
          <w:noProof/>
          <w:sz w:val="24"/>
        </w:rPr>
        <w:t>39</w:t>
      </w:r>
      <w:r w:rsidR="007E1485" w:rsidRPr="00E51B2F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 </w:t>
      </w:r>
      <w:r w:rsidR="00F11A9E" w:rsidRPr="00E51B2F">
        <w:rPr>
          <w:rFonts w:ascii="Times New Roman,Calibri" w:hAnsi="Times New Roman,Calibri"/>
          <w:noProof/>
          <w:sz w:val="24"/>
        </w:rPr>
        <w:t>471</w:t>
      </w:r>
      <w:r w:rsidR="004911A2" w:rsidRPr="00E51B2F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 </w:t>
      </w:r>
      <w:r w:rsidR="00F11A9E" w:rsidRPr="00E51B2F">
        <w:rPr>
          <w:rFonts w:ascii="Times New Roman,Calibri" w:hAnsi="Times New Roman,Calibri"/>
          <w:noProof/>
          <w:sz w:val="24"/>
        </w:rPr>
        <w:t>756.30</w:t>
      </w:r>
      <w:r w:rsidRPr="00FB72F4">
        <w:rPr>
          <w:rStyle w:val="FootnoteReference"/>
          <w:noProof/>
        </w:rPr>
        <w:footnoteReference w:id="3"/>
      </w:r>
      <w:r w:rsidRPr="00FB72F4">
        <w:rPr>
          <w:rFonts w:ascii="Times New Roman,Calibri" w:hAnsi="Times New Roman,Calibri"/>
          <w:noProof/>
          <w:sz w:val="24"/>
        </w:rPr>
        <w:t xml:space="preserve">. The </w:t>
      </w:r>
      <w:r w:rsidR="00951A20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2021-2027 </w:t>
      </w:r>
      <w:r w:rsidR="009D7611" w:rsidRPr="00FB72F4">
        <w:rPr>
          <w:rFonts w:ascii="Times New Roman,Calibri" w:hAnsi="Times New Roman,Calibri"/>
          <w:noProof/>
          <w:sz w:val="24"/>
        </w:rPr>
        <w:t>m</w:t>
      </w:r>
      <w:r w:rsidRPr="00FB72F4">
        <w:rPr>
          <w:rFonts w:ascii="Times New Roman,Calibri" w:hAnsi="Times New Roman,Calibri"/>
          <w:noProof/>
          <w:sz w:val="24"/>
        </w:rPr>
        <w:t xml:space="preserve">ultiannual </w:t>
      </w:r>
      <w:r w:rsidR="009D7611" w:rsidRPr="00FB72F4">
        <w:rPr>
          <w:rFonts w:ascii="Times New Roman,Calibri" w:hAnsi="Times New Roman,Calibri"/>
          <w:noProof/>
          <w:sz w:val="24"/>
        </w:rPr>
        <w:t>f</w:t>
      </w:r>
      <w:r w:rsidRPr="00FB72F4">
        <w:rPr>
          <w:rFonts w:ascii="Times New Roman,Calibri" w:hAnsi="Times New Roman,Calibri"/>
          <w:noProof/>
          <w:sz w:val="24"/>
        </w:rPr>
        <w:t xml:space="preserve">inancial </w:t>
      </w:r>
      <w:r w:rsidR="009D7611" w:rsidRPr="00FB72F4">
        <w:rPr>
          <w:rFonts w:ascii="Times New Roman,Calibri" w:hAnsi="Times New Roman,Calibri"/>
          <w:noProof/>
          <w:sz w:val="24"/>
        </w:rPr>
        <w:t>f</w:t>
      </w:r>
      <w:r w:rsidRPr="00FB72F4">
        <w:rPr>
          <w:rFonts w:ascii="Times New Roman,Calibri" w:hAnsi="Times New Roman,Calibri"/>
          <w:noProof/>
          <w:sz w:val="24"/>
        </w:rPr>
        <w:t>ramework</w:t>
      </w:r>
      <w:r w:rsidR="00521F40" w:rsidRPr="00FB72F4">
        <w:rPr>
          <w:rFonts w:ascii="Times New Roman,Calibri" w:hAnsi="Times New Roman,Calibri"/>
          <w:noProof/>
          <w:sz w:val="24"/>
        </w:rPr>
        <w:t>, with a total budget of EUR</w:t>
      </w:r>
      <w:r w:rsidR="00C6120E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</w:t>
      </w:r>
      <w:r w:rsidR="00521F40" w:rsidRPr="00FB72F4">
        <w:rPr>
          <w:rFonts w:ascii="Times New Roman,Calibri" w:hAnsi="Times New Roman,Calibri"/>
          <w:noProof/>
          <w:sz w:val="24"/>
        </w:rPr>
        <w:t>240 million,</w:t>
      </w:r>
      <w:r w:rsidRPr="00FB72F4">
        <w:rPr>
          <w:rFonts w:ascii="Times New Roman,Calibri" w:hAnsi="Times New Roman,Calibri"/>
          <w:noProof/>
          <w:sz w:val="24"/>
        </w:rPr>
        <w:t xml:space="preserve"> has provided a </w:t>
      </w:r>
      <w:r w:rsidR="00924858" w:rsidRPr="00FB72F4">
        <w:rPr>
          <w:rFonts w:ascii="Times New Roman,Calibri" w:hAnsi="Times New Roman,Calibri"/>
          <w:noProof/>
          <w:sz w:val="24"/>
        </w:rPr>
        <w:t>multiannual</w:t>
      </w:r>
      <w:r w:rsidRPr="00FB72F4">
        <w:rPr>
          <w:rFonts w:ascii="Times New Roman,Calibri" w:hAnsi="Times New Roman,Calibri"/>
          <w:noProof/>
          <w:sz w:val="24"/>
        </w:rPr>
        <w:t xml:space="preserve"> perspective to the programme with a provision for stable, annual funding. </w:t>
      </w:r>
      <w:r w:rsidRPr="00FB72F4">
        <w:rPr>
          <w:rFonts w:ascii="Times New Roman" w:hAnsi="Times New Roman"/>
          <w:noProof/>
          <w:sz w:val="24"/>
        </w:rPr>
        <w:t xml:space="preserve">The </w:t>
      </w:r>
      <w:r w:rsidR="00951A20">
        <w:rPr>
          <w:rFonts w:ascii="Times New Roman" w:eastAsia="Times New Roman,Calibri" w:hAnsi="Times New Roman" w:cs="Times New Roman"/>
          <w:noProof/>
          <w:sz w:val="24"/>
          <w:szCs w:val="24"/>
          <w:lang w:eastAsia="en-GB"/>
        </w:rPr>
        <w:t>aid</w:t>
      </w:r>
      <w:r w:rsidR="00951A20" w:rsidRPr="00FB72F4">
        <w:rPr>
          <w:rFonts w:ascii="Times New Roman" w:hAnsi="Times New Roman"/>
          <w:noProof/>
          <w:sz w:val="24"/>
        </w:rPr>
        <w:t xml:space="preserve"> </w:t>
      </w:r>
      <w:r w:rsidRPr="00FB72F4">
        <w:rPr>
          <w:rFonts w:ascii="Times New Roman" w:hAnsi="Times New Roman"/>
          <w:noProof/>
          <w:sz w:val="24"/>
        </w:rPr>
        <w:t xml:space="preserve">programme is, however, </w:t>
      </w:r>
      <w:r w:rsidR="00787D17" w:rsidRPr="00FB72F4">
        <w:rPr>
          <w:rFonts w:ascii="Times New Roman" w:hAnsi="Times New Roman"/>
          <w:noProof/>
          <w:sz w:val="24"/>
        </w:rPr>
        <w:t xml:space="preserve">of an exceptional </w:t>
      </w:r>
      <w:r w:rsidR="00C741D5" w:rsidRPr="00FB72F4">
        <w:rPr>
          <w:rFonts w:ascii="Times New Roman" w:hAnsi="Times New Roman"/>
          <w:noProof/>
          <w:sz w:val="24"/>
        </w:rPr>
        <w:t>and transitional</w:t>
      </w:r>
      <w:r w:rsidRPr="00FB72F4">
        <w:rPr>
          <w:rFonts w:ascii="Times New Roman" w:hAnsi="Times New Roman"/>
          <w:noProof/>
          <w:sz w:val="24"/>
        </w:rPr>
        <w:t xml:space="preserve"> nature, aiming to </w:t>
      </w:r>
      <w:r w:rsidR="00787D17" w:rsidRPr="00FB72F4">
        <w:rPr>
          <w:rFonts w:ascii="Times New Roman" w:hAnsi="Times New Roman"/>
          <w:noProof/>
          <w:sz w:val="24"/>
        </w:rPr>
        <w:t xml:space="preserve">prepare and </w:t>
      </w:r>
      <w:r w:rsidRPr="00FB72F4">
        <w:rPr>
          <w:rFonts w:ascii="Times New Roman" w:hAnsi="Times New Roman"/>
          <w:noProof/>
          <w:sz w:val="24"/>
        </w:rPr>
        <w:t>facilitate</w:t>
      </w:r>
      <w:r w:rsidR="00787D17" w:rsidRPr="00FB72F4">
        <w:rPr>
          <w:rFonts w:ascii="Times New Roman" w:hAnsi="Times New Roman"/>
          <w:noProof/>
          <w:sz w:val="24"/>
        </w:rPr>
        <w:t xml:space="preserve">, as appropriate, the full application of the </w:t>
      </w:r>
      <w:r w:rsidR="00924858" w:rsidRPr="00FB72F4">
        <w:rPr>
          <w:rFonts w:ascii="Times New Roman" w:hAnsi="Times New Roman"/>
          <w:i/>
          <w:noProof/>
          <w:sz w:val="24"/>
        </w:rPr>
        <w:t>acquis</w:t>
      </w:r>
      <w:r w:rsidR="00787D17" w:rsidRPr="00FB72F4">
        <w:rPr>
          <w:rFonts w:ascii="Times New Roman" w:hAnsi="Times New Roman"/>
          <w:noProof/>
          <w:sz w:val="24"/>
        </w:rPr>
        <w:t xml:space="preserve"> in the areas </w:t>
      </w:r>
      <w:r w:rsidR="00C741D5" w:rsidRPr="00FB72F4">
        <w:rPr>
          <w:rFonts w:ascii="Times New Roman" w:hAnsi="Times New Roman"/>
          <w:noProof/>
          <w:sz w:val="24"/>
        </w:rPr>
        <w:t xml:space="preserve">of the Republic of Cyprus in which the </w:t>
      </w:r>
      <w:r w:rsidR="000D76DD">
        <w:rPr>
          <w:rFonts w:ascii="Times New Roman" w:eastAsia="Times New Roman,Calibri" w:hAnsi="Times New Roman" w:cs="Times New Roman"/>
          <w:noProof/>
          <w:sz w:val="24"/>
          <w:szCs w:val="24"/>
          <w:lang w:eastAsia="en-GB"/>
        </w:rPr>
        <w:t>g</w:t>
      </w:r>
      <w:r w:rsidR="00C741D5" w:rsidRPr="007E1485">
        <w:rPr>
          <w:rFonts w:ascii="Times New Roman" w:eastAsia="Times New Roman,Calibri" w:hAnsi="Times New Roman" w:cs="Times New Roman"/>
          <w:noProof/>
          <w:sz w:val="24"/>
          <w:szCs w:val="24"/>
          <w:lang w:eastAsia="en-GB"/>
        </w:rPr>
        <w:t>overnment</w:t>
      </w:r>
      <w:r w:rsidR="00C741D5" w:rsidRPr="00FB72F4">
        <w:rPr>
          <w:rFonts w:ascii="Times New Roman" w:hAnsi="Times New Roman"/>
          <w:noProof/>
          <w:sz w:val="24"/>
        </w:rPr>
        <w:t xml:space="preserve"> of the Republic of Cyprus does not exercise effective control </w:t>
      </w:r>
      <w:r w:rsidR="00787D17" w:rsidRPr="00FB72F4">
        <w:rPr>
          <w:rFonts w:ascii="Times New Roman" w:hAnsi="Times New Roman"/>
          <w:noProof/>
          <w:sz w:val="24"/>
        </w:rPr>
        <w:t>following a solution to the</w:t>
      </w:r>
      <w:r w:rsidR="00852E89" w:rsidRPr="00FB72F4">
        <w:rPr>
          <w:rFonts w:ascii="Times New Roman" w:hAnsi="Times New Roman"/>
          <w:noProof/>
          <w:sz w:val="24"/>
        </w:rPr>
        <w:t xml:space="preserve"> Cyprus problem</w:t>
      </w:r>
      <w:r w:rsidR="004138B6" w:rsidRPr="00FB72F4">
        <w:rPr>
          <w:rFonts w:ascii="Times New Roman" w:hAnsi="Times New Roman"/>
          <w:noProof/>
          <w:sz w:val="24"/>
        </w:rPr>
        <w:t>.</w:t>
      </w:r>
    </w:p>
    <w:p w14:paraId="2E69968C" w14:textId="3F147B5E" w:rsidR="00787D17" w:rsidRPr="00FB72F4" w:rsidRDefault="004138B6" w:rsidP="00DD365D">
      <w:pPr>
        <w:keepNext/>
        <w:spacing w:before="120" w:after="120" w:line="240" w:lineRule="auto"/>
        <w:ind w:left="851"/>
        <w:jc w:val="both"/>
        <w:rPr>
          <w:rFonts w:ascii="Times New Roman" w:hAnsi="Times New Roman"/>
          <w:noProof/>
          <w:sz w:val="24"/>
        </w:rPr>
      </w:pPr>
      <w:r w:rsidRPr="00FB72F4">
        <w:rPr>
          <w:rFonts w:ascii="Times New Roman" w:hAnsi="Times New Roman"/>
          <w:noProof/>
          <w:sz w:val="24"/>
        </w:rPr>
        <w:t>B</w:t>
      </w:r>
      <w:r w:rsidR="00F42B39" w:rsidRPr="00FB72F4">
        <w:rPr>
          <w:rFonts w:ascii="Times New Roman" w:hAnsi="Times New Roman"/>
          <w:noProof/>
          <w:sz w:val="24"/>
        </w:rPr>
        <w:t xml:space="preserve">oth the Aid Regulation and Council Regulation </w:t>
      </w:r>
      <w:r w:rsidR="0042545D" w:rsidRPr="007E1485">
        <w:rPr>
          <w:rFonts w:ascii="Times New Roman" w:eastAsia="Times New Roman" w:hAnsi="Times New Roman" w:cs="Times New Roman"/>
          <w:noProof/>
        </w:rPr>
        <w:t xml:space="preserve">(EU, Euratom) </w:t>
      </w:r>
      <w:r w:rsidR="0006637A" w:rsidRPr="00FB72F4">
        <w:rPr>
          <w:rFonts w:ascii="Times New Roman" w:hAnsi="Times New Roman"/>
          <w:noProof/>
          <w:sz w:val="24"/>
        </w:rPr>
        <w:t>2020/2093</w:t>
      </w:r>
      <w:r w:rsidR="00F42B39" w:rsidRPr="00FB72F4">
        <w:rPr>
          <w:rFonts w:ascii="Times New Roman" w:hAnsi="Times New Roman"/>
          <w:noProof/>
          <w:sz w:val="24"/>
        </w:rPr>
        <w:t xml:space="preserve"> laying down the </w:t>
      </w:r>
      <w:r w:rsidR="00AA79EC" w:rsidRPr="00FB72F4">
        <w:rPr>
          <w:rFonts w:ascii="Times New Roman" w:hAnsi="Times New Roman"/>
          <w:noProof/>
          <w:sz w:val="24"/>
        </w:rPr>
        <w:t>multiannual financial framework</w:t>
      </w:r>
      <w:r w:rsidR="00A87513" w:rsidRPr="00FB72F4">
        <w:rPr>
          <w:rStyle w:val="FootnoteReference"/>
          <w:rFonts w:ascii="Times New Roman" w:hAnsi="Times New Roman"/>
          <w:noProof/>
          <w:sz w:val="24"/>
        </w:rPr>
        <w:footnoteReference w:id="4"/>
      </w:r>
      <w:r w:rsidR="00AA79EC" w:rsidRPr="00FB72F4">
        <w:rPr>
          <w:rFonts w:ascii="Times New Roman" w:hAnsi="Times New Roman"/>
          <w:noProof/>
          <w:sz w:val="24"/>
        </w:rPr>
        <w:t xml:space="preserve"> </w:t>
      </w:r>
      <w:r w:rsidR="00F42B39" w:rsidRPr="00FB72F4">
        <w:rPr>
          <w:rFonts w:ascii="Times New Roman" w:hAnsi="Times New Roman"/>
          <w:noProof/>
          <w:sz w:val="24"/>
        </w:rPr>
        <w:t xml:space="preserve">have </w:t>
      </w:r>
      <w:r w:rsidRPr="00FB72F4">
        <w:rPr>
          <w:rFonts w:ascii="Times New Roman" w:hAnsi="Times New Roman"/>
          <w:noProof/>
          <w:sz w:val="24"/>
        </w:rPr>
        <w:t xml:space="preserve">provided </w:t>
      </w:r>
      <w:r w:rsidR="00F42B39" w:rsidRPr="00FB72F4">
        <w:rPr>
          <w:rFonts w:ascii="Times New Roman" w:hAnsi="Times New Roman"/>
          <w:noProof/>
          <w:sz w:val="24"/>
        </w:rPr>
        <w:t xml:space="preserve">for a revision in </w:t>
      </w:r>
      <w:r w:rsidR="009D7611" w:rsidRPr="00FB72F4">
        <w:rPr>
          <w:rFonts w:ascii="Times New Roman" w:hAnsi="Times New Roman"/>
          <w:noProof/>
          <w:sz w:val="24"/>
        </w:rPr>
        <w:t xml:space="preserve">the </w:t>
      </w:r>
      <w:r w:rsidR="00182638">
        <w:rPr>
          <w:rFonts w:ascii="Times New Roman" w:eastAsia="Times New Roman,Calibri" w:hAnsi="Times New Roman" w:cs="Times New Roman"/>
          <w:noProof/>
          <w:sz w:val="24"/>
          <w:szCs w:val="24"/>
          <w:lang w:eastAsia="en-GB"/>
        </w:rPr>
        <w:t>event</w:t>
      </w:r>
      <w:r w:rsidR="00182638" w:rsidRPr="00FB72F4">
        <w:rPr>
          <w:rFonts w:ascii="Times New Roman" w:hAnsi="Times New Roman"/>
          <w:noProof/>
          <w:sz w:val="24"/>
        </w:rPr>
        <w:t xml:space="preserve"> </w:t>
      </w:r>
      <w:r w:rsidR="00F42B39" w:rsidRPr="00FB72F4">
        <w:rPr>
          <w:rFonts w:ascii="Times New Roman" w:hAnsi="Times New Roman"/>
          <w:noProof/>
          <w:sz w:val="24"/>
        </w:rPr>
        <w:t>of reunification.</w:t>
      </w:r>
    </w:p>
    <w:p w14:paraId="26484BB6" w14:textId="638DAE49" w:rsidR="006C615B" w:rsidRPr="00FB72F4" w:rsidRDefault="00F42B39" w:rsidP="00852E89">
      <w:pPr>
        <w:keepNext/>
        <w:keepLines/>
        <w:numPr>
          <w:ilvl w:val="0"/>
          <w:numId w:val="2"/>
        </w:numPr>
        <w:spacing w:after="120" w:line="240" w:lineRule="auto"/>
        <w:jc w:val="both"/>
        <w:outlineLvl w:val="0"/>
        <w:rPr>
          <w:rFonts w:ascii="Times New Roman" w:hAnsi="Times New Roman"/>
          <w:b/>
          <w:smallCaps/>
          <w:noProof/>
          <w:sz w:val="24"/>
        </w:rPr>
      </w:pPr>
      <w:r w:rsidRPr="00FB72F4">
        <w:rPr>
          <w:rFonts w:ascii="Times New Roman" w:hAnsi="Times New Roman"/>
          <w:b/>
          <w:smallCaps/>
          <w:noProof/>
          <w:sz w:val="24"/>
        </w:rPr>
        <w:t>Implementation mechanisms</w:t>
      </w:r>
    </w:p>
    <w:p w14:paraId="3E8D5CB5" w14:textId="2220FFE8" w:rsidR="006C615B" w:rsidRPr="00FB72F4" w:rsidRDefault="00F42B39">
      <w:pPr>
        <w:keepNext/>
        <w:spacing w:before="120" w:after="12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programme is implemented in the areas of the Republic of Cyprus in which the </w:t>
      </w:r>
      <w:r w:rsidR="000D76DD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g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overnment</w:t>
      </w:r>
      <w:r w:rsidRPr="00FB72F4">
        <w:rPr>
          <w:rFonts w:ascii="Times New Roman,Calibri" w:hAnsi="Times New Roman,Calibri"/>
          <w:noProof/>
          <w:sz w:val="24"/>
        </w:rPr>
        <w:t xml:space="preserve"> of the Republic of Cyprus does not exercise effective control </w:t>
      </w:r>
      <w:r w:rsidR="00034251" w:rsidRPr="00FB72F4">
        <w:rPr>
          <w:rFonts w:ascii="Times New Roman,Calibri" w:hAnsi="Times New Roman,Calibri"/>
          <w:noProof/>
          <w:sz w:val="24"/>
        </w:rPr>
        <w:t xml:space="preserve">(the 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</w:t>
      </w:r>
      <w:r w:rsidR="00034251" w:rsidRPr="00FB72F4">
        <w:rPr>
          <w:rFonts w:ascii="Times New Roman,Calibri" w:hAnsi="Times New Roman,Calibri"/>
          <w:noProof/>
          <w:sz w:val="24"/>
        </w:rPr>
        <w:t>non</w:t>
      </w:r>
      <w:r w:rsidR="00EF1D3C" w:rsidRPr="00FB72F4">
        <w:rPr>
          <w:rFonts w:ascii="Times New Roman,Calibri" w:hAnsi="Times New Roman,Calibri"/>
          <w:noProof/>
          <w:sz w:val="24"/>
        </w:rPr>
        <w:t>-</w:t>
      </w:r>
      <w:r w:rsidR="00034251" w:rsidRPr="00FB72F4">
        <w:rPr>
          <w:rFonts w:ascii="Times New Roman,Calibri" w:hAnsi="Times New Roman,Calibri"/>
          <w:noProof/>
          <w:sz w:val="24"/>
        </w:rPr>
        <w:t>government</w:t>
      </w:r>
      <w:r w:rsidR="0018263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-</w:t>
      </w:r>
      <w:r w:rsidR="00034251" w:rsidRPr="00FB72F4">
        <w:rPr>
          <w:rFonts w:ascii="Times New Roman,Calibri" w:hAnsi="Times New Roman,Calibri"/>
          <w:noProof/>
          <w:sz w:val="24"/>
        </w:rPr>
        <w:t>co</w:t>
      </w:r>
      <w:r w:rsidR="005329CE" w:rsidRPr="00FB72F4">
        <w:rPr>
          <w:rFonts w:ascii="Times New Roman,Calibri" w:hAnsi="Times New Roman,Calibri"/>
          <w:noProof/>
          <w:sz w:val="24"/>
        </w:rPr>
        <w:t>n</w:t>
      </w:r>
      <w:r w:rsidR="00034251" w:rsidRPr="00FB72F4">
        <w:rPr>
          <w:rFonts w:ascii="Times New Roman,Calibri" w:hAnsi="Times New Roman,Calibri"/>
          <w:noProof/>
          <w:sz w:val="24"/>
        </w:rPr>
        <w:t xml:space="preserve">trolled </w:t>
      </w:r>
      <w:r w:rsidR="00034251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areas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="00034251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)</w:t>
      </w:r>
      <w:r w:rsidR="00034251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 xml:space="preserve">and where the application of the </w:t>
      </w:r>
      <w:r w:rsidR="00924858" w:rsidRPr="00FB72F4">
        <w:rPr>
          <w:rFonts w:ascii="Times New Roman,Calibri" w:hAnsi="Times New Roman,Calibri"/>
          <w:i/>
          <w:noProof/>
          <w:sz w:val="24"/>
        </w:rPr>
        <w:t>acquis</w:t>
      </w:r>
      <w:r w:rsidRPr="00FB72F4">
        <w:rPr>
          <w:rFonts w:ascii="Times New Roman,Calibri" w:hAnsi="Times New Roman,Calibri"/>
          <w:i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 xml:space="preserve">is temporarily suspended pursuant to Protocol </w:t>
      </w:r>
      <w:r w:rsidR="00E43A80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No </w:t>
      </w:r>
      <w:r w:rsidRPr="00FB72F4">
        <w:rPr>
          <w:rFonts w:ascii="Times New Roman,Calibri" w:hAnsi="Times New Roman,Calibri"/>
          <w:noProof/>
          <w:sz w:val="24"/>
        </w:rPr>
        <w:t xml:space="preserve">10 of the </w:t>
      </w:r>
      <w:r w:rsidR="000D76DD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Act</w:t>
      </w:r>
      <w:r w:rsidR="000D76DD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of Accession. Assistance is implemented in direct and indirect management.</w:t>
      </w:r>
    </w:p>
    <w:p w14:paraId="502A728E" w14:textId="741A29A8" w:rsidR="006C615B" w:rsidRPr="00FB72F4" w:rsidRDefault="00F42B39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Commission operates in a </w:t>
      </w:r>
      <w:r w:rsidRPr="00FB72F4">
        <w:rPr>
          <w:rFonts w:ascii="Times New Roman" w:hAnsi="Times New Roman"/>
          <w:noProof/>
          <w:sz w:val="24"/>
        </w:rPr>
        <w:t xml:space="preserve">unique political, legal and diplomatic context. </w:t>
      </w:r>
      <w:r w:rsidR="001A5F18" w:rsidRPr="00FB72F4">
        <w:rPr>
          <w:rFonts w:ascii="Times New Roman" w:hAnsi="Times New Roman"/>
          <w:noProof/>
          <w:sz w:val="24"/>
          <w:shd w:val="clear" w:color="auto" w:fill="FFFFFF"/>
        </w:rPr>
        <w:t>The granting of assistance</w:t>
      </w:r>
      <w:r w:rsidR="0081795B" w:rsidRPr="00FB72F4">
        <w:rPr>
          <w:rFonts w:ascii="Times New Roman" w:hAnsi="Times New Roman"/>
          <w:noProof/>
          <w:sz w:val="24"/>
          <w:shd w:val="clear" w:color="auto" w:fill="FFFFFF"/>
        </w:rPr>
        <w:t xml:space="preserve"> under the Aid Regulation</w:t>
      </w:r>
      <w:r w:rsidR="001A5F18" w:rsidRPr="00FB72F4">
        <w:rPr>
          <w:rFonts w:ascii="Times New Roman" w:hAnsi="Times New Roman"/>
          <w:noProof/>
          <w:sz w:val="24"/>
          <w:shd w:val="clear" w:color="auto" w:fill="FFFFFF"/>
        </w:rPr>
        <w:t xml:space="preserve"> </w:t>
      </w:r>
      <w:r w:rsidR="00A01573" w:rsidRPr="00FB72F4">
        <w:rPr>
          <w:rFonts w:ascii="Times New Roman" w:hAnsi="Times New Roman"/>
          <w:noProof/>
          <w:sz w:val="24"/>
          <w:shd w:val="clear" w:color="auto" w:fill="FFFFFF"/>
        </w:rPr>
        <w:t xml:space="preserve">does </w:t>
      </w:r>
      <w:r w:rsidR="001A5F18" w:rsidRPr="00FB72F4">
        <w:rPr>
          <w:rFonts w:ascii="Times New Roman" w:hAnsi="Times New Roman"/>
          <w:noProof/>
          <w:sz w:val="24"/>
          <w:shd w:val="clear" w:color="auto" w:fill="FFFFFF"/>
        </w:rPr>
        <w:t xml:space="preserve">not imply recognition of any authority in the areas other than the </w:t>
      </w:r>
      <w:r w:rsidR="000D76DD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g</w:t>
      </w:r>
      <w:r w:rsidR="001A5F18" w:rsidRPr="007E1485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overnment</w:t>
      </w:r>
      <w:r w:rsidR="001A5F18" w:rsidRPr="00FB72F4">
        <w:rPr>
          <w:rFonts w:ascii="Times New Roman" w:hAnsi="Times New Roman"/>
          <w:noProof/>
          <w:sz w:val="24"/>
          <w:shd w:val="clear" w:color="auto" w:fill="FFFFFF"/>
        </w:rPr>
        <w:t xml:space="preserve"> of the Republic of Cyprus.</w:t>
      </w:r>
      <w:r w:rsidR="00852E89" w:rsidRPr="00FB72F4">
        <w:rPr>
          <w:rFonts w:ascii="Times New Roman" w:hAnsi="Times New Roman"/>
          <w:noProof/>
          <w:sz w:val="24"/>
          <w:shd w:val="clear" w:color="auto" w:fill="FFFFFF"/>
        </w:rPr>
        <w:t xml:space="preserve"> </w:t>
      </w:r>
      <w:r w:rsidRPr="00FB72F4">
        <w:rPr>
          <w:rFonts w:ascii="Times New Roman" w:hAnsi="Times New Roman"/>
          <w:noProof/>
          <w:sz w:val="24"/>
        </w:rPr>
        <w:t>Ad hoc arrangements are needed to implement the programme while respecting the principles</w:t>
      </w:r>
      <w:r w:rsidRPr="00FB72F4">
        <w:rPr>
          <w:rFonts w:ascii="Times New Roman,Calibri" w:hAnsi="Times New Roman,Calibri"/>
          <w:noProof/>
          <w:sz w:val="24"/>
        </w:rPr>
        <w:t xml:space="preserve"> of sound financial management. </w:t>
      </w:r>
      <w:r w:rsidR="004138B6" w:rsidRPr="00FB72F4">
        <w:rPr>
          <w:rFonts w:ascii="Times New Roman,Calibri" w:hAnsi="Times New Roman,Calibri"/>
          <w:noProof/>
          <w:sz w:val="24"/>
        </w:rPr>
        <w:t>M</w:t>
      </w:r>
      <w:r w:rsidRPr="00FB72F4">
        <w:rPr>
          <w:rFonts w:ascii="Times New Roman,Calibri" w:hAnsi="Times New Roman,Calibri"/>
          <w:noProof/>
          <w:sz w:val="24"/>
        </w:rPr>
        <w:t xml:space="preserve">easures adopted include intensive monitoring </w:t>
      </w:r>
      <w:r w:rsidRPr="00FB72F4">
        <w:rPr>
          <w:rFonts w:ascii="Times New Roman" w:hAnsi="Times New Roman"/>
          <w:noProof/>
          <w:sz w:val="24"/>
        </w:rPr>
        <w:t xml:space="preserve">of contracts and </w:t>
      </w:r>
      <w:r w:rsidR="000D76DD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providing</w:t>
      </w:r>
      <w:r w:rsidRPr="00FB72F4">
        <w:rPr>
          <w:rFonts w:ascii="Times New Roman,Calibri" w:hAnsi="Times New Roman,Calibri"/>
          <w:noProof/>
          <w:sz w:val="24"/>
        </w:rPr>
        <w:t xml:space="preserve"> support to beneficiaries, revised payment conditions</w:t>
      </w:r>
      <w:r w:rsidR="00A01573" w:rsidRPr="00FB72F4">
        <w:rPr>
          <w:rFonts w:ascii="Times New Roman,Calibri" w:hAnsi="Times New Roman,Calibri"/>
          <w:noProof/>
          <w:sz w:val="24"/>
        </w:rPr>
        <w:t>,</w:t>
      </w:r>
      <w:r w:rsidRPr="00FB72F4">
        <w:rPr>
          <w:rFonts w:ascii="Times New Roman,Calibri" w:hAnsi="Times New Roman,Calibri"/>
          <w:noProof/>
          <w:sz w:val="24"/>
        </w:rPr>
        <w:t xml:space="preserve"> and a careful approach to the use of bank guarantees. The assistance includes a significant amount of grant support, requiring resource-intensive management.</w:t>
      </w:r>
    </w:p>
    <w:p w14:paraId="07799385" w14:textId="02787BE4" w:rsidR="006C615B" w:rsidRPr="00FB72F4" w:rsidRDefault="00ED12D7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bookmarkStart w:id="4" w:name="_Hlk197512082"/>
      <w:r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With a</w:t>
      </w:r>
      <w:r w:rsidRPr="00FB72F4">
        <w:rPr>
          <w:rFonts w:ascii="Times New Roman,Calibri" w:hAnsi="Times New Roman,Calibri"/>
          <w:noProof/>
          <w:sz w:val="24"/>
        </w:rPr>
        <w:t xml:space="preserve"> view </w:t>
      </w:r>
      <w:r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to</w:t>
      </w:r>
      <w:r w:rsidR="00C93E03" w:rsidRPr="00FB72F4">
        <w:rPr>
          <w:rFonts w:ascii="Times New Roman,Calibri" w:hAnsi="Times New Roman,Calibri"/>
          <w:noProof/>
          <w:sz w:val="24"/>
        </w:rPr>
        <w:t xml:space="preserve"> the reunification, following </w:t>
      </w:r>
      <w:r w:rsidR="00576D42" w:rsidRPr="00FB72F4">
        <w:rPr>
          <w:rFonts w:ascii="Times New Roman,Calibri" w:hAnsi="Times New Roman,Calibri"/>
          <w:noProof/>
          <w:sz w:val="24"/>
        </w:rPr>
        <w:t xml:space="preserve">the withdrawal of the suspension of its application </w:t>
      </w:r>
      <w:r w:rsidR="002A2C46" w:rsidRPr="00FB72F4">
        <w:rPr>
          <w:rFonts w:ascii="Times New Roman,Calibri" w:hAnsi="Times New Roman,Calibri"/>
          <w:noProof/>
          <w:sz w:val="24"/>
        </w:rPr>
        <w:t xml:space="preserve">in accordance with Protocol 10, </w:t>
      </w:r>
      <w:r w:rsidR="00730A1B" w:rsidRPr="00FB72F4">
        <w:rPr>
          <w:rFonts w:ascii="Times New Roman,Calibri" w:hAnsi="Times New Roman,Calibri"/>
          <w:noProof/>
          <w:sz w:val="24"/>
        </w:rPr>
        <w:t>upon the entry into force of a comprehensive settlement</w:t>
      </w:r>
      <w:r w:rsidR="00C93E03" w:rsidRPr="00FB72F4">
        <w:rPr>
          <w:rFonts w:ascii="Times New Roman,Calibri" w:hAnsi="Times New Roman,Calibri"/>
          <w:noProof/>
          <w:sz w:val="24"/>
        </w:rPr>
        <w:t>, and to facilitate the implementation of the project</w:t>
      </w:r>
      <w:r w:rsidR="005A6395" w:rsidRPr="00FB72F4">
        <w:rPr>
          <w:rFonts w:ascii="Times New Roman,Calibri" w:hAnsi="Times New Roman,Calibri"/>
          <w:noProof/>
          <w:sz w:val="24"/>
        </w:rPr>
        <w:t>s</w:t>
      </w:r>
      <w:r w:rsidR="00C93E03" w:rsidRPr="00FB72F4">
        <w:rPr>
          <w:rFonts w:ascii="Times New Roman,Calibri" w:hAnsi="Times New Roman,Calibri"/>
          <w:noProof/>
          <w:sz w:val="24"/>
        </w:rPr>
        <w:t xml:space="preserve"> financed through the </w:t>
      </w:r>
      <w:r w:rsidR="00DE32D7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</w:t>
      </w:r>
      <w:r w:rsidR="00C93E03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id </w:t>
      </w:r>
      <w:r w:rsidR="00DE32D7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p</w:t>
      </w:r>
      <w:r w:rsidR="00C93E03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rogram</w:t>
      </w:r>
      <w:r w:rsidR="00DE32D7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me</w:t>
      </w:r>
      <w:r w:rsidR="00C93E03" w:rsidRPr="00FB72F4">
        <w:rPr>
          <w:rFonts w:ascii="Times New Roman,Calibri" w:hAnsi="Times New Roman,Calibri"/>
          <w:noProof/>
          <w:sz w:val="24"/>
        </w:rPr>
        <w:t xml:space="preserve">, the Turkish Cypriot community must progressively align </w:t>
      </w:r>
      <w:r w:rsidR="005A6395" w:rsidRPr="00FB72F4">
        <w:rPr>
          <w:rFonts w:ascii="Times New Roman,Calibri" w:hAnsi="Times New Roman,Calibri"/>
          <w:noProof/>
          <w:sz w:val="24"/>
        </w:rPr>
        <w:t>with</w:t>
      </w:r>
      <w:r w:rsidR="00C93E03" w:rsidRPr="00FB72F4">
        <w:rPr>
          <w:rFonts w:ascii="Times New Roman,Calibri" w:hAnsi="Times New Roman,Calibri"/>
          <w:noProof/>
          <w:sz w:val="24"/>
        </w:rPr>
        <w:t xml:space="preserve"> the </w:t>
      </w:r>
      <w:r w:rsidR="00C93E03" w:rsidRPr="00FB72F4">
        <w:rPr>
          <w:rFonts w:ascii="Times New Roman,Calibri" w:hAnsi="Times New Roman,Calibri"/>
          <w:i/>
          <w:noProof/>
          <w:sz w:val="24"/>
        </w:rPr>
        <w:t>acquis</w:t>
      </w:r>
      <w:r w:rsidR="00F42B39" w:rsidRPr="00FB72F4">
        <w:rPr>
          <w:rFonts w:ascii="Times New Roman,Calibri" w:hAnsi="Times New Roman,Calibri"/>
          <w:noProof/>
          <w:sz w:val="24"/>
        </w:rPr>
        <w:t>.</w:t>
      </w:r>
    </w:p>
    <w:bookmarkEnd w:id="4"/>
    <w:p w14:paraId="63B0EA5C" w14:textId="7F8E8089" w:rsidR="0030118A" w:rsidRPr="00FB72F4" w:rsidRDefault="00F42B39" w:rsidP="00051F7E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</w:t>
      </w:r>
      <w:r w:rsidR="00EC0D10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Commission implements the </w:t>
      </w:r>
      <w:r w:rsidR="00C93E03" w:rsidRPr="00FB72F4">
        <w:rPr>
          <w:rFonts w:ascii="Times New Roman,Calibri" w:hAnsi="Times New Roman,Calibri"/>
          <w:noProof/>
          <w:sz w:val="24"/>
        </w:rPr>
        <w:t xml:space="preserve">projects selected </w:t>
      </w:r>
      <w:r w:rsidRPr="00FB72F4">
        <w:rPr>
          <w:rFonts w:ascii="Times New Roman,Calibri" w:hAnsi="Times New Roman,Calibri"/>
          <w:noProof/>
          <w:sz w:val="24"/>
        </w:rPr>
        <w:t>through the EU Programme Support Office in the</w:t>
      </w:r>
      <w:r w:rsidR="00034251" w:rsidRPr="00FB72F4">
        <w:rPr>
          <w:rFonts w:ascii="Times New Roman,Calibri" w:hAnsi="Times New Roman,Calibri"/>
          <w:noProof/>
          <w:sz w:val="24"/>
        </w:rPr>
        <w:t xml:space="preserve"> non</w:t>
      </w:r>
      <w:r w:rsidR="00EF1D3C" w:rsidRPr="00FB72F4">
        <w:rPr>
          <w:rFonts w:ascii="Times New Roman,Calibri" w:hAnsi="Times New Roman,Calibri"/>
          <w:noProof/>
          <w:sz w:val="24"/>
        </w:rPr>
        <w:t>-</w:t>
      </w:r>
      <w:r w:rsidR="00034251" w:rsidRPr="00FB72F4">
        <w:rPr>
          <w:rFonts w:ascii="Times New Roman,Calibri" w:hAnsi="Times New Roman,Calibri"/>
          <w:noProof/>
          <w:sz w:val="24"/>
        </w:rPr>
        <w:t>government</w:t>
      </w:r>
      <w:r w:rsidR="0018263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-</w:t>
      </w:r>
      <w:r w:rsidR="00034251" w:rsidRPr="00FB72F4">
        <w:rPr>
          <w:rFonts w:ascii="Times New Roman,Calibri" w:hAnsi="Times New Roman,Calibri"/>
          <w:noProof/>
          <w:sz w:val="24"/>
        </w:rPr>
        <w:t>controlled</w:t>
      </w:r>
      <w:r w:rsidR="00924858" w:rsidRPr="00FB72F4">
        <w:rPr>
          <w:rFonts w:ascii="Times New Roman,Calibri" w:hAnsi="Times New Roman,Calibri"/>
          <w:noProof/>
          <w:sz w:val="24"/>
        </w:rPr>
        <w:t xml:space="preserve"> </w:t>
      </w:r>
      <w:r w:rsidR="002A2C46" w:rsidRPr="00FB72F4">
        <w:rPr>
          <w:rFonts w:ascii="Times New Roman,Calibri" w:hAnsi="Times New Roman,Calibri"/>
          <w:noProof/>
          <w:sz w:val="24"/>
        </w:rPr>
        <w:t xml:space="preserve">areas in </w:t>
      </w:r>
      <w:r w:rsidRPr="00FB72F4">
        <w:rPr>
          <w:rFonts w:ascii="Times New Roman,Calibri" w:hAnsi="Times New Roman,Calibri"/>
          <w:noProof/>
          <w:sz w:val="24"/>
        </w:rPr>
        <w:t xml:space="preserve">Nicosia. The Commission </w:t>
      </w:r>
      <w:r w:rsidR="00E261B1" w:rsidRPr="00FB72F4">
        <w:rPr>
          <w:rFonts w:ascii="Times New Roman,Calibri" w:hAnsi="Times New Roman,Calibri"/>
          <w:noProof/>
          <w:sz w:val="24"/>
        </w:rPr>
        <w:t xml:space="preserve">Representation </w:t>
      </w:r>
      <w:r w:rsidRPr="00FB72F4">
        <w:rPr>
          <w:rFonts w:ascii="Times New Roman,Calibri" w:hAnsi="Times New Roman,Calibri"/>
          <w:noProof/>
          <w:sz w:val="24"/>
        </w:rPr>
        <w:t>in Cyprus also hosts meetings, seminars and press conferences and communicates with the Cypriot public throughout the island</w:t>
      </w:r>
      <w:r w:rsidR="00EC0D10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on topics</w:t>
      </w:r>
      <w:r w:rsidRPr="00FB72F4">
        <w:rPr>
          <w:rFonts w:ascii="Times New Roman,Calibri" w:hAnsi="Times New Roman,Calibri"/>
          <w:noProof/>
          <w:sz w:val="24"/>
        </w:rPr>
        <w:t xml:space="preserve"> including the </w:t>
      </w:r>
      <w:r w:rsidR="00EC0D10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aid programme</w:t>
      </w:r>
      <w:r w:rsidR="00AC7DEF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.</w:t>
      </w:r>
      <w:r w:rsidR="00BC342D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 xml:space="preserve">In addition, the EU Infopoint, funded under the </w:t>
      </w:r>
      <w:r w:rsidR="007B5ED9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aid programme</w:t>
      </w:r>
      <w:r w:rsidRPr="00FB72F4">
        <w:rPr>
          <w:rFonts w:ascii="Times New Roman,Calibri" w:hAnsi="Times New Roman,Calibri"/>
          <w:noProof/>
          <w:sz w:val="24"/>
        </w:rPr>
        <w:t xml:space="preserve">, </w:t>
      </w:r>
      <w:r w:rsidRPr="00FB72F4">
        <w:rPr>
          <w:rFonts w:ascii="Times New Roman" w:hAnsi="Times New Roman"/>
          <w:noProof/>
          <w:sz w:val="24"/>
        </w:rPr>
        <w:t xml:space="preserve">carries out a range of communication and visibility </w:t>
      </w:r>
      <w:r w:rsidR="005919DC">
        <w:rPr>
          <w:rFonts w:ascii="Times New Roman" w:eastAsia="Times New Roman" w:hAnsi="Times New Roman" w:cs="Times New Roman"/>
          <w:noProof/>
          <w:sz w:val="24"/>
          <w:szCs w:val="24"/>
        </w:rPr>
        <w:t>activities</w:t>
      </w:r>
      <w:r w:rsidRPr="00FB72F4">
        <w:rPr>
          <w:rFonts w:ascii="Times New Roman" w:hAnsi="Times New Roman"/>
          <w:noProof/>
          <w:sz w:val="24"/>
        </w:rPr>
        <w:t xml:space="preserve">, providing information about EU policies, priorities and </w:t>
      </w:r>
      <w:r w:rsidRPr="007E1485">
        <w:rPr>
          <w:rFonts w:ascii="Times New Roman" w:eastAsia="Times New Roman" w:hAnsi="Times New Roman" w:cs="Times New Roman"/>
          <w:noProof/>
          <w:sz w:val="24"/>
          <w:szCs w:val="24"/>
        </w:rPr>
        <w:t>action</w:t>
      </w:r>
      <w:r w:rsidRPr="00FB72F4">
        <w:rPr>
          <w:rFonts w:ascii="Times New Roman" w:hAnsi="Times New Roman"/>
          <w:noProof/>
          <w:sz w:val="24"/>
        </w:rPr>
        <w:t xml:space="preserve"> in support of the </w:t>
      </w:r>
      <w:r w:rsidR="00CC536D" w:rsidRPr="00FB72F4">
        <w:rPr>
          <w:rFonts w:ascii="Times New Roman,Calibri" w:hAnsi="Times New Roman,Calibri"/>
          <w:noProof/>
          <w:sz w:val="24"/>
        </w:rPr>
        <w:t>Turkish Cypriot community</w:t>
      </w:r>
      <w:r w:rsidRPr="00FB72F4">
        <w:rPr>
          <w:rFonts w:ascii="Times New Roman" w:hAnsi="Times New Roman"/>
          <w:noProof/>
          <w:sz w:val="24"/>
        </w:rPr>
        <w:t xml:space="preserve"> and promoting European culture.</w:t>
      </w:r>
    </w:p>
    <w:p w14:paraId="1D3A2AA6" w14:textId="77777777" w:rsidR="006C615B" w:rsidRPr="00FB72F4" w:rsidRDefault="00F42B39">
      <w:pPr>
        <w:keepNext/>
        <w:numPr>
          <w:ilvl w:val="0"/>
          <w:numId w:val="3"/>
        </w:numPr>
        <w:spacing w:after="120" w:line="240" w:lineRule="auto"/>
        <w:ind w:left="851" w:hanging="851"/>
        <w:jc w:val="both"/>
        <w:outlineLvl w:val="0"/>
        <w:rPr>
          <w:rFonts w:ascii="Times New Roman" w:hAnsi="Times New Roman"/>
          <w:b/>
          <w:noProof/>
          <w:sz w:val="24"/>
        </w:rPr>
      </w:pPr>
      <w:r w:rsidRPr="00FB72F4">
        <w:rPr>
          <w:rFonts w:ascii="Times New Roman" w:hAnsi="Times New Roman"/>
          <w:b/>
          <w:smallCaps/>
          <w:noProof/>
          <w:sz w:val="24"/>
        </w:rPr>
        <w:t>Implementation during the reporting period</w:t>
      </w:r>
    </w:p>
    <w:p w14:paraId="5B82F2A0" w14:textId="77777777" w:rsidR="006C615B" w:rsidRPr="00FB72F4" w:rsidRDefault="00F42B39">
      <w:pPr>
        <w:keepNext/>
        <w:numPr>
          <w:ilvl w:val="1"/>
          <w:numId w:val="3"/>
        </w:numPr>
        <w:spacing w:before="120" w:after="120" w:line="240" w:lineRule="auto"/>
        <w:jc w:val="both"/>
        <w:outlineLvl w:val="1"/>
        <w:rPr>
          <w:rFonts w:ascii="Times New Roman" w:hAnsi="Times New Roman"/>
          <w:b/>
          <w:noProof/>
          <w:sz w:val="24"/>
        </w:rPr>
      </w:pPr>
      <w:r w:rsidRPr="00FB72F4">
        <w:rPr>
          <w:rFonts w:ascii="Times New Roman" w:hAnsi="Times New Roman"/>
          <w:b/>
          <w:noProof/>
          <w:sz w:val="24"/>
        </w:rPr>
        <w:t>General overview</w:t>
      </w:r>
    </w:p>
    <w:p w14:paraId="49A2D98A" w14:textId="29CA2E86" w:rsidR="006C615B" w:rsidRPr="00FB72F4" w:rsidRDefault="00F42B39" w:rsidP="005472BD">
      <w:pPr>
        <w:keepNext/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 w:rsidRPr="00FB72F4">
        <w:rPr>
          <w:rFonts w:ascii="Times New Roman" w:hAnsi="Times New Roman"/>
          <w:noProof/>
          <w:sz w:val="24"/>
        </w:rPr>
        <w:t xml:space="preserve">The Commission continues to implement the Aid Regulation with the overall aim of supporting reunification. </w:t>
      </w:r>
      <w:r w:rsidR="009D2303" w:rsidRPr="00FB72F4">
        <w:rPr>
          <w:rFonts w:ascii="Times New Roman" w:hAnsi="Times New Roman"/>
          <w:noProof/>
          <w:sz w:val="24"/>
        </w:rPr>
        <w:t xml:space="preserve">In the event of a comprehensive settlement of the Cyprus problem, the Council </w:t>
      </w:r>
      <w:r w:rsidR="00A01573" w:rsidRPr="00FB72F4">
        <w:rPr>
          <w:rFonts w:ascii="Times New Roman" w:hAnsi="Times New Roman"/>
          <w:noProof/>
          <w:sz w:val="24"/>
        </w:rPr>
        <w:t>will</w:t>
      </w:r>
      <w:r w:rsidR="009D2303" w:rsidRPr="00FB72F4">
        <w:rPr>
          <w:rFonts w:ascii="Times New Roman" w:hAnsi="Times New Roman"/>
          <w:noProof/>
          <w:sz w:val="24"/>
        </w:rPr>
        <w:t>, on the basis of a proposal from the Commission, decide unanimously on the necessary adaptations to th</w:t>
      </w:r>
      <w:r w:rsidR="00C93E03" w:rsidRPr="00FB72F4">
        <w:rPr>
          <w:rFonts w:ascii="Times New Roman" w:hAnsi="Times New Roman"/>
          <w:noProof/>
          <w:sz w:val="24"/>
        </w:rPr>
        <w:t>e</w:t>
      </w:r>
      <w:r w:rsidR="009D2303" w:rsidRPr="00FB72F4">
        <w:rPr>
          <w:rFonts w:ascii="Times New Roman" w:hAnsi="Times New Roman"/>
          <w:noProof/>
          <w:sz w:val="24"/>
        </w:rPr>
        <w:t xml:space="preserve"> Regulation.</w:t>
      </w:r>
    </w:p>
    <w:p w14:paraId="07804ED0" w14:textId="4CA72360" w:rsidR="006C615B" w:rsidRPr="00FB72F4" w:rsidRDefault="00387A8D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" w:hAnsi="Times New Roman"/>
          <w:noProof/>
          <w:sz w:val="24"/>
        </w:rPr>
        <w:t>Support</w:t>
      </w:r>
      <w:r w:rsidR="00F42B39" w:rsidRPr="00FB72F4">
        <w:rPr>
          <w:rFonts w:ascii="Times New Roman" w:hAnsi="Times New Roman"/>
          <w:noProof/>
          <w:sz w:val="24"/>
        </w:rPr>
        <w:t xml:space="preserve"> in </w:t>
      </w:r>
      <w:r w:rsidR="001F630A" w:rsidRPr="00FB72F4">
        <w:rPr>
          <w:rFonts w:ascii="Times New Roman" w:hAnsi="Times New Roman"/>
          <w:noProof/>
          <w:sz w:val="24"/>
        </w:rPr>
        <w:t>202</w:t>
      </w:r>
      <w:r w:rsidRPr="00FB72F4">
        <w:rPr>
          <w:rFonts w:ascii="Times New Roman" w:hAnsi="Times New Roman"/>
          <w:noProof/>
          <w:sz w:val="24"/>
        </w:rPr>
        <w:t>4</w:t>
      </w:r>
      <w:r w:rsidR="001F630A" w:rsidRPr="00FB72F4">
        <w:rPr>
          <w:rFonts w:ascii="Times New Roman" w:hAnsi="Times New Roman"/>
          <w:noProof/>
          <w:sz w:val="24"/>
        </w:rPr>
        <w:t xml:space="preserve"> </w:t>
      </w:r>
      <w:r w:rsidRPr="00FB72F4">
        <w:rPr>
          <w:rFonts w:ascii="Times New Roman" w:hAnsi="Times New Roman"/>
          <w:noProof/>
          <w:sz w:val="24"/>
        </w:rPr>
        <w:t xml:space="preserve">focused on </w:t>
      </w:r>
      <w:r w:rsidR="005919DC">
        <w:rPr>
          <w:rFonts w:ascii="Times New Roman" w:eastAsia="Times New Roman" w:hAnsi="Times New Roman" w:cs="Times New Roman"/>
          <w:noProof/>
          <w:sz w:val="24"/>
          <w:szCs w:val="24"/>
        </w:rPr>
        <w:t>continuing</w:t>
      </w:r>
      <w:r w:rsidR="005919DC" w:rsidRPr="00FB72F4">
        <w:rPr>
          <w:rFonts w:ascii="Times New Roman" w:hAnsi="Times New Roman"/>
          <w:noProof/>
          <w:sz w:val="24"/>
        </w:rPr>
        <w:t xml:space="preserve"> </w:t>
      </w:r>
      <w:r w:rsidRPr="00FB72F4">
        <w:rPr>
          <w:rFonts w:ascii="Times New Roman" w:hAnsi="Times New Roman"/>
          <w:noProof/>
          <w:sz w:val="24"/>
        </w:rPr>
        <w:t>flagship</w:t>
      </w:r>
      <w:r w:rsidR="00521F40" w:rsidRPr="00FB72F4">
        <w:rPr>
          <w:rFonts w:ascii="Times New Roman" w:hAnsi="Times New Roman"/>
          <w:noProof/>
          <w:sz w:val="24"/>
        </w:rPr>
        <w:t xml:space="preserve"> initiatives</w:t>
      </w:r>
      <w:r w:rsidR="00F42B39" w:rsidRPr="00FB72F4">
        <w:rPr>
          <w:rFonts w:ascii="Times New Roman" w:hAnsi="Times New Roman"/>
          <w:noProof/>
          <w:sz w:val="24"/>
        </w:rPr>
        <w:t xml:space="preserve">, such as </w:t>
      </w:r>
      <w:r w:rsidRPr="00FB72F4">
        <w:rPr>
          <w:rFonts w:ascii="Times New Roman" w:hAnsi="Times New Roman"/>
          <w:noProof/>
          <w:sz w:val="24"/>
        </w:rPr>
        <w:t xml:space="preserve">the </w:t>
      </w:r>
      <w:r w:rsidR="00F42B39" w:rsidRPr="00FB72F4">
        <w:rPr>
          <w:rFonts w:ascii="Times New Roman" w:hAnsi="Times New Roman"/>
          <w:noProof/>
          <w:sz w:val="24"/>
        </w:rPr>
        <w:t xml:space="preserve">EU scholarships </w:t>
      </w:r>
      <w:r w:rsidR="00521F40" w:rsidRPr="00FB72F4">
        <w:rPr>
          <w:rFonts w:ascii="Times New Roman" w:hAnsi="Times New Roman"/>
          <w:noProof/>
          <w:sz w:val="24"/>
        </w:rPr>
        <w:t xml:space="preserve">programme </w:t>
      </w:r>
      <w:r w:rsidR="00F42B39" w:rsidRPr="00FB72F4">
        <w:rPr>
          <w:rFonts w:ascii="Times New Roman" w:hAnsi="Times New Roman"/>
          <w:noProof/>
          <w:sz w:val="24"/>
        </w:rPr>
        <w:t>and confidence</w:t>
      </w:r>
      <w:r w:rsidR="003A6045" w:rsidRPr="00FB72F4">
        <w:rPr>
          <w:rFonts w:ascii="Times New Roman" w:hAnsi="Times New Roman"/>
          <w:noProof/>
          <w:sz w:val="24"/>
        </w:rPr>
        <w:t>-</w:t>
      </w:r>
      <w:r w:rsidR="00F42B39" w:rsidRPr="00FB72F4">
        <w:rPr>
          <w:rFonts w:ascii="Times New Roman" w:hAnsi="Times New Roman"/>
          <w:noProof/>
          <w:sz w:val="24"/>
        </w:rPr>
        <w:t xml:space="preserve">building measures in support </w:t>
      </w:r>
      <w:r w:rsidR="003A6045" w:rsidRPr="00FB72F4">
        <w:rPr>
          <w:rFonts w:ascii="Times New Roman" w:hAnsi="Times New Roman"/>
          <w:noProof/>
          <w:sz w:val="24"/>
        </w:rPr>
        <w:t xml:space="preserve">of </w:t>
      </w:r>
      <w:r w:rsidR="00F42B39" w:rsidRPr="00FB72F4">
        <w:rPr>
          <w:rFonts w:ascii="Times New Roman" w:hAnsi="Times New Roman"/>
          <w:noProof/>
          <w:sz w:val="24"/>
        </w:rPr>
        <w:t xml:space="preserve">the </w:t>
      </w:r>
      <w:r w:rsidR="003D754B" w:rsidRPr="00FB72F4">
        <w:rPr>
          <w:rFonts w:ascii="Times New Roman" w:hAnsi="Times New Roman"/>
          <w:noProof/>
          <w:sz w:val="24"/>
        </w:rPr>
        <w:t>Technical Committee on Cultural Heritage</w:t>
      </w:r>
      <w:r w:rsidR="005919DC" w:rsidRPr="00FB72F4">
        <w:rPr>
          <w:rFonts w:ascii="Times New Roman" w:hAnsi="Times New Roman"/>
          <w:noProof/>
          <w:sz w:val="24"/>
        </w:rPr>
        <w:t xml:space="preserve">, the </w:t>
      </w:r>
      <w:r w:rsidR="003D754B" w:rsidRPr="00FB72F4">
        <w:rPr>
          <w:rFonts w:ascii="Times New Roman" w:hAnsi="Times New Roman"/>
          <w:noProof/>
          <w:sz w:val="24"/>
        </w:rPr>
        <w:t xml:space="preserve">Committee </w:t>
      </w:r>
      <w:r w:rsidR="005919DC" w:rsidRPr="00FB72F4">
        <w:rPr>
          <w:rFonts w:ascii="Times New Roman" w:hAnsi="Times New Roman"/>
          <w:noProof/>
          <w:sz w:val="24"/>
        </w:rPr>
        <w:t xml:space="preserve">on </w:t>
      </w:r>
      <w:r w:rsidR="003D754B" w:rsidRPr="00FB72F4">
        <w:rPr>
          <w:rFonts w:ascii="Times New Roman" w:hAnsi="Times New Roman"/>
          <w:noProof/>
          <w:sz w:val="24"/>
        </w:rPr>
        <w:t>Missing Persons</w:t>
      </w:r>
      <w:r w:rsidR="005919DC" w:rsidRPr="00FB72F4">
        <w:rPr>
          <w:rFonts w:ascii="Times New Roman" w:hAnsi="Times New Roman"/>
          <w:noProof/>
          <w:sz w:val="24"/>
        </w:rPr>
        <w:t xml:space="preserve">, initiatives of the </w:t>
      </w:r>
      <w:r w:rsidR="003D754B" w:rsidRPr="00FB72F4">
        <w:rPr>
          <w:rFonts w:ascii="Times New Roman" w:hAnsi="Times New Roman"/>
          <w:noProof/>
          <w:sz w:val="24"/>
        </w:rPr>
        <w:t>bi-communal Technical Committees</w:t>
      </w:r>
      <w:r w:rsidR="002C78DD" w:rsidRPr="00FB72F4">
        <w:rPr>
          <w:rFonts w:ascii="Times New Roman" w:hAnsi="Times New Roman"/>
          <w:noProof/>
          <w:sz w:val="24"/>
        </w:rPr>
        <w:t>,</w:t>
      </w:r>
      <w:r w:rsidR="00521F40" w:rsidRPr="00FB72F4">
        <w:rPr>
          <w:rFonts w:ascii="Times New Roman" w:hAnsi="Times New Roman"/>
          <w:noProof/>
          <w:sz w:val="24"/>
        </w:rPr>
        <w:t xml:space="preserve"> </w:t>
      </w:r>
      <w:r w:rsidR="005405E1" w:rsidRPr="00FB72F4">
        <w:rPr>
          <w:rFonts w:ascii="Times New Roman" w:hAnsi="Times New Roman"/>
          <w:noProof/>
          <w:sz w:val="24"/>
        </w:rPr>
        <w:t xml:space="preserve">as well as </w:t>
      </w:r>
      <w:r w:rsidR="002C78DD" w:rsidRPr="00FB72F4">
        <w:rPr>
          <w:rFonts w:ascii="Times New Roman" w:hAnsi="Times New Roman"/>
          <w:noProof/>
          <w:sz w:val="24"/>
        </w:rPr>
        <w:t>encouraging and enabling</w:t>
      </w:r>
      <w:r w:rsidR="005405E1" w:rsidRPr="00FB72F4">
        <w:rPr>
          <w:rFonts w:ascii="Times New Roman" w:hAnsi="Times New Roman"/>
          <w:noProof/>
          <w:sz w:val="24"/>
        </w:rPr>
        <w:t xml:space="preserve"> trade across the Green Line</w:t>
      </w:r>
      <w:r w:rsidR="000A5319" w:rsidRPr="00FB72F4">
        <w:rPr>
          <w:rFonts w:ascii="Times New Roman" w:hAnsi="Times New Roman"/>
          <w:noProof/>
          <w:sz w:val="24"/>
        </w:rPr>
        <w:t>.</w:t>
      </w:r>
    </w:p>
    <w:p w14:paraId="33034A98" w14:textId="752B4C21" w:rsidR="00AC1074" w:rsidRPr="00FB72F4" w:rsidRDefault="004C178A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>S</w:t>
      </w:r>
      <w:r w:rsidR="00F42B39" w:rsidRPr="00FB72F4">
        <w:rPr>
          <w:rFonts w:ascii="Times New Roman,Calibri" w:hAnsi="Times New Roman,Calibri"/>
          <w:noProof/>
          <w:sz w:val="24"/>
        </w:rPr>
        <w:t>upport</w:t>
      </w:r>
      <w:r w:rsidRPr="00FB72F4">
        <w:rPr>
          <w:rFonts w:ascii="Times New Roman,Calibri" w:hAnsi="Times New Roman,Calibri"/>
          <w:noProof/>
          <w:sz w:val="24"/>
        </w:rPr>
        <w:t xml:space="preserve"> to the economic development of the community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 remains an essential</w:t>
      </w:r>
      <w:r w:rsidR="00A36E41" w:rsidRPr="00FB72F4">
        <w:rPr>
          <w:rFonts w:ascii="Times New Roman,Calibri" w:hAnsi="Times New Roman,Calibri"/>
          <w:noProof/>
          <w:sz w:val="24"/>
        </w:rPr>
        <w:t xml:space="preserve"> </w:t>
      </w:r>
      <w:r w:rsidR="00610096" w:rsidRPr="00FB72F4">
        <w:rPr>
          <w:rFonts w:ascii="Times New Roman,Calibri" w:hAnsi="Times New Roman,Calibri"/>
          <w:noProof/>
          <w:sz w:val="24"/>
        </w:rPr>
        <w:t xml:space="preserve">feature 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of the programme. </w:t>
      </w:r>
      <w:r w:rsidR="00E77A62" w:rsidRPr="00FB72F4">
        <w:rPr>
          <w:rFonts w:ascii="Times New Roman,Calibri" w:hAnsi="Times New Roman,Calibri"/>
          <w:noProof/>
          <w:sz w:val="24"/>
        </w:rPr>
        <w:t>A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ssistance </w:t>
      </w:r>
      <w:r w:rsidR="003A6045" w:rsidRPr="00FB72F4">
        <w:rPr>
          <w:rFonts w:ascii="Times New Roman,Calibri" w:hAnsi="Times New Roman,Calibri"/>
          <w:noProof/>
          <w:sz w:val="24"/>
        </w:rPr>
        <w:t xml:space="preserve">was </w:t>
      </w:r>
      <w:r w:rsidR="00F42B39" w:rsidRPr="00FB72F4">
        <w:rPr>
          <w:rFonts w:ascii="Times New Roman,Calibri" w:hAnsi="Times New Roman,Calibri"/>
          <w:noProof/>
          <w:sz w:val="24"/>
        </w:rPr>
        <w:t>provided to</w:t>
      </w:r>
      <w:r w:rsidR="00F81915" w:rsidRPr="00FB72F4">
        <w:rPr>
          <w:rFonts w:ascii="Times New Roman,Calibri" w:hAnsi="Times New Roman,Calibri"/>
          <w:noProof/>
          <w:sz w:val="24"/>
        </w:rPr>
        <w:t xml:space="preserve"> upgrade standards in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 key economic </w:t>
      </w:r>
      <w:r w:rsidR="00E64E76" w:rsidRPr="00FB72F4">
        <w:rPr>
          <w:rFonts w:ascii="Times New Roman,Calibri" w:hAnsi="Times New Roman,Calibri"/>
          <w:noProof/>
          <w:sz w:val="24"/>
        </w:rPr>
        <w:t xml:space="preserve">sectors </w:t>
      </w:r>
      <w:r w:rsidR="00F42B39" w:rsidRPr="00FB72F4">
        <w:rPr>
          <w:rFonts w:ascii="Times New Roman,Calibri" w:hAnsi="Times New Roman,Calibri"/>
          <w:noProof/>
          <w:sz w:val="24"/>
        </w:rPr>
        <w:t>through projects</w:t>
      </w:r>
      <w:r w:rsidR="00E64E76" w:rsidRPr="00FB72F4">
        <w:rPr>
          <w:rFonts w:ascii="Times New Roman,Calibri" w:hAnsi="Times New Roman,Calibri"/>
          <w:noProof/>
          <w:sz w:val="24"/>
        </w:rPr>
        <w:t xml:space="preserve"> </w:t>
      </w:r>
      <w:r w:rsidR="003822BA" w:rsidRPr="00FB72F4">
        <w:rPr>
          <w:rFonts w:ascii="Times New Roman,Calibri" w:hAnsi="Times New Roman,Calibri"/>
          <w:noProof/>
          <w:sz w:val="24"/>
        </w:rPr>
        <w:t xml:space="preserve">targeting </w:t>
      </w:r>
      <w:r w:rsidR="003A6045" w:rsidRPr="00FB72F4">
        <w:rPr>
          <w:rFonts w:ascii="Times New Roman,Calibri" w:hAnsi="Times New Roman,Calibri"/>
          <w:noProof/>
          <w:sz w:val="24"/>
        </w:rPr>
        <w:t xml:space="preserve">the </w:t>
      </w:r>
      <w:r w:rsidR="00F42B39" w:rsidRPr="00FB72F4">
        <w:rPr>
          <w:rFonts w:ascii="Times New Roman,Calibri" w:hAnsi="Times New Roman,Calibri"/>
          <w:noProof/>
          <w:sz w:val="24"/>
        </w:rPr>
        <w:t>private sector</w:t>
      </w:r>
      <w:r w:rsidR="00835493" w:rsidRPr="00FB72F4">
        <w:rPr>
          <w:rFonts w:ascii="Times New Roman,Calibri" w:hAnsi="Times New Roman,Calibri"/>
          <w:noProof/>
          <w:sz w:val="24"/>
        </w:rPr>
        <w:t xml:space="preserve"> and</w:t>
      </w:r>
      <w:r w:rsidR="003A6045" w:rsidRPr="00FB72F4">
        <w:rPr>
          <w:rFonts w:ascii="Times New Roman,Calibri" w:hAnsi="Times New Roman,Calibri"/>
          <w:noProof/>
          <w:sz w:val="24"/>
        </w:rPr>
        <w:t xml:space="preserve"> </w:t>
      </w:r>
      <w:r w:rsidR="00F81915" w:rsidRPr="00FB72F4">
        <w:rPr>
          <w:rFonts w:ascii="Times New Roman,Calibri" w:hAnsi="Times New Roman,Calibri"/>
          <w:noProof/>
          <w:sz w:val="24"/>
        </w:rPr>
        <w:t>food business operators</w:t>
      </w:r>
      <w:r w:rsidR="00E64E76" w:rsidRPr="00FB72F4">
        <w:rPr>
          <w:rFonts w:ascii="Times New Roman,Calibri" w:hAnsi="Times New Roman,Calibri"/>
          <w:noProof/>
          <w:sz w:val="24"/>
        </w:rPr>
        <w:t>.</w:t>
      </w:r>
      <w:r w:rsidR="00061186" w:rsidRPr="00FB72F4">
        <w:rPr>
          <w:rFonts w:ascii="Times New Roman,Calibri" w:hAnsi="Times New Roman,Calibri"/>
          <w:noProof/>
          <w:sz w:val="24"/>
        </w:rPr>
        <w:t xml:space="preserve"> </w:t>
      </w:r>
      <w:r w:rsidR="003822BA" w:rsidRPr="00FB72F4">
        <w:rPr>
          <w:rFonts w:ascii="Times New Roman,Calibri" w:hAnsi="Times New Roman,Calibri"/>
          <w:noProof/>
          <w:sz w:val="24"/>
        </w:rPr>
        <w:t xml:space="preserve">Significant </w:t>
      </w:r>
      <w:r w:rsidR="00521F40" w:rsidRPr="00FB72F4">
        <w:rPr>
          <w:rFonts w:ascii="Times New Roman,Calibri" w:hAnsi="Times New Roman,Calibri"/>
          <w:noProof/>
          <w:sz w:val="24"/>
        </w:rPr>
        <w:t xml:space="preserve">efforts were made </w:t>
      </w:r>
      <w:r w:rsidR="00E64E76" w:rsidRPr="00FB72F4">
        <w:rPr>
          <w:rFonts w:ascii="Times New Roman,Calibri" w:hAnsi="Times New Roman,Calibri"/>
          <w:noProof/>
          <w:sz w:val="24"/>
        </w:rPr>
        <w:t xml:space="preserve">to improve animal health </w:t>
      </w:r>
      <w:r w:rsidR="00F42B39" w:rsidRPr="00FB72F4">
        <w:rPr>
          <w:rFonts w:ascii="Times New Roman,Calibri" w:hAnsi="Times New Roman,Calibri"/>
          <w:noProof/>
          <w:sz w:val="24"/>
        </w:rPr>
        <w:t>and food safety</w:t>
      </w:r>
      <w:r w:rsidR="00E64E76" w:rsidRPr="00FB72F4">
        <w:rPr>
          <w:rFonts w:ascii="Times New Roman,Calibri" w:hAnsi="Times New Roman,Calibri"/>
          <w:noProof/>
          <w:sz w:val="24"/>
        </w:rPr>
        <w:t xml:space="preserve"> in the Turkish Cypriot community</w:t>
      </w:r>
      <w:r w:rsidR="00F42B39" w:rsidRPr="00FB72F4">
        <w:rPr>
          <w:rFonts w:ascii="Times New Roman,Calibri" w:hAnsi="Times New Roman,Calibri"/>
          <w:noProof/>
          <w:sz w:val="24"/>
        </w:rPr>
        <w:t>.</w:t>
      </w:r>
    </w:p>
    <w:p w14:paraId="1F974E4B" w14:textId="7F884FE4" w:rsidR="00A25FA3" w:rsidRPr="00FB72F4" w:rsidRDefault="00A25FA3" w:rsidP="00A87513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Commission continued </w:t>
      </w:r>
      <w:r w:rsidR="00E64E76" w:rsidRPr="00FB72F4">
        <w:rPr>
          <w:rFonts w:ascii="Times New Roman,Calibri" w:hAnsi="Times New Roman,Calibri"/>
          <w:noProof/>
          <w:sz w:val="24"/>
        </w:rPr>
        <w:t>to provide</w:t>
      </w:r>
      <w:r w:rsidR="005B0DEF" w:rsidRPr="00FB72F4">
        <w:rPr>
          <w:rFonts w:ascii="Times New Roman,Calibri" w:hAnsi="Times New Roman,Calibri"/>
          <w:noProof/>
          <w:sz w:val="24"/>
        </w:rPr>
        <w:t xml:space="preserve"> support </w:t>
      </w:r>
      <w:r w:rsidR="00E64E76" w:rsidRPr="00FB72F4">
        <w:rPr>
          <w:rFonts w:ascii="Times New Roman,Calibri" w:hAnsi="Times New Roman,Calibri"/>
          <w:noProof/>
          <w:sz w:val="24"/>
        </w:rPr>
        <w:t xml:space="preserve">to </w:t>
      </w:r>
      <w:r w:rsidRPr="00FB72F4">
        <w:rPr>
          <w:rFonts w:ascii="Times New Roman,Calibri" w:hAnsi="Times New Roman,Calibri"/>
          <w:noProof/>
          <w:sz w:val="24"/>
        </w:rPr>
        <w:t xml:space="preserve">the </w:t>
      </w:r>
      <w:r w:rsidR="00CC536D" w:rsidRPr="00FB72F4">
        <w:rPr>
          <w:rFonts w:ascii="Times New Roman,Calibri" w:hAnsi="Times New Roman,Calibri"/>
          <w:noProof/>
          <w:sz w:val="24"/>
        </w:rPr>
        <w:t xml:space="preserve">Turkish Cypriot community </w:t>
      </w:r>
      <w:r w:rsidRPr="00FB72F4">
        <w:rPr>
          <w:rFonts w:ascii="Times New Roman,Calibri" w:hAnsi="Times New Roman,Calibri"/>
          <w:noProof/>
          <w:sz w:val="24"/>
        </w:rPr>
        <w:t xml:space="preserve">to </w:t>
      </w:r>
      <w:r w:rsidR="00E64E76" w:rsidRPr="00FB72F4">
        <w:rPr>
          <w:rFonts w:ascii="Times New Roman,Calibri" w:hAnsi="Times New Roman,Calibri"/>
          <w:noProof/>
          <w:sz w:val="24"/>
        </w:rPr>
        <w:t xml:space="preserve">reach </w:t>
      </w:r>
      <w:r w:rsidRPr="00FB72F4">
        <w:rPr>
          <w:rFonts w:ascii="Times New Roman,Calibri" w:hAnsi="Times New Roman,Calibri"/>
          <w:noProof/>
          <w:sz w:val="24"/>
        </w:rPr>
        <w:t xml:space="preserve">the </w:t>
      </w:r>
      <w:r w:rsidR="00E64E76" w:rsidRPr="00FB72F4">
        <w:rPr>
          <w:rFonts w:ascii="Times New Roman,Calibri" w:hAnsi="Times New Roman,Calibri"/>
          <w:noProof/>
          <w:sz w:val="24"/>
        </w:rPr>
        <w:t xml:space="preserve">EU </w:t>
      </w:r>
      <w:r w:rsidRPr="00FB72F4">
        <w:rPr>
          <w:rFonts w:ascii="Times New Roman,Calibri" w:hAnsi="Times New Roman,Calibri"/>
          <w:noProof/>
          <w:sz w:val="24"/>
        </w:rPr>
        <w:t>standards set by the package of two measures adopted by the Commission in 2021</w:t>
      </w:r>
      <w:r w:rsidR="00610096" w:rsidRPr="00FB72F4">
        <w:rPr>
          <w:rFonts w:ascii="Times New Roman,Calibri" w:hAnsi="Times New Roman,Calibri"/>
          <w:noProof/>
          <w:sz w:val="24"/>
        </w:rPr>
        <w:t>,</w:t>
      </w:r>
      <w:r w:rsidRPr="00FB72F4">
        <w:rPr>
          <w:rFonts w:ascii="Times New Roman,Calibri" w:hAnsi="Times New Roman,Calibri"/>
          <w:noProof/>
          <w:sz w:val="24"/>
        </w:rPr>
        <w:t xml:space="preserve"> registering </w:t>
      </w:r>
      <w:r w:rsidR="00A87513">
        <w:rPr>
          <w:rFonts w:ascii="Times New Roman,Calibri" w:hAnsi="Times New Roman,Calibri"/>
          <w:noProof/>
          <w:sz w:val="24"/>
        </w:rPr>
        <w:t>‘</w:t>
      </w:r>
      <w:r w:rsidR="00A87513" w:rsidRPr="001602B0">
        <w:rPr>
          <w:rFonts w:ascii="Times New Roman" w:hAnsi="Times New Roman" w:cs="Times New Roman"/>
          <w:noProof/>
          <w:sz w:val="24"/>
        </w:rPr>
        <w:t>Χαλλούμι</w:t>
      </w:r>
      <w:r w:rsidR="00A87513">
        <w:rPr>
          <w:rFonts w:ascii="Times New Roman" w:hAnsi="Times New Roman" w:cs="Times New Roman"/>
          <w:noProof/>
          <w:sz w:val="24"/>
        </w:rPr>
        <w:t>’</w:t>
      </w:r>
      <w:r w:rsidR="00BB4C79">
        <w:rPr>
          <w:rFonts w:ascii="Times New Roman" w:hAnsi="Times New Roman" w:cs="Times New Roman"/>
          <w:noProof/>
          <w:sz w:val="24"/>
        </w:rPr>
        <w:t xml:space="preserve"> </w:t>
      </w:r>
      <w:r w:rsidR="00BB4C3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Halloumi</w:t>
      </w:r>
      <w:r w:rsidR="00BB4C3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/</w:t>
      </w:r>
      <w:r w:rsidR="00BB4C3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Hellim</w:t>
      </w:r>
      <w:r w:rsidR="00974A64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Pr="00FB72F4">
        <w:rPr>
          <w:rFonts w:ascii="Times New Roman,Calibri" w:hAnsi="Times New Roman,Calibri"/>
          <w:noProof/>
          <w:sz w:val="24"/>
        </w:rPr>
        <w:t xml:space="preserve"> as a </w:t>
      </w:r>
      <w:r w:rsidR="00D73E47" w:rsidRPr="00FB72F4">
        <w:rPr>
          <w:rFonts w:ascii="Times New Roman,Calibri" w:hAnsi="Times New Roman,Calibri"/>
          <w:noProof/>
          <w:sz w:val="24"/>
        </w:rPr>
        <w:t>p</w:t>
      </w:r>
      <w:r w:rsidRPr="00FB72F4">
        <w:rPr>
          <w:rFonts w:ascii="Times New Roman,Calibri" w:hAnsi="Times New Roman,Calibri"/>
          <w:noProof/>
          <w:sz w:val="24"/>
        </w:rPr>
        <w:t xml:space="preserve">rotected </w:t>
      </w:r>
      <w:r w:rsidR="00D73E47" w:rsidRPr="00FB72F4">
        <w:rPr>
          <w:rFonts w:ascii="Times New Roman,Calibri" w:hAnsi="Times New Roman,Calibri"/>
          <w:noProof/>
          <w:sz w:val="24"/>
        </w:rPr>
        <w:t>d</w:t>
      </w:r>
      <w:r w:rsidRPr="00FB72F4">
        <w:rPr>
          <w:rFonts w:ascii="Times New Roman,Calibri" w:hAnsi="Times New Roman,Calibri"/>
          <w:noProof/>
          <w:sz w:val="24"/>
        </w:rPr>
        <w:t xml:space="preserve">esignation of </w:t>
      </w:r>
      <w:r w:rsidR="00D73E47" w:rsidRPr="00FB72F4">
        <w:rPr>
          <w:rFonts w:ascii="Times New Roman,Calibri" w:hAnsi="Times New Roman,Calibri"/>
          <w:noProof/>
          <w:sz w:val="24"/>
        </w:rPr>
        <w:t>o</w:t>
      </w:r>
      <w:r w:rsidRPr="00FB72F4">
        <w:rPr>
          <w:rFonts w:ascii="Times New Roman,Calibri" w:hAnsi="Times New Roman,Calibri"/>
          <w:noProof/>
          <w:sz w:val="24"/>
        </w:rPr>
        <w:t xml:space="preserve">rigin </w:t>
      </w:r>
      <w:r w:rsidR="005C11A9" w:rsidRPr="00FB72F4">
        <w:rPr>
          <w:rFonts w:ascii="Times New Roman,Calibri" w:hAnsi="Times New Roman,Calibri"/>
          <w:noProof/>
          <w:sz w:val="24"/>
        </w:rPr>
        <w:t xml:space="preserve">(PDO) </w:t>
      </w:r>
      <w:r w:rsidRPr="00FB72F4">
        <w:rPr>
          <w:rFonts w:ascii="Times New Roman,Calibri" w:hAnsi="Times New Roman,Calibri"/>
          <w:noProof/>
          <w:sz w:val="24"/>
        </w:rPr>
        <w:t xml:space="preserve">and laying down the conditions for </w:t>
      </w:r>
      <w:r w:rsidR="00E64E76" w:rsidRPr="00FB72F4">
        <w:rPr>
          <w:rFonts w:ascii="Times New Roman,Calibri" w:hAnsi="Times New Roman,Calibri"/>
          <w:noProof/>
          <w:sz w:val="24"/>
        </w:rPr>
        <w:t xml:space="preserve">the </w:t>
      </w:r>
      <w:r w:rsidRPr="00FB72F4">
        <w:rPr>
          <w:rFonts w:ascii="Times New Roman,Calibri" w:hAnsi="Times New Roman,Calibri"/>
          <w:noProof/>
          <w:sz w:val="24"/>
        </w:rPr>
        <w:t>movement of this product over the Green Line</w:t>
      </w:r>
      <w:r w:rsidR="00025D5D" w:rsidRPr="00FB72F4">
        <w:rPr>
          <w:rFonts w:ascii="Times New Roman,Calibri" w:hAnsi="Times New Roman,Calibri"/>
          <w:noProof/>
          <w:sz w:val="24"/>
        </w:rPr>
        <w:t>.</w:t>
      </w:r>
      <w:r w:rsidR="005405E1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The Commission</w:t>
      </w:r>
      <w:r w:rsidR="00334793" w:rsidRPr="00FB72F4">
        <w:rPr>
          <w:rFonts w:ascii="Times New Roman,Calibri" w:hAnsi="Times New Roman,Calibri"/>
          <w:noProof/>
          <w:sz w:val="24"/>
        </w:rPr>
        <w:t xml:space="preserve"> also</w:t>
      </w:r>
      <w:r w:rsidRPr="00FB72F4">
        <w:rPr>
          <w:rFonts w:ascii="Times New Roman,Calibri" w:hAnsi="Times New Roman,Calibri"/>
          <w:noProof/>
          <w:sz w:val="24"/>
        </w:rPr>
        <w:t xml:space="preserve"> </w:t>
      </w:r>
      <w:r w:rsidR="00A36E41" w:rsidRPr="00FB72F4">
        <w:rPr>
          <w:rFonts w:ascii="Times New Roman,Calibri" w:hAnsi="Times New Roman,Calibri"/>
          <w:noProof/>
          <w:sz w:val="24"/>
        </w:rPr>
        <w:t>continued to convene the</w:t>
      </w:r>
      <w:r w:rsidRPr="00FB72F4">
        <w:rPr>
          <w:rFonts w:ascii="Times New Roman,Calibri" w:hAnsi="Times New Roman,Calibri"/>
          <w:noProof/>
          <w:sz w:val="24"/>
        </w:rPr>
        <w:t xml:space="preserve"> informal </w:t>
      </w:r>
      <w:r w:rsidR="00B92B78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working group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on </w:t>
      </w:r>
      <w:r w:rsidR="00BB4C3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Halloumi</w:t>
      </w:r>
      <w:r w:rsidR="00BB4C3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/</w:t>
      </w:r>
      <w:r w:rsidR="00BB4C3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Hellim</w:t>
      </w:r>
      <w:r w:rsidR="00BB4C3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="00E64E76" w:rsidRPr="00FB72F4">
        <w:rPr>
          <w:rFonts w:ascii="Times New Roman,Calibri" w:hAnsi="Times New Roman,Calibri"/>
          <w:noProof/>
          <w:sz w:val="24"/>
        </w:rPr>
        <w:t>,</w:t>
      </w:r>
      <w:r w:rsidRPr="00FB72F4">
        <w:rPr>
          <w:rFonts w:ascii="Times New Roman,Calibri" w:hAnsi="Times New Roman,Calibri"/>
          <w:noProof/>
          <w:sz w:val="24"/>
        </w:rPr>
        <w:t xml:space="preserve"> bringing together stakeholders from both Cypriot communities.</w:t>
      </w:r>
    </w:p>
    <w:p w14:paraId="66918B4C" w14:textId="4A12E478" w:rsidR="00515E31" w:rsidRPr="00FB72F4" w:rsidRDefault="00182638" w:rsidP="00515E31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Significant</w:t>
      </w:r>
      <w:r w:rsidRPr="00FB72F4">
        <w:rPr>
          <w:rFonts w:ascii="Times New Roman,Calibri" w:hAnsi="Times New Roman,Calibri"/>
          <w:noProof/>
          <w:sz w:val="24"/>
        </w:rPr>
        <w:t xml:space="preserve"> </w:t>
      </w:r>
      <w:r w:rsidR="00515E31" w:rsidRPr="00FB72F4">
        <w:rPr>
          <w:rFonts w:ascii="Times New Roman,Calibri" w:hAnsi="Times New Roman,Calibri"/>
          <w:noProof/>
          <w:sz w:val="24"/>
        </w:rPr>
        <w:t>EU</w:t>
      </w:r>
      <w:r w:rsidR="0050756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-</w:t>
      </w:r>
      <w:r w:rsidR="00515E31" w:rsidRPr="00FB72F4">
        <w:rPr>
          <w:rFonts w:ascii="Times New Roman,Calibri" w:hAnsi="Times New Roman,Calibri"/>
          <w:noProof/>
          <w:sz w:val="24"/>
        </w:rPr>
        <w:t xml:space="preserve">funded infrastructures were completed in 2024, including </w:t>
      </w:r>
      <w:r w:rsidR="00515E31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Nicosia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="00515E31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s</w:t>
      </w:r>
      <w:r w:rsidR="00515E31" w:rsidRPr="00FB72F4">
        <w:rPr>
          <w:rFonts w:ascii="Times New Roman,Calibri" w:hAnsi="Times New Roman,Calibri"/>
          <w:noProof/>
          <w:sz w:val="24"/>
        </w:rPr>
        <w:t xml:space="preserve"> sewage pipeline replacement, </w:t>
      </w:r>
      <w:r w:rsidR="000865D4" w:rsidRPr="00FB72F4">
        <w:rPr>
          <w:rFonts w:ascii="Times New Roman,Calibri" w:hAnsi="Times New Roman,Calibri"/>
          <w:noProof/>
          <w:sz w:val="24"/>
        </w:rPr>
        <w:t>water</w:t>
      </w:r>
      <w:r w:rsidR="00515E31" w:rsidRPr="00FB72F4">
        <w:rPr>
          <w:rFonts w:ascii="Times New Roman,Calibri" w:hAnsi="Times New Roman,Calibri"/>
          <w:noProof/>
          <w:sz w:val="24"/>
        </w:rPr>
        <w:t xml:space="preserve"> systems </w:t>
      </w:r>
      <w:r w:rsidR="000865D4" w:rsidRPr="00FB72F4">
        <w:rPr>
          <w:rFonts w:ascii="Times New Roman,Calibri" w:hAnsi="Times New Roman,Calibri"/>
          <w:noProof/>
          <w:sz w:val="24"/>
        </w:rPr>
        <w:t>installations, youth sports facilities, and renewable energy systems</w:t>
      </w:r>
      <w:r w:rsidR="00515E31" w:rsidRPr="00FB72F4">
        <w:rPr>
          <w:rFonts w:ascii="Times New Roman,Calibri" w:hAnsi="Times New Roman,Calibri"/>
          <w:noProof/>
          <w:sz w:val="24"/>
        </w:rPr>
        <w:t xml:space="preserve">. The Famagusta sewerage network was completed without defects, and a study for </w:t>
      </w:r>
      <w:r w:rsidR="000865D4" w:rsidRPr="00FB72F4">
        <w:rPr>
          <w:rFonts w:ascii="Times New Roman,Calibri" w:hAnsi="Times New Roman,Calibri"/>
          <w:noProof/>
          <w:sz w:val="24"/>
        </w:rPr>
        <w:t>a first</w:t>
      </w:r>
      <w:r w:rsidR="00515E31" w:rsidRPr="00FB72F4">
        <w:rPr>
          <w:rFonts w:ascii="Times New Roman,Calibri" w:hAnsi="Times New Roman,Calibri"/>
          <w:noProof/>
          <w:sz w:val="24"/>
        </w:rPr>
        <w:t xml:space="preserve"> bi-communal solar plant was shared. </w:t>
      </w:r>
      <w:r w:rsidR="000865D4" w:rsidRPr="00FB72F4">
        <w:rPr>
          <w:rFonts w:ascii="Times New Roman,Calibri" w:hAnsi="Times New Roman,Calibri"/>
          <w:noProof/>
          <w:sz w:val="24"/>
        </w:rPr>
        <w:t>The Commission continued to support the environmental sectors by</w:t>
      </w:r>
      <w:r w:rsidR="00515E31" w:rsidRPr="00FB72F4">
        <w:rPr>
          <w:rFonts w:ascii="Times New Roman,Calibri" w:hAnsi="Times New Roman,Calibri"/>
          <w:noProof/>
          <w:sz w:val="24"/>
        </w:rPr>
        <w:t xml:space="preserve"> addressing topics </w:t>
      </w:r>
      <w:r w:rsidR="000865D4" w:rsidRPr="00FB72F4">
        <w:rPr>
          <w:rFonts w:ascii="Times New Roman,Calibri" w:hAnsi="Times New Roman,Calibri"/>
          <w:noProof/>
          <w:sz w:val="24"/>
        </w:rPr>
        <w:t xml:space="preserve">of island-wide importance such as </w:t>
      </w:r>
      <w:r w:rsidR="002C278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the </w:t>
      </w:r>
      <w:r w:rsidR="00515E31" w:rsidRPr="00FB72F4">
        <w:rPr>
          <w:rFonts w:ascii="Times New Roman,Calibri" w:hAnsi="Times New Roman,Calibri"/>
          <w:noProof/>
          <w:sz w:val="24"/>
        </w:rPr>
        <w:t>circular economy and air quality</w:t>
      </w:r>
      <w:r w:rsidR="000865D4" w:rsidRPr="00FB72F4">
        <w:rPr>
          <w:rFonts w:ascii="Times New Roman,Calibri" w:hAnsi="Times New Roman,Calibri"/>
          <w:noProof/>
          <w:sz w:val="24"/>
        </w:rPr>
        <w:t>.</w:t>
      </w:r>
    </w:p>
    <w:p w14:paraId="22355E25" w14:textId="2E81DCF6" w:rsidR="006C615B" w:rsidRPr="00FB72F4" w:rsidRDefault="007B34C0" w:rsidP="00BC71E2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There are still considerable gaps in </w:t>
      </w:r>
      <w:r w:rsidR="00A87513">
        <w:rPr>
          <w:rFonts w:ascii="Times New Roman,Calibri" w:hAnsi="Times New Roman,Calibri"/>
          <w:noProof/>
          <w:sz w:val="24"/>
        </w:rPr>
        <w:t xml:space="preserve">beneficiaries’ </w:t>
      </w:r>
      <w:r w:rsidRPr="00FB72F4">
        <w:rPr>
          <w:rFonts w:ascii="Times New Roman,Calibri" w:hAnsi="Times New Roman,Calibri"/>
          <w:noProof/>
          <w:sz w:val="24"/>
        </w:rPr>
        <w:t xml:space="preserve">capacity to effectively implement the </w:t>
      </w:r>
      <w:r w:rsidRPr="00FB72F4">
        <w:rPr>
          <w:rFonts w:ascii="Times New Roman,Calibri" w:hAnsi="Times New Roman,Calibri"/>
          <w:i/>
          <w:noProof/>
          <w:sz w:val="24"/>
        </w:rPr>
        <w:t>acquis</w:t>
      </w:r>
      <w:r w:rsidRPr="00FB72F4">
        <w:rPr>
          <w:rFonts w:ascii="Times New Roman,Calibri" w:hAnsi="Times New Roman,Calibri"/>
          <w:noProof/>
          <w:sz w:val="24"/>
        </w:rPr>
        <w:t xml:space="preserve"> upon the entry into force of a comprehensive settlement. 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However, the </w:t>
      </w:r>
      <w:r w:rsidR="00CC536D" w:rsidRPr="00FB72F4">
        <w:rPr>
          <w:rFonts w:ascii="Times New Roman,Calibri" w:hAnsi="Times New Roman,Calibri"/>
          <w:noProof/>
          <w:sz w:val="24"/>
        </w:rPr>
        <w:t xml:space="preserve">Turkish Cypriot community </w:t>
      </w:r>
      <w:r w:rsidR="00F42B39" w:rsidRPr="00FB72F4">
        <w:rPr>
          <w:rFonts w:ascii="Times New Roman,Calibri" w:hAnsi="Times New Roman,Calibri"/>
          <w:noProof/>
          <w:sz w:val="24"/>
        </w:rPr>
        <w:t>continued to make good progress in a number of areas</w:t>
      </w:r>
      <w:r w:rsidR="00034251" w:rsidRPr="00FB72F4">
        <w:rPr>
          <w:rFonts w:ascii="Times New Roman,Calibri" w:hAnsi="Times New Roman,Calibri"/>
          <w:noProof/>
          <w:sz w:val="24"/>
        </w:rPr>
        <w:t>,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 </w:t>
      </w:r>
      <w:r w:rsidR="00034251" w:rsidRPr="00FB72F4">
        <w:rPr>
          <w:rFonts w:ascii="Times New Roman,Calibri" w:hAnsi="Times New Roman,Calibri"/>
          <w:noProof/>
          <w:sz w:val="24"/>
        </w:rPr>
        <w:t xml:space="preserve">such as </w:t>
      </w:r>
      <w:r w:rsidRPr="00FB72F4">
        <w:rPr>
          <w:rFonts w:ascii="Times New Roman,Calibri" w:hAnsi="Times New Roman,Calibri"/>
          <w:noProof/>
          <w:sz w:val="24"/>
        </w:rPr>
        <w:t xml:space="preserve">product safety, anti-money laundering, education, statistics and environment, and </w:t>
      </w:r>
      <w:r w:rsidR="00C160C1" w:rsidRPr="00FB72F4">
        <w:rPr>
          <w:rFonts w:ascii="Times New Roman,Calibri" w:hAnsi="Times New Roman,Calibri"/>
          <w:noProof/>
          <w:sz w:val="24"/>
        </w:rPr>
        <w:t>show</w:t>
      </w:r>
      <w:r w:rsidRPr="00FB72F4">
        <w:rPr>
          <w:rFonts w:ascii="Times New Roman,Calibri" w:hAnsi="Times New Roman,Calibri"/>
          <w:noProof/>
          <w:sz w:val="24"/>
        </w:rPr>
        <w:t>ed</w:t>
      </w:r>
      <w:r w:rsidR="00C160C1" w:rsidRPr="00FB72F4">
        <w:rPr>
          <w:rFonts w:ascii="Times New Roman,Calibri" w:hAnsi="Times New Roman,Calibri"/>
          <w:noProof/>
          <w:sz w:val="24"/>
        </w:rPr>
        <w:t xml:space="preserve"> </w:t>
      </w:r>
      <w:r w:rsidR="002C78DD" w:rsidRPr="00FB72F4">
        <w:rPr>
          <w:rFonts w:ascii="Times New Roman,Calibri" w:hAnsi="Times New Roman,Calibri"/>
          <w:noProof/>
          <w:sz w:val="24"/>
        </w:rPr>
        <w:t>continuous</w:t>
      </w:r>
      <w:r w:rsidR="00C160C1" w:rsidRPr="00FB72F4">
        <w:rPr>
          <w:rFonts w:ascii="Times New Roman,Calibri" w:hAnsi="Times New Roman,Calibri"/>
          <w:noProof/>
          <w:sz w:val="24"/>
        </w:rPr>
        <w:t xml:space="preserve"> interest to work in </w:t>
      </w:r>
      <w:r w:rsidRPr="00FB72F4">
        <w:rPr>
          <w:rFonts w:ascii="Times New Roman,Calibri" w:hAnsi="Times New Roman,Calibri"/>
          <w:noProof/>
          <w:sz w:val="24"/>
        </w:rPr>
        <w:t>additional</w:t>
      </w:r>
      <w:r w:rsidR="00C160C1" w:rsidRPr="00FB72F4">
        <w:rPr>
          <w:rFonts w:ascii="Times New Roman,Calibri" w:hAnsi="Times New Roman,Calibri"/>
          <w:noProof/>
          <w:sz w:val="24"/>
        </w:rPr>
        <w:t xml:space="preserve"> sectors and areas.</w:t>
      </w:r>
    </w:p>
    <w:p w14:paraId="0D488B0C" w14:textId="7FE45859" w:rsidR="00BC71E2" w:rsidRPr="00FB72F4" w:rsidRDefault="00F42B39" w:rsidP="00051F7E">
      <w:pPr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At the end of the year, </w:t>
      </w:r>
      <w:r w:rsidR="007C634A" w:rsidRPr="00FB72F4">
        <w:rPr>
          <w:rFonts w:ascii="Times New Roman,Calibri" w:hAnsi="Times New Roman,Calibri"/>
          <w:noProof/>
          <w:sz w:val="24"/>
        </w:rPr>
        <w:t xml:space="preserve">98 </w:t>
      </w:r>
      <w:r w:rsidRPr="00FB72F4">
        <w:rPr>
          <w:rFonts w:ascii="Times New Roman,Calibri" w:hAnsi="Times New Roman,Calibri"/>
          <w:noProof/>
          <w:sz w:val="24"/>
        </w:rPr>
        <w:t xml:space="preserve">contracts were running under the </w:t>
      </w:r>
      <w:r w:rsidR="0045361D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aid programme</w:t>
      </w:r>
      <w:r w:rsidR="0045361D" w:rsidRPr="00FB72F4">
        <w:rPr>
          <w:rFonts w:ascii="Times New Roman,Calibri" w:hAnsi="Times New Roman,Calibri"/>
          <w:noProof/>
          <w:sz w:val="24"/>
        </w:rPr>
        <w:t>.</w:t>
      </w:r>
    </w:p>
    <w:p w14:paraId="0DF18F73" w14:textId="308F6B78" w:rsidR="006C615B" w:rsidRPr="00FB72F4" w:rsidRDefault="00F42B39">
      <w:pPr>
        <w:numPr>
          <w:ilvl w:val="1"/>
          <w:numId w:val="3"/>
        </w:numPr>
        <w:spacing w:before="120" w:after="120" w:line="240" w:lineRule="auto"/>
        <w:ind w:left="851" w:hanging="851"/>
        <w:jc w:val="both"/>
        <w:outlineLvl w:val="1"/>
        <w:rPr>
          <w:rFonts w:ascii="Times New Roman" w:hAnsi="Times New Roman"/>
          <w:b/>
          <w:noProof/>
          <w:sz w:val="24"/>
        </w:rPr>
      </w:pPr>
      <w:r w:rsidRPr="00FB72F4">
        <w:rPr>
          <w:rFonts w:ascii="Times New Roman" w:hAnsi="Times New Roman"/>
          <w:b/>
          <w:noProof/>
          <w:sz w:val="24"/>
        </w:rPr>
        <w:t>Progress by objectives</w:t>
      </w:r>
    </w:p>
    <w:p w14:paraId="0718DA3D" w14:textId="761E3834" w:rsidR="006C615B" w:rsidRPr="00FB72F4" w:rsidRDefault="00F42B39" w:rsidP="00F60926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overall objective of the </w:t>
      </w:r>
      <w:r w:rsidR="0045361D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aid programme</w:t>
      </w:r>
      <w:r w:rsidRPr="00FB72F4">
        <w:rPr>
          <w:rFonts w:ascii="Times New Roman,Calibri" w:hAnsi="Times New Roman,Calibri"/>
          <w:noProof/>
          <w:sz w:val="24"/>
        </w:rPr>
        <w:t xml:space="preserve"> is to facilitate the reunification of Cyprus by encouraging the economic development of the </w:t>
      </w:r>
      <w:r w:rsidR="00CC536D" w:rsidRPr="00FB72F4">
        <w:rPr>
          <w:rFonts w:ascii="Times New Roman,Calibri" w:hAnsi="Times New Roman,Calibri"/>
          <w:noProof/>
          <w:sz w:val="24"/>
        </w:rPr>
        <w:t>Turkish Cypriot community</w:t>
      </w:r>
      <w:r w:rsidRPr="00FB72F4">
        <w:rPr>
          <w:rFonts w:ascii="Times New Roman,Calibri" w:hAnsi="Times New Roman,Calibri"/>
          <w:noProof/>
          <w:sz w:val="24"/>
        </w:rPr>
        <w:t xml:space="preserve">, with particular emphasis on the economic integration of the island, on improving contacts between the two communities and with the EU, and on preparation for the </w:t>
      </w:r>
      <w:r w:rsidR="00924858" w:rsidRPr="00FB72F4">
        <w:rPr>
          <w:rFonts w:ascii="Times New Roman,Calibri" w:hAnsi="Times New Roman,Calibri"/>
          <w:i/>
          <w:noProof/>
          <w:sz w:val="24"/>
        </w:rPr>
        <w:t>acquis</w:t>
      </w:r>
      <w:r w:rsidRPr="00FB72F4">
        <w:rPr>
          <w:rFonts w:ascii="Times New Roman,Calibri" w:hAnsi="Times New Roman,Calibri"/>
          <w:noProof/>
          <w:sz w:val="24"/>
        </w:rPr>
        <w:t>.</w:t>
      </w:r>
    </w:p>
    <w:p w14:paraId="5F79171F" w14:textId="11482D3D" w:rsidR="006C615B" w:rsidRPr="00FB72F4" w:rsidRDefault="00F42B39" w:rsidP="00F60926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activities undertaken in </w:t>
      </w:r>
      <w:r w:rsidR="00D107E8" w:rsidRPr="00FB72F4">
        <w:rPr>
          <w:rFonts w:ascii="Times New Roman,Calibri" w:hAnsi="Times New Roman,Calibri"/>
          <w:noProof/>
          <w:sz w:val="24"/>
        </w:rPr>
        <w:t>202</w:t>
      </w:r>
      <w:r w:rsidR="00387A8D" w:rsidRPr="00FB72F4">
        <w:rPr>
          <w:rFonts w:ascii="Times New Roman,Calibri" w:hAnsi="Times New Roman,Calibri"/>
          <w:noProof/>
          <w:sz w:val="24"/>
        </w:rPr>
        <w:t>4</w:t>
      </w:r>
      <w:r w:rsidR="00D107E8" w:rsidRPr="00FB72F4">
        <w:rPr>
          <w:rFonts w:ascii="Times New Roman,Calibri" w:hAnsi="Times New Roman,Calibri"/>
          <w:noProof/>
          <w:sz w:val="24"/>
        </w:rPr>
        <w:t xml:space="preserve"> </w:t>
      </w:r>
      <w:r w:rsidR="00474E06" w:rsidRPr="00FB72F4">
        <w:rPr>
          <w:rFonts w:ascii="Times New Roman,Calibri" w:hAnsi="Times New Roman,Calibri"/>
          <w:noProof/>
          <w:sz w:val="24"/>
        </w:rPr>
        <w:t xml:space="preserve">are described below, for </w:t>
      </w:r>
      <w:r w:rsidRPr="00FB72F4">
        <w:rPr>
          <w:rFonts w:ascii="Times New Roman,Calibri" w:hAnsi="Times New Roman,Calibri"/>
          <w:noProof/>
          <w:sz w:val="24"/>
        </w:rPr>
        <w:t>each objective of the Aid Regulation</w:t>
      </w:r>
      <w:r w:rsidR="00474E06" w:rsidRPr="00FB72F4">
        <w:rPr>
          <w:rFonts w:ascii="Times New Roman,Calibri" w:hAnsi="Times New Roman,Calibri"/>
          <w:noProof/>
          <w:sz w:val="24"/>
        </w:rPr>
        <w:t>.</w:t>
      </w:r>
    </w:p>
    <w:p w14:paraId="0EC21F62" w14:textId="485C3161" w:rsidR="006C615B" w:rsidRPr="00FB72F4" w:rsidRDefault="00F42B39">
      <w:pPr>
        <w:numPr>
          <w:ilvl w:val="2"/>
          <w:numId w:val="3"/>
        </w:numPr>
        <w:spacing w:before="120" w:after="120" w:line="240" w:lineRule="auto"/>
        <w:jc w:val="both"/>
        <w:outlineLvl w:val="2"/>
        <w:rPr>
          <w:rFonts w:ascii="Times New Roman" w:hAnsi="Times New Roman"/>
          <w:i/>
          <w:noProof/>
          <w:sz w:val="24"/>
        </w:rPr>
      </w:pPr>
      <w:r w:rsidRPr="00FB72F4">
        <w:rPr>
          <w:rFonts w:ascii="Times New Roman" w:hAnsi="Times New Roman"/>
          <w:i/>
          <w:noProof/>
          <w:sz w:val="24"/>
        </w:rPr>
        <w:t xml:space="preserve">Objective </w:t>
      </w:r>
      <w:r w:rsidR="00A926D0" w:rsidRPr="00FB72F4">
        <w:rPr>
          <w:rFonts w:ascii="Times New Roman" w:hAnsi="Times New Roman"/>
          <w:i/>
          <w:noProof/>
          <w:sz w:val="24"/>
        </w:rPr>
        <w:t>1</w:t>
      </w:r>
      <w:r w:rsidRPr="00FB72F4">
        <w:rPr>
          <w:rFonts w:ascii="Times New Roman" w:hAnsi="Times New Roman"/>
          <w:i/>
          <w:noProof/>
          <w:sz w:val="24"/>
        </w:rPr>
        <w:t>: Promoting social and economic development</w:t>
      </w:r>
    </w:p>
    <w:p w14:paraId="60A2930D" w14:textId="0A9C1764" w:rsidR="00366468" w:rsidRPr="00FB72F4" w:rsidRDefault="0045361D" w:rsidP="00F60926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>Th</w:t>
      </w:r>
      <w:r w:rsidR="00C15415" w:rsidRPr="00FB72F4">
        <w:rPr>
          <w:rFonts w:ascii="Times New Roman,Calibri" w:hAnsi="Times New Roman,Calibri"/>
          <w:noProof/>
          <w:sz w:val="24"/>
        </w:rPr>
        <w:t>rough t</w:t>
      </w:r>
      <w:r w:rsidR="008222C4" w:rsidRPr="00FB72F4">
        <w:rPr>
          <w:rFonts w:ascii="Times New Roman,Calibri" w:hAnsi="Times New Roman,Calibri"/>
          <w:noProof/>
          <w:sz w:val="24"/>
        </w:rPr>
        <w:t>he</w:t>
      </w:r>
      <w:r w:rsidR="00C15415" w:rsidRPr="00FB72F4">
        <w:rPr>
          <w:rFonts w:ascii="Times New Roman,Calibri" w:hAnsi="Times New Roman,Calibri"/>
          <w:noProof/>
          <w:sz w:val="24"/>
        </w:rPr>
        <w:t xml:space="preserve"> </w:t>
      </w:r>
      <w:r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</w:t>
      </w:r>
      <w:r w:rsidR="00C15415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id </w:t>
      </w:r>
      <w:r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p</w:t>
      </w:r>
      <w:r w:rsidR="00C15415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rogramme</w:t>
      </w:r>
      <w:r w:rsidR="00C15415" w:rsidRPr="00FB72F4">
        <w:rPr>
          <w:rFonts w:ascii="Times New Roman,Calibri" w:hAnsi="Times New Roman,Calibri"/>
          <w:noProof/>
          <w:sz w:val="24"/>
        </w:rPr>
        <w:t>, the</w:t>
      </w:r>
      <w:r w:rsidR="008222C4" w:rsidRPr="00FB72F4">
        <w:rPr>
          <w:rFonts w:ascii="Times New Roman,Calibri" w:hAnsi="Times New Roman,Calibri"/>
          <w:noProof/>
          <w:sz w:val="24"/>
        </w:rPr>
        <w:t xml:space="preserve"> Commission</w:t>
      </w:r>
      <w:r w:rsidR="006C1156" w:rsidRPr="00FB72F4">
        <w:rPr>
          <w:rFonts w:ascii="Times New Roman,Calibri" w:hAnsi="Times New Roman,Calibri"/>
          <w:noProof/>
          <w:sz w:val="24"/>
        </w:rPr>
        <w:t xml:space="preserve"> continued to steer and promote economic integration and development by providing assistance packages to small and medium-sized </w:t>
      </w:r>
      <w:r w:rsidR="007B34C0" w:rsidRPr="00FB72F4">
        <w:rPr>
          <w:rFonts w:ascii="Times New Roman,Calibri" w:hAnsi="Times New Roman,Calibri"/>
          <w:noProof/>
          <w:sz w:val="24"/>
        </w:rPr>
        <w:t xml:space="preserve">enterprises </w:t>
      </w:r>
      <w:r w:rsidR="00A926D0" w:rsidRPr="00FB72F4">
        <w:rPr>
          <w:rFonts w:ascii="Times New Roman,Calibri" w:hAnsi="Times New Roman,Calibri"/>
          <w:noProof/>
          <w:sz w:val="24"/>
        </w:rPr>
        <w:t xml:space="preserve">(SMEs) </w:t>
      </w:r>
      <w:r w:rsidR="006C1156" w:rsidRPr="00FB72F4">
        <w:rPr>
          <w:rFonts w:ascii="Times New Roman,Calibri" w:hAnsi="Times New Roman,Calibri"/>
          <w:noProof/>
          <w:sz w:val="24"/>
        </w:rPr>
        <w:t>in the T</w:t>
      </w:r>
      <w:r w:rsidR="00B05CDA" w:rsidRPr="00FB72F4">
        <w:rPr>
          <w:rFonts w:ascii="Times New Roman,Calibri" w:hAnsi="Times New Roman,Calibri"/>
          <w:noProof/>
          <w:sz w:val="24"/>
        </w:rPr>
        <w:t xml:space="preserve">urkish Cypriot </w:t>
      </w:r>
      <w:r w:rsidR="006C1156" w:rsidRPr="00FB72F4">
        <w:rPr>
          <w:rFonts w:ascii="Times New Roman,Calibri" w:hAnsi="Times New Roman,Calibri"/>
          <w:noProof/>
          <w:sz w:val="24"/>
        </w:rPr>
        <w:t>c</w:t>
      </w:r>
      <w:r w:rsidR="00B05CDA" w:rsidRPr="00FB72F4">
        <w:rPr>
          <w:rFonts w:ascii="Times New Roman,Calibri" w:hAnsi="Times New Roman,Calibri"/>
          <w:noProof/>
          <w:sz w:val="24"/>
        </w:rPr>
        <w:t>ommunity</w:t>
      </w:r>
      <w:r w:rsidR="006C1156" w:rsidRPr="00FB72F4">
        <w:rPr>
          <w:rFonts w:ascii="Times New Roman,Calibri" w:hAnsi="Times New Roman,Calibri"/>
          <w:noProof/>
          <w:sz w:val="24"/>
        </w:rPr>
        <w:t xml:space="preserve">, </w:t>
      </w:r>
      <w:r w:rsidR="00C15415" w:rsidRPr="00FB72F4">
        <w:rPr>
          <w:rFonts w:ascii="Times New Roman,Calibri" w:hAnsi="Times New Roman,Calibri"/>
          <w:noProof/>
          <w:sz w:val="24"/>
        </w:rPr>
        <w:t xml:space="preserve">with the aim </w:t>
      </w:r>
      <w:r w:rsidR="00CC4714" w:rsidRPr="00FB72F4">
        <w:rPr>
          <w:rFonts w:ascii="Times New Roman,Calibri" w:hAnsi="Times New Roman,Calibri"/>
          <w:noProof/>
          <w:sz w:val="24"/>
        </w:rPr>
        <w:t xml:space="preserve">of </w:t>
      </w:r>
      <w:r w:rsidR="006C1156" w:rsidRPr="00FB72F4">
        <w:rPr>
          <w:rFonts w:ascii="Times New Roman,Calibri" w:hAnsi="Times New Roman,Calibri"/>
          <w:noProof/>
          <w:sz w:val="24"/>
        </w:rPr>
        <w:t>increas</w:t>
      </w:r>
      <w:r w:rsidR="00CC4714" w:rsidRPr="00FB72F4">
        <w:rPr>
          <w:rFonts w:ascii="Times New Roman,Calibri" w:hAnsi="Times New Roman,Calibri"/>
          <w:noProof/>
          <w:sz w:val="24"/>
        </w:rPr>
        <w:t>ing</w:t>
      </w:r>
      <w:r w:rsidR="006C1156" w:rsidRPr="00FB72F4">
        <w:rPr>
          <w:rFonts w:ascii="Times New Roman,Calibri" w:hAnsi="Times New Roman,Calibri"/>
          <w:noProof/>
          <w:sz w:val="24"/>
        </w:rPr>
        <w:t xml:space="preserve"> competitiveness and innovation. </w:t>
      </w:r>
      <w:r w:rsidR="00BF363A" w:rsidRPr="00FB72F4">
        <w:rPr>
          <w:rFonts w:ascii="Times New Roman,Calibri" w:hAnsi="Times New Roman,Calibri"/>
          <w:noProof/>
          <w:sz w:val="24"/>
        </w:rPr>
        <w:t xml:space="preserve">Given that </w:t>
      </w:r>
      <w:r w:rsidR="000C63DB" w:rsidRPr="00FB72F4">
        <w:rPr>
          <w:rFonts w:ascii="Times New Roman,Calibri" w:hAnsi="Times New Roman,Calibri"/>
          <w:noProof/>
          <w:sz w:val="24"/>
        </w:rPr>
        <w:t>S</w:t>
      </w:r>
      <w:r w:rsidR="00A926D0" w:rsidRPr="00FB72F4">
        <w:rPr>
          <w:rFonts w:ascii="Times New Roman,Calibri" w:hAnsi="Times New Roman,Calibri"/>
          <w:noProof/>
          <w:sz w:val="24"/>
        </w:rPr>
        <w:t>MEs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 constitute the </w:t>
      </w:r>
      <w:r w:rsidR="00196EBC" w:rsidRPr="00FB72F4">
        <w:rPr>
          <w:rFonts w:ascii="Times New Roman,Calibri" w:hAnsi="Times New Roman,Calibri"/>
          <w:noProof/>
          <w:sz w:val="24"/>
        </w:rPr>
        <w:t xml:space="preserve">backbone of 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the </w:t>
      </w:r>
      <w:r w:rsidR="00DB2BDC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economic activity in the </w:t>
      </w:r>
      <w:r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Turkish Cypriot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</w:t>
      </w:r>
      <w:r w:rsidR="00DB2BDC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community</w:t>
      </w:r>
      <w:r w:rsidR="00A926D0" w:rsidRPr="00FB72F4">
        <w:rPr>
          <w:rFonts w:ascii="Times New Roman,Calibri" w:hAnsi="Times New Roman,Calibri"/>
          <w:noProof/>
          <w:sz w:val="24"/>
        </w:rPr>
        <w:t xml:space="preserve">, </w:t>
      </w:r>
      <w:r w:rsidR="00BF363A" w:rsidRPr="00FB72F4">
        <w:rPr>
          <w:rFonts w:ascii="Times New Roman,Calibri" w:hAnsi="Times New Roman,Calibri"/>
          <w:noProof/>
          <w:sz w:val="24"/>
        </w:rPr>
        <w:t>a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 new 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multiannual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 assistance programme 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eunite: </w:t>
      </w:r>
      <w:r w:rsidR="000C63DB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SME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 was launched in 2024 to help </w:t>
      </w:r>
      <w:r w:rsidR="00196EBC" w:rsidRPr="00FB72F4">
        <w:rPr>
          <w:rFonts w:ascii="Times New Roman,Calibri" w:hAnsi="Times New Roman,Calibri"/>
          <w:noProof/>
          <w:sz w:val="24"/>
        </w:rPr>
        <w:t xml:space="preserve">Turkish Cypriot </w:t>
      </w:r>
      <w:r w:rsidR="000C63DB" w:rsidRPr="00FB72F4">
        <w:rPr>
          <w:rFonts w:ascii="Times New Roman,Calibri" w:hAnsi="Times New Roman,Calibri"/>
          <w:noProof/>
          <w:sz w:val="24"/>
        </w:rPr>
        <w:t>SMEs to meet EU standards</w:t>
      </w:r>
      <w:r w:rsidR="00196EBC" w:rsidRPr="00FB72F4">
        <w:rPr>
          <w:rFonts w:ascii="Times New Roman,Calibri" w:hAnsi="Times New Roman,Calibri"/>
          <w:noProof/>
          <w:sz w:val="24"/>
        </w:rPr>
        <w:t>,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 support innovation and encourage entrepreneurship. In 2024, 4</w:t>
      </w:r>
      <w:r w:rsidR="00E74CA0" w:rsidRPr="00FB72F4">
        <w:rPr>
          <w:rFonts w:ascii="Times New Roman,Calibri" w:hAnsi="Times New Roman,Calibri"/>
          <w:noProof/>
          <w:sz w:val="24"/>
        </w:rPr>
        <w:t>5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 companies</w:t>
      </w:r>
      <w:r w:rsidR="00196EBC" w:rsidRPr="00FB72F4">
        <w:rPr>
          <w:rFonts w:ascii="Times New Roman,Calibri" w:hAnsi="Times New Roman,Calibri"/>
          <w:noProof/>
          <w:sz w:val="24"/>
        </w:rPr>
        <w:t xml:space="preserve"> trading or interest</w:t>
      </w:r>
      <w:r w:rsidR="00BB4C79">
        <w:rPr>
          <w:rFonts w:ascii="Times New Roman,Calibri" w:hAnsi="Times New Roman,Calibri"/>
          <w:noProof/>
          <w:sz w:val="24"/>
        </w:rPr>
        <w:t>ed</w:t>
      </w:r>
      <w:r w:rsidR="00196EBC" w:rsidRPr="00FB72F4">
        <w:rPr>
          <w:rFonts w:ascii="Times New Roman,Calibri" w:hAnsi="Times New Roman,Calibri"/>
          <w:noProof/>
          <w:sz w:val="24"/>
        </w:rPr>
        <w:t xml:space="preserve"> in trading across the Green Line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 were awarded grants worth nearly EUR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 </w:t>
      </w:r>
      <w:r w:rsidR="000C63DB" w:rsidRPr="00FB72F4">
        <w:rPr>
          <w:rFonts w:ascii="Times New Roman,Calibri" w:hAnsi="Times New Roman,Calibri"/>
          <w:noProof/>
          <w:sz w:val="24"/>
        </w:rPr>
        <w:t>2</w:t>
      </w:r>
      <w:r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 </w:t>
      </w:r>
      <w:r w:rsidR="000C63DB" w:rsidRPr="00FB72F4">
        <w:rPr>
          <w:rFonts w:ascii="Times New Roman,Calibri" w:hAnsi="Times New Roman,Calibri"/>
          <w:noProof/>
          <w:sz w:val="24"/>
        </w:rPr>
        <w:t>million</w:t>
      </w:r>
      <w:r w:rsidR="00196EBC" w:rsidRPr="00FB72F4">
        <w:rPr>
          <w:rFonts w:ascii="Times New Roman,Calibri" w:hAnsi="Times New Roman,Calibri"/>
          <w:noProof/>
          <w:sz w:val="24"/>
        </w:rPr>
        <w:t>.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 This is in addition to more than </w:t>
      </w:r>
      <w:r w:rsidR="000C63DB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2</w:t>
      </w:r>
      <w:r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 </w:t>
      </w:r>
      <w:r w:rsidR="000C63DB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55</w:t>
      </w:r>
      <w:r w:rsidR="00061186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4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 grants provided to small and medium</w:t>
      </w:r>
      <w:r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-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sized </w:t>
      </w:r>
      <w:r w:rsidR="007B34C0" w:rsidRPr="00FB72F4">
        <w:rPr>
          <w:rFonts w:ascii="Times New Roman,Calibri" w:hAnsi="Times New Roman,Calibri"/>
          <w:noProof/>
          <w:sz w:val="24"/>
        </w:rPr>
        <w:t>businesse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s </w:t>
      </w:r>
      <w:r w:rsidR="004A410D" w:rsidRPr="00FB72F4">
        <w:rPr>
          <w:rFonts w:ascii="Times New Roman,Calibri" w:hAnsi="Times New Roman,Calibri"/>
          <w:noProof/>
          <w:sz w:val="24"/>
        </w:rPr>
        <w:t>in previous years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, </w:t>
      </w:r>
      <w:r w:rsidR="004A410D" w:rsidRPr="00FB72F4">
        <w:rPr>
          <w:rFonts w:ascii="Times New Roman,Calibri" w:hAnsi="Times New Roman,Calibri"/>
          <w:noProof/>
          <w:sz w:val="24"/>
        </w:rPr>
        <w:t xml:space="preserve">bringing the total </w:t>
      </w:r>
      <w:r w:rsidR="000C63DB" w:rsidRPr="00FB72F4">
        <w:rPr>
          <w:rFonts w:ascii="Times New Roman,Calibri" w:hAnsi="Times New Roman,Calibri"/>
          <w:noProof/>
          <w:sz w:val="24"/>
        </w:rPr>
        <w:t>value</w:t>
      </w:r>
      <w:r w:rsidR="004A410D" w:rsidRPr="00FB72F4">
        <w:rPr>
          <w:rFonts w:ascii="Times New Roman,Calibri" w:hAnsi="Times New Roman,Calibri"/>
          <w:noProof/>
          <w:sz w:val="24"/>
        </w:rPr>
        <w:t xml:space="preserve"> of grants to SMEs since the start of the </w:t>
      </w:r>
      <w:r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</w:t>
      </w:r>
      <w:r w:rsidR="004A410D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id </w:t>
      </w:r>
      <w:r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p</w:t>
      </w:r>
      <w:r w:rsidR="002C78DD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rogramme</w:t>
      </w:r>
      <w:r w:rsidR="004A410D" w:rsidRPr="00FB72F4">
        <w:rPr>
          <w:rFonts w:ascii="Times New Roman,Calibri" w:hAnsi="Times New Roman,Calibri"/>
          <w:noProof/>
          <w:sz w:val="24"/>
        </w:rPr>
        <w:t xml:space="preserve"> to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 more than EUR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 </w:t>
      </w:r>
      <w:r w:rsidR="00061186" w:rsidRPr="00FB72F4">
        <w:rPr>
          <w:rFonts w:ascii="Times New Roman,Calibri" w:hAnsi="Times New Roman,Calibri"/>
          <w:noProof/>
          <w:sz w:val="24"/>
        </w:rPr>
        <w:t>27</w:t>
      </w:r>
      <w:r w:rsidR="000C63DB" w:rsidRPr="00FB72F4">
        <w:rPr>
          <w:rFonts w:ascii="Times New Roman,Calibri" w:hAnsi="Times New Roman,Calibri"/>
          <w:noProof/>
          <w:sz w:val="24"/>
        </w:rPr>
        <w:t xml:space="preserve"> million</w:t>
      </w:r>
      <w:r w:rsidR="00061186" w:rsidRPr="00FB72F4">
        <w:rPr>
          <w:rFonts w:ascii="Times New Roman,Calibri" w:hAnsi="Times New Roman,Calibri"/>
          <w:noProof/>
          <w:sz w:val="24"/>
        </w:rPr>
        <w:t>.</w:t>
      </w:r>
    </w:p>
    <w:p w14:paraId="33ADF900" w14:textId="56BC1FE1" w:rsidR="00FF3EAA" w:rsidRPr="00FB72F4" w:rsidRDefault="006C1156" w:rsidP="00F60926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In </w:t>
      </w:r>
      <w:r w:rsidR="00CC4714" w:rsidRPr="00FB72F4">
        <w:rPr>
          <w:rFonts w:ascii="Times New Roman,Calibri" w:hAnsi="Times New Roman,Calibri"/>
          <w:noProof/>
          <w:sz w:val="24"/>
        </w:rPr>
        <w:t xml:space="preserve">the area </w:t>
      </w:r>
      <w:r w:rsidRPr="00FB72F4">
        <w:rPr>
          <w:rFonts w:ascii="Times New Roman,Calibri" w:hAnsi="Times New Roman,Calibri"/>
          <w:noProof/>
          <w:sz w:val="24"/>
        </w:rPr>
        <w:t>of economic convergence,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 </w:t>
      </w:r>
      <w:r w:rsidR="00FF5F2E" w:rsidRPr="00FB72F4">
        <w:rPr>
          <w:rFonts w:ascii="Times New Roman,Calibri" w:hAnsi="Times New Roman,Calibri"/>
          <w:noProof/>
          <w:sz w:val="24"/>
        </w:rPr>
        <w:t>t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he cooperation with the World Bank on macroeconomic monitoring, statistics, facilitation of trade and improving the </w:t>
      </w:r>
      <w:r w:rsidR="007001B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Turkish Cypriot community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 business environment continued in 2024. Three key assessments, namely the 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Distributional Impact of Fiscal Policy in the Turkish Cypriot </w:t>
      </w:r>
      <w:r w:rsidR="006F673E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community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="006F673E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, 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Estimation of an absolute poverty line for the Turkish Cypriot </w:t>
      </w:r>
      <w:r w:rsidR="006F673E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economy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 and 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Living Standards Assessment for the Turkish Cypriot </w:t>
      </w:r>
      <w:r w:rsidR="006F673E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community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="006F673E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,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 were completed and the findings discussed among </w:t>
      </w:r>
      <w:r w:rsidR="00FB242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the 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relevant stakeholders. They highlighted </w:t>
      </w:r>
      <w:r w:rsidR="0018263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significant</w:t>
      </w:r>
      <w:r w:rsidR="00182638" w:rsidRPr="00FB72F4">
        <w:rPr>
          <w:rFonts w:ascii="Times New Roman,Calibri" w:hAnsi="Times New Roman,Calibri"/>
          <w:noProof/>
          <w:sz w:val="24"/>
        </w:rPr>
        <w:t xml:space="preserve"> 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challenges and opportunities for the Turkish Cypriot economy and </w:t>
      </w:r>
      <w:r w:rsidR="00FB242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helped improve 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evidence-based policymaking. </w:t>
      </w:r>
      <w:r w:rsidR="00FF5F2E" w:rsidRPr="00FB72F4">
        <w:rPr>
          <w:rFonts w:ascii="Times New Roman,Calibri" w:hAnsi="Times New Roman,Calibri"/>
          <w:noProof/>
          <w:sz w:val="24"/>
        </w:rPr>
        <w:t xml:space="preserve">The </w:t>
      </w:r>
      <w:r w:rsidR="00FF3EAA" w:rsidRPr="00FB72F4">
        <w:rPr>
          <w:rFonts w:ascii="Times New Roman,Calibri" w:hAnsi="Times New Roman,Calibri"/>
          <w:noProof/>
          <w:sz w:val="24"/>
        </w:rPr>
        <w:t>technical assistance project on market surveillance launched in March 2022</w:t>
      </w:r>
      <w:r w:rsidR="009007D8" w:rsidRPr="00FB72F4">
        <w:rPr>
          <w:rFonts w:ascii="Times New Roman,Calibri" w:hAnsi="Times New Roman,Calibri"/>
          <w:noProof/>
          <w:sz w:val="24"/>
        </w:rPr>
        <w:t xml:space="preserve"> </w:t>
      </w:r>
      <w:r w:rsidR="00D13244" w:rsidRPr="00FB72F4">
        <w:rPr>
          <w:rFonts w:ascii="Times New Roman,Calibri" w:hAnsi="Times New Roman,Calibri"/>
          <w:noProof/>
          <w:sz w:val="24"/>
        </w:rPr>
        <w:t>continued</w:t>
      </w:r>
      <w:r w:rsidR="009007D8" w:rsidRPr="00FB72F4">
        <w:rPr>
          <w:rFonts w:ascii="Times New Roman,Calibri" w:hAnsi="Times New Roman,Calibri"/>
          <w:noProof/>
          <w:sz w:val="24"/>
        </w:rPr>
        <w:t xml:space="preserve"> in 202</w:t>
      </w:r>
      <w:r w:rsidR="00FF5F2E" w:rsidRPr="00FB72F4">
        <w:rPr>
          <w:rFonts w:ascii="Times New Roman,Calibri" w:hAnsi="Times New Roman,Calibri"/>
          <w:noProof/>
          <w:sz w:val="24"/>
        </w:rPr>
        <w:t>4</w:t>
      </w:r>
      <w:r w:rsidR="0045361D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.</w:t>
      </w:r>
      <w:r w:rsidR="009007D8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</w:t>
      </w:r>
      <w:r w:rsidR="0045361D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It aims</w:t>
      </w:r>
      <w:r w:rsidR="0045361D" w:rsidRPr="00FB72F4">
        <w:rPr>
          <w:rFonts w:ascii="Times New Roman,Calibri" w:hAnsi="Times New Roman,Calibri"/>
          <w:noProof/>
          <w:sz w:val="24"/>
        </w:rPr>
        <w:t xml:space="preserve"> </w:t>
      </w:r>
      <w:r w:rsidR="00FF3EAA" w:rsidRPr="00FB72F4">
        <w:rPr>
          <w:rFonts w:ascii="Times New Roman,Calibri" w:hAnsi="Times New Roman,Calibri"/>
          <w:noProof/>
          <w:sz w:val="24"/>
        </w:rPr>
        <w:t>to introduce</w:t>
      </w:r>
      <w:r w:rsidR="00377AE6" w:rsidRPr="00FB72F4">
        <w:rPr>
          <w:rFonts w:ascii="Times New Roman,Calibri" w:hAnsi="Times New Roman,Calibri"/>
          <w:noProof/>
          <w:sz w:val="24"/>
        </w:rPr>
        <w:t xml:space="preserve"> new</w:t>
      </w:r>
      <w:r w:rsidR="00FF3EAA" w:rsidRPr="00FB72F4">
        <w:rPr>
          <w:rFonts w:ascii="Times New Roman,Calibri" w:hAnsi="Times New Roman,Calibri"/>
          <w:noProof/>
          <w:sz w:val="24"/>
        </w:rPr>
        <w:t xml:space="preserve"> and </w:t>
      </w:r>
      <w:r w:rsidR="00FF3EAA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improve</w:t>
      </w:r>
      <w:r w:rsidR="0045361D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d</w:t>
      </w:r>
      <w:r w:rsidR="00377AE6" w:rsidRPr="00FB72F4">
        <w:rPr>
          <w:rFonts w:ascii="Times New Roman,Calibri" w:hAnsi="Times New Roman,Calibri"/>
          <w:noProof/>
          <w:sz w:val="24"/>
        </w:rPr>
        <w:t xml:space="preserve"> </w:t>
      </w:r>
      <w:r w:rsidR="00FF3EAA" w:rsidRPr="00FB72F4">
        <w:rPr>
          <w:rFonts w:ascii="Times New Roman,Calibri" w:hAnsi="Times New Roman,Calibri"/>
          <w:noProof/>
          <w:sz w:val="24"/>
        </w:rPr>
        <w:t>practices in metrology, standardisation, accreditation, and conformity assessment.</w:t>
      </w:r>
      <w:r w:rsidR="00B05CDA" w:rsidRPr="00FB72F4">
        <w:rPr>
          <w:rFonts w:ascii="Times New Roman,Calibri" w:hAnsi="Times New Roman,Calibri"/>
          <w:noProof/>
          <w:sz w:val="24"/>
        </w:rPr>
        <w:t xml:space="preserve"> Working closely with the private sector, t</w:t>
      </w:r>
      <w:r w:rsidR="00FF3EAA" w:rsidRPr="00FB72F4">
        <w:rPr>
          <w:rFonts w:ascii="Times New Roman,Calibri" w:hAnsi="Times New Roman,Calibri"/>
          <w:noProof/>
          <w:sz w:val="24"/>
        </w:rPr>
        <w:t>he project contribute</w:t>
      </w:r>
      <w:r w:rsidR="002C78DD" w:rsidRPr="00FB72F4">
        <w:rPr>
          <w:rFonts w:ascii="Times New Roman,Calibri" w:hAnsi="Times New Roman,Calibri"/>
          <w:noProof/>
          <w:sz w:val="24"/>
        </w:rPr>
        <w:t>d</w:t>
      </w:r>
      <w:r w:rsidR="00FF3EAA" w:rsidRPr="00FB72F4">
        <w:rPr>
          <w:rFonts w:ascii="Times New Roman,Calibri" w:hAnsi="Times New Roman,Calibri"/>
          <w:noProof/>
          <w:sz w:val="24"/>
        </w:rPr>
        <w:t xml:space="preserve"> to </w:t>
      </w:r>
      <w:r w:rsidR="000642FD" w:rsidRPr="00FB72F4">
        <w:rPr>
          <w:rFonts w:ascii="Times New Roman,Calibri" w:hAnsi="Times New Roman,Calibri"/>
          <w:noProof/>
          <w:sz w:val="24"/>
        </w:rPr>
        <w:t xml:space="preserve">improving </w:t>
      </w:r>
      <w:r w:rsidR="00FF3EAA" w:rsidRPr="00FB72F4">
        <w:rPr>
          <w:rFonts w:ascii="Times New Roman,Calibri" w:hAnsi="Times New Roman,Calibri"/>
          <w:noProof/>
          <w:sz w:val="24"/>
        </w:rPr>
        <w:t xml:space="preserve">the business environment </w:t>
      </w:r>
      <w:r w:rsidR="00CC536D" w:rsidRPr="00FB72F4">
        <w:rPr>
          <w:rFonts w:ascii="Times New Roman,Calibri" w:hAnsi="Times New Roman,Calibri"/>
          <w:noProof/>
          <w:sz w:val="24"/>
        </w:rPr>
        <w:t xml:space="preserve">in the Turkish Cypriot community </w:t>
      </w:r>
      <w:r w:rsidR="00FF3EAA" w:rsidRPr="00FB72F4">
        <w:rPr>
          <w:rFonts w:ascii="Times New Roman,Calibri" w:hAnsi="Times New Roman,Calibri"/>
          <w:noProof/>
          <w:sz w:val="24"/>
        </w:rPr>
        <w:t>and to ensur</w:t>
      </w:r>
      <w:r w:rsidR="00D1588A" w:rsidRPr="00FB72F4">
        <w:rPr>
          <w:rFonts w:ascii="Times New Roman,Calibri" w:hAnsi="Times New Roman,Calibri"/>
          <w:noProof/>
          <w:sz w:val="24"/>
        </w:rPr>
        <w:t>ing</w:t>
      </w:r>
      <w:r w:rsidR="00FF3EAA" w:rsidRPr="00FB72F4">
        <w:rPr>
          <w:rFonts w:ascii="Times New Roman,Calibri" w:hAnsi="Times New Roman,Calibri"/>
          <w:noProof/>
          <w:sz w:val="24"/>
        </w:rPr>
        <w:t xml:space="preserve"> that locally produced goods comply with EU standards.</w:t>
      </w:r>
      <w:r w:rsidR="00FF5F2E" w:rsidRPr="00FB72F4">
        <w:rPr>
          <w:rFonts w:ascii="Times New Roman,Calibri" w:hAnsi="Times New Roman,Calibri"/>
          <w:noProof/>
          <w:sz w:val="24"/>
        </w:rPr>
        <w:t xml:space="preserve"> Further cooperation in this sector was established with experts</w:t>
      </w:r>
      <w:r w:rsidR="00B97D7F" w:rsidRPr="00FB72F4">
        <w:rPr>
          <w:rFonts w:ascii="Times New Roman,Calibri" w:hAnsi="Times New Roman,Calibri"/>
          <w:noProof/>
          <w:sz w:val="24"/>
        </w:rPr>
        <w:t xml:space="preserve"> </w:t>
      </w:r>
      <w:r w:rsidR="00D1135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from the TAIEX </w:t>
      </w:r>
      <w:r w:rsidR="00BB4C3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(</w:t>
      </w:r>
      <w:r w:rsidR="00D1135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technical assistance and information exchange) EU instrument </w:t>
      </w:r>
      <w:r w:rsidR="00B97D7F" w:rsidRPr="00FB72F4">
        <w:rPr>
          <w:rFonts w:ascii="Times New Roman,Calibri" w:hAnsi="Times New Roman,Calibri"/>
          <w:noProof/>
          <w:sz w:val="24"/>
        </w:rPr>
        <w:t>supporting the uptake of EU aligned standards.</w:t>
      </w:r>
    </w:p>
    <w:p w14:paraId="7F68A49D" w14:textId="37772973" w:rsidR="002F482A" w:rsidRPr="00FB72F4" w:rsidRDefault="00E92318" w:rsidP="00F60926">
      <w:pPr>
        <w:keepNext/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>In the context of the implementation of EU</w:t>
      </w:r>
      <w:r w:rsidR="00BB4C79">
        <w:rPr>
          <w:rFonts w:ascii="Times New Roman,Calibri" w:hAnsi="Times New Roman,Calibri"/>
          <w:noProof/>
          <w:sz w:val="24"/>
        </w:rPr>
        <w:t>’</w:t>
      </w:r>
      <w:r w:rsidRPr="00FB72F4">
        <w:rPr>
          <w:rFonts w:ascii="Times New Roman,Calibri" w:hAnsi="Times New Roman,Calibri"/>
          <w:noProof/>
          <w:sz w:val="24"/>
        </w:rPr>
        <w:t xml:space="preserve">s PDO scheme for </w:t>
      </w:r>
      <w:r w:rsidR="00E64E76" w:rsidRPr="00FB72F4">
        <w:rPr>
          <w:rFonts w:ascii="Times New Roman,Calibri" w:hAnsi="Times New Roman,Calibri" w:hint="eastAsia"/>
          <w:noProof/>
          <w:sz w:val="24"/>
        </w:rPr>
        <w:t>‘</w:t>
      </w:r>
      <w:r w:rsidR="00BB4C79" w:rsidRPr="001602B0">
        <w:rPr>
          <w:rFonts w:ascii="Times New Roman" w:hAnsi="Times New Roman" w:cs="Times New Roman"/>
          <w:noProof/>
          <w:sz w:val="24"/>
        </w:rPr>
        <w:t>Χαλλούμι</w:t>
      </w:r>
      <w:r w:rsidR="00BB4C79">
        <w:rPr>
          <w:rFonts w:ascii="Times New Roman" w:hAnsi="Times New Roman" w:cs="Times New Roman"/>
          <w:noProof/>
          <w:sz w:val="24"/>
        </w:rPr>
        <w:t xml:space="preserve">’ </w:t>
      </w:r>
      <w:r w:rsidR="00BB4C3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</w:t>
      </w:r>
      <w:r w:rsidR="00E64E76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Halloumi</w:t>
      </w:r>
      <w:r w:rsidR="00BB4C3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="00E64E76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/</w:t>
      </w:r>
      <w:r w:rsidR="00BB4C3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</w:t>
      </w:r>
      <w:r w:rsidR="00E64E76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Hellim’</w:t>
      </w:r>
      <w:r w:rsidR="00E64E76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 xml:space="preserve">in the </w:t>
      </w:r>
      <w:r w:rsidR="007001B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Turkish Cypriot community</w:t>
      </w:r>
      <w:r w:rsidRPr="00FB72F4">
        <w:rPr>
          <w:rFonts w:ascii="Times New Roman,Calibri" w:hAnsi="Times New Roman,Calibri"/>
          <w:noProof/>
          <w:sz w:val="24"/>
        </w:rPr>
        <w:t>, EU</w:t>
      </w:r>
      <w:r w:rsidR="00E64E76" w:rsidRPr="00FB72F4">
        <w:rPr>
          <w:rFonts w:ascii="Times New Roman,Calibri" w:hAnsi="Times New Roman,Calibri"/>
          <w:noProof/>
          <w:sz w:val="24"/>
        </w:rPr>
        <w:t>-funded</w:t>
      </w:r>
      <w:r w:rsidRPr="00FB72F4">
        <w:rPr>
          <w:rFonts w:ascii="Times New Roman,Calibri" w:hAnsi="Times New Roman,Calibri"/>
          <w:noProof/>
          <w:sz w:val="24"/>
        </w:rPr>
        <w:t xml:space="preserve"> technical </w:t>
      </w:r>
      <w:r w:rsidR="00E64E76" w:rsidRPr="00FB72F4">
        <w:rPr>
          <w:rFonts w:ascii="Times New Roman,Calibri" w:hAnsi="Times New Roman,Calibri"/>
          <w:noProof/>
          <w:sz w:val="24"/>
        </w:rPr>
        <w:t xml:space="preserve">assistance </w:t>
      </w:r>
      <w:r w:rsidRPr="00FB72F4">
        <w:rPr>
          <w:rFonts w:ascii="Times New Roman,Calibri" w:hAnsi="Times New Roman,Calibri"/>
          <w:noProof/>
          <w:sz w:val="24"/>
        </w:rPr>
        <w:t xml:space="preserve">continued to provide support to farmers, food </w:t>
      </w:r>
      <w:r w:rsidR="00E64E76" w:rsidRPr="00FB72F4">
        <w:rPr>
          <w:rFonts w:ascii="Times New Roman,Calibri" w:hAnsi="Times New Roman,Calibri"/>
          <w:noProof/>
          <w:sz w:val="24"/>
        </w:rPr>
        <w:t>factories</w:t>
      </w:r>
      <w:r w:rsidRPr="00FB72F4">
        <w:rPr>
          <w:rFonts w:ascii="Times New Roman,Calibri" w:hAnsi="Times New Roman,Calibri"/>
          <w:noProof/>
          <w:sz w:val="24"/>
        </w:rPr>
        <w:t xml:space="preserve"> and local bodies to meet th</w:t>
      </w:r>
      <w:r w:rsidR="00E64E76" w:rsidRPr="00FB72F4">
        <w:rPr>
          <w:rFonts w:ascii="Times New Roman,Calibri" w:hAnsi="Times New Roman,Calibri"/>
          <w:noProof/>
          <w:sz w:val="24"/>
        </w:rPr>
        <w:t>e</w:t>
      </w:r>
      <w:r w:rsidRPr="00FB72F4">
        <w:rPr>
          <w:rFonts w:ascii="Times New Roman,Calibri" w:hAnsi="Times New Roman,Calibri"/>
          <w:noProof/>
          <w:sz w:val="24"/>
        </w:rPr>
        <w:t xml:space="preserve"> </w:t>
      </w:r>
      <w:r w:rsidR="00C22BC5" w:rsidRPr="00FB72F4">
        <w:rPr>
          <w:rFonts w:ascii="Times New Roman,Calibri" w:hAnsi="Times New Roman,Calibri"/>
          <w:noProof/>
          <w:sz w:val="24"/>
        </w:rPr>
        <w:t xml:space="preserve">EU </w:t>
      </w:r>
      <w:r w:rsidR="00E64E76" w:rsidRPr="00FB72F4">
        <w:rPr>
          <w:rFonts w:ascii="Times New Roman,Calibri" w:hAnsi="Times New Roman,Calibri"/>
          <w:noProof/>
          <w:sz w:val="24"/>
        </w:rPr>
        <w:t xml:space="preserve">PDO scheme </w:t>
      </w:r>
      <w:r w:rsidRPr="00FB72F4">
        <w:rPr>
          <w:rFonts w:ascii="Times New Roman,Calibri" w:hAnsi="Times New Roman,Calibri"/>
          <w:noProof/>
          <w:sz w:val="24"/>
        </w:rPr>
        <w:t xml:space="preserve">requirements. As a result, by </w:t>
      </w:r>
      <w:r w:rsidR="00BB4C3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the </w:t>
      </w:r>
      <w:r w:rsidRPr="00FB72F4">
        <w:rPr>
          <w:rFonts w:ascii="Times New Roman" w:hAnsi="Times New Roman"/>
          <w:noProof/>
          <w:sz w:val="24"/>
        </w:rPr>
        <w:t xml:space="preserve">end </w:t>
      </w:r>
      <w:r w:rsidR="009C5E2F" w:rsidRPr="00FB72F4">
        <w:rPr>
          <w:rFonts w:ascii="Times New Roman" w:hAnsi="Times New Roman"/>
          <w:noProof/>
          <w:sz w:val="24"/>
        </w:rPr>
        <w:t xml:space="preserve">of </w:t>
      </w:r>
      <w:r w:rsidRPr="00FB72F4">
        <w:rPr>
          <w:rFonts w:ascii="Times New Roman" w:hAnsi="Times New Roman"/>
          <w:noProof/>
          <w:sz w:val="24"/>
        </w:rPr>
        <w:t xml:space="preserve">2024, four </w:t>
      </w:r>
      <w:r w:rsidR="00BB4C3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‘</w:t>
      </w:r>
      <w:r w:rsidRPr="007E148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Halloumi</w:t>
      </w:r>
      <w:r w:rsidR="00BB4C3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’</w:t>
      </w:r>
      <w:r w:rsidRPr="007E148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/</w:t>
      </w:r>
      <w:r w:rsidR="00BB4C3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‘</w:t>
      </w:r>
      <w:r w:rsidRPr="007E148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Hellim</w:t>
      </w:r>
      <w:r w:rsidR="00BB4C3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’</w:t>
      </w:r>
      <w:r w:rsidRPr="00FB72F4">
        <w:rPr>
          <w:rFonts w:ascii="Times New Roman" w:hAnsi="Times New Roman"/>
          <w:noProof/>
          <w:sz w:val="24"/>
        </w:rPr>
        <w:t xml:space="preserve"> cheese producers and 24 farms in the </w:t>
      </w:r>
      <w:r w:rsidR="007001B9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Turkish Cypriot community</w:t>
      </w:r>
      <w:r w:rsidRPr="00FB72F4">
        <w:rPr>
          <w:rFonts w:ascii="Times New Roman" w:hAnsi="Times New Roman"/>
          <w:noProof/>
          <w:sz w:val="24"/>
        </w:rPr>
        <w:t xml:space="preserve"> were certified under the PDO scheme</w:t>
      </w:r>
      <w:r w:rsidR="00BF363A" w:rsidRPr="00FB72F4">
        <w:rPr>
          <w:rFonts w:ascii="Times New Roman" w:hAnsi="Times New Roman"/>
          <w:noProof/>
          <w:sz w:val="24"/>
        </w:rPr>
        <w:t>. In addition,</w:t>
      </w:r>
      <w:r w:rsidRPr="00FB72F4">
        <w:rPr>
          <w:rFonts w:ascii="Times New Roman" w:hAnsi="Times New Roman"/>
          <w:noProof/>
          <w:sz w:val="24"/>
        </w:rPr>
        <w:t xml:space="preserve"> preparations </w:t>
      </w:r>
      <w:r w:rsidR="00BF363A" w:rsidRPr="00FB72F4">
        <w:rPr>
          <w:rFonts w:ascii="Times New Roman" w:hAnsi="Times New Roman"/>
          <w:noProof/>
          <w:sz w:val="24"/>
        </w:rPr>
        <w:t xml:space="preserve">were </w:t>
      </w:r>
      <w:r w:rsidRPr="00FB72F4">
        <w:rPr>
          <w:rFonts w:ascii="Times New Roman" w:hAnsi="Times New Roman"/>
          <w:noProof/>
          <w:sz w:val="24"/>
        </w:rPr>
        <w:t>launched for a pilot sheep and goat breeding programme</w:t>
      </w:r>
      <w:r w:rsidR="00BF363A" w:rsidRPr="00FB72F4">
        <w:rPr>
          <w:rFonts w:ascii="Times New Roman" w:hAnsi="Times New Roman"/>
          <w:noProof/>
          <w:sz w:val="24"/>
        </w:rPr>
        <w:t xml:space="preserve"> to increase the availability and quality of milk</w:t>
      </w:r>
      <w:r w:rsidRPr="00FB72F4">
        <w:rPr>
          <w:rFonts w:ascii="Times New Roman" w:hAnsi="Times New Roman"/>
          <w:noProof/>
          <w:sz w:val="24"/>
        </w:rPr>
        <w:t xml:space="preserve">. </w:t>
      </w:r>
      <w:r w:rsidR="00BF363A" w:rsidRPr="00FB72F4">
        <w:rPr>
          <w:rFonts w:ascii="Times New Roman" w:hAnsi="Times New Roman"/>
          <w:noProof/>
          <w:sz w:val="24"/>
        </w:rPr>
        <w:t>Support also included assistance in</w:t>
      </w:r>
      <w:r w:rsidR="00FF5962" w:rsidRPr="00FB72F4">
        <w:rPr>
          <w:rFonts w:ascii="Times New Roman" w:hAnsi="Times New Roman"/>
          <w:noProof/>
          <w:sz w:val="24"/>
        </w:rPr>
        <w:t xml:space="preserve"> preventing, detecting and</w:t>
      </w:r>
      <w:r w:rsidR="00BF363A" w:rsidRPr="00FB72F4">
        <w:rPr>
          <w:rFonts w:ascii="Times New Roman" w:hAnsi="Times New Roman"/>
          <w:noProof/>
          <w:sz w:val="24"/>
        </w:rPr>
        <w:t xml:space="preserve"> further</w:t>
      </w:r>
      <w:r w:rsidR="00FF5962" w:rsidRPr="00FB72F4">
        <w:rPr>
          <w:rFonts w:ascii="Times New Roman" w:hAnsi="Times New Roman"/>
          <w:noProof/>
          <w:sz w:val="24"/>
        </w:rPr>
        <w:t xml:space="preserve"> eliminating animal diseases and managing animal health as per EU </w:t>
      </w:r>
      <w:r w:rsidR="00BF363A" w:rsidRPr="00FB72F4">
        <w:rPr>
          <w:rFonts w:ascii="Times New Roman" w:hAnsi="Times New Roman"/>
          <w:noProof/>
          <w:sz w:val="24"/>
        </w:rPr>
        <w:t>standards</w:t>
      </w:r>
      <w:r w:rsidR="00FF5962" w:rsidRPr="00FB72F4">
        <w:rPr>
          <w:rFonts w:ascii="Times New Roman" w:hAnsi="Times New Roman"/>
          <w:noProof/>
          <w:sz w:val="24"/>
        </w:rPr>
        <w:t xml:space="preserve">. </w:t>
      </w:r>
      <w:bookmarkStart w:id="5" w:name="_Hlk192856162"/>
      <w:r w:rsidR="00FF5962" w:rsidRPr="00FB72F4">
        <w:rPr>
          <w:rFonts w:ascii="Times New Roman" w:hAnsi="Times New Roman"/>
          <w:noProof/>
          <w:sz w:val="24"/>
        </w:rPr>
        <w:t xml:space="preserve">In 2024, </w:t>
      </w:r>
      <w:r w:rsidR="00006FC9" w:rsidRPr="00FB72F4">
        <w:rPr>
          <w:rFonts w:ascii="Times New Roman" w:hAnsi="Times New Roman"/>
          <w:noProof/>
          <w:sz w:val="24"/>
        </w:rPr>
        <w:t>grants amounting to EUR</w:t>
      </w:r>
      <w:r w:rsidR="007E148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 </w:t>
      </w:r>
      <w:r w:rsidR="008A33B7" w:rsidRPr="00FB72F4">
        <w:rPr>
          <w:rFonts w:ascii="Times New Roman" w:hAnsi="Times New Roman"/>
          <w:noProof/>
          <w:sz w:val="24"/>
        </w:rPr>
        <w:t>2.6</w:t>
      </w:r>
      <w:r w:rsidR="00006FC9" w:rsidRPr="00FB72F4">
        <w:rPr>
          <w:rFonts w:ascii="Times New Roman" w:hAnsi="Times New Roman"/>
          <w:noProof/>
          <w:sz w:val="24"/>
        </w:rPr>
        <w:t xml:space="preserve"> million were provided to </w:t>
      </w:r>
      <w:r w:rsidR="00FF5962" w:rsidRPr="00FB72F4">
        <w:rPr>
          <w:rFonts w:ascii="Times New Roman" w:hAnsi="Times New Roman"/>
          <w:noProof/>
          <w:sz w:val="24"/>
        </w:rPr>
        <w:t xml:space="preserve">21 farms and </w:t>
      </w:r>
      <w:r w:rsidR="008A33B7" w:rsidRPr="00FB72F4">
        <w:rPr>
          <w:rFonts w:ascii="Times New Roman" w:hAnsi="Times New Roman"/>
          <w:noProof/>
          <w:sz w:val="24"/>
        </w:rPr>
        <w:t>three</w:t>
      </w:r>
      <w:r w:rsidR="00006FC9" w:rsidRPr="00FB72F4">
        <w:rPr>
          <w:rFonts w:ascii="Times New Roman" w:hAnsi="Times New Roman"/>
          <w:noProof/>
          <w:sz w:val="24"/>
        </w:rPr>
        <w:t xml:space="preserve"> </w:t>
      </w:r>
      <w:r w:rsidR="00FF5962" w:rsidRPr="00FB72F4">
        <w:rPr>
          <w:rFonts w:ascii="Times New Roman" w:hAnsi="Times New Roman"/>
          <w:noProof/>
          <w:sz w:val="24"/>
        </w:rPr>
        <w:t xml:space="preserve">dairies </w:t>
      </w:r>
      <w:r w:rsidR="00006FC9" w:rsidRPr="00FB72F4">
        <w:rPr>
          <w:rFonts w:ascii="Times New Roman" w:hAnsi="Times New Roman"/>
          <w:noProof/>
          <w:sz w:val="24"/>
        </w:rPr>
        <w:t xml:space="preserve">to </w:t>
      </w:r>
      <w:r w:rsidR="00FB2429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help</w:t>
      </w:r>
      <w:r w:rsidR="00FB2429" w:rsidRPr="00FB72F4">
        <w:rPr>
          <w:rFonts w:ascii="Times New Roman" w:hAnsi="Times New Roman"/>
          <w:noProof/>
          <w:sz w:val="24"/>
        </w:rPr>
        <w:t xml:space="preserve"> </w:t>
      </w:r>
      <w:r w:rsidR="00006FC9" w:rsidRPr="00FB72F4">
        <w:rPr>
          <w:rFonts w:ascii="Times New Roman" w:hAnsi="Times New Roman"/>
          <w:noProof/>
          <w:sz w:val="24"/>
        </w:rPr>
        <w:t xml:space="preserve">them </w:t>
      </w:r>
      <w:r w:rsidR="00FF5962" w:rsidRPr="00FB72F4">
        <w:rPr>
          <w:rFonts w:ascii="Times New Roman" w:hAnsi="Times New Roman"/>
          <w:noProof/>
          <w:sz w:val="24"/>
        </w:rPr>
        <w:t>meet EU standards in production processes and increase production capacity.</w:t>
      </w:r>
      <w:r w:rsidR="00255446" w:rsidRPr="00FB72F4">
        <w:rPr>
          <w:rFonts w:ascii="Times New Roman" w:hAnsi="Times New Roman"/>
          <w:noProof/>
          <w:sz w:val="24"/>
        </w:rPr>
        <w:t xml:space="preserve"> </w:t>
      </w:r>
      <w:r w:rsidRPr="00FB72F4">
        <w:rPr>
          <w:rFonts w:ascii="Times New Roman" w:hAnsi="Times New Roman"/>
          <w:noProof/>
          <w:sz w:val="24"/>
        </w:rPr>
        <w:t xml:space="preserve">The technical support provided by the EU </w:t>
      </w:r>
      <w:r w:rsidR="00515E31" w:rsidRPr="00FB72F4">
        <w:rPr>
          <w:rFonts w:ascii="Times New Roman" w:hAnsi="Times New Roman"/>
          <w:noProof/>
          <w:sz w:val="24"/>
        </w:rPr>
        <w:t>was</w:t>
      </w:r>
      <w:r w:rsidRPr="00FB72F4">
        <w:rPr>
          <w:rFonts w:ascii="Times New Roman" w:hAnsi="Times New Roman"/>
          <w:noProof/>
          <w:sz w:val="24"/>
        </w:rPr>
        <w:t xml:space="preserve"> accompanied by meetings of the bi-communal EU Informal Working Group on </w:t>
      </w:r>
      <w:r w:rsidR="00BB4C3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‘</w:t>
      </w:r>
      <w:r w:rsidRPr="007E148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Halloumi</w:t>
      </w:r>
      <w:r w:rsidR="00BB4C3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’</w:t>
      </w:r>
      <w:r w:rsidRPr="007E148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/</w:t>
      </w:r>
      <w:r w:rsidR="00BB4C3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‘</w:t>
      </w:r>
      <w:r w:rsidRPr="007E148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Hellim</w:t>
      </w:r>
      <w:r w:rsidR="00BB4C3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’</w:t>
      </w:r>
      <w:r w:rsidRPr="007E148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.</w:t>
      </w:r>
    </w:p>
    <w:bookmarkEnd w:id="5"/>
    <w:p w14:paraId="30C8C503" w14:textId="5553C163" w:rsidR="002F482A" w:rsidRPr="00FB72F4" w:rsidRDefault="002F482A" w:rsidP="00F60926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support to farmers and food business operators </w:t>
      </w:r>
      <w:r w:rsidR="00BF363A" w:rsidRPr="00FB72F4">
        <w:rPr>
          <w:rFonts w:ascii="Times New Roman,Calibri" w:hAnsi="Times New Roman,Calibri"/>
          <w:noProof/>
          <w:sz w:val="24"/>
        </w:rPr>
        <w:t xml:space="preserve">forms </w:t>
      </w:r>
      <w:r w:rsidRPr="00FB72F4">
        <w:rPr>
          <w:rFonts w:ascii="Times New Roman,Calibri" w:hAnsi="Times New Roman,Calibri"/>
          <w:noProof/>
          <w:sz w:val="24"/>
        </w:rPr>
        <w:t xml:space="preserve">part of </w:t>
      </w:r>
      <w:r w:rsidR="00E74CA0" w:rsidRPr="00FB72F4">
        <w:rPr>
          <w:rFonts w:ascii="Times New Roman,Calibri" w:hAnsi="Times New Roman,Calibri"/>
          <w:noProof/>
          <w:sz w:val="24"/>
        </w:rPr>
        <w:t xml:space="preserve">a </w:t>
      </w:r>
      <w:r w:rsidR="00515E31" w:rsidRPr="00FB72F4">
        <w:rPr>
          <w:rFonts w:ascii="Times New Roman,Calibri" w:hAnsi="Times New Roman,Calibri"/>
          <w:noProof/>
          <w:sz w:val="24"/>
        </w:rPr>
        <w:t xml:space="preserve">wider </w:t>
      </w:r>
      <w:r w:rsidRPr="00FB72F4">
        <w:rPr>
          <w:rFonts w:ascii="Times New Roman,Calibri" w:hAnsi="Times New Roman,Calibri"/>
          <w:noProof/>
          <w:sz w:val="24"/>
        </w:rPr>
        <w:t xml:space="preserve">EU support to improve rural livelihoods and development in the </w:t>
      </w:r>
      <w:r w:rsidR="007001B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Turkish Cypriot community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, </w:t>
      </w:r>
      <w:r w:rsidR="0018263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because</w:t>
      </w:r>
      <w:r w:rsidR="00182638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 xml:space="preserve">of its economic and social importance. A new 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multiannual</w:t>
      </w:r>
      <w:r w:rsidRPr="00FB72F4">
        <w:rPr>
          <w:rFonts w:ascii="Times New Roman,Calibri" w:hAnsi="Times New Roman,Calibri"/>
          <w:noProof/>
          <w:sz w:val="24"/>
        </w:rPr>
        <w:t xml:space="preserve"> initiative 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</w:t>
      </w:r>
      <w:r w:rsidRPr="00FB72F4">
        <w:rPr>
          <w:rFonts w:ascii="Times New Roman,Calibri" w:hAnsi="Times New Roman,Calibri"/>
          <w:noProof/>
          <w:sz w:val="24"/>
        </w:rPr>
        <w:t xml:space="preserve">eunite: 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AgriBusiness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Pr="00FB72F4">
        <w:rPr>
          <w:rFonts w:ascii="Times New Roman,Calibri" w:hAnsi="Times New Roman,Calibri"/>
          <w:noProof/>
          <w:sz w:val="24"/>
        </w:rPr>
        <w:t xml:space="preserve"> was launched in 2024, aiming to </w:t>
      </w:r>
      <w:r w:rsidR="00ED094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(i) </w:t>
      </w:r>
      <w:r w:rsidRPr="00FB72F4">
        <w:rPr>
          <w:rFonts w:ascii="Times New Roman,Calibri" w:hAnsi="Times New Roman,Calibri"/>
          <w:noProof/>
          <w:sz w:val="24"/>
        </w:rPr>
        <w:t xml:space="preserve">strengthen </w:t>
      </w:r>
      <w:r w:rsidR="00BF363A" w:rsidRPr="00FB72F4">
        <w:rPr>
          <w:rFonts w:ascii="Times New Roman,Calibri" w:hAnsi="Times New Roman,Calibri"/>
          <w:noProof/>
          <w:sz w:val="24"/>
        </w:rPr>
        <w:t>a</w:t>
      </w:r>
      <w:r w:rsidRPr="00FB72F4">
        <w:rPr>
          <w:rFonts w:ascii="Times New Roman,Calibri" w:hAnsi="Times New Roman,Calibri"/>
          <w:noProof/>
          <w:sz w:val="24"/>
        </w:rPr>
        <w:t xml:space="preserve">gricultural </w:t>
      </w:r>
      <w:r w:rsidR="00BF363A" w:rsidRPr="00FB72F4">
        <w:rPr>
          <w:rFonts w:ascii="Times New Roman,Calibri" w:hAnsi="Times New Roman,Calibri"/>
          <w:noProof/>
          <w:sz w:val="24"/>
        </w:rPr>
        <w:t>know-how</w:t>
      </w:r>
      <w:r w:rsidRPr="00FB72F4">
        <w:rPr>
          <w:rFonts w:ascii="Times New Roman,Calibri" w:hAnsi="Times New Roman,Calibri"/>
          <w:noProof/>
          <w:sz w:val="24"/>
        </w:rPr>
        <w:t xml:space="preserve"> </w:t>
      </w:r>
      <w:r w:rsidR="00BF363A" w:rsidRPr="00FB72F4">
        <w:rPr>
          <w:rFonts w:ascii="Times New Roman,Calibri" w:hAnsi="Times New Roman,Calibri"/>
          <w:noProof/>
          <w:sz w:val="24"/>
        </w:rPr>
        <w:t xml:space="preserve">in the </w:t>
      </w:r>
      <w:r w:rsidR="007001B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Turkish Cypriot community</w:t>
      </w:r>
      <w:r w:rsidR="00BF363A" w:rsidRPr="00FB72F4">
        <w:rPr>
          <w:rFonts w:ascii="Times New Roman,Calibri" w:hAnsi="Times New Roman,Calibri"/>
          <w:noProof/>
          <w:sz w:val="24"/>
        </w:rPr>
        <w:t xml:space="preserve"> following the approach of the EU Agricultural Knowledge and Innovation 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System</w:t>
      </w:r>
      <w:r w:rsidR="00ED094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s</w:t>
      </w:r>
      <w:r w:rsidRPr="00FB72F4">
        <w:rPr>
          <w:rFonts w:ascii="Times New Roman,Calibri" w:hAnsi="Times New Roman,Calibri"/>
          <w:noProof/>
          <w:sz w:val="24"/>
        </w:rPr>
        <w:t xml:space="preserve"> (AKIS), </w:t>
      </w:r>
      <w:r w:rsidR="00ED094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(ii) </w:t>
      </w:r>
      <w:r w:rsidRPr="00FB72F4">
        <w:rPr>
          <w:rFonts w:ascii="Times New Roman,Calibri" w:hAnsi="Times New Roman,Calibri"/>
          <w:noProof/>
          <w:sz w:val="24"/>
        </w:rPr>
        <w:t xml:space="preserve">enhance farm advisory services, and </w:t>
      </w:r>
      <w:r w:rsidR="00ED094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(iii) boost</w:t>
      </w:r>
      <w:r w:rsidR="00ED0948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innovation and sustainable growth of agricultural and rural environments.</w:t>
      </w:r>
    </w:p>
    <w:p w14:paraId="3404C9EB" w14:textId="6830F7B4" w:rsidR="00FF5962" w:rsidRPr="00FB72F4" w:rsidRDefault="006C1156" w:rsidP="00F60926">
      <w:pPr>
        <w:keepNext/>
        <w:spacing w:before="120" w:after="120" w:line="240" w:lineRule="auto"/>
        <w:ind w:left="850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</w:t>
      </w:r>
      <w:r w:rsidR="00CB2425" w:rsidRPr="00FB72F4">
        <w:rPr>
          <w:rFonts w:ascii="Times New Roman,Calibri" w:hAnsi="Times New Roman,Calibri"/>
          <w:noProof/>
          <w:sz w:val="24"/>
        </w:rPr>
        <w:t>Commission</w:t>
      </w:r>
      <w:r w:rsidRPr="00FB72F4">
        <w:rPr>
          <w:rFonts w:ascii="Times New Roman,Calibri" w:hAnsi="Times New Roman,Calibri"/>
          <w:noProof/>
          <w:sz w:val="24"/>
        </w:rPr>
        <w:t xml:space="preserve"> </w:t>
      </w:r>
      <w:r w:rsidR="002F482A" w:rsidRPr="00FB72F4">
        <w:rPr>
          <w:rFonts w:ascii="Times New Roman,Calibri" w:hAnsi="Times New Roman,Calibri"/>
          <w:noProof/>
          <w:sz w:val="24"/>
        </w:rPr>
        <w:t xml:space="preserve">maintained </w:t>
      </w:r>
      <w:r w:rsidRPr="00FB72F4">
        <w:rPr>
          <w:rFonts w:ascii="Times New Roman,Calibri" w:hAnsi="Times New Roman,Calibri"/>
          <w:noProof/>
          <w:sz w:val="24"/>
        </w:rPr>
        <w:t xml:space="preserve">its support </w:t>
      </w:r>
      <w:r w:rsidR="00B24006" w:rsidRPr="00FB72F4">
        <w:rPr>
          <w:rFonts w:ascii="Times New Roman,Calibri" w:hAnsi="Times New Roman,Calibri"/>
          <w:noProof/>
          <w:sz w:val="24"/>
        </w:rPr>
        <w:t>in the are</w:t>
      </w:r>
      <w:r w:rsidR="00CB77B0" w:rsidRPr="00FB72F4">
        <w:rPr>
          <w:rFonts w:ascii="Times New Roman,Calibri" w:hAnsi="Times New Roman,Calibri"/>
          <w:noProof/>
          <w:sz w:val="24"/>
        </w:rPr>
        <w:t>a</w:t>
      </w:r>
      <w:r w:rsidR="00B24006" w:rsidRPr="00FB72F4">
        <w:rPr>
          <w:rFonts w:ascii="Times New Roman,Calibri" w:hAnsi="Times New Roman,Calibri"/>
          <w:noProof/>
          <w:sz w:val="24"/>
        </w:rPr>
        <w:t xml:space="preserve"> of</w:t>
      </w:r>
      <w:r w:rsidRPr="00FB72F4">
        <w:rPr>
          <w:rFonts w:ascii="Times New Roman,Calibri" w:hAnsi="Times New Roman,Calibri"/>
          <w:noProof/>
          <w:sz w:val="24"/>
        </w:rPr>
        <w:t xml:space="preserve"> education, </w:t>
      </w:r>
      <w:r w:rsidR="00420BB4" w:rsidRPr="00FB72F4">
        <w:rPr>
          <w:rFonts w:ascii="Times New Roman,Calibri" w:hAnsi="Times New Roman,Calibri"/>
          <w:noProof/>
          <w:sz w:val="24"/>
        </w:rPr>
        <w:t xml:space="preserve">with a specific </w:t>
      </w:r>
      <w:r w:rsidRPr="00FB72F4">
        <w:rPr>
          <w:rFonts w:ascii="Times New Roman,Calibri" w:hAnsi="Times New Roman,Calibri"/>
          <w:noProof/>
          <w:sz w:val="24"/>
        </w:rPr>
        <w:t>focus on vocational education and training, lifelong learning and professional development of teachers</w:t>
      </w:r>
      <w:r w:rsidR="00420BB4" w:rsidRPr="00FB72F4">
        <w:rPr>
          <w:rFonts w:ascii="Times New Roman,Calibri" w:hAnsi="Times New Roman,Calibri"/>
          <w:noProof/>
          <w:sz w:val="24"/>
        </w:rPr>
        <w:t xml:space="preserve"> in the </w:t>
      </w:r>
      <w:r w:rsidR="007001B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Turkish Cypriot community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.</w:t>
      </w:r>
      <w:r w:rsidRPr="00FB72F4">
        <w:rPr>
          <w:rFonts w:ascii="Times New Roman,Calibri" w:hAnsi="Times New Roman,Calibri"/>
          <w:noProof/>
          <w:sz w:val="24"/>
        </w:rPr>
        <w:t xml:space="preserve"> </w:t>
      </w:r>
      <w:r w:rsidR="00420BB4" w:rsidRPr="00FB72F4">
        <w:rPr>
          <w:rFonts w:ascii="Times New Roman,Calibri" w:hAnsi="Times New Roman,Calibri"/>
          <w:noProof/>
          <w:sz w:val="24"/>
        </w:rPr>
        <w:t>Curriculum packages for 29 occupations were developed and piloted in nine schools,</w:t>
      </w:r>
      <w:r w:rsidR="00ED0948" w:rsidRPr="00FB72F4">
        <w:rPr>
          <w:rFonts w:ascii="Times New Roman,Calibri" w:hAnsi="Times New Roman,Calibri"/>
          <w:noProof/>
          <w:sz w:val="24"/>
        </w:rPr>
        <w:t xml:space="preserve"> </w:t>
      </w:r>
      <w:r w:rsidR="00ED094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and</w:t>
      </w:r>
      <w:r w:rsidR="00420BB4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</w:t>
      </w:r>
      <w:r w:rsidR="00420BB4" w:rsidRPr="00FB72F4">
        <w:rPr>
          <w:rFonts w:ascii="Times New Roman,Calibri" w:hAnsi="Times New Roman,Calibri"/>
          <w:noProof/>
          <w:sz w:val="24"/>
        </w:rPr>
        <w:t xml:space="preserve">focus groups and interviews were conducted with 114 teachers and 88 students. Guidebooks in </w:t>
      </w:r>
      <w:r w:rsidR="00ED094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cross-cutting</w:t>
      </w:r>
      <w:r w:rsidR="00ED0948" w:rsidRPr="00FB72F4">
        <w:rPr>
          <w:rFonts w:ascii="Times New Roman,Calibri" w:hAnsi="Times New Roman,Calibri"/>
          <w:noProof/>
          <w:sz w:val="24"/>
        </w:rPr>
        <w:t xml:space="preserve"> </w:t>
      </w:r>
      <w:r w:rsidR="00420BB4" w:rsidRPr="00FB72F4">
        <w:rPr>
          <w:rFonts w:ascii="Times New Roman,Calibri" w:hAnsi="Times New Roman,Calibri"/>
          <w:noProof/>
          <w:sz w:val="24"/>
        </w:rPr>
        <w:t xml:space="preserve">areas such </w:t>
      </w:r>
      <w:r w:rsidR="00D148D3">
        <w:rPr>
          <w:rFonts w:ascii="Times New Roman,Calibri" w:hAnsi="Times New Roman,Calibri"/>
          <w:noProof/>
          <w:sz w:val="24"/>
        </w:rPr>
        <w:t xml:space="preserve">as </w:t>
      </w:r>
      <w:r w:rsidR="009C5E2F" w:rsidRPr="00FB72F4">
        <w:rPr>
          <w:rFonts w:ascii="Times New Roman,Calibri" w:hAnsi="Times New Roman,Calibri"/>
          <w:noProof/>
          <w:sz w:val="24"/>
        </w:rPr>
        <w:t>h</w:t>
      </w:r>
      <w:r w:rsidR="00420BB4" w:rsidRPr="00FB72F4">
        <w:rPr>
          <w:rFonts w:ascii="Times New Roman,Calibri" w:hAnsi="Times New Roman,Calibri"/>
          <w:noProof/>
          <w:sz w:val="24"/>
        </w:rPr>
        <w:t xml:space="preserve">ealth and safety, entrepreneurship, environmental protection and foreign language in </w:t>
      </w:r>
      <w:r w:rsidR="00420BB4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occupation</w:t>
      </w:r>
      <w:r w:rsidR="00ED094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s</w:t>
      </w:r>
      <w:r w:rsidR="00420BB4" w:rsidRPr="00FB72F4">
        <w:rPr>
          <w:rFonts w:ascii="Times New Roman,Calibri" w:hAnsi="Times New Roman,Calibri"/>
          <w:noProof/>
          <w:sz w:val="24"/>
        </w:rPr>
        <w:t xml:space="preserve"> were developed and distributed to schools. </w:t>
      </w:r>
      <w:r w:rsidR="000F7DA7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</w:t>
      </w:r>
      <w:r w:rsidR="00420BB4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training needs assessment </w:t>
      </w:r>
      <w:r w:rsidR="000F7DA7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f</w:t>
      </w:r>
      <w:r w:rsidR="000F7DA7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or</w:t>
      </w:r>
      <w:r w:rsidR="000F7DA7" w:rsidRPr="00FB72F4">
        <w:rPr>
          <w:rFonts w:ascii="Times New Roman,Calibri" w:hAnsi="Times New Roman,Calibri"/>
          <w:noProof/>
          <w:sz w:val="24"/>
        </w:rPr>
        <w:t xml:space="preserve"> teachers</w:t>
      </w:r>
      <w:r w:rsidR="00D148D3">
        <w:rPr>
          <w:rFonts w:ascii="Times New Roman,Calibri" w:hAnsi="Times New Roman,Calibri"/>
          <w:noProof/>
          <w:sz w:val="24"/>
        </w:rPr>
        <w:t xml:space="preserve">’ </w:t>
      </w:r>
      <w:r w:rsidR="000F7DA7" w:rsidRPr="00FB72F4">
        <w:rPr>
          <w:rFonts w:ascii="Times New Roman,Calibri" w:hAnsi="Times New Roman,Calibri"/>
          <w:noProof/>
          <w:sz w:val="24"/>
        </w:rPr>
        <w:t xml:space="preserve">professional development </w:t>
      </w:r>
      <w:r w:rsidR="000F7DA7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was carried out </w:t>
      </w:r>
      <w:r w:rsidR="00420BB4" w:rsidRPr="00FB72F4">
        <w:rPr>
          <w:rFonts w:ascii="Times New Roman,Calibri" w:hAnsi="Times New Roman,Calibri"/>
          <w:noProof/>
          <w:sz w:val="24"/>
        </w:rPr>
        <w:t xml:space="preserve">in all schools in the </w:t>
      </w:r>
      <w:r w:rsidR="007001B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Turkish Cypriot community</w:t>
      </w:r>
      <w:r w:rsidR="00420BB4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. </w:t>
      </w:r>
      <w:r w:rsidR="000F7DA7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This identified</w:t>
      </w:r>
      <w:r w:rsidR="000F7DA7" w:rsidRPr="00FB72F4">
        <w:rPr>
          <w:rFonts w:ascii="Times New Roman,Calibri" w:hAnsi="Times New Roman,Calibri"/>
          <w:noProof/>
          <w:sz w:val="24"/>
        </w:rPr>
        <w:t xml:space="preserve"> </w:t>
      </w:r>
      <w:r w:rsidR="00420BB4" w:rsidRPr="00FB72F4">
        <w:rPr>
          <w:rFonts w:ascii="Times New Roman,Calibri" w:hAnsi="Times New Roman,Calibri"/>
          <w:noProof/>
          <w:sz w:val="24"/>
        </w:rPr>
        <w:t>four main themes (effective teaching and learning, school leadership, inclusive education and safe schools and crisis management</w:t>
      </w:r>
      <w:r w:rsidR="00420BB4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)</w:t>
      </w:r>
      <w:r w:rsidR="00BC4FF4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.</w:t>
      </w:r>
      <w:r w:rsidR="000F7DA7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For</w:t>
      </w:r>
      <w:r w:rsidR="000F7DA7" w:rsidRPr="00FB72F4">
        <w:rPr>
          <w:rFonts w:ascii="Times New Roman,Calibri" w:hAnsi="Times New Roman,Calibri"/>
          <w:noProof/>
          <w:sz w:val="24"/>
        </w:rPr>
        <w:t xml:space="preserve"> each </w:t>
      </w:r>
      <w:r w:rsidR="000F7DA7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of these,</w:t>
      </w:r>
      <w:r w:rsidR="000F7DA7" w:rsidRPr="00FB72F4">
        <w:rPr>
          <w:rFonts w:ascii="Times New Roman,Calibri" w:hAnsi="Times New Roman,Calibri"/>
          <w:noProof/>
          <w:sz w:val="24"/>
        </w:rPr>
        <w:t xml:space="preserve"> </w:t>
      </w:r>
      <w:r w:rsidR="00420BB4" w:rsidRPr="00FB72F4">
        <w:rPr>
          <w:rFonts w:ascii="Times New Roman,Calibri" w:hAnsi="Times New Roman,Calibri"/>
          <w:noProof/>
          <w:sz w:val="24"/>
        </w:rPr>
        <w:t xml:space="preserve">a committee was established, which </w:t>
      </w:r>
      <w:r w:rsidR="000F7DA7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then </w:t>
      </w:r>
      <w:r w:rsidR="00420BB4" w:rsidRPr="00FB72F4">
        <w:rPr>
          <w:rFonts w:ascii="Times New Roman,Calibri" w:hAnsi="Times New Roman,Calibri"/>
          <w:noProof/>
          <w:sz w:val="24"/>
        </w:rPr>
        <w:t>developed</w:t>
      </w:r>
      <w:r w:rsidR="00420BB4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</w:t>
      </w:r>
      <w:r w:rsidR="000F7DA7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relevant</w:t>
      </w:r>
      <w:r w:rsidR="000F7DA7" w:rsidRPr="00FB72F4">
        <w:rPr>
          <w:rFonts w:ascii="Times New Roman,Calibri" w:hAnsi="Times New Roman,Calibri"/>
          <w:noProof/>
          <w:sz w:val="24"/>
        </w:rPr>
        <w:t xml:space="preserve"> </w:t>
      </w:r>
      <w:r w:rsidR="00420BB4" w:rsidRPr="00FB72F4">
        <w:rPr>
          <w:rFonts w:ascii="Times New Roman,Calibri" w:hAnsi="Times New Roman,Calibri"/>
          <w:noProof/>
          <w:sz w:val="24"/>
        </w:rPr>
        <w:t>training modules.</w:t>
      </w:r>
    </w:p>
    <w:p w14:paraId="220A946C" w14:textId="58C3DFAC" w:rsidR="00A926D0" w:rsidRPr="00FB72F4" w:rsidRDefault="00FF5962" w:rsidP="00F60926">
      <w:pPr>
        <w:keepNext/>
        <w:spacing w:before="120" w:after="120" w:line="240" w:lineRule="auto"/>
        <w:ind w:left="850"/>
        <w:jc w:val="both"/>
        <w:rPr>
          <w:noProof/>
        </w:rPr>
      </w:pPr>
      <w:r w:rsidRPr="00FB72F4">
        <w:rPr>
          <w:rFonts w:ascii="Times New Roman,Calibri" w:hAnsi="Times New Roman,Calibri"/>
          <w:noProof/>
          <w:sz w:val="24"/>
        </w:rPr>
        <w:t xml:space="preserve">In 2024, </w:t>
      </w:r>
      <w:r w:rsidR="005439E1" w:rsidRPr="00FB72F4">
        <w:rPr>
          <w:rFonts w:ascii="Times New Roman,Calibri" w:hAnsi="Times New Roman,Calibri"/>
          <w:noProof/>
          <w:sz w:val="24"/>
        </w:rPr>
        <w:t xml:space="preserve">the Commission continued to provide support for boosting trade across the </w:t>
      </w:r>
      <w:r w:rsidRPr="00FB72F4">
        <w:rPr>
          <w:rFonts w:ascii="Times New Roman,Calibri" w:hAnsi="Times New Roman,Calibri"/>
          <w:noProof/>
          <w:sz w:val="24"/>
        </w:rPr>
        <w:t>Green Line</w:t>
      </w:r>
      <w:r w:rsidR="005439E1" w:rsidRPr="00FB72F4">
        <w:rPr>
          <w:rFonts w:ascii="Times New Roman,Calibri" w:hAnsi="Times New Roman,Calibri"/>
          <w:noProof/>
          <w:sz w:val="24"/>
        </w:rPr>
        <w:t xml:space="preserve">. </w:t>
      </w:r>
      <w:r w:rsidR="00143B3C" w:rsidRPr="00FB72F4">
        <w:rPr>
          <w:rFonts w:ascii="Times New Roman,Calibri" w:hAnsi="Times New Roman,Calibri"/>
          <w:noProof/>
          <w:sz w:val="24"/>
        </w:rPr>
        <w:t>N</w:t>
      </w:r>
      <w:r w:rsidRPr="00FB72F4">
        <w:rPr>
          <w:rFonts w:ascii="Times New Roman,Calibri" w:hAnsi="Times New Roman,Calibri"/>
          <w:noProof/>
          <w:sz w:val="24"/>
        </w:rPr>
        <w:t xml:space="preserve">ew </w:t>
      </w:r>
      <w:r w:rsidR="00196EBC" w:rsidRPr="00FB72F4">
        <w:rPr>
          <w:rFonts w:ascii="Times New Roman,Calibri" w:hAnsi="Times New Roman,Calibri"/>
          <w:noProof/>
          <w:sz w:val="24"/>
        </w:rPr>
        <w:t xml:space="preserve">types of </w:t>
      </w:r>
      <w:r w:rsidRPr="00FB72F4">
        <w:rPr>
          <w:rFonts w:ascii="Times New Roman,Calibri" w:hAnsi="Times New Roman,Calibri"/>
          <w:noProof/>
          <w:sz w:val="24"/>
        </w:rPr>
        <w:t>processed food and materials that come in contact with food</w:t>
      </w:r>
      <w:r w:rsidR="00143B3C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 xml:space="preserve">were successfully traded across the Green Line and placed on the EU market. </w:t>
      </w:r>
      <w:r w:rsidR="00515E31" w:rsidRPr="00FB72F4">
        <w:rPr>
          <w:rFonts w:ascii="Times New Roman,Calibri" w:hAnsi="Times New Roman,Calibri"/>
          <w:noProof/>
          <w:sz w:val="24"/>
        </w:rPr>
        <w:t>T</w:t>
      </w:r>
      <w:r w:rsidRPr="00FB72F4">
        <w:rPr>
          <w:rFonts w:ascii="Times New Roman,Calibri" w:hAnsi="Times New Roman,Calibri"/>
          <w:noProof/>
          <w:sz w:val="24"/>
        </w:rPr>
        <w:t xml:space="preserve">he business community </w:t>
      </w:r>
      <w:r w:rsidR="00515E31" w:rsidRPr="00FB72F4">
        <w:rPr>
          <w:rFonts w:ascii="Times New Roman,Calibri" w:hAnsi="Times New Roman,Calibri"/>
          <w:noProof/>
          <w:sz w:val="24"/>
        </w:rPr>
        <w:t xml:space="preserve">showed a high level of interest </w:t>
      </w:r>
      <w:r w:rsidR="000F7DA7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in increasing</w:t>
      </w:r>
      <w:r w:rsidR="000F7DA7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compliance</w:t>
      </w:r>
      <w:r w:rsidR="00143B3C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 xml:space="preserve">with EU standards. This </w:t>
      </w:r>
      <w:r w:rsidR="00515E31" w:rsidRPr="00FB72F4">
        <w:rPr>
          <w:rFonts w:ascii="Times New Roman,Calibri" w:hAnsi="Times New Roman,Calibri"/>
          <w:noProof/>
          <w:sz w:val="24"/>
        </w:rPr>
        <w:t>was</w:t>
      </w:r>
      <w:r w:rsidRPr="00FB72F4">
        <w:rPr>
          <w:rFonts w:ascii="Times New Roman,Calibri" w:hAnsi="Times New Roman,Calibri"/>
          <w:noProof/>
          <w:sz w:val="24"/>
        </w:rPr>
        <w:t xml:space="preserve"> </w:t>
      </w:r>
      <w:r w:rsidR="00515E31" w:rsidRPr="00FB72F4">
        <w:rPr>
          <w:rFonts w:ascii="Times New Roman,Calibri" w:hAnsi="Times New Roman,Calibri"/>
          <w:noProof/>
          <w:sz w:val="24"/>
        </w:rPr>
        <w:t>demonstrated</w:t>
      </w:r>
      <w:r w:rsidRPr="00FB72F4">
        <w:rPr>
          <w:rFonts w:ascii="Times New Roman,Calibri" w:hAnsi="Times New Roman,Calibri"/>
          <w:noProof/>
          <w:sz w:val="24"/>
        </w:rPr>
        <w:t xml:space="preserve"> by multiple inquiries addressed to </w:t>
      </w:r>
      <w:r w:rsidR="00605B5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Cyprus</w:t>
      </w:r>
      <w:r w:rsidR="00D148D3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="00605B5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s</w:t>
      </w:r>
      <w:r w:rsidR="00605B59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EU One Stop Shop, which provides knowledge, support and networking opportunities to businesses and traders interested or engaged in Green Line trade.</w:t>
      </w:r>
      <w:r w:rsidR="00515E31" w:rsidRPr="00FB72F4">
        <w:rPr>
          <w:rFonts w:ascii="Times New Roman,Calibri" w:hAnsi="Times New Roman,Calibri"/>
          <w:noProof/>
          <w:sz w:val="24"/>
        </w:rPr>
        <w:t xml:space="preserve"> </w:t>
      </w:r>
      <w:r w:rsidR="00F67CB6" w:rsidRPr="00FB72F4">
        <w:rPr>
          <w:rFonts w:ascii="Times New Roman,Calibri" w:hAnsi="Times New Roman,Calibri"/>
          <w:noProof/>
          <w:sz w:val="24"/>
        </w:rPr>
        <w:t xml:space="preserve">Since </w:t>
      </w:r>
      <w:r w:rsidR="00515E31" w:rsidRPr="00FB72F4">
        <w:rPr>
          <w:rFonts w:ascii="Times New Roman,Calibri" w:hAnsi="Times New Roman,Calibri"/>
          <w:noProof/>
          <w:sz w:val="24"/>
        </w:rPr>
        <w:t xml:space="preserve">the start of the initiative in </w:t>
      </w:r>
      <w:r w:rsidR="00F67CB6" w:rsidRPr="00FB72F4">
        <w:rPr>
          <w:rFonts w:ascii="Times New Roman,Calibri" w:hAnsi="Times New Roman,Calibri"/>
          <w:noProof/>
          <w:sz w:val="24"/>
        </w:rPr>
        <w:t xml:space="preserve">2023, the EU One Stop Shop </w:t>
      </w:r>
      <w:r w:rsidR="00605B5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has </w:t>
      </w:r>
      <w:r w:rsidR="00C90889" w:rsidRPr="00FB72F4">
        <w:rPr>
          <w:rFonts w:ascii="Times New Roman,Calibri" w:hAnsi="Times New Roman,Calibri"/>
          <w:noProof/>
          <w:sz w:val="24"/>
        </w:rPr>
        <w:t>provided</w:t>
      </w:r>
      <w:r w:rsidR="00006FC9" w:rsidRPr="00FB72F4">
        <w:rPr>
          <w:rFonts w:ascii="Times New Roman,Calibri" w:hAnsi="Times New Roman,Calibri"/>
          <w:noProof/>
          <w:sz w:val="24"/>
        </w:rPr>
        <w:t xml:space="preserve"> tailor-made</w:t>
      </w:r>
      <w:r w:rsidR="00C90889" w:rsidRPr="00FB72F4">
        <w:rPr>
          <w:rFonts w:ascii="Times New Roman,Calibri" w:hAnsi="Times New Roman,Calibri"/>
          <w:noProof/>
          <w:sz w:val="24"/>
        </w:rPr>
        <w:t xml:space="preserve"> support to 85 traders</w:t>
      </w:r>
      <w:r w:rsidR="00006FC9" w:rsidRPr="00FB72F4">
        <w:rPr>
          <w:rFonts w:ascii="Times New Roman,Calibri" w:hAnsi="Times New Roman,Calibri"/>
          <w:noProof/>
          <w:sz w:val="24"/>
        </w:rPr>
        <w:t>.</w:t>
      </w:r>
    </w:p>
    <w:p w14:paraId="6F9519CD" w14:textId="344B3514" w:rsidR="00A926D0" w:rsidRPr="00FB72F4" w:rsidRDefault="00A926D0" w:rsidP="00A926D0">
      <w:pPr>
        <w:numPr>
          <w:ilvl w:val="2"/>
          <w:numId w:val="3"/>
        </w:numPr>
        <w:spacing w:before="120" w:after="120" w:line="240" w:lineRule="auto"/>
        <w:jc w:val="both"/>
        <w:outlineLvl w:val="2"/>
        <w:rPr>
          <w:rFonts w:ascii="Times New Roman" w:hAnsi="Times New Roman"/>
          <w:i/>
          <w:noProof/>
          <w:sz w:val="24"/>
        </w:rPr>
      </w:pPr>
      <w:r w:rsidRPr="00FB72F4">
        <w:rPr>
          <w:rFonts w:ascii="Times New Roman" w:hAnsi="Times New Roman"/>
          <w:i/>
          <w:noProof/>
          <w:sz w:val="24"/>
        </w:rPr>
        <w:t>Objective 2: Developing and restructuring of infrastructure</w:t>
      </w:r>
    </w:p>
    <w:p w14:paraId="460BB5EC" w14:textId="051EBD4A" w:rsidR="00A926D0" w:rsidRPr="00FB72F4" w:rsidRDefault="00A926D0" w:rsidP="00A926D0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United Nations Development Programme (UNDP) continued to implement the </w:t>
      </w:r>
      <w:r w:rsidR="00605B5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EU</w:t>
      </w:r>
      <w:r w:rsidR="00D148D3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="00605B5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s </w:t>
      </w:r>
      <w:r w:rsidRPr="00FB72F4">
        <w:rPr>
          <w:rFonts w:ascii="Times New Roman" w:hAnsi="Times New Roman"/>
          <w:noProof/>
          <w:sz w:val="24"/>
        </w:rPr>
        <w:t xml:space="preserve">Local Infrastructure Facility through ongoing </w:t>
      </w:r>
      <w:r w:rsidRPr="00FB72F4">
        <w:rPr>
          <w:rFonts w:ascii="Times New Roman,Calibri" w:hAnsi="Times New Roman,Calibri"/>
          <w:noProof/>
          <w:sz w:val="24"/>
        </w:rPr>
        <w:t>contribution agreements signed with the Commission for a total of EUR</w:t>
      </w:r>
      <w:r w:rsidRPr="00FB72F4">
        <w:rPr>
          <w:rFonts w:ascii="Times New Roman,Calibri" w:hAnsi="Times New Roman,Calibri" w:hint="eastAsia"/>
          <w:noProof/>
          <w:sz w:val="24"/>
        </w:rPr>
        <w:t> </w:t>
      </w:r>
      <w:r w:rsidRPr="00FB72F4">
        <w:rPr>
          <w:rFonts w:ascii="Times New Roman,Calibri" w:hAnsi="Times New Roman,Calibri"/>
          <w:noProof/>
          <w:sz w:val="24"/>
        </w:rPr>
        <w:t xml:space="preserve">36.7 million. The facility provides support for preparing and implementing relevant local infrastructure investments. This included </w:t>
      </w:r>
      <w:r w:rsidR="00605B5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replacing </w:t>
      </w:r>
      <w:r w:rsidR="00605B59" w:rsidRPr="00FB72F4">
        <w:rPr>
          <w:rFonts w:ascii="Times New Roman,Calibri" w:hAnsi="Times New Roman,Calibri"/>
          <w:noProof/>
          <w:sz w:val="24"/>
        </w:rPr>
        <w:t xml:space="preserve">the </w:t>
      </w:r>
      <w:r w:rsidR="00605B5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‘Trunk E’</w:t>
      </w:r>
      <w:r w:rsidRPr="00FB72F4">
        <w:rPr>
          <w:rFonts w:ascii="Times New Roman,Calibri" w:hAnsi="Times New Roman,Calibri"/>
          <w:noProof/>
          <w:sz w:val="24"/>
        </w:rPr>
        <w:t xml:space="preserve"> sewage pipeline in </w:t>
      </w:r>
      <w:r w:rsidR="00D148D3">
        <w:rPr>
          <w:rFonts w:ascii="Times New Roman,Calibri" w:hAnsi="Times New Roman,Calibri"/>
          <w:noProof/>
          <w:sz w:val="24"/>
        </w:rPr>
        <w:t xml:space="preserve">the </w:t>
      </w:r>
      <w:r w:rsidRPr="00FB72F4">
        <w:rPr>
          <w:rFonts w:ascii="Times New Roman,Calibri" w:hAnsi="Times New Roman,Calibri"/>
          <w:noProof/>
          <w:sz w:val="24"/>
        </w:rPr>
        <w:t>Nicosia urban area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, </w:t>
      </w:r>
      <w:r w:rsidR="00605B5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installing</w:t>
      </w:r>
      <w:r w:rsidR="00605B59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 xml:space="preserve">water tanks and automatic pumping systems in Lefka/Lefke, </w:t>
      </w:r>
      <w:r w:rsidR="00605B5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providing</w:t>
      </w:r>
      <w:r w:rsidRPr="00FB72F4">
        <w:rPr>
          <w:rFonts w:ascii="Times New Roman,Calibri" w:hAnsi="Times New Roman,Calibri"/>
          <w:noProof/>
          <w:sz w:val="24"/>
        </w:rPr>
        <w:t xml:space="preserve"> sports facilities and equipment in four schools, and </w:t>
      </w:r>
      <w:r w:rsidR="00605B5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deploying</w:t>
      </w:r>
      <w:r w:rsidRPr="00FB72F4">
        <w:rPr>
          <w:rFonts w:ascii="Times New Roman,Calibri" w:hAnsi="Times New Roman,Calibri"/>
          <w:noProof/>
          <w:sz w:val="24"/>
        </w:rPr>
        <w:t xml:space="preserve"> photovoltaic solar power systems in Lefka/Lefke and </w:t>
      </w:r>
      <w:r w:rsidR="00755C14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at </w:t>
      </w:r>
      <w:r w:rsidRPr="00FB72F4">
        <w:rPr>
          <w:rFonts w:ascii="Times New Roman,Calibri" w:hAnsi="Times New Roman,Calibri"/>
          <w:noProof/>
          <w:sz w:val="24"/>
        </w:rPr>
        <w:t>the Kormakitis Centre for Cooperation.</w:t>
      </w:r>
    </w:p>
    <w:p w14:paraId="4A4F00AA" w14:textId="33220118" w:rsidR="00A926D0" w:rsidRPr="00FB72F4" w:rsidRDefault="00A926D0" w:rsidP="00A926D0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remedial works of the Famagusta sewerage network were successfully completed and </w:t>
      </w:r>
      <w:r w:rsidR="00DE3DF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no</w:t>
      </w:r>
      <w:r w:rsidR="00DE3DF8" w:rsidRPr="00FB72F4">
        <w:rPr>
          <w:rFonts w:ascii="Times New Roman,Calibri" w:hAnsi="Times New Roman,Calibri"/>
          <w:noProof/>
          <w:sz w:val="24"/>
        </w:rPr>
        <w:t xml:space="preserve"> relevant defects </w:t>
      </w:r>
      <w:r w:rsidR="00DE3DF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were </w:t>
      </w:r>
      <w:r w:rsidR="00DE3DF8" w:rsidRPr="00FB72F4">
        <w:rPr>
          <w:rFonts w:ascii="Times New Roman,Calibri" w:hAnsi="Times New Roman,Calibri"/>
          <w:noProof/>
          <w:sz w:val="24"/>
        </w:rPr>
        <w:t>notified</w:t>
      </w:r>
      <w:r w:rsidR="00DE3DF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by the end of the notification period for the works 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in December 2024.</w:t>
      </w:r>
      <w:r w:rsidRPr="00FB72F4">
        <w:rPr>
          <w:rFonts w:ascii="Times New Roman,Calibri" w:hAnsi="Times New Roman,Calibri"/>
          <w:noProof/>
          <w:sz w:val="24"/>
        </w:rPr>
        <w:t xml:space="preserve"> In addition, a pre-feasibility study for a bi-communal solar power plant in the buffer zone was </w:t>
      </w:r>
      <w:r w:rsidR="00DE3DF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produced and </w:t>
      </w:r>
      <w:r w:rsidRPr="00FB72F4">
        <w:rPr>
          <w:rFonts w:ascii="Times New Roman,Calibri" w:hAnsi="Times New Roman,Calibri"/>
          <w:noProof/>
          <w:sz w:val="24"/>
        </w:rPr>
        <w:t>presented to the Cypriot communities in February 2024.</w:t>
      </w:r>
    </w:p>
    <w:p w14:paraId="53D9631B" w14:textId="6E5D1B6D" w:rsidR="00A926D0" w:rsidRPr="00FB72F4" w:rsidRDefault="00A926D0" w:rsidP="00F60926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Structural challenges linked to the operation of the landfill in the Turkish Cypriot community continued in 2024. Previously flagged </w:t>
      </w:r>
      <w:r w:rsidR="00255446" w:rsidRPr="00FB72F4">
        <w:rPr>
          <w:rFonts w:ascii="Times New Roman,Calibri" w:hAnsi="Times New Roman,Calibri"/>
          <w:noProof/>
          <w:sz w:val="24"/>
        </w:rPr>
        <w:t>deficiencies</w:t>
      </w:r>
      <w:r w:rsidRPr="00FB72F4">
        <w:rPr>
          <w:rFonts w:ascii="Times New Roman,Calibri" w:hAnsi="Times New Roman,Calibri"/>
          <w:noProof/>
          <w:sz w:val="24"/>
        </w:rPr>
        <w:t xml:space="preserve"> linked to a poor operation and management of the </w:t>
      </w:r>
      <w:r w:rsidR="004A77A7">
        <w:rPr>
          <w:rFonts w:ascii="Times New Roman,Calibri" w:hAnsi="Times New Roman,Calibri"/>
          <w:noProof/>
          <w:sz w:val="24"/>
        </w:rPr>
        <w:t xml:space="preserve">landfill </w:t>
      </w:r>
      <w:r w:rsidRPr="00FB72F4">
        <w:rPr>
          <w:rFonts w:ascii="Times New Roman,Calibri" w:hAnsi="Times New Roman,Calibri"/>
          <w:noProof/>
          <w:sz w:val="24"/>
        </w:rPr>
        <w:t xml:space="preserve">facility were </w:t>
      </w:r>
      <w:r w:rsidR="00255446" w:rsidRPr="00FB72F4">
        <w:rPr>
          <w:rFonts w:ascii="Times New Roman,Calibri" w:hAnsi="Times New Roman,Calibri"/>
          <w:noProof/>
          <w:sz w:val="24"/>
        </w:rPr>
        <w:t>unfortunately</w:t>
      </w:r>
      <w:r w:rsidRPr="00FB72F4">
        <w:rPr>
          <w:rFonts w:ascii="Times New Roman,Calibri" w:hAnsi="Times New Roman,Calibri"/>
          <w:noProof/>
          <w:sz w:val="24"/>
        </w:rPr>
        <w:t xml:space="preserve"> not addressed in 2024. The Commission remains committed to supporting the beneficiary to rectify the situation, provided that appropriate strategic decisions on its management are made.</w:t>
      </w:r>
    </w:p>
    <w:p w14:paraId="55BBEB7B" w14:textId="09956F99" w:rsidR="00A926D0" w:rsidRPr="00FB72F4" w:rsidRDefault="00A926D0" w:rsidP="00F60926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To improve and protect the environment, the Commission continued delivering capacity building activities to the Cypriot communities. In 2024 several 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training</w:t>
      </w:r>
      <w:r w:rsidR="00DE3DF8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course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s</w:t>
      </w:r>
      <w:r w:rsidRPr="00FB72F4">
        <w:rPr>
          <w:rFonts w:ascii="Times New Roman,Calibri" w:hAnsi="Times New Roman,Calibri"/>
          <w:noProof/>
          <w:sz w:val="24"/>
        </w:rPr>
        <w:t xml:space="preserve"> and workshops were provided to hundreds of environmental professionals in the fields of environmental management systems, data analytics for environmental management, air quality, circular economy or forest management</w:t>
      </w:r>
      <w:r w:rsidR="00515E31" w:rsidRPr="00FB72F4">
        <w:rPr>
          <w:rFonts w:ascii="Times New Roman,Calibri" w:hAnsi="Times New Roman,Calibri"/>
          <w:noProof/>
          <w:sz w:val="24"/>
        </w:rPr>
        <w:t xml:space="preserve">, </w:t>
      </w:r>
      <w:r w:rsidRPr="00FB72F4">
        <w:rPr>
          <w:rFonts w:ascii="Times New Roman,Calibri" w:hAnsi="Times New Roman,Calibri"/>
          <w:noProof/>
          <w:sz w:val="24"/>
        </w:rPr>
        <w:t>among others. In addition, the Cyprus Environment Symposium in December 2024</w:t>
      </w:r>
      <w:r w:rsidR="00A901D6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brought together</w:t>
      </w:r>
      <w:r w:rsidR="00A901D6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environmental leaders from both communities for three days to discuss common problems and solutions to environmental challenges.</w:t>
      </w:r>
    </w:p>
    <w:p w14:paraId="5A54BC37" w14:textId="5DF10236" w:rsidR="006C615B" w:rsidRPr="00FB72F4" w:rsidRDefault="00F42B39">
      <w:pPr>
        <w:numPr>
          <w:ilvl w:val="2"/>
          <w:numId w:val="3"/>
        </w:numPr>
        <w:spacing w:before="120" w:after="120" w:line="240" w:lineRule="auto"/>
        <w:jc w:val="both"/>
        <w:outlineLvl w:val="2"/>
        <w:rPr>
          <w:rFonts w:ascii="Times New Roman" w:hAnsi="Times New Roman"/>
          <w:i/>
          <w:noProof/>
          <w:sz w:val="24"/>
        </w:rPr>
      </w:pPr>
      <w:r w:rsidRPr="00FB72F4">
        <w:rPr>
          <w:rFonts w:ascii="Times New Roman" w:hAnsi="Times New Roman"/>
          <w:i/>
          <w:noProof/>
          <w:sz w:val="24"/>
        </w:rPr>
        <w:t>Objective 3: Fostering reconciliation, confidence</w:t>
      </w:r>
      <w:r w:rsidR="005C30F8" w:rsidRPr="00FB72F4">
        <w:rPr>
          <w:rFonts w:ascii="Times New Roman" w:hAnsi="Times New Roman"/>
          <w:i/>
          <w:noProof/>
          <w:sz w:val="24"/>
        </w:rPr>
        <w:t>-</w:t>
      </w:r>
      <w:r w:rsidRPr="00FB72F4">
        <w:rPr>
          <w:rFonts w:ascii="Times New Roman" w:hAnsi="Times New Roman"/>
          <w:i/>
          <w:noProof/>
          <w:sz w:val="24"/>
        </w:rPr>
        <w:t>building measures, and support to civil society</w:t>
      </w:r>
    </w:p>
    <w:p w14:paraId="7FC55E1F" w14:textId="44FB0180" w:rsidR="006C615B" w:rsidRPr="00FB72F4" w:rsidRDefault="00F42B39" w:rsidP="00F60926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i/>
          <w:noProof/>
          <w:sz w:val="24"/>
        </w:rPr>
      </w:pPr>
      <w:r w:rsidRPr="00FB72F4">
        <w:rPr>
          <w:rFonts w:ascii="Times New Roman" w:hAnsi="Times New Roman"/>
          <w:noProof/>
          <w:sz w:val="24"/>
        </w:rPr>
        <w:t xml:space="preserve">The Committee on Missing Persons, </w:t>
      </w:r>
      <w:r w:rsidR="00F67CB6" w:rsidRPr="00FB72F4">
        <w:rPr>
          <w:rFonts w:ascii="Times New Roman" w:hAnsi="Times New Roman"/>
          <w:noProof/>
          <w:sz w:val="24"/>
        </w:rPr>
        <w:t xml:space="preserve">which receives support via </w:t>
      </w:r>
      <w:r w:rsidRPr="00FB72F4">
        <w:rPr>
          <w:rFonts w:ascii="Times New Roman" w:hAnsi="Times New Roman"/>
          <w:noProof/>
          <w:sz w:val="24"/>
        </w:rPr>
        <w:t xml:space="preserve">a contribution agreement with </w:t>
      </w:r>
      <w:r w:rsidR="00897FBD" w:rsidRPr="00FB72F4">
        <w:rPr>
          <w:rFonts w:ascii="Times New Roman" w:hAnsi="Times New Roman"/>
          <w:noProof/>
          <w:sz w:val="24"/>
        </w:rPr>
        <w:t xml:space="preserve">the </w:t>
      </w:r>
      <w:r w:rsidRPr="00FB72F4">
        <w:rPr>
          <w:rFonts w:ascii="Times New Roman" w:hAnsi="Times New Roman"/>
          <w:noProof/>
          <w:sz w:val="24"/>
        </w:rPr>
        <w:t>UNDP, continued its field and laboratory work. By the end of 202</w:t>
      </w:r>
      <w:r w:rsidR="00E13E56" w:rsidRPr="00FB72F4">
        <w:rPr>
          <w:rFonts w:ascii="Times New Roman" w:hAnsi="Times New Roman"/>
          <w:noProof/>
          <w:sz w:val="24"/>
        </w:rPr>
        <w:t>4</w:t>
      </w:r>
      <w:r w:rsidRPr="00FB72F4">
        <w:rPr>
          <w:rFonts w:ascii="Times New Roman" w:hAnsi="Times New Roman"/>
          <w:noProof/>
          <w:sz w:val="24"/>
        </w:rPr>
        <w:t xml:space="preserve">, of the </w:t>
      </w:r>
      <w:r w:rsidR="00264BD6" w:rsidRPr="00FB72F4">
        <w:rPr>
          <w:rFonts w:ascii="Times New Roman" w:hAnsi="Times New Roman"/>
          <w:noProof/>
          <w:sz w:val="24"/>
        </w:rPr>
        <w:t xml:space="preserve">total of </w:t>
      </w:r>
      <w:r w:rsidRPr="00FB72F4">
        <w:rPr>
          <w:rFonts w:ascii="Times New Roman" w:hAnsi="Times New Roman"/>
          <w:noProof/>
          <w:sz w:val="24"/>
        </w:rPr>
        <w:t>2</w:t>
      </w:r>
      <w:r w:rsidR="00264BD6" w:rsidRPr="00FB72F4">
        <w:rPr>
          <w:rFonts w:ascii="Times New Roman" w:hAnsi="Times New Roman"/>
          <w:noProof/>
          <w:sz w:val="24"/>
        </w:rPr>
        <w:t> </w:t>
      </w:r>
      <w:r w:rsidRPr="00FB72F4">
        <w:rPr>
          <w:rFonts w:ascii="Times New Roman" w:hAnsi="Times New Roman"/>
          <w:noProof/>
          <w:sz w:val="24"/>
        </w:rPr>
        <w:t xml:space="preserve">002 missing persons, </w:t>
      </w:r>
      <w:r w:rsidR="00D66666" w:rsidRPr="00FB72F4">
        <w:rPr>
          <w:rFonts w:ascii="Times New Roman" w:hAnsi="Times New Roman"/>
          <w:noProof/>
          <w:sz w:val="24"/>
        </w:rPr>
        <w:t>it</w:t>
      </w:r>
      <w:r w:rsidRPr="00FB72F4">
        <w:rPr>
          <w:rFonts w:ascii="Times New Roman" w:hAnsi="Times New Roman"/>
          <w:noProof/>
          <w:sz w:val="24"/>
        </w:rPr>
        <w:t xml:space="preserve"> had exhumed </w:t>
      </w:r>
      <w:r w:rsidR="00832B0E" w:rsidRPr="00FB72F4">
        <w:rPr>
          <w:rFonts w:ascii="Times New Roman" w:hAnsi="Times New Roman"/>
          <w:noProof/>
          <w:sz w:val="24"/>
        </w:rPr>
        <w:t>1</w:t>
      </w:r>
      <w:r w:rsidR="00264BD6" w:rsidRPr="00FB72F4">
        <w:rPr>
          <w:rFonts w:ascii="Times New Roman" w:hAnsi="Times New Roman"/>
          <w:noProof/>
          <w:sz w:val="24"/>
        </w:rPr>
        <w:t> </w:t>
      </w:r>
      <w:r w:rsidR="00832B0E" w:rsidRPr="00FB72F4">
        <w:rPr>
          <w:rFonts w:ascii="Times New Roman" w:hAnsi="Times New Roman"/>
          <w:noProof/>
          <w:sz w:val="24"/>
        </w:rPr>
        <w:t>186</w:t>
      </w:r>
      <w:r w:rsidRPr="00FB72F4">
        <w:rPr>
          <w:rFonts w:ascii="Times New Roman" w:hAnsi="Times New Roman"/>
          <w:noProof/>
          <w:sz w:val="24"/>
        </w:rPr>
        <w:t xml:space="preserve"> sets of remains</w:t>
      </w:r>
      <w:r w:rsidR="00897FBD" w:rsidRPr="00FB72F4">
        <w:rPr>
          <w:rFonts w:ascii="Times New Roman" w:hAnsi="Times New Roman"/>
          <w:noProof/>
          <w:sz w:val="24"/>
        </w:rPr>
        <w:t>.</w:t>
      </w:r>
      <w:r w:rsidRPr="00FB72F4">
        <w:rPr>
          <w:rFonts w:ascii="Times New Roman" w:hAnsi="Times New Roman"/>
          <w:noProof/>
          <w:sz w:val="24"/>
        </w:rPr>
        <w:t xml:space="preserve"> </w:t>
      </w:r>
      <w:r w:rsidR="00897FBD" w:rsidRPr="00FB72F4">
        <w:rPr>
          <w:rFonts w:ascii="Times New Roman" w:hAnsi="Times New Roman"/>
          <w:noProof/>
          <w:sz w:val="24"/>
        </w:rPr>
        <w:t>O</w:t>
      </w:r>
      <w:r w:rsidR="00866D29" w:rsidRPr="00FB72F4">
        <w:rPr>
          <w:rFonts w:ascii="Times New Roman" w:hAnsi="Times New Roman"/>
          <w:noProof/>
          <w:sz w:val="24"/>
        </w:rPr>
        <w:t xml:space="preserve">f </w:t>
      </w:r>
      <w:r w:rsidR="00897FBD" w:rsidRPr="00FB72F4">
        <w:rPr>
          <w:rFonts w:ascii="Times New Roman" w:hAnsi="Times New Roman"/>
          <w:noProof/>
          <w:sz w:val="24"/>
        </w:rPr>
        <w:t xml:space="preserve">these, </w:t>
      </w:r>
      <w:r w:rsidR="00866D29" w:rsidRPr="00FB72F4">
        <w:rPr>
          <w:rFonts w:ascii="Times New Roman" w:hAnsi="Times New Roman"/>
          <w:noProof/>
          <w:sz w:val="24"/>
        </w:rPr>
        <w:t>1</w:t>
      </w:r>
      <w:r w:rsidR="00264BD6" w:rsidRPr="00FB72F4">
        <w:rPr>
          <w:rFonts w:ascii="Times New Roman" w:hAnsi="Times New Roman"/>
          <w:noProof/>
          <w:sz w:val="24"/>
        </w:rPr>
        <w:t> </w:t>
      </w:r>
      <w:r w:rsidR="00271F87" w:rsidRPr="00FB72F4">
        <w:rPr>
          <w:rFonts w:ascii="Times New Roman" w:hAnsi="Times New Roman"/>
          <w:noProof/>
          <w:sz w:val="24"/>
        </w:rPr>
        <w:t xml:space="preserve">051 </w:t>
      </w:r>
      <w:r w:rsidRPr="00FB72F4">
        <w:rPr>
          <w:rFonts w:ascii="Times New Roman" w:hAnsi="Times New Roman"/>
          <w:noProof/>
          <w:sz w:val="24"/>
        </w:rPr>
        <w:t xml:space="preserve">were identified </w:t>
      </w:r>
      <w:r w:rsidR="00897FBD" w:rsidRPr="00FB72F4">
        <w:rPr>
          <w:rFonts w:ascii="Times New Roman" w:hAnsi="Times New Roman"/>
          <w:noProof/>
          <w:sz w:val="24"/>
        </w:rPr>
        <w:t xml:space="preserve">genetically </w:t>
      </w:r>
      <w:r w:rsidRPr="00FB72F4">
        <w:rPr>
          <w:rFonts w:ascii="Times New Roman" w:hAnsi="Times New Roman"/>
          <w:noProof/>
          <w:sz w:val="24"/>
        </w:rPr>
        <w:t>and returned to their families.</w:t>
      </w:r>
    </w:p>
    <w:p w14:paraId="0DB19DAD" w14:textId="44E6E692" w:rsidR="007766CC" w:rsidRPr="00FB72F4" w:rsidRDefault="00F42B39" w:rsidP="00F60926">
      <w:pPr>
        <w:keepNext/>
        <w:spacing w:before="120" w:after="60" w:line="240" w:lineRule="auto"/>
        <w:ind w:left="851"/>
        <w:jc w:val="both"/>
        <w:rPr>
          <w:rFonts w:ascii="Times New Roman" w:hAnsi="Times New Roman"/>
          <w:noProof/>
          <w:sz w:val="24"/>
        </w:rPr>
      </w:pPr>
      <w:r w:rsidRPr="00FB72F4">
        <w:rPr>
          <w:rFonts w:ascii="Times New Roman" w:hAnsi="Times New Roman"/>
          <w:noProof/>
          <w:sz w:val="24"/>
        </w:rPr>
        <w:t xml:space="preserve">In </w:t>
      </w:r>
      <w:r w:rsidR="007766CC" w:rsidRPr="00FB72F4">
        <w:rPr>
          <w:rFonts w:ascii="Times New Roman" w:hAnsi="Times New Roman"/>
          <w:noProof/>
          <w:sz w:val="24"/>
        </w:rPr>
        <w:t>202</w:t>
      </w:r>
      <w:r w:rsidR="00FF5962" w:rsidRPr="00FB72F4">
        <w:rPr>
          <w:rFonts w:ascii="Times New Roman" w:hAnsi="Times New Roman"/>
          <w:noProof/>
          <w:sz w:val="24"/>
        </w:rPr>
        <w:t>4</w:t>
      </w:r>
      <w:r w:rsidRPr="00FB72F4">
        <w:rPr>
          <w:rFonts w:ascii="Times New Roman" w:hAnsi="Times New Roman"/>
          <w:noProof/>
          <w:sz w:val="24"/>
        </w:rPr>
        <w:t xml:space="preserve">, </w:t>
      </w:r>
      <w:r w:rsidR="00866D29" w:rsidRPr="00FB72F4">
        <w:rPr>
          <w:rFonts w:ascii="Times New Roman" w:hAnsi="Times New Roman"/>
          <w:noProof/>
          <w:sz w:val="24"/>
        </w:rPr>
        <w:t xml:space="preserve">a new </w:t>
      </w:r>
      <w:r w:rsidR="00832B0E" w:rsidRPr="00FB72F4">
        <w:rPr>
          <w:rFonts w:ascii="Times New Roman" w:hAnsi="Times New Roman"/>
          <w:noProof/>
          <w:sz w:val="24"/>
        </w:rPr>
        <w:t>EUR 2.6 million contribution agreement was signed to provide funding for the Committee’s operations in 202</w:t>
      </w:r>
      <w:r w:rsidR="00FF5962" w:rsidRPr="00FB72F4">
        <w:rPr>
          <w:rFonts w:ascii="Times New Roman" w:hAnsi="Times New Roman"/>
          <w:noProof/>
          <w:sz w:val="24"/>
        </w:rPr>
        <w:t>5</w:t>
      </w:r>
      <w:r w:rsidR="00832B0E" w:rsidRPr="00FB72F4">
        <w:rPr>
          <w:rFonts w:ascii="Times New Roman" w:hAnsi="Times New Roman"/>
          <w:noProof/>
          <w:sz w:val="24"/>
        </w:rPr>
        <w:t xml:space="preserve">. </w:t>
      </w:r>
      <w:r w:rsidR="003D754B">
        <w:rPr>
          <w:rFonts w:ascii="Times New Roman" w:eastAsia="Times New Roman" w:hAnsi="Times New Roman" w:cs="Times New Roman"/>
          <w:noProof/>
          <w:sz w:val="24"/>
          <w:szCs w:val="24"/>
        </w:rPr>
        <w:t>From</w:t>
      </w:r>
      <w:r w:rsidR="00832B0E" w:rsidRPr="00FB72F4">
        <w:rPr>
          <w:rFonts w:ascii="Times New Roman" w:hAnsi="Times New Roman"/>
          <w:noProof/>
          <w:sz w:val="24"/>
        </w:rPr>
        <w:t xml:space="preserve"> 2006-202</w:t>
      </w:r>
      <w:r w:rsidR="00FF5962" w:rsidRPr="00FB72F4">
        <w:rPr>
          <w:rFonts w:ascii="Times New Roman" w:hAnsi="Times New Roman"/>
          <w:noProof/>
          <w:sz w:val="24"/>
        </w:rPr>
        <w:t>4</w:t>
      </w:r>
      <w:r w:rsidR="00832B0E" w:rsidRPr="00FB72F4">
        <w:rPr>
          <w:rFonts w:ascii="Times New Roman" w:hAnsi="Times New Roman"/>
          <w:noProof/>
          <w:sz w:val="24"/>
        </w:rPr>
        <w:t>, the EU has contributed</w:t>
      </w:r>
      <w:r w:rsidR="00832B0E" w:rsidRPr="007E148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3D754B">
        <w:rPr>
          <w:rFonts w:ascii="Times New Roman" w:eastAsia="Times New Roman" w:hAnsi="Times New Roman" w:cs="Times New Roman"/>
          <w:noProof/>
          <w:sz w:val="24"/>
          <w:szCs w:val="24"/>
        </w:rPr>
        <w:t>a total of</w:t>
      </w:r>
      <w:r w:rsidR="003D754B" w:rsidRPr="00FB72F4">
        <w:rPr>
          <w:rFonts w:ascii="Times New Roman" w:hAnsi="Times New Roman"/>
          <w:noProof/>
          <w:sz w:val="24"/>
        </w:rPr>
        <w:t xml:space="preserve"> </w:t>
      </w:r>
      <w:r w:rsidR="00832B0E" w:rsidRPr="00FB72F4">
        <w:rPr>
          <w:rFonts w:ascii="Times New Roman" w:hAnsi="Times New Roman"/>
          <w:noProof/>
          <w:sz w:val="24"/>
        </w:rPr>
        <w:t>EUR </w:t>
      </w:r>
      <w:r w:rsidR="00271F87" w:rsidRPr="00FB72F4">
        <w:rPr>
          <w:rFonts w:ascii="Times New Roman" w:hAnsi="Times New Roman"/>
          <w:noProof/>
          <w:sz w:val="24"/>
        </w:rPr>
        <w:t>41.1</w:t>
      </w:r>
      <w:r w:rsidR="00832B0E" w:rsidRPr="00FB72F4">
        <w:rPr>
          <w:rFonts w:ascii="Times New Roman" w:hAnsi="Times New Roman"/>
          <w:noProof/>
          <w:sz w:val="24"/>
        </w:rPr>
        <w:t xml:space="preserve"> million </w:t>
      </w:r>
      <w:r w:rsidR="007766CC" w:rsidRPr="00FB72F4">
        <w:rPr>
          <w:rFonts w:ascii="Times New Roman" w:hAnsi="Times New Roman"/>
          <w:noProof/>
          <w:sz w:val="24"/>
        </w:rPr>
        <w:t xml:space="preserve">to support </w:t>
      </w:r>
      <w:r w:rsidR="00E94C7E" w:rsidRPr="00FB72F4">
        <w:rPr>
          <w:rFonts w:ascii="Times New Roman" w:hAnsi="Times New Roman"/>
          <w:noProof/>
          <w:sz w:val="24"/>
        </w:rPr>
        <w:t xml:space="preserve">the </w:t>
      </w:r>
      <w:r w:rsidR="007766CC" w:rsidRPr="00FB72F4">
        <w:rPr>
          <w:rFonts w:ascii="Times New Roman" w:hAnsi="Times New Roman"/>
          <w:noProof/>
          <w:sz w:val="24"/>
        </w:rPr>
        <w:t>activities</w:t>
      </w:r>
      <w:r w:rsidR="00E94C7E" w:rsidRPr="00FB72F4">
        <w:rPr>
          <w:rFonts w:ascii="Times New Roman" w:hAnsi="Times New Roman"/>
          <w:noProof/>
          <w:sz w:val="24"/>
        </w:rPr>
        <w:t xml:space="preserve"> of the Committee on Missing Persons</w:t>
      </w:r>
      <w:r w:rsidRPr="00FB72F4">
        <w:rPr>
          <w:rFonts w:ascii="Times New Roman" w:hAnsi="Times New Roman"/>
          <w:noProof/>
          <w:sz w:val="24"/>
        </w:rPr>
        <w:t xml:space="preserve">, </w:t>
      </w:r>
      <w:r w:rsidR="00264BD6" w:rsidRPr="00FB72F4">
        <w:rPr>
          <w:rFonts w:ascii="Times New Roman" w:hAnsi="Times New Roman"/>
          <w:noProof/>
          <w:sz w:val="24"/>
        </w:rPr>
        <w:t>accounting for</w:t>
      </w:r>
      <w:r w:rsidRPr="00FB72F4">
        <w:rPr>
          <w:rFonts w:ascii="Times New Roman" w:hAnsi="Times New Roman"/>
          <w:noProof/>
          <w:sz w:val="24"/>
        </w:rPr>
        <w:t xml:space="preserve"> </w:t>
      </w:r>
      <w:r w:rsidR="00A0277C" w:rsidRPr="00FB72F4">
        <w:rPr>
          <w:rFonts w:ascii="Times New Roman" w:hAnsi="Times New Roman"/>
          <w:noProof/>
          <w:sz w:val="24"/>
        </w:rPr>
        <w:t>80</w:t>
      </w:r>
      <w:r w:rsidRPr="00FB72F4">
        <w:rPr>
          <w:rFonts w:ascii="Times New Roman" w:hAnsi="Times New Roman"/>
          <w:noProof/>
          <w:sz w:val="24"/>
        </w:rPr>
        <w:t xml:space="preserve">% of </w:t>
      </w:r>
      <w:r w:rsidR="00333B41" w:rsidRPr="00FB72F4">
        <w:rPr>
          <w:rFonts w:ascii="Times New Roman" w:hAnsi="Times New Roman"/>
          <w:noProof/>
          <w:sz w:val="24"/>
        </w:rPr>
        <w:t xml:space="preserve">its </w:t>
      </w:r>
      <w:r w:rsidR="00264BD6" w:rsidRPr="00FB72F4">
        <w:rPr>
          <w:rFonts w:ascii="Times New Roman" w:hAnsi="Times New Roman"/>
          <w:noProof/>
          <w:sz w:val="24"/>
        </w:rPr>
        <w:t xml:space="preserve">total </w:t>
      </w:r>
      <w:r w:rsidRPr="00FB72F4">
        <w:rPr>
          <w:rFonts w:ascii="Times New Roman" w:hAnsi="Times New Roman"/>
          <w:noProof/>
          <w:sz w:val="24"/>
        </w:rPr>
        <w:t xml:space="preserve">funding </w:t>
      </w:r>
      <w:r w:rsidR="00264BD6" w:rsidRPr="00FB72F4">
        <w:rPr>
          <w:rFonts w:ascii="Times New Roman" w:hAnsi="Times New Roman"/>
          <w:noProof/>
          <w:sz w:val="24"/>
        </w:rPr>
        <w:t xml:space="preserve">for </w:t>
      </w:r>
      <w:r w:rsidRPr="00FB72F4">
        <w:rPr>
          <w:rFonts w:ascii="Times New Roman" w:hAnsi="Times New Roman"/>
          <w:noProof/>
          <w:sz w:val="24"/>
        </w:rPr>
        <w:t>this period.</w:t>
      </w:r>
    </w:p>
    <w:p w14:paraId="1A71FB04" w14:textId="155C2987" w:rsidR="00AA3980" w:rsidRPr="00FB72F4" w:rsidRDefault="00264BD6" w:rsidP="00F60926">
      <w:pPr>
        <w:keepNext/>
        <w:spacing w:before="120" w:after="60" w:line="240" w:lineRule="auto"/>
        <w:ind w:left="851"/>
        <w:jc w:val="both"/>
        <w:rPr>
          <w:rFonts w:ascii="Times New Roman" w:hAnsi="Times New Roman"/>
          <w:noProof/>
          <w:sz w:val="24"/>
        </w:rPr>
      </w:pPr>
      <w:r w:rsidRPr="00FB72F4">
        <w:rPr>
          <w:rFonts w:ascii="Times New Roman" w:hAnsi="Times New Roman"/>
          <w:noProof/>
          <w:sz w:val="24"/>
        </w:rPr>
        <w:t>Protecting c</w:t>
      </w:r>
      <w:r w:rsidR="00F42B39" w:rsidRPr="00FB72F4">
        <w:rPr>
          <w:rFonts w:ascii="Times New Roman" w:hAnsi="Times New Roman"/>
          <w:noProof/>
          <w:sz w:val="24"/>
        </w:rPr>
        <w:t xml:space="preserve">ultural </w:t>
      </w:r>
      <w:r w:rsidR="00897FBD" w:rsidRPr="00FB72F4">
        <w:rPr>
          <w:rFonts w:ascii="Times New Roman" w:hAnsi="Times New Roman"/>
          <w:noProof/>
          <w:sz w:val="24"/>
        </w:rPr>
        <w:t>h</w:t>
      </w:r>
      <w:r w:rsidR="00F42B39" w:rsidRPr="00FB72F4">
        <w:rPr>
          <w:rFonts w:ascii="Times New Roman" w:hAnsi="Times New Roman"/>
          <w:noProof/>
          <w:sz w:val="24"/>
        </w:rPr>
        <w:t xml:space="preserve">eritage </w:t>
      </w:r>
      <w:r w:rsidR="000865D4" w:rsidRPr="00FB72F4">
        <w:rPr>
          <w:rFonts w:ascii="Times New Roman" w:hAnsi="Times New Roman"/>
          <w:noProof/>
          <w:sz w:val="24"/>
        </w:rPr>
        <w:t>remained</w:t>
      </w:r>
      <w:r w:rsidR="00F67CB6" w:rsidRPr="00FB72F4">
        <w:rPr>
          <w:rFonts w:ascii="Times New Roman" w:hAnsi="Times New Roman"/>
          <w:noProof/>
          <w:sz w:val="24"/>
        </w:rPr>
        <w:t xml:space="preserve"> </w:t>
      </w:r>
      <w:r w:rsidR="00F42B39" w:rsidRPr="00FB72F4">
        <w:rPr>
          <w:rFonts w:ascii="Times New Roman" w:hAnsi="Times New Roman"/>
          <w:noProof/>
          <w:sz w:val="24"/>
        </w:rPr>
        <w:t>a key component of the reconciliation and confidence</w:t>
      </w:r>
      <w:r w:rsidR="00897FBD" w:rsidRPr="00FB72F4">
        <w:rPr>
          <w:rFonts w:ascii="Times New Roman" w:hAnsi="Times New Roman"/>
          <w:noProof/>
          <w:sz w:val="24"/>
        </w:rPr>
        <w:t>-</w:t>
      </w:r>
      <w:r w:rsidR="00F42B39" w:rsidRPr="00FB72F4">
        <w:rPr>
          <w:rFonts w:ascii="Times New Roman" w:hAnsi="Times New Roman"/>
          <w:noProof/>
          <w:sz w:val="24"/>
        </w:rPr>
        <w:t xml:space="preserve">building </w:t>
      </w:r>
      <w:r w:rsidR="00897FBD" w:rsidRPr="00FB72F4">
        <w:rPr>
          <w:rFonts w:ascii="Times New Roman" w:hAnsi="Times New Roman"/>
          <w:noProof/>
          <w:sz w:val="24"/>
        </w:rPr>
        <w:t xml:space="preserve">measures </w:t>
      </w:r>
      <w:r w:rsidR="00F42B39" w:rsidRPr="00FB72F4">
        <w:rPr>
          <w:rFonts w:ascii="Times New Roman" w:hAnsi="Times New Roman"/>
          <w:noProof/>
          <w:sz w:val="24"/>
        </w:rPr>
        <w:t xml:space="preserve">supported under the </w:t>
      </w:r>
      <w:r w:rsidR="003D754B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F42B39" w:rsidRPr="007E148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id </w:t>
      </w:r>
      <w:r w:rsidR="003D754B">
        <w:rPr>
          <w:rFonts w:ascii="Times New Roman" w:eastAsia="Times New Roman" w:hAnsi="Times New Roman" w:cs="Times New Roman"/>
          <w:noProof/>
          <w:sz w:val="24"/>
          <w:szCs w:val="24"/>
        </w:rPr>
        <w:t>p</w:t>
      </w:r>
      <w:r w:rsidR="00F42B39" w:rsidRPr="007E1485">
        <w:rPr>
          <w:rFonts w:ascii="Times New Roman" w:eastAsia="Times New Roman" w:hAnsi="Times New Roman" w:cs="Times New Roman"/>
          <w:noProof/>
          <w:sz w:val="24"/>
          <w:szCs w:val="24"/>
        </w:rPr>
        <w:t>rogramme</w:t>
      </w:r>
      <w:r w:rsidR="00394C13" w:rsidRPr="00FB72F4">
        <w:rPr>
          <w:rFonts w:ascii="Times New Roman" w:hAnsi="Times New Roman"/>
          <w:noProof/>
          <w:sz w:val="24"/>
        </w:rPr>
        <w:t>, in close cooperation with the b</w:t>
      </w:r>
      <w:r w:rsidR="00CB77B0" w:rsidRPr="00FB72F4">
        <w:rPr>
          <w:rFonts w:ascii="Times New Roman" w:hAnsi="Times New Roman"/>
          <w:noProof/>
          <w:sz w:val="24"/>
        </w:rPr>
        <w:t>i</w:t>
      </w:r>
      <w:r w:rsidR="00394C13" w:rsidRPr="00FB72F4">
        <w:rPr>
          <w:rFonts w:ascii="Times New Roman" w:hAnsi="Times New Roman"/>
          <w:noProof/>
          <w:sz w:val="24"/>
        </w:rPr>
        <w:t>-communal Technical Committee on Cultural Heritage</w:t>
      </w:r>
      <w:r w:rsidR="00BC71E2" w:rsidRPr="00FB72F4">
        <w:rPr>
          <w:rFonts w:ascii="Times New Roman" w:hAnsi="Times New Roman"/>
          <w:noProof/>
          <w:sz w:val="24"/>
        </w:rPr>
        <w:t xml:space="preserve">. </w:t>
      </w:r>
      <w:r w:rsidR="00BC4FF4">
        <w:rPr>
          <w:rFonts w:ascii="Times New Roman" w:eastAsia="Times New Roman" w:hAnsi="Times New Roman" w:cs="Times New Roman"/>
          <w:noProof/>
          <w:sz w:val="24"/>
          <w:szCs w:val="24"/>
        </w:rPr>
        <w:t>In</w:t>
      </w:r>
      <w:r w:rsidR="003D754B" w:rsidRPr="00FB72F4">
        <w:rPr>
          <w:rFonts w:ascii="Times New Roman" w:hAnsi="Times New Roman"/>
          <w:noProof/>
          <w:sz w:val="24"/>
        </w:rPr>
        <w:t xml:space="preserve"> </w:t>
      </w:r>
      <w:r w:rsidR="0075102E" w:rsidRPr="00FB72F4">
        <w:rPr>
          <w:rFonts w:ascii="Times New Roman" w:hAnsi="Times New Roman"/>
          <w:noProof/>
          <w:sz w:val="24"/>
        </w:rPr>
        <w:t>2006</w:t>
      </w:r>
      <w:r w:rsidR="0079061A" w:rsidRPr="00FB72F4">
        <w:rPr>
          <w:rFonts w:ascii="Times New Roman" w:hAnsi="Times New Roman"/>
          <w:noProof/>
          <w:sz w:val="24"/>
        </w:rPr>
        <w:t>-</w:t>
      </w:r>
      <w:r w:rsidR="0075102E" w:rsidRPr="00FB72F4">
        <w:rPr>
          <w:rFonts w:ascii="Times New Roman" w:hAnsi="Times New Roman"/>
          <w:noProof/>
          <w:sz w:val="24"/>
        </w:rPr>
        <w:t>202</w:t>
      </w:r>
      <w:r w:rsidR="00F67CB6" w:rsidRPr="00FB72F4">
        <w:rPr>
          <w:rFonts w:ascii="Times New Roman" w:hAnsi="Times New Roman"/>
          <w:noProof/>
          <w:sz w:val="24"/>
        </w:rPr>
        <w:t>4</w:t>
      </w:r>
      <w:r w:rsidR="0075102E" w:rsidRPr="00FB72F4">
        <w:rPr>
          <w:rFonts w:ascii="Times New Roman" w:hAnsi="Times New Roman"/>
          <w:noProof/>
          <w:sz w:val="24"/>
        </w:rPr>
        <w:t xml:space="preserve"> </w:t>
      </w:r>
      <w:r w:rsidR="00F42B39" w:rsidRPr="00FB72F4">
        <w:rPr>
          <w:rFonts w:ascii="Times New Roman" w:hAnsi="Times New Roman"/>
          <w:noProof/>
          <w:sz w:val="24"/>
        </w:rPr>
        <w:t xml:space="preserve">the </w:t>
      </w:r>
      <w:r w:rsidR="00897FBD" w:rsidRPr="00FB72F4">
        <w:rPr>
          <w:rFonts w:ascii="Times New Roman" w:hAnsi="Times New Roman"/>
          <w:noProof/>
          <w:sz w:val="24"/>
        </w:rPr>
        <w:t>c</w:t>
      </w:r>
      <w:r w:rsidR="00F42B39" w:rsidRPr="00FB72F4">
        <w:rPr>
          <w:rFonts w:ascii="Times New Roman" w:hAnsi="Times New Roman"/>
          <w:noProof/>
          <w:sz w:val="24"/>
        </w:rPr>
        <w:t xml:space="preserve">ultural </w:t>
      </w:r>
      <w:r w:rsidR="00897FBD" w:rsidRPr="00FB72F4">
        <w:rPr>
          <w:rFonts w:ascii="Times New Roman" w:hAnsi="Times New Roman"/>
          <w:noProof/>
          <w:sz w:val="24"/>
        </w:rPr>
        <w:t>h</w:t>
      </w:r>
      <w:r w:rsidR="00F42B39" w:rsidRPr="00FB72F4">
        <w:rPr>
          <w:rFonts w:ascii="Times New Roman" w:hAnsi="Times New Roman"/>
          <w:noProof/>
          <w:sz w:val="24"/>
        </w:rPr>
        <w:t>eritage programme has received</w:t>
      </w:r>
      <w:r w:rsidR="00F42B39" w:rsidRPr="007E148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3D754B">
        <w:rPr>
          <w:rFonts w:ascii="Times New Roman" w:eastAsia="Times New Roman" w:hAnsi="Times New Roman" w:cs="Times New Roman"/>
          <w:noProof/>
          <w:sz w:val="24"/>
          <w:szCs w:val="24"/>
        </w:rPr>
        <w:t>total</w:t>
      </w:r>
      <w:r w:rsidR="003D754B" w:rsidRPr="00FB72F4">
        <w:rPr>
          <w:rFonts w:ascii="Times New Roman" w:hAnsi="Times New Roman"/>
          <w:noProof/>
          <w:sz w:val="24"/>
        </w:rPr>
        <w:t xml:space="preserve"> </w:t>
      </w:r>
      <w:r w:rsidR="005163BD" w:rsidRPr="00FB72F4">
        <w:rPr>
          <w:rFonts w:ascii="Times New Roman" w:hAnsi="Times New Roman"/>
          <w:noProof/>
          <w:sz w:val="24"/>
        </w:rPr>
        <w:t xml:space="preserve">EU funding of </w:t>
      </w:r>
      <w:r w:rsidR="00866D29" w:rsidRPr="00FB72F4">
        <w:rPr>
          <w:rFonts w:ascii="Times New Roman" w:hAnsi="Times New Roman"/>
          <w:noProof/>
          <w:sz w:val="24"/>
        </w:rPr>
        <w:t xml:space="preserve">approximately </w:t>
      </w:r>
      <w:r w:rsidR="00F42B39" w:rsidRPr="00FB72F4">
        <w:rPr>
          <w:rFonts w:ascii="Times New Roman" w:hAnsi="Times New Roman"/>
          <w:noProof/>
          <w:sz w:val="24"/>
        </w:rPr>
        <w:t>EUR</w:t>
      </w:r>
      <w:r w:rsidR="00924858" w:rsidRPr="00FB72F4">
        <w:rPr>
          <w:rFonts w:ascii="Times New Roman" w:hAnsi="Times New Roman"/>
          <w:noProof/>
          <w:sz w:val="24"/>
        </w:rPr>
        <w:t> </w:t>
      </w:r>
      <w:r w:rsidR="006423F9" w:rsidRPr="00FB72F4">
        <w:rPr>
          <w:rFonts w:ascii="Times New Roman" w:hAnsi="Times New Roman"/>
          <w:noProof/>
          <w:sz w:val="24"/>
        </w:rPr>
        <w:t>30</w:t>
      </w:r>
      <w:r w:rsidR="00F42B39" w:rsidRPr="00FB72F4">
        <w:rPr>
          <w:rFonts w:ascii="Times New Roman" w:hAnsi="Times New Roman"/>
          <w:noProof/>
          <w:sz w:val="24"/>
        </w:rPr>
        <w:t xml:space="preserve"> million</w:t>
      </w:r>
      <w:r w:rsidR="00866D29" w:rsidRPr="00FB72F4">
        <w:rPr>
          <w:rFonts w:ascii="Times New Roman" w:hAnsi="Times New Roman"/>
          <w:noProof/>
          <w:sz w:val="24"/>
        </w:rPr>
        <w:t xml:space="preserve">. </w:t>
      </w:r>
      <w:r w:rsidR="00FC7EF4" w:rsidRPr="00FB72F4">
        <w:rPr>
          <w:rFonts w:ascii="Times New Roman" w:hAnsi="Times New Roman"/>
          <w:noProof/>
          <w:sz w:val="24"/>
        </w:rPr>
        <w:t xml:space="preserve">This </w:t>
      </w:r>
      <w:r w:rsidR="00B04382" w:rsidRPr="00FB72F4">
        <w:rPr>
          <w:rFonts w:ascii="Times New Roman" w:hAnsi="Times New Roman"/>
          <w:noProof/>
          <w:sz w:val="24"/>
        </w:rPr>
        <w:t xml:space="preserve">has </w:t>
      </w:r>
      <w:r w:rsidR="00897FBD" w:rsidRPr="00FB72F4">
        <w:rPr>
          <w:rFonts w:ascii="Times New Roman" w:hAnsi="Times New Roman"/>
          <w:noProof/>
          <w:sz w:val="24"/>
        </w:rPr>
        <w:t>enabled</w:t>
      </w:r>
      <w:r w:rsidR="00FC7EF4" w:rsidRPr="00FB72F4">
        <w:rPr>
          <w:rFonts w:ascii="Times New Roman" w:hAnsi="Times New Roman"/>
          <w:noProof/>
          <w:sz w:val="24"/>
        </w:rPr>
        <w:t xml:space="preserve"> </w:t>
      </w:r>
      <w:r w:rsidR="00271F87" w:rsidRPr="00FB72F4">
        <w:rPr>
          <w:rFonts w:ascii="Times New Roman" w:hAnsi="Times New Roman"/>
          <w:noProof/>
          <w:sz w:val="24"/>
        </w:rPr>
        <w:t xml:space="preserve">178 </w:t>
      </w:r>
      <w:r w:rsidR="00866D29" w:rsidRPr="00FB72F4">
        <w:rPr>
          <w:rFonts w:ascii="Times New Roman" w:hAnsi="Times New Roman"/>
          <w:noProof/>
          <w:sz w:val="24"/>
        </w:rPr>
        <w:t xml:space="preserve">cultural heritage sites </w:t>
      </w:r>
      <w:r w:rsidR="00897FBD" w:rsidRPr="00FB72F4">
        <w:rPr>
          <w:rFonts w:ascii="Times New Roman" w:hAnsi="Times New Roman"/>
          <w:noProof/>
          <w:sz w:val="24"/>
        </w:rPr>
        <w:t xml:space="preserve">across the island </w:t>
      </w:r>
      <w:r w:rsidR="00FC7EF4" w:rsidRPr="00FB72F4">
        <w:rPr>
          <w:rFonts w:ascii="Times New Roman" w:hAnsi="Times New Roman"/>
          <w:noProof/>
          <w:sz w:val="24"/>
        </w:rPr>
        <w:t>to be</w:t>
      </w:r>
      <w:r w:rsidR="00866D29" w:rsidRPr="00FB72F4">
        <w:rPr>
          <w:rFonts w:ascii="Times New Roman" w:hAnsi="Times New Roman"/>
          <w:noProof/>
          <w:sz w:val="24"/>
        </w:rPr>
        <w:t xml:space="preserve"> conserved, structurally supported, physically protected or restored.</w:t>
      </w:r>
    </w:p>
    <w:p w14:paraId="53B12EE1" w14:textId="6D20ABA0" w:rsidR="006C615B" w:rsidRPr="00FB72F4" w:rsidRDefault="00F67CB6" w:rsidP="00F60926">
      <w:pPr>
        <w:keepNext/>
        <w:spacing w:before="120" w:after="60" w:line="240" w:lineRule="auto"/>
        <w:ind w:left="851"/>
        <w:jc w:val="both"/>
        <w:rPr>
          <w:rFonts w:ascii="Times New Roman" w:hAnsi="Times New Roman"/>
          <w:noProof/>
          <w:sz w:val="24"/>
        </w:rPr>
      </w:pPr>
      <w:r w:rsidRPr="00FB72F4">
        <w:rPr>
          <w:rFonts w:ascii="Times New Roman" w:hAnsi="Times New Roman"/>
          <w:noProof/>
          <w:sz w:val="24"/>
        </w:rPr>
        <w:t xml:space="preserve">The EU scholarship </w:t>
      </w:r>
      <w:r w:rsidR="000865D4" w:rsidRPr="00FB72F4">
        <w:rPr>
          <w:rFonts w:ascii="Times New Roman" w:hAnsi="Times New Roman"/>
          <w:noProof/>
          <w:sz w:val="24"/>
        </w:rPr>
        <w:t>scheme</w:t>
      </w:r>
      <w:r w:rsidRPr="00FB72F4">
        <w:rPr>
          <w:rFonts w:ascii="Times New Roman" w:hAnsi="Times New Roman"/>
          <w:noProof/>
          <w:sz w:val="24"/>
        </w:rPr>
        <w:t xml:space="preserve"> for Cypriot youth with the United World Colleges</w:t>
      </w:r>
      <w:r w:rsidR="0018318F" w:rsidRPr="00FB72F4">
        <w:rPr>
          <w:rFonts w:ascii="Times New Roman" w:hAnsi="Times New Roman"/>
          <w:noProof/>
          <w:sz w:val="24"/>
        </w:rPr>
        <w:t xml:space="preserve"> </w:t>
      </w:r>
      <w:r w:rsidR="003D754B">
        <w:rPr>
          <w:rFonts w:ascii="Times New Roman" w:eastAsia="Times New Roman,Calibri" w:hAnsi="Times New Roman" w:cs="Times New Roman"/>
          <w:noProof/>
          <w:sz w:val="24"/>
          <w:szCs w:val="24"/>
          <w:lang w:eastAsia="en-GB"/>
        </w:rPr>
        <w:t>gave</w:t>
      </w:r>
      <w:r w:rsidR="003D754B" w:rsidRPr="00FB72F4">
        <w:rPr>
          <w:rFonts w:ascii="Times New Roman" w:hAnsi="Times New Roman"/>
          <w:noProof/>
          <w:sz w:val="24"/>
        </w:rPr>
        <w:t xml:space="preserve"> </w:t>
      </w:r>
      <w:r w:rsidR="0018318F" w:rsidRPr="00FB72F4">
        <w:rPr>
          <w:rFonts w:ascii="Times New Roman" w:hAnsi="Times New Roman"/>
          <w:noProof/>
          <w:sz w:val="24"/>
        </w:rPr>
        <w:t>nine Greek Cypriot and nine Turkish Cypriot scholars the opportunity to study at the United World Colleges.</w:t>
      </w:r>
      <w:r w:rsidRPr="00FB72F4">
        <w:rPr>
          <w:rFonts w:ascii="Times New Roman" w:hAnsi="Times New Roman"/>
          <w:noProof/>
          <w:sz w:val="24"/>
        </w:rPr>
        <w:t xml:space="preserve"> </w:t>
      </w:r>
      <w:r w:rsidR="000865D4" w:rsidRPr="00FB72F4">
        <w:rPr>
          <w:rFonts w:ascii="Times New Roman" w:hAnsi="Times New Roman"/>
          <w:noProof/>
          <w:sz w:val="24"/>
        </w:rPr>
        <w:t>Since the</w:t>
      </w:r>
      <w:r w:rsidR="005F4F24" w:rsidRPr="00FB72F4">
        <w:rPr>
          <w:rFonts w:ascii="Times New Roman" w:hAnsi="Times New Roman"/>
          <w:noProof/>
          <w:sz w:val="24"/>
        </w:rPr>
        <w:t xml:space="preserve"> </w:t>
      </w:r>
      <w:r w:rsidR="003D754B">
        <w:rPr>
          <w:rFonts w:ascii="Times New Roman" w:eastAsia="Times New Roman,Calibri" w:hAnsi="Times New Roman" w:cs="Times New Roman"/>
          <w:noProof/>
          <w:sz w:val="24"/>
          <w:szCs w:val="24"/>
          <w:lang w:eastAsia="en-GB"/>
        </w:rPr>
        <w:t>scheme</w:t>
      </w:r>
      <w:r w:rsidR="00D148D3">
        <w:rPr>
          <w:rFonts w:ascii="Times New Roman" w:eastAsia="Times New Roman,Calibri" w:hAnsi="Times New Roman" w:cs="Times New Roman"/>
          <w:noProof/>
          <w:sz w:val="24"/>
          <w:szCs w:val="24"/>
          <w:lang w:eastAsia="en-GB"/>
        </w:rPr>
        <w:t>’</w:t>
      </w:r>
      <w:r w:rsidR="003D754B">
        <w:rPr>
          <w:rFonts w:ascii="Times New Roman" w:eastAsia="Times New Roman,Calibri" w:hAnsi="Times New Roman" w:cs="Times New Roman"/>
          <w:noProof/>
          <w:sz w:val="24"/>
          <w:szCs w:val="24"/>
          <w:lang w:eastAsia="en-GB"/>
        </w:rPr>
        <w:t xml:space="preserve">s </w:t>
      </w:r>
      <w:r w:rsidR="000865D4" w:rsidRPr="00FB72F4">
        <w:rPr>
          <w:rFonts w:ascii="Times New Roman" w:hAnsi="Times New Roman"/>
          <w:noProof/>
          <w:sz w:val="24"/>
        </w:rPr>
        <w:t>establishment,</w:t>
      </w:r>
      <w:r w:rsidRPr="00FB72F4">
        <w:rPr>
          <w:rFonts w:ascii="Times New Roman" w:hAnsi="Times New Roman"/>
          <w:noProof/>
          <w:sz w:val="24"/>
        </w:rPr>
        <w:t xml:space="preserve"> 64 </w:t>
      </w:r>
      <w:r w:rsidR="000865D4" w:rsidRPr="00FB72F4">
        <w:rPr>
          <w:rFonts w:ascii="Times New Roman" w:hAnsi="Times New Roman"/>
          <w:noProof/>
          <w:sz w:val="24"/>
        </w:rPr>
        <w:t xml:space="preserve">outstanding </w:t>
      </w:r>
      <w:r w:rsidRPr="00FB72F4">
        <w:rPr>
          <w:rFonts w:ascii="Times New Roman" w:hAnsi="Times New Roman"/>
          <w:noProof/>
          <w:sz w:val="24"/>
        </w:rPr>
        <w:t xml:space="preserve">young Turkish Cypriots and Greek Cypriots </w:t>
      </w:r>
      <w:r w:rsidR="003D754B">
        <w:rPr>
          <w:rFonts w:ascii="Times New Roman" w:eastAsia="Times New Roman,Calibri" w:hAnsi="Times New Roman" w:cs="Times New Roman"/>
          <w:noProof/>
          <w:sz w:val="24"/>
          <w:szCs w:val="24"/>
          <w:lang w:eastAsia="en-GB"/>
        </w:rPr>
        <w:t xml:space="preserve">have </w:t>
      </w:r>
      <w:r w:rsidRPr="007E1485">
        <w:rPr>
          <w:rFonts w:ascii="Times New Roman" w:eastAsia="Times New Roman,Calibri" w:hAnsi="Times New Roman" w:cs="Times New Roman"/>
          <w:noProof/>
          <w:sz w:val="24"/>
          <w:szCs w:val="24"/>
          <w:lang w:eastAsia="en-GB"/>
        </w:rPr>
        <w:t>complete</w:t>
      </w:r>
      <w:r w:rsidR="003D754B">
        <w:rPr>
          <w:rFonts w:ascii="Times New Roman" w:eastAsia="Times New Roman,Calibri" w:hAnsi="Times New Roman" w:cs="Times New Roman"/>
          <w:noProof/>
          <w:sz w:val="24"/>
          <w:szCs w:val="24"/>
          <w:lang w:eastAsia="en-GB"/>
        </w:rPr>
        <w:t>d</w:t>
      </w:r>
      <w:r w:rsidRPr="00FB72F4">
        <w:rPr>
          <w:rFonts w:ascii="Times New Roman" w:hAnsi="Times New Roman"/>
          <w:noProof/>
          <w:sz w:val="24"/>
        </w:rPr>
        <w:t xml:space="preserve"> a two-year International Baccalaureate course at one of the United World Colleges, which aim to unite people for peace and a sustainable future. </w:t>
      </w:r>
      <w:r w:rsidR="000865D4" w:rsidRPr="00FB72F4">
        <w:rPr>
          <w:rFonts w:ascii="Times New Roman" w:hAnsi="Times New Roman"/>
          <w:noProof/>
          <w:sz w:val="24"/>
        </w:rPr>
        <w:t xml:space="preserve">The scheme also </w:t>
      </w:r>
      <w:r w:rsidR="00C33554" w:rsidRPr="00FB72F4">
        <w:rPr>
          <w:rFonts w:ascii="Times New Roman" w:hAnsi="Times New Roman"/>
          <w:noProof/>
          <w:sz w:val="24"/>
        </w:rPr>
        <w:t>promoted</w:t>
      </w:r>
      <w:r w:rsidR="00866D29" w:rsidRPr="00FB72F4">
        <w:rPr>
          <w:rFonts w:ascii="Times New Roman" w:hAnsi="Times New Roman"/>
          <w:noProof/>
          <w:sz w:val="24"/>
        </w:rPr>
        <w:t xml:space="preserve"> cross-community youth engagement activities and short courses </w:t>
      </w:r>
      <w:r w:rsidR="00292717" w:rsidRPr="00FB72F4">
        <w:rPr>
          <w:rFonts w:ascii="Times New Roman" w:hAnsi="Times New Roman"/>
          <w:noProof/>
          <w:sz w:val="24"/>
        </w:rPr>
        <w:t xml:space="preserve">aimed </w:t>
      </w:r>
      <w:r w:rsidR="00866D29" w:rsidRPr="00FB72F4">
        <w:rPr>
          <w:rFonts w:ascii="Times New Roman" w:hAnsi="Times New Roman"/>
          <w:noProof/>
          <w:sz w:val="24"/>
        </w:rPr>
        <w:t xml:space="preserve">at empowering </w:t>
      </w:r>
      <w:r w:rsidR="003614E7" w:rsidRPr="00FB72F4">
        <w:rPr>
          <w:rFonts w:ascii="Times New Roman" w:hAnsi="Times New Roman"/>
          <w:noProof/>
          <w:sz w:val="24"/>
        </w:rPr>
        <w:t>young people</w:t>
      </w:r>
      <w:r w:rsidR="00866D29" w:rsidRPr="00FB72F4">
        <w:rPr>
          <w:rFonts w:ascii="Times New Roman" w:hAnsi="Times New Roman"/>
          <w:noProof/>
          <w:sz w:val="24"/>
        </w:rPr>
        <w:t xml:space="preserve"> </w:t>
      </w:r>
      <w:r w:rsidR="00292717" w:rsidRPr="00FB72F4">
        <w:rPr>
          <w:rFonts w:ascii="Times New Roman" w:hAnsi="Times New Roman"/>
          <w:noProof/>
          <w:sz w:val="24"/>
        </w:rPr>
        <w:t>to bring about</w:t>
      </w:r>
      <w:r w:rsidR="00866D29" w:rsidRPr="00FB72F4">
        <w:rPr>
          <w:rFonts w:ascii="Times New Roman" w:hAnsi="Times New Roman"/>
          <w:noProof/>
          <w:sz w:val="24"/>
        </w:rPr>
        <w:t xml:space="preserve"> positive change in their societies.</w:t>
      </w:r>
    </w:p>
    <w:p w14:paraId="3E670AC1" w14:textId="6AD7ECC0" w:rsidR="006C615B" w:rsidRPr="00FB72F4" w:rsidRDefault="00B2147F" w:rsidP="00F60926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>Support for civil society continued in 202</w:t>
      </w:r>
      <w:r w:rsidR="00420BB4" w:rsidRPr="00FB72F4">
        <w:rPr>
          <w:rFonts w:ascii="Times New Roman,Calibri" w:hAnsi="Times New Roman,Calibri"/>
          <w:noProof/>
          <w:sz w:val="24"/>
        </w:rPr>
        <w:t>4</w:t>
      </w:r>
      <w:r w:rsidRPr="00FB72F4">
        <w:rPr>
          <w:rFonts w:ascii="Times New Roman,Calibri" w:hAnsi="Times New Roman,Calibri"/>
          <w:noProof/>
          <w:sz w:val="24"/>
        </w:rPr>
        <w:t xml:space="preserve">. </w:t>
      </w:r>
      <w:r w:rsidR="00B438BD" w:rsidRPr="00FB72F4">
        <w:rPr>
          <w:rFonts w:ascii="Times New Roman,Calibri" w:hAnsi="Times New Roman,Calibri"/>
          <w:noProof/>
          <w:sz w:val="24"/>
        </w:rPr>
        <w:t xml:space="preserve">The </w:t>
      </w:r>
      <w:r w:rsidRPr="00FB72F4">
        <w:rPr>
          <w:rFonts w:ascii="Times New Roman,Calibri" w:hAnsi="Times New Roman,Calibri"/>
          <w:noProof/>
          <w:sz w:val="24"/>
        </w:rPr>
        <w:t>Civic Space</w:t>
      </w:r>
      <w:r w:rsidR="007F78FF" w:rsidRPr="00FB72F4">
        <w:rPr>
          <w:rFonts w:ascii="Times New Roman,Calibri" w:hAnsi="Times New Roman,Calibri"/>
          <w:noProof/>
          <w:sz w:val="24"/>
        </w:rPr>
        <w:t xml:space="preserve"> project</w:t>
      </w:r>
      <w:r w:rsidRPr="00FB72F4">
        <w:rPr>
          <w:rFonts w:ascii="Times New Roman,Calibri" w:hAnsi="Times New Roman,Calibri"/>
          <w:noProof/>
          <w:sz w:val="24"/>
        </w:rPr>
        <w:t xml:space="preserve">, </w:t>
      </w:r>
      <w:r w:rsidR="007F78FF" w:rsidRPr="00FB72F4">
        <w:rPr>
          <w:rFonts w:ascii="Times New Roman,Calibri" w:hAnsi="Times New Roman,Calibri"/>
          <w:noProof/>
          <w:sz w:val="24"/>
        </w:rPr>
        <w:t xml:space="preserve">which </w:t>
      </w:r>
      <w:r w:rsidRPr="00FB72F4">
        <w:rPr>
          <w:rFonts w:ascii="Times New Roman,Calibri" w:hAnsi="Times New Roman,Calibri"/>
          <w:noProof/>
          <w:sz w:val="24"/>
        </w:rPr>
        <w:t>provid</w:t>
      </w:r>
      <w:r w:rsidR="007F78FF" w:rsidRPr="00FB72F4">
        <w:rPr>
          <w:rFonts w:ascii="Times New Roman,Calibri" w:hAnsi="Times New Roman,Calibri"/>
          <w:noProof/>
          <w:sz w:val="24"/>
        </w:rPr>
        <w:t>es</w:t>
      </w:r>
      <w:r w:rsidRPr="00FB72F4">
        <w:rPr>
          <w:rFonts w:ascii="Times New Roman,Calibri" w:hAnsi="Times New Roman,Calibri"/>
          <w:noProof/>
          <w:sz w:val="24"/>
        </w:rPr>
        <w:t xml:space="preserve"> technical assistance for </w:t>
      </w:r>
      <w:bookmarkStart w:id="6" w:name="_Hlk133395118"/>
      <w:r w:rsidRPr="00FB72F4">
        <w:rPr>
          <w:rFonts w:ascii="Times New Roman,Calibri" w:hAnsi="Times New Roman,Calibri"/>
          <w:noProof/>
          <w:sz w:val="24"/>
        </w:rPr>
        <w:t>civil society organisations</w:t>
      </w:r>
      <w:bookmarkEnd w:id="6"/>
      <w:r w:rsidRPr="00FB72F4">
        <w:rPr>
          <w:rFonts w:ascii="Times New Roman,Calibri" w:hAnsi="Times New Roman,Calibri"/>
          <w:noProof/>
          <w:sz w:val="24"/>
        </w:rPr>
        <w:t xml:space="preserve">, continued to help </w:t>
      </w:r>
      <w:r w:rsidR="00B35EE0" w:rsidRPr="00FB72F4">
        <w:rPr>
          <w:rFonts w:ascii="Times New Roman,Calibri" w:hAnsi="Times New Roman,Calibri"/>
          <w:noProof/>
          <w:sz w:val="24"/>
        </w:rPr>
        <w:t xml:space="preserve">them </w:t>
      </w:r>
      <w:r w:rsidRPr="00FB72F4">
        <w:rPr>
          <w:rFonts w:ascii="Times New Roman,Calibri" w:hAnsi="Times New Roman,Calibri"/>
          <w:noProof/>
          <w:sz w:val="24"/>
        </w:rPr>
        <w:t xml:space="preserve">build </w:t>
      </w:r>
      <w:r w:rsidR="00481251" w:rsidRPr="00FB72F4">
        <w:rPr>
          <w:rFonts w:ascii="Times New Roman,Calibri" w:hAnsi="Times New Roman,Calibri"/>
          <w:noProof/>
          <w:sz w:val="24"/>
        </w:rPr>
        <w:t xml:space="preserve">their </w:t>
      </w:r>
      <w:r w:rsidRPr="00FB72F4">
        <w:rPr>
          <w:rFonts w:ascii="Times New Roman,Calibri" w:hAnsi="Times New Roman,Calibri"/>
          <w:noProof/>
          <w:sz w:val="24"/>
        </w:rPr>
        <w:t>capacities, promote an enabling environment for the development of civil society</w:t>
      </w:r>
      <w:r w:rsidR="00AB3340" w:rsidRPr="00FB72F4">
        <w:rPr>
          <w:rFonts w:ascii="Times New Roman,Calibri" w:hAnsi="Times New Roman,Calibri"/>
          <w:noProof/>
          <w:sz w:val="24"/>
        </w:rPr>
        <w:t>,</w:t>
      </w:r>
      <w:r w:rsidRPr="00FB72F4">
        <w:rPr>
          <w:rFonts w:ascii="Times New Roman,Calibri" w:hAnsi="Times New Roman,Calibri"/>
          <w:noProof/>
          <w:sz w:val="24"/>
        </w:rPr>
        <w:t xml:space="preserve"> and stimulate networking and joint actions with Greek Cypriot and other EU </w:t>
      </w:r>
      <w:r w:rsidR="00481251" w:rsidRPr="00FB72F4">
        <w:rPr>
          <w:rFonts w:ascii="Times New Roman,Calibri" w:hAnsi="Times New Roman,Calibri"/>
          <w:noProof/>
          <w:sz w:val="24"/>
        </w:rPr>
        <w:t>civil society organisations</w:t>
      </w:r>
      <w:r w:rsidRPr="00FB72F4">
        <w:rPr>
          <w:rFonts w:ascii="Times New Roman,Calibri" w:hAnsi="Times New Roman,Calibri"/>
          <w:noProof/>
          <w:sz w:val="24"/>
        </w:rPr>
        <w:t>.</w:t>
      </w:r>
    </w:p>
    <w:p w14:paraId="7FF71B08" w14:textId="69406257" w:rsidR="00882F2D" w:rsidRPr="00FB72F4" w:rsidRDefault="00882F2D" w:rsidP="005329CE">
      <w:pPr>
        <w:keepNext/>
        <w:spacing w:before="120" w:after="60" w:line="240" w:lineRule="auto"/>
        <w:ind w:left="851"/>
        <w:jc w:val="both"/>
        <w:rPr>
          <w:rFonts w:ascii="Times New Roman" w:hAnsi="Times New Roman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>Civil society organi</w:t>
      </w:r>
      <w:r w:rsidR="00C33554" w:rsidRPr="00FB72F4">
        <w:rPr>
          <w:rFonts w:ascii="Times New Roman,Calibri" w:hAnsi="Times New Roman,Calibri"/>
          <w:noProof/>
          <w:sz w:val="24"/>
        </w:rPr>
        <w:t>s</w:t>
      </w:r>
      <w:r w:rsidRPr="00FB72F4">
        <w:rPr>
          <w:rFonts w:ascii="Times New Roman,Calibri" w:hAnsi="Times New Roman,Calibri"/>
          <w:noProof/>
          <w:sz w:val="24"/>
        </w:rPr>
        <w:t>ations successfully completed projects concerning the rights of patients, employees, sexual minorities and international students, environmental protection, youth development and the role of mass-media in the peace building process. A new grant contract worth EUR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 </w:t>
      </w:r>
      <w:r w:rsidRPr="00FB72F4">
        <w:rPr>
          <w:rFonts w:ascii="Times New Roman,Calibri" w:hAnsi="Times New Roman,Calibri"/>
          <w:noProof/>
          <w:sz w:val="24"/>
        </w:rPr>
        <w:t xml:space="preserve">1.7 million was signed for supporting the activity of </w:t>
      </w:r>
      <w:r w:rsidR="00C33554" w:rsidRPr="00FB72F4">
        <w:rPr>
          <w:rFonts w:ascii="Times New Roman,Calibri" w:hAnsi="Times New Roman,Calibri"/>
          <w:noProof/>
          <w:sz w:val="24"/>
        </w:rPr>
        <w:t xml:space="preserve">the </w:t>
      </w:r>
      <w:r w:rsidRPr="00FB72F4">
        <w:rPr>
          <w:rFonts w:ascii="Times New Roman,Calibri" w:hAnsi="Times New Roman,Calibri"/>
          <w:noProof/>
          <w:sz w:val="24"/>
        </w:rPr>
        <w:t>Cyprus Dialogue Forum</w:t>
      </w:r>
      <w:r w:rsidR="0044694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,</w:t>
      </w:r>
      <w:r w:rsidRPr="00FB72F4">
        <w:rPr>
          <w:rFonts w:ascii="Times New Roman,Calibri" w:hAnsi="Times New Roman,Calibri"/>
          <w:noProof/>
          <w:sz w:val="24"/>
        </w:rPr>
        <w:t xml:space="preserve"> which brings together parties, trade unions, business/professional/employer associations and </w:t>
      </w:r>
      <w:r w:rsidR="0044694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civil society organisations</w:t>
      </w:r>
      <w:r w:rsidR="00446949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from both communities to create joint visions and instruments that support the settlement process. A new call for proposals in the amount of EUR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 </w:t>
      </w:r>
      <w:r w:rsidRPr="00FB72F4">
        <w:rPr>
          <w:rFonts w:ascii="Times New Roman,Calibri" w:hAnsi="Times New Roman,Calibri"/>
          <w:noProof/>
          <w:sz w:val="24"/>
        </w:rPr>
        <w:t xml:space="preserve">2.25 million was launched with the objective </w:t>
      </w:r>
      <w:r w:rsidR="0044694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of financing</w:t>
      </w:r>
      <w:r w:rsidR="00446949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actions of civil society organi</w:t>
      </w:r>
      <w:r w:rsidR="00C33554" w:rsidRPr="00FB72F4">
        <w:rPr>
          <w:rFonts w:ascii="Times New Roman,Calibri" w:hAnsi="Times New Roman,Calibri"/>
          <w:noProof/>
          <w:sz w:val="24"/>
        </w:rPr>
        <w:t>s</w:t>
      </w:r>
      <w:r w:rsidRPr="00FB72F4">
        <w:rPr>
          <w:rFonts w:ascii="Times New Roman,Calibri" w:hAnsi="Times New Roman,Calibri"/>
          <w:noProof/>
          <w:sz w:val="24"/>
        </w:rPr>
        <w:t xml:space="preserve">ations especially in the areas of human </w:t>
      </w:r>
      <w:r w:rsidRPr="00FB72F4">
        <w:rPr>
          <w:rFonts w:ascii="Times New Roman" w:hAnsi="Times New Roman"/>
          <w:noProof/>
          <w:sz w:val="24"/>
        </w:rPr>
        <w:t>rights, environment and bi-communal confidence</w:t>
      </w:r>
      <w:r w:rsidR="00182638"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 w:rsidRPr="00FB72F4">
        <w:rPr>
          <w:rFonts w:ascii="Times New Roman" w:hAnsi="Times New Roman"/>
          <w:noProof/>
          <w:sz w:val="24"/>
        </w:rPr>
        <w:t>building.</w:t>
      </w:r>
    </w:p>
    <w:p w14:paraId="01ABC29D" w14:textId="6609A2D5" w:rsidR="00215300" w:rsidRPr="00FB72F4" w:rsidRDefault="00575130" w:rsidP="005329CE">
      <w:pPr>
        <w:keepNext/>
        <w:spacing w:before="120" w:after="60" w:line="240" w:lineRule="auto"/>
        <w:ind w:left="851"/>
        <w:jc w:val="both"/>
        <w:rPr>
          <w:rFonts w:ascii="Times New Roman" w:hAnsi="Times New Roman"/>
          <w:noProof/>
          <w:sz w:val="24"/>
        </w:rPr>
      </w:pPr>
      <w:r w:rsidRPr="00FB72F4">
        <w:rPr>
          <w:rFonts w:ascii="Times New Roman" w:hAnsi="Times New Roman"/>
          <w:noProof/>
          <w:sz w:val="24"/>
        </w:rPr>
        <w:t>The Human Rights Platform association continued to successfully implement its EU-funded direct grant</w:t>
      </w:r>
      <w:r w:rsidR="00A0277C" w:rsidRPr="00FB72F4">
        <w:rPr>
          <w:rFonts w:ascii="Times New Roman" w:hAnsi="Times New Roman"/>
          <w:noProof/>
          <w:sz w:val="24"/>
        </w:rPr>
        <w:t xml:space="preserve"> receiving additional funding in 202</w:t>
      </w:r>
      <w:r w:rsidR="00420BB4" w:rsidRPr="00FB72F4">
        <w:rPr>
          <w:rFonts w:ascii="Times New Roman" w:hAnsi="Times New Roman"/>
          <w:noProof/>
          <w:sz w:val="24"/>
        </w:rPr>
        <w:t>4</w:t>
      </w:r>
      <w:r w:rsidRPr="00FB72F4">
        <w:rPr>
          <w:rFonts w:ascii="Times New Roman" w:hAnsi="Times New Roman"/>
          <w:noProof/>
          <w:sz w:val="24"/>
        </w:rPr>
        <w:t xml:space="preserve">. The main activities </w:t>
      </w:r>
      <w:r w:rsidR="00B2147F" w:rsidRPr="00FB72F4">
        <w:rPr>
          <w:rFonts w:ascii="Times New Roman" w:hAnsi="Times New Roman"/>
          <w:noProof/>
          <w:sz w:val="24"/>
        </w:rPr>
        <w:t>focused on</w:t>
      </w:r>
      <w:r w:rsidRPr="00FB72F4">
        <w:rPr>
          <w:rFonts w:ascii="Times New Roman" w:hAnsi="Times New Roman"/>
          <w:noProof/>
          <w:sz w:val="24"/>
        </w:rPr>
        <w:t xml:space="preserve"> </w:t>
      </w:r>
      <w:r w:rsidR="00215300" w:rsidRPr="00FB72F4">
        <w:rPr>
          <w:rFonts w:ascii="Times New Roman" w:hAnsi="Times New Roman"/>
          <w:noProof/>
          <w:sz w:val="24"/>
        </w:rPr>
        <w:t>thematic areas with gender equality dimension, such as anti-human trafficking, refugee rights and LGBTI+ rights</w:t>
      </w:r>
      <w:r w:rsidR="00FF5962" w:rsidRPr="00FB72F4">
        <w:rPr>
          <w:rFonts w:ascii="Times New Roman" w:hAnsi="Times New Roman"/>
          <w:noProof/>
          <w:sz w:val="24"/>
        </w:rPr>
        <w:t>.</w:t>
      </w:r>
    </w:p>
    <w:p w14:paraId="1F2967EF" w14:textId="1AB8AF8E" w:rsidR="006C615B" w:rsidRPr="00FB72F4" w:rsidRDefault="00F42B39">
      <w:pPr>
        <w:numPr>
          <w:ilvl w:val="2"/>
          <w:numId w:val="3"/>
        </w:numPr>
        <w:spacing w:before="120" w:after="120" w:line="240" w:lineRule="auto"/>
        <w:jc w:val="both"/>
        <w:outlineLvl w:val="2"/>
        <w:rPr>
          <w:rFonts w:ascii="Times New Roman" w:hAnsi="Times New Roman"/>
          <w:i/>
          <w:noProof/>
          <w:sz w:val="24"/>
        </w:rPr>
      </w:pPr>
      <w:r w:rsidRPr="00FB72F4">
        <w:rPr>
          <w:rFonts w:ascii="Times New Roman" w:hAnsi="Times New Roman"/>
          <w:i/>
          <w:noProof/>
          <w:sz w:val="24"/>
        </w:rPr>
        <w:t xml:space="preserve">Objective 4: Bringing the </w:t>
      </w:r>
      <w:r w:rsidR="00CC536D" w:rsidRPr="00FB72F4">
        <w:rPr>
          <w:rFonts w:ascii="Times New Roman,Calibri" w:hAnsi="Times New Roman,Calibri"/>
          <w:i/>
          <w:noProof/>
          <w:sz w:val="24"/>
        </w:rPr>
        <w:t>Turkish Cypriot community</w:t>
      </w:r>
      <w:r w:rsidR="00CC536D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" w:hAnsi="Times New Roman"/>
          <w:i/>
          <w:noProof/>
          <w:sz w:val="24"/>
        </w:rPr>
        <w:t xml:space="preserve">closer to the </w:t>
      </w:r>
      <w:r w:rsidR="000D76DD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n-GB"/>
        </w:rPr>
        <w:t>EU</w:t>
      </w:r>
    </w:p>
    <w:p w14:paraId="5B7FC506" w14:textId="3A339CD3" w:rsidR="00FF5962" w:rsidRPr="00FB72F4" w:rsidRDefault="00BF69E7" w:rsidP="00F60926">
      <w:pPr>
        <w:keepNext/>
        <w:spacing w:before="120" w:after="60" w:line="240" w:lineRule="auto"/>
        <w:ind w:left="851"/>
        <w:jc w:val="both"/>
        <w:rPr>
          <w:rFonts w:ascii="Times New Roman" w:hAnsi="Times New Roman"/>
          <w:noProof/>
          <w:sz w:val="24"/>
        </w:rPr>
      </w:pPr>
      <w:r w:rsidRPr="00FB72F4">
        <w:rPr>
          <w:rFonts w:ascii="Times New Roman" w:hAnsi="Times New Roman"/>
          <w:noProof/>
          <w:sz w:val="24"/>
        </w:rPr>
        <w:t>Since 2022, the Commission has been partnering with the Goethe-Institut to implement the EU Scholarship Programme.</w:t>
      </w:r>
    </w:p>
    <w:p w14:paraId="52FD2152" w14:textId="425063E6" w:rsidR="00FF5962" w:rsidRPr="00FB72F4" w:rsidRDefault="00FF5962" w:rsidP="00F60926">
      <w:pPr>
        <w:keepNext/>
        <w:spacing w:before="120" w:after="60" w:line="240" w:lineRule="auto"/>
        <w:ind w:left="851"/>
        <w:jc w:val="both"/>
        <w:rPr>
          <w:rFonts w:ascii="Times New Roman" w:hAnsi="Times New Roman"/>
          <w:noProof/>
          <w:sz w:val="24"/>
        </w:rPr>
      </w:pPr>
      <w:r w:rsidRPr="00FB72F4">
        <w:rPr>
          <w:rFonts w:ascii="Times New Roman" w:hAnsi="Times New Roman"/>
          <w:noProof/>
          <w:sz w:val="24"/>
        </w:rPr>
        <w:t xml:space="preserve">To bring the </w:t>
      </w:r>
      <w:r w:rsidR="007001B9">
        <w:rPr>
          <w:rFonts w:ascii="Times New Roman" w:eastAsia="Times New Roman,Calibri" w:hAnsi="Times New Roman" w:cs="Times New Roman"/>
          <w:noProof/>
          <w:sz w:val="24"/>
          <w:szCs w:val="24"/>
          <w:lang w:eastAsia="en-GB"/>
        </w:rPr>
        <w:t>Turkish Cypriot community</w:t>
      </w:r>
      <w:r w:rsidRPr="00FB72F4">
        <w:rPr>
          <w:rFonts w:ascii="Times New Roman" w:hAnsi="Times New Roman"/>
          <w:noProof/>
          <w:sz w:val="24"/>
        </w:rPr>
        <w:t xml:space="preserve"> closer to the EU, 12</w:t>
      </w:r>
      <w:r w:rsidR="007D1659" w:rsidRPr="00FB72F4">
        <w:rPr>
          <w:rFonts w:ascii="Times New Roman" w:hAnsi="Times New Roman"/>
          <w:noProof/>
          <w:sz w:val="24"/>
        </w:rPr>
        <w:t>6</w:t>
      </w:r>
      <w:r w:rsidRPr="00FB72F4">
        <w:rPr>
          <w:rFonts w:ascii="Times New Roman" w:hAnsi="Times New Roman"/>
          <w:noProof/>
          <w:sz w:val="24"/>
        </w:rPr>
        <w:t xml:space="preserve"> scholarship grants have been awarded to Turkish Cypriot students during the academic year 2023</w:t>
      </w:r>
      <w:r w:rsidR="00BC581C" w:rsidRPr="00FB72F4">
        <w:rPr>
          <w:rFonts w:ascii="Times New Roman" w:hAnsi="Times New Roman"/>
          <w:noProof/>
          <w:sz w:val="24"/>
        </w:rPr>
        <w:t>/</w:t>
      </w:r>
      <w:r w:rsidRPr="00FB72F4">
        <w:rPr>
          <w:rFonts w:ascii="Times New Roman" w:hAnsi="Times New Roman"/>
          <w:noProof/>
          <w:sz w:val="24"/>
        </w:rPr>
        <w:t>2024 to attend universities in EU countries. An alumni strategy was developed that enables alumni to network, engage and leverage skills and opportunities through various events.</w:t>
      </w:r>
    </w:p>
    <w:p w14:paraId="6AE65727" w14:textId="04F227A7" w:rsidR="00706411" w:rsidRPr="00FB72F4" w:rsidRDefault="00007324" w:rsidP="00F60926">
      <w:pPr>
        <w:keepNext/>
        <w:spacing w:before="120" w:after="60" w:line="240" w:lineRule="auto"/>
        <w:ind w:left="851"/>
        <w:jc w:val="both"/>
        <w:rPr>
          <w:rFonts w:ascii="Times New Roman" w:hAnsi="Times New Roman"/>
          <w:noProof/>
          <w:sz w:val="24"/>
        </w:rPr>
      </w:pPr>
      <w:r w:rsidRPr="00FB72F4">
        <w:rPr>
          <w:rFonts w:ascii="Times New Roman" w:hAnsi="Times New Roman"/>
          <w:noProof/>
          <w:sz w:val="24"/>
        </w:rPr>
        <w:t xml:space="preserve">Since 2007, </w:t>
      </w:r>
      <w:r w:rsidR="00A0277C" w:rsidRPr="00FB72F4">
        <w:rPr>
          <w:rFonts w:ascii="Times New Roman" w:hAnsi="Times New Roman"/>
          <w:noProof/>
          <w:sz w:val="24"/>
        </w:rPr>
        <w:t xml:space="preserve">more than </w:t>
      </w:r>
      <w:r w:rsidRPr="00FB72F4">
        <w:rPr>
          <w:rFonts w:ascii="Times New Roman" w:hAnsi="Times New Roman"/>
          <w:noProof/>
          <w:sz w:val="24"/>
        </w:rPr>
        <w:t>2</w:t>
      </w:r>
      <w:r w:rsidR="00677A3B" w:rsidRPr="00FB72F4">
        <w:rPr>
          <w:rFonts w:ascii="Times New Roman" w:hAnsi="Times New Roman"/>
          <w:noProof/>
          <w:sz w:val="24"/>
        </w:rPr>
        <w:t> </w:t>
      </w:r>
      <w:r w:rsidR="007D1659" w:rsidRPr="00FB72F4">
        <w:rPr>
          <w:rFonts w:ascii="Times New Roman" w:hAnsi="Times New Roman"/>
          <w:noProof/>
          <w:sz w:val="24"/>
        </w:rPr>
        <w:t xml:space="preserve">275 </w:t>
      </w:r>
      <w:r w:rsidR="00C37893" w:rsidRPr="00FB72F4">
        <w:rPr>
          <w:rFonts w:ascii="Times New Roman" w:hAnsi="Times New Roman"/>
          <w:noProof/>
          <w:sz w:val="24"/>
        </w:rPr>
        <w:t xml:space="preserve">scholarships </w:t>
      </w:r>
      <w:r w:rsidRPr="00FB72F4">
        <w:rPr>
          <w:rFonts w:ascii="Times New Roman" w:hAnsi="Times New Roman"/>
          <w:noProof/>
          <w:sz w:val="24"/>
        </w:rPr>
        <w:t xml:space="preserve">have been awarded to students, covering </w:t>
      </w:r>
      <w:r w:rsidR="00AB3340" w:rsidRPr="00FB72F4">
        <w:rPr>
          <w:rFonts w:ascii="Times New Roman" w:hAnsi="Times New Roman"/>
          <w:noProof/>
          <w:sz w:val="24"/>
        </w:rPr>
        <w:t>more than</w:t>
      </w:r>
      <w:r w:rsidRPr="00FB72F4">
        <w:rPr>
          <w:rFonts w:ascii="Times New Roman" w:hAnsi="Times New Roman"/>
          <w:noProof/>
          <w:sz w:val="24"/>
        </w:rPr>
        <w:t xml:space="preserve"> 100 universities and 23 EU countries. These scholarships support students during the</w:t>
      </w:r>
      <w:r w:rsidR="00677A3B" w:rsidRPr="00FB72F4">
        <w:rPr>
          <w:rFonts w:ascii="Times New Roman" w:hAnsi="Times New Roman"/>
          <w:noProof/>
          <w:sz w:val="24"/>
        </w:rPr>
        <w:t>ir</w:t>
      </w:r>
      <w:r w:rsidRPr="00FB72F4">
        <w:rPr>
          <w:rFonts w:ascii="Times New Roman" w:hAnsi="Times New Roman"/>
          <w:noProof/>
          <w:sz w:val="24"/>
        </w:rPr>
        <w:t xml:space="preserve"> first year of undergraduate studies, graduate students in their master</w:t>
      </w:r>
      <w:r w:rsidR="00677A3B" w:rsidRPr="00FB72F4">
        <w:rPr>
          <w:rFonts w:ascii="Times New Roman" w:hAnsi="Times New Roman"/>
          <w:noProof/>
          <w:sz w:val="24"/>
        </w:rPr>
        <w:t>’</w:t>
      </w:r>
      <w:r w:rsidRPr="00FB72F4">
        <w:rPr>
          <w:rFonts w:ascii="Times New Roman" w:hAnsi="Times New Roman"/>
          <w:noProof/>
          <w:sz w:val="24"/>
        </w:rPr>
        <w:t xml:space="preserve">s or doctoral programmes, and researchers and professionals in further developing their language and professional skills across EU </w:t>
      </w:r>
      <w:r w:rsidR="00540A26">
        <w:rPr>
          <w:rFonts w:ascii="Times New Roman" w:hAnsi="Times New Roman"/>
          <w:noProof/>
          <w:sz w:val="24"/>
        </w:rPr>
        <w:t>Member States</w:t>
      </w:r>
      <w:r w:rsidRPr="00FB72F4">
        <w:rPr>
          <w:rFonts w:ascii="Times New Roman" w:hAnsi="Times New Roman"/>
          <w:noProof/>
          <w:sz w:val="24"/>
        </w:rPr>
        <w:t>.</w:t>
      </w:r>
    </w:p>
    <w:p w14:paraId="1B447106" w14:textId="2A083546" w:rsidR="00F24CD8" w:rsidRPr="00FB72F4" w:rsidRDefault="00F42B39" w:rsidP="00F60926">
      <w:pPr>
        <w:keepNext/>
        <w:spacing w:before="120" w:after="60" w:line="240" w:lineRule="auto"/>
        <w:ind w:left="851"/>
        <w:jc w:val="both"/>
        <w:rPr>
          <w:rFonts w:ascii="Times New Roman" w:hAnsi="Times New Roman"/>
          <w:noProof/>
          <w:sz w:val="24"/>
        </w:rPr>
      </w:pPr>
      <w:r w:rsidRPr="00FB72F4">
        <w:rPr>
          <w:rFonts w:ascii="Times New Roman" w:hAnsi="Times New Roman"/>
          <w:noProof/>
          <w:sz w:val="24"/>
        </w:rPr>
        <w:t>The EU Infopoint</w:t>
      </w:r>
      <w:r w:rsidR="009A73EA" w:rsidRPr="00FB72F4">
        <w:rPr>
          <w:rFonts w:ascii="Times New Roman" w:hAnsi="Times New Roman"/>
          <w:noProof/>
          <w:sz w:val="24"/>
        </w:rPr>
        <w:t xml:space="preserve"> is</w:t>
      </w:r>
      <w:r w:rsidRPr="00FB72F4">
        <w:rPr>
          <w:rFonts w:ascii="Times New Roman" w:hAnsi="Times New Roman"/>
          <w:noProof/>
          <w:sz w:val="24"/>
        </w:rPr>
        <w:t xml:space="preserve"> managed by the EU</w:t>
      </w:r>
      <w:r w:rsidR="00E261B1" w:rsidRPr="00FB72F4">
        <w:rPr>
          <w:rFonts w:ascii="Times New Roman" w:hAnsi="Times New Roman"/>
          <w:noProof/>
          <w:sz w:val="24"/>
        </w:rPr>
        <w:t xml:space="preserve"> </w:t>
      </w:r>
      <w:r w:rsidRPr="00FB72F4">
        <w:rPr>
          <w:rFonts w:ascii="Times New Roman" w:hAnsi="Times New Roman"/>
          <w:noProof/>
          <w:sz w:val="24"/>
        </w:rPr>
        <w:t>P</w:t>
      </w:r>
      <w:r w:rsidR="00E261B1" w:rsidRPr="00FB72F4">
        <w:rPr>
          <w:rFonts w:ascii="Times New Roman" w:hAnsi="Times New Roman"/>
          <w:noProof/>
          <w:sz w:val="24"/>
        </w:rPr>
        <w:t xml:space="preserve">rogramme </w:t>
      </w:r>
      <w:r w:rsidRPr="00FB72F4">
        <w:rPr>
          <w:rFonts w:ascii="Times New Roman" w:hAnsi="Times New Roman"/>
          <w:noProof/>
          <w:sz w:val="24"/>
        </w:rPr>
        <w:t>S</w:t>
      </w:r>
      <w:r w:rsidR="00E261B1" w:rsidRPr="00FB72F4">
        <w:rPr>
          <w:rFonts w:ascii="Times New Roman" w:hAnsi="Times New Roman"/>
          <w:noProof/>
          <w:sz w:val="24"/>
        </w:rPr>
        <w:t xml:space="preserve">upport </w:t>
      </w:r>
      <w:r w:rsidRPr="00FB72F4">
        <w:rPr>
          <w:rFonts w:ascii="Times New Roman" w:hAnsi="Times New Roman"/>
          <w:noProof/>
          <w:sz w:val="24"/>
        </w:rPr>
        <w:t>O</w:t>
      </w:r>
      <w:r w:rsidR="00E261B1" w:rsidRPr="00FB72F4">
        <w:rPr>
          <w:rFonts w:ascii="Times New Roman" w:hAnsi="Times New Roman"/>
          <w:noProof/>
          <w:sz w:val="24"/>
        </w:rPr>
        <w:t>ffice</w:t>
      </w:r>
      <w:r w:rsidRPr="00FB72F4">
        <w:rPr>
          <w:rFonts w:ascii="Times New Roman" w:hAnsi="Times New Roman"/>
          <w:noProof/>
          <w:sz w:val="24"/>
        </w:rPr>
        <w:t xml:space="preserve"> together with the </w:t>
      </w:r>
      <w:r w:rsidR="00791BAC" w:rsidRPr="00FB72F4">
        <w:rPr>
          <w:rFonts w:ascii="Times New Roman" w:hAnsi="Times New Roman"/>
          <w:noProof/>
          <w:sz w:val="24"/>
        </w:rPr>
        <w:t xml:space="preserve">Commission </w:t>
      </w:r>
      <w:r w:rsidRPr="00FB72F4">
        <w:rPr>
          <w:rFonts w:ascii="Times New Roman" w:hAnsi="Times New Roman"/>
          <w:noProof/>
          <w:sz w:val="24"/>
        </w:rPr>
        <w:t>Representation in Cyprus</w:t>
      </w:r>
      <w:r w:rsidR="009A73EA" w:rsidRPr="00FB72F4">
        <w:rPr>
          <w:rFonts w:ascii="Times New Roman" w:hAnsi="Times New Roman"/>
          <w:noProof/>
          <w:sz w:val="24"/>
        </w:rPr>
        <w:t>.</w:t>
      </w:r>
      <w:r w:rsidRPr="00FB72F4">
        <w:rPr>
          <w:rFonts w:ascii="Times New Roman" w:hAnsi="Times New Roman"/>
          <w:noProof/>
          <w:sz w:val="24"/>
        </w:rPr>
        <w:t xml:space="preserve"> </w:t>
      </w:r>
      <w:r w:rsidR="009A73EA" w:rsidRPr="00FB72F4">
        <w:rPr>
          <w:rFonts w:ascii="Times New Roman" w:hAnsi="Times New Roman"/>
          <w:noProof/>
          <w:sz w:val="24"/>
        </w:rPr>
        <w:t>In 202</w:t>
      </w:r>
      <w:r w:rsidR="00283DF9" w:rsidRPr="00FB72F4">
        <w:rPr>
          <w:rFonts w:ascii="Times New Roman" w:hAnsi="Times New Roman"/>
          <w:noProof/>
          <w:sz w:val="24"/>
        </w:rPr>
        <w:t>4</w:t>
      </w:r>
      <w:r w:rsidR="009A73EA" w:rsidRPr="00FB72F4">
        <w:rPr>
          <w:rFonts w:ascii="Times New Roman" w:hAnsi="Times New Roman"/>
          <w:noProof/>
          <w:sz w:val="24"/>
        </w:rPr>
        <w:t xml:space="preserve">, through its activities both online and offline, it </w:t>
      </w:r>
      <w:r w:rsidRPr="00FB72F4">
        <w:rPr>
          <w:rFonts w:ascii="Times New Roman" w:hAnsi="Times New Roman"/>
          <w:noProof/>
          <w:sz w:val="24"/>
        </w:rPr>
        <w:t xml:space="preserve">achieved a high level of visibility </w:t>
      </w:r>
      <w:r w:rsidR="00283DF9" w:rsidRPr="00FB72F4">
        <w:rPr>
          <w:rFonts w:ascii="Times New Roman" w:hAnsi="Times New Roman"/>
          <w:noProof/>
          <w:sz w:val="24"/>
        </w:rPr>
        <w:t xml:space="preserve">and increased awareness of the </w:t>
      </w:r>
      <w:r w:rsidR="00101E7C" w:rsidRPr="007E1485">
        <w:rPr>
          <w:rFonts w:ascii="Times New Roman" w:hAnsi="Times New Roman"/>
          <w:noProof/>
          <w:sz w:val="24"/>
        </w:rPr>
        <w:t xml:space="preserve">aid </w:t>
      </w:r>
      <w:r w:rsidR="00283DF9" w:rsidRPr="007E1485">
        <w:rPr>
          <w:rFonts w:ascii="Times New Roman" w:hAnsi="Times New Roman"/>
          <w:noProof/>
          <w:sz w:val="24"/>
        </w:rPr>
        <w:t>programme</w:t>
      </w:r>
      <w:r w:rsidR="00540A26">
        <w:rPr>
          <w:rFonts w:ascii="Times New Roman" w:hAnsi="Times New Roman"/>
          <w:noProof/>
          <w:sz w:val="24"/>
        </w:rPr>
        <w:t>’</w:t>
      </w:r>
      <w:r w:rsidR="00955AC5">
        <w:rPr>
          <w:rFonts w:ascii="Times New Roman" w:hAnsi="Times New Roman"/>
          <w:noProof/>
          <w:sz w:val="24"/>
        </w:rPr>
        <w:t>s</w:t>
      </w:r>
      <w:r w:rsidR="00283DF9" w:rsidRPr="00FB72F4">
        <w:rPr>
          <w:rFonts w:ascii="Times New Roman" w:hAnsi="Times New Roman"/>
          <w:noProof/>
          <w:sz w:val="24"/>
        </w:rPr>
        <w:t xml:space="preserve"> impact and the </w:t>
      </w:r>
      <w:r w:rsidR="00955AC5">
        <w:rPr>
          <w:rFonts w:ascii="Times New Roman" w:hAnsi="Times New Roman"/>
          <w:noProof/>
          <w:sz w:val="24"/>
        </w:rPr>
        <w:t>EU</w:t>
      </w:r>
      <w:r w:rsidR="00540A26">
        <w:rPr>
          <w:rFonts w:ascii="Times New Roman" w:hAnsi="Times New Roman"/>
          <w:noProof/>
          <w:sz w:val="24"/>
        </w:rPr>
        <w:t>’</w:t>
      </w:r>
      <w:r w:rsidR="00955AC5">
        <w:rPr>
          <w:rFonts w:ascii="Times New Roman" w:hAnsi="Times New Roman"/>
          <w:noProof/>
          <w:sz w:val="24"/>
        </w:rPr>
        <w:t xml:space="preserve">s </w:t>
      </w:r>
      <w:r w:rsidR="00283DF9" w:rsidRPr="00FB72F4">
        <w:rPr>
          <w:rFonts w:ascii="Times New Roman" w:hAnsi="Times New Roman"/>
          <w:noProof/>
          <w:sz w:val="24"/>
        </w:rPr>
        <w:t>role in the settlement process</w:t>
      </w:r>
      <w:r w:rsidRPr="00FB72F4">
        <w:rPr>
          <w:rFonts w:ascii="Times New Roman" w:hAnsi="Times New Roman"/>
          <w:noProof/>
          <w:sz w:val="24"/>
        </w:rPr>
        <w:t xml:space="preserve">. </w:t>
      </w:r>
      <w:r w:rsidR="00924858" w:rsidRPr="00FB72F4">
        <w:rPr>
          <w:rFonts w:ascii="Times New Roman" w:hAnsi="Times New Roman"/>
          <w:noProof/>
          <w:sz w:val="24"/>
        </w:rPr>
        <w:t xml:space="preserve">The EU </w:t>
      </w:r>
      <w:r w:rsidR="0052500E" w:rsidRPr="00FB72F4">
        <w:rPr>
          <w:rFonts w:ascii="Times New Roman" w:hAnsi="Times New Roman"/>
          <w:noProof/>
          <w:sz w:val="24"/>
        </w:rPr>
        <w:t>Info</w:t>
      </w:r>
      <w:r w:rsidR="007C6E68" w:rsidRPr="00FB72F4">
        <w:rPr>
          <w:rFonts w:ascii="Times New Roman" w:hAnsi="Times New Roman"/>
          <w:noProof/>
          <w:sz w:val="24"/>
        </w:rPr>
        <w:t>p</w:t>
      </w:r>
      <w:r w:rsidR="0052500E" w:rsidRPr="00FB72F4">
        <w:rPr>
          <w:rFonts w:ascii="Times New Roman" w:hAnsi="Times New Roman"/>
          <w:noProof/>
          <w:sz w:val="24"/>
        </w:rPr>
        <w:t>oint</w:t>
      </w:r>
      <w:r w:rsidR="00882F2D" w:rsidRPr="00FB72F4">
        <w:rPr>
          <w:rFonts w:ascii="Times New Roman" w:hAnsi="Times New Roman"/>
          <w:noProof/>
          <w:sz w:val="24"/>
        </w:rPr>
        <w:t xml:space="preserve"> and other EU</w:t>
      </w:r>
      <w:r w:rsidR="00182638">
        <w:rPr>
          <w:rFonts w:ascii="Times New Roman" w:hAnsi="Times New Roman"/>
          <w:noProof/>
          <w:sz w:val="24"/>
        </w:rPr>
        <w:t>-</w:t>
      </w:r>
      <w:r w:rsidR="00882F2D" w:rsidRPr="00FB72F4">
        <w:rPr>
          <w:rFonts w:ascii="Times New Roman" w:hAnsi="Times New Roman"/>
          <w:noProof/>
          <w:sz w:val="24"/>
        </w:rPr>
        <w:t>funded projects</w:t>
      </w:r>
      <w:r w:rsidR="00924858" w:rsidRPr="00FB72F4">
        <w:rPr>
          <w:rFonts w:ascii="Times New Roman" w:hAnsi="Times New Roman"/>
          <w:noProof/>
          <w:sz w:val="24"/>
        </w:rPr>
        <w:t xml:space="preserve"> </w:t>
      </w:r>
      <w:r w:rsidR="00C63022" w:rsidRPr="00FB72F4">
        <w:rPr>
          <w:rFonts w:ascii="Times New Roman" w:hAnsi="Times New Roman"/>
          <w:noProof/>
          <w:sz w:val="24"/>
        </w:rPr>
        <w:t>organised</w:t>
      </w:r>
      <w:r w:rsidR="00AE7E70" w:rsidRPr="00FB72F4">
        <w:rPr>
          <w:rFonts w:ascii="Times New Roman" w:hAnsi="Times New Roman"/>
          <w:noProof/>
          <w:sz w:val="24"/>
        </w:rPr>
        <w:t xml:space="preserve"> </w:t>
      </w:r>
      <w:r w:rsidR="00924858" w:rsidRPr="00FB72F4">
        <w:rPr>
          <w:rFonts w:ascii="Times New Roman" w:hAnsi="Times New Roman"/>
          <w:noProof/>
          <w:sz w:val="24"/>
        </w:rPr>
        <w:t xml:space="preserve">more than </w:t>
      </w:r>
      <w:r w:rsidR="000E5D3F" w:rsidRPr="00FB72F4">
        <w:rPr>
          <w:rFonts w:ascii="Times New Roman" w:hAnsi="Times New Roman"/>
          <w:noProof/>
          <w:sz w:val="24"/>
        </w:rPr>
        <w:t xml:space="preserve">350 </w:t>
      </w:r>
      <w:r w:rsidR="00A0277C" w:rsidRPr="00FB72F4">
        <w:rPr>
          <w:rFonts w:ascii="Times New Roman" w:hAnsi="Times New Roman"/>
          <w:noProof/>
          <w:sz w:val="24"/>
        </w:rPr>
        <w:t>communication and visibility activities in 202</w:t>
      </w:r>
      <w:r w:rsidR="000E5D3F" w:rsidRPr="00FB72F4">
        <w:rPr>
          <w:rFonts w:ascii="Times New Roman" w:hAnsi="Times New Roman"/>
          <w:noProof/>
          <w:sz w:val="24"/>
        </w:rPr>
        <w:t>4</w:t>
      </w:r>
      <w:r w:rsidR="00924858" w:rsidRPr="00FB72F4">
        <w:rPr>
          <w:rFonts w:ascii="Times New Roman" w:hAnsi="Times New Roman"/>
          <w:noProof/>
          <w:sz w:val="24"/>
        </w:rPr>
        <w:t xml:space="preserve">, </w:t>
      </w:r>
      <w:r w:rsidR="000E5D3F" w:rsidRPr="00FB72F4">
        <w:rPr>
          <w:rFonts w:ascii="Times New Roman" w:hAnsi="Times New Roman"/>
          <w:noProof/>
          <w:sz w:val="24"/>
        </w:rPr>
        <w:t xml:space="preserve">including Europe Day celebrations which gathered around </w:t>
      </w:r>
      <w:r w:rsidR="000E5D3F" w:rsidRPr="007E1485">
        <w:rPr>
          <w:rFonts w:ascii="Times New Roman" w:hAnsi="Times New Roman"/>
          <w:noProof/>
          <w:sz w:val="24"/>
        </w:rPr>
        <w:t>5</w:t>
      </w:r>
      <w:r w:rsidR="007E1485">
        <w:rPr>
          <w:rFonts w:ascii="Times New Roman" w:hAnsi="Times New Roman"/>
          <w:noProof/>
          <w:sz w:val="24"/>
        </w:rPr>
        <w:t> </w:t>
      </w:r>
      <w:r w:rsidR="000E5D3F" w:rsidRPr="007E1485">
        <w:rPr>
          <w:rFonts w:ascii="Times New Roman" w:hAnsi="Times New Roman"/>
          <w:noProof/>
          <w:sz w:val="24"/>
        </w:rPr>
        <w:t>000</w:t>
      </w:r>
      <w:r w:rsidR="000E5D3F" w:rsidRPr="00FB72F4">
        <w:rPr>
          <w:rFonts w:ascii="Times New Roman" w:hAnsi="Times New Roman"/>
          <w:noProof/>
          <w:sz w:val="24"/>
        </w:rPr>
        <w:t xml:space="preserve"> participants</w:t>
      </w:r>
      <w:r w:rsidR="0021774E" w:rsidRPr="00FB72F4">
        <w:rPr>
          <w:rFonts w:ascii="Times New Roman" w:hAnsi="Times New Roman"/>
          <w:noProof/>
          <w:sz w:val="24"/>
        </w:rPr>
        <w:t xml:space="preserve">. </w:t>
      </w:r>
      <w:r w:rsidR="00677A3B" w:rsidRPr="00FB72F4">
        <w:rPr>
          <w:rFonts w:ascii="Times New Roman" w:hAnsi="Times New Roman"/>
          <w:noProof/>
          <w:sz w:val="24"/>
        </w:rPr>
        <w:t>During</w:t>
      </w:r>
      <w:r w:rsidR="0021774E" w:rsidRPr="00FB72F4">
        <w:rPr>
          <w:rFonts w:ascii="Times New Roman" w:hAnsi="Times New Roman"/>
          <w:noProof/>
          <w:sz w:val="24"/>
        </w:rPr>
        <w:t xml:space="preserve"> this period, </w:t>
      </w:r>
      <w:r w:rsidR="00AE7E70" w:rsidRPr="00FB72F4">
        <w:rPr>
          <w:rFonts w:ascii="Times New Roman" w:hAnsi="Times New Roman"/>
          <w:noProof/>
          <w:sz w:val="24"/>
        </w:rPr>
        <w:t>the Commission</w:t>
      </w:r>
      <w:r w:rsidR="0021774E" w:rsidRPr="00FB72F4">
        <w:rPr>
          <w:rFonts w:ascii="Times New Roman" w:hAnsi="Times New Roman"/>
          <w:noProof/>
          <w:sz w:val="24"/>
        </w:rPr>
        <w:t xml:space="preserve"> </w:t>
      </w:r>
      <w:r w:rsidR="00677A3B" w:rsidRPr="00FB72F4">
        <w:rPr>
          <w:rFonts w:ascii="Times New Roman" w:hAnsi="Times New Roman"/>
          <w:noProof/>
          <w:sz w:val="24"/>
        </w:rPr>
        <w:t xml:space="preserve">produced </w:t>
      </w:r>
      <w:r w:rsidR="000E5D3F" w:rsidRPr="00FB72F4">
        <w:rPr>
          <w:rFonts w:ascii="Times New Roman" w:hAnsi="Times New Roman"/>
          <w:noProof/>
          <w:sz w:val="24"/>
        </w:rPr>
        <w:t xml:space="preserve">37 </w:t>
      </w:r>
      <w:r w:rsidR="002C78DD" w:rsidRPr="00FB72F4">
        <w:rPr>
          <w:rFonts w:ascii="Times New Roman" w:hAnsi="Times New Roman"/>
          <w:noProof/>
          <w:sz w:val="24"/>
        </w:rPr>
        <w:t>factsheets</w:t>
      </w:r>
      <w:r w:rsidR="000E5D3F" w:rsidRPr="00FB72F4">
        <w:rPr>
          <w:rFonts w:ascii="Times New Roman" w:hAnsi="Times New Roman"/>
          <w:noProof/>
          <w:sz w:val="24"/>
        </w:rPr>
        <w:t>, booklets and audio-visual materials.</w:t>
      </w:r>
    </w:p>
    <w:p w14:paraId="1F16510C" w14:textId="2E7B0DE8" w:rsidR="006C615B" w:rsidRPr="00FB72F4" w:rsidRDefault="00F42B39">
      <w:pPr>
        <w:pStyle w:val="AARText"/>
        <w:spacing w:before="120" w:after="120"/>
        <w:ind w:left="850" w:hanging="850"/>
        <w:rPr>
          <w:rFonts w:asciiTheme="minorEastAsia" w:eastAsiaTheme="minorEastAsia" w:hAnsiTheme="minorEastAsia"/>
          <w:noProof/>
          <w:sz w:val="24"/>
        </w:rPr>
      </w:pPr>
      <w:r w:rsidRPr="00FB72F4">
        <w:rPr>
          <w:rFonts w:ascii="Times New Roman" w:hAnsi="Times New Roman"/>
          <w:i/>
          <w:noProof/>
          <w:sz w:val="24"/>
        </w:rPr>
        <w:t>4.2.5</w:t>
      </w:r>
      <w:r w:rsidR="00BF5ED4" w:rsidRPr="00FB72F4">
        <w:rPr>
          <w:rFonts w:ascii="Times New Roman" w:hAnsi="Times New Roman"/>
          <w:i/>
          <w:noProof/>
          <w:sz w:val="24"/>
        </w:rPr>
        <w:t>.</w:t>
      </w:r>
      <w:r w:rsidR="00576D42" w:rsidRPr="00FB72F4">
        <w:rPr>
          <w:rFonts w:ascii="Times New Roman" w:hAnsi="Times New Roman"/>
          <w:i/>
          <w:noProof/>
          <w:sz w:val="24"/>
        </w:rPr>
        <w:tab/>
      </w:r>
      <w:r w:rsidRPr="00FB72F4">
        <w:rPr>
          <w:rFonts w:ascii="Times New Roman" w:hAnsi="Times New Roman"/>
          <w:i/>
          <w:noProof/>
          <w:sz w:val="24"/>
        </w:rPr>
        <w:t xml:space="preserve">Objectives 5-6: Preparing the Turkish Cypriot community to introduce and implement the </w:t>
      </w:r>
      <w:r w:rsidR="00924858" w:rsidRPr="00FB72F4">
        <w:rPr>
          <w:rFonts w:ascii="Times New Roman" w:hAnsi="Times New Roman"/>
          <w:i/>
          <w:noProof/>
          <w:sz w:val="24"/>
        </w:rPr>
        <w:t>acquis</w:t>
      </w:r>
    </w:p>
    <w:p w14:paraId="362FFA79" w14:textId="471049C3" w:rsidR="006C615B" w:rsidRPr="00FB72F4" w:rsidRDefault="00F42B39" w:rsidP="00F60926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</w:t>
      </w:r>
      <w:r w:rsidR="008E2B65" w:rsidRPr="00FB72F4">
        <w:rPr>
          <w:rFonts w:ascii="Times New Roman,Calibri" w:hAnsi="Times New Roman,Calibri"/>
          <w:noProof/>
          <w:sz w:val="24"/>
        </w:rPr>
        <w:t>TAIEX</w:t>
      </w:r>
      <w:r w:rsidRPr="00FB72F4">
        <w:rPr>
          <w:rFonts w:ascii="Times New Roman,Calibri" w:hAnsi="Times New Roman,Calibri"/>
          <w:noProof/>
          <w:sz w:val="24"/>
        </w:rPr>
        <w:t xml:space="preserve"> instrument is used to implement objectives 5 and 6 of the Aid Regulation</w:t>
      </w:r>
      <w:r w:rsidR="0039162D" w:rsidRPr="00FB72F4">
        <w:rPr>
          <w:rFonts w:ascii="Times New Roman,Calibri" w:hAnsi="Times New Roman,Calibri"/>
          <w:noProof/>
          <w:sz w:val="24"/>
        </w:rPr>
        <w:t>.</w:t>
      </w:r>
      <w:r w:rsidRPr="00FB72F4">
        <w:rPr>
          <w:rFonts w:ascii="Times New Roman,Calibri" w:hAnsi="Times New Roman,Calibri"/>
          <w:noProof/>
          <w:sz w:val="24"/>
        </w:rPr>
        <w:t xml:space="preserve"> </w:t>
      </w:r>
      <w:r w:rsidR="0039162D" w:rsidRPr="00FB72F4">
        <w:rPr>
          <w:rFonts w:ascii="Times New Roman,Calibri" w:hAnsi="Times New Roman,Calibri"/>
          <w:noProof/>
          <w:sz w:val="24"/>
        </w:rPr>
        <w:t>It</w:t>
      </w:r>
      <w:r w:rsidRPr="00FB72F4">
        <w:rPr>
          <w:rFonts w:ascii="Times New Roman,Calibri" w:hAnsi="Times New Roman,Calibri"/>
          <w:noProof/>
          <w:sz w:val="24"/>
        </w:rPr>
        <w:t xml:space="preserve"> helps prepare the </w:t>
      </w:r>
      <w:r w:rsidR="00CC536D" w:rsidRPr="00FB72F4">
        <w:rPr>
          <w:rFonts w:ascii="Times New Roman,Calibri" w:hAnsi="Times New Roman,Calibri"/>
          <w:noProof/>
          <w:sz w:val="24"/>
        </w:rPr>
        <w:t xml:space="preserve">Turkish Cypriot community </w:t>
      </w:r>
      <w:r w:rsidRPr="00FB72F4">
        <w:rPr>
          <w:rFonts w:ascii="Times New Roman,Calibri" w:hAnsi="Times New Roman,Calibri"/>
          <w:noProof/>
          <w:sz w:val="24"/>
        </w:rPr>
        <w:t>for implement</w:t>
      </w:r>
      <w:r w:rsidR="0039162D" w:rsidRPr="00FB72F4">
        <w:rPr>
          <w:rFonts w:ascii="Times New Roman,Calibri" w:hAnsi="Times New Roman,Calibri"/>
          <w:noProof/>
          <w:sz w:val="24"/>
        </w:rPr>
        <w:t>ing</w:t>
      </w:r>
      <w:r w:rsidRPr="00FB72F4">
        <w:rPr>
          <w:rFonts w:ascii="Times New Roman,Calibri" w:hAnsi="Times New Roman,Calibri"/>
          <w:noProof/>
          <w:sz w:val="24"/>
        </w:rPr>
        <w:t xml:space="preserve"> the </w:t>
      </w:r>
      <w:r w:rsidR="00924858" w:rsidRPr="00FB72F4">
        <w:rPr>
          <w:rFonts w:ascii="Times New Roman,Calibri" w:hAnsi="Times New Roman,Calibri"/>
          <w:i/>
          <w:noProof/>
          <w:sz w:val="24"/>
        </w:rPr>
        <w:t>acquis</w:t>
      </w:r>
      <w:r w:rsidRPr="00FB72F4">
        <w:rPr>
          <w:rFonts w:ascii="Times New Roman,Calibri" w:hAnsi="Times New Roman,Calibri"/>
          <w:noProof/>
          <w:sz w:val="24"/>
        </w:rPr>
        <w:t xml:space="preserve"> in view of the withdrawal of </w:t>
      </w:r>
      <w:r w:rsidR="008E4FD5" w:rsidRPr="00FB72F4">
        <w:rPr>
          <w:rFonts w:ascii="Times New Roman,Calibri" w:hAnsi="Times New Roman,Calibri"/>
          <w:noProof/>
          <w:sz w:val="24"/>
        </w:rPr>
        <w:t xml:space="preserve">the </w:t>
      </w:r>
      <w:r w:rsidRPr="00FB72F4">
        <w:rPr>
          <w:rFonts w:ascii="Times New Roman,Calibri" w:hAnsi="Times New Roman,Calibri"/>
          <w:noProof/>
          <w:sz w:val="24"/>
        </w:rPr>
        <w:t xml:space="preserve">suspension </w:t>
      </w:r>
      <w:r w:rsidR="008E4FD5" w:rsidRPr="00FB72F4">
        <w:rPr>
          <w:rFonts w:ascii="Times New Roman,Calibri" w:hAnsi="Times New Roman,Calibri"/>
          <w:noProof/>
          <w:sz w:val="24"/>
        </w:rPr>
        <w:t xml:space="preserve">of its application </w:t>
      </w:r>
      <w:r w:rsidRPr="00FB72F4">
        <w:rPr>
          <w:rFonts w:ascii="Times New Roman,Calibri" w:hAnsi="Times New Roman,Calibri"/>
          <w:noProof/>
          <w:sz w:val="24"/>
        </w:rPr>
        <w:t>upon the entry into force of a comprehensive settlement.</w:t>
      </w:r>
    </w:p>
    <w:p w14:paraId="69A8C7E0" w14:textId="58E7D94E" w:rsidR="006C615B" w:rsidRPr="00FB72F4" w:rsidRDefault="00E120E0" w:rsidP="00F60926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TAIEX </w:t>
      </w:r>
      <w:r w:rsidR="00671D64" w:rsidRPr="00FB72F4">
        <w:rPr>
          <w:rFonts w:ascii="Times New Roman,Calibri" w:hAnsi="Times New Roman,Calibri"/>
          <w:noProof/>
          <w:sz w:val="24"/>
        </w:rPr>
        <w:t xml:space="preserve">instrument </w:t>
      </w:r>
      <w:r w:rsidRPr="00FB72F4">
        <w:rPr>
          <w:rFonts w:ascii="Times New Roman,Calibri" w:hAnsi="Times New Roman,Calibri"/>
          <w:noProof/>
          <w:sz w:val="24"/>
        </w:rPr>
        <w:t>remains an important</w:t>
      </w:r>
      <w:r w:rsidR="001E24EC" w:rsidRPr="00FB72F4">
        <w:rPr>
          <w:rFonts w:ascii="Times New Roman,Calibri" w:hAnsi="Times New Roman,Calibri"/>
          <w:noProof/>
          <w:sz w:val="24"/>
        </w:rPr>
        <w:t xml:space="preserve"> tool</w:t>
      </w:r>
      <w:r w:rsidRPr="00FB72F4">
        <w:rPr>
          <w:rFonts w:ascii="Times New Roman,Calibri" w:hAnsi="Times New Roman,Calibri"/>
          <w:noProof/>
          <w:sz w:val="24"/>
        </w:rPr>
        <w:t xml:space="preserve"> </w:t>
      </w:r>
      <w:r w:rsidR="002F5BB7" w:rsidRPr="00FB72F4">
        <w:rPr>
          <w:rFonts w:ascii="Times New Roman,Calibri" w:hAnsi="Times New Roman,Calibri"/>
          <w:noProof/>
          <w:sz w:val="24"/>
        </w:rPr>
        <w:t>for achieving</w:t>
      </w:r>
      <w:r w:rsidRPr="00FB72F4">
        <w:rPr>
          <w:rFonts w:ascii="Times New Roman,Calibri" w:hAnsi="Times New Roman,Calibri"/>
          <w:noProof/>
          <w:sz w:val="24"/>
        </w:rPr>
        <w:t xml:space="preserve"> the </w:t>
      </w:r>
      <w:r w:rsidR="00955AC5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aid programme’s</w:t>
      </w:r>
      <w:r w:rsidR="00955AC5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object</w:t>
      </w:r>
      <w:r w:rsidR="00BF5ED4" w:rsidRPr="00FB72F4">
        <w:rPr>
          <w:rFonts w:ascii="Times New Roman,Calibri" w:hAnsi="Times New Roman,Calibri"/>
          <w:noProof/>
          <w:sz w:val="24"/>
        </w:rPr>
        <w:t>i</w:t>
      </w:r>
      <w:r w:rsidRPr="00FB72F4">
        <w:rPr>
          <w:rFonts w:ascii="Times New Roman,Calibri" w:hAnsi="Times New Roman,Calibri"/>
          <w:noProof/>
          <w:sz w:val="24"/>
        </w:rPr>
        <w:t>ves</w:t>
      </w:r>
      <w:r w:rsidR="009C3B72" w:rsidRPr="00FB72F4">
        <w:rPr>
          <w:rFonts w:ascii="Times New Roman,Calibri" w:hAnsi="Times New Roman,Calibri"/>
          <w:noProof/>
          <w:sz w:val="24"/>
        </w:rPr>
        <w:t xml:space="preserve"> and to support </w:t>
      </w:r>
      <w:r w:rsidR="006F673E" w:rsidRPr="00FB72F4">
        <w:rPr>
          <w:rFonts w:ascii="Times New Roman,Calibri" w:hAnsi="Times New Roman,Calibri"/>
          <w:noProof/>
          <w:sz w:val="24"/>
        </w:rPr>
        <w:t>trade across the Green Line. T</w:t>
      </w:r>
      <w:r w:rsidR="009C3B72" w:rsidRPr="00FB72F4">
        <w:rPr>
          <w:rFonts w:ascii="Times New Roman,Calibri" w:hAnsi="Times New Roman,Calibri"/>
          <w:noProof/>
          <w:sz w:val="24"/>
        </w:rPr>
        <w:t xml:space="preserve">AIEX </w:t>
      </w:r>
      <w:r w:rsidR="00806AD0" w:rsidRPr="00FB72F4">
        <w:rPr>
          <w:rFonts w:ascii="Times New Roman,Calibri" w:hAnsi="Times New Roman,Calibri"/>
          <w:noProof/>
          <w:sz w:val="24"/>
        </w:rPr>
        <w:t xml:space="preserve">activities </w:t>
      </w:r>
      <w:r w:rsidR="009C3B72" w:rsidRPr="00FB72F4">
        <w:rPr>
          <w:rFonts w:ascii="Times New Roman,Calibri" w:hAnsi="Times New Roman,Calibri"/>
          <w:noProof/>
          <w:sz w:val="24"/>
        </w:rPr>
        <w:t xml:space="preserve">were carried 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in 13 sectors of the EU </w:t>
      </w:r>
      <w:r w:rsidR="006F673E" w:rsidRPr="00FB72F4">
        <w:rPr>
          <w:rFonts w:ascii="Times New Roman,Calibri" w:hAnsi="Times New Roman,Calibri"/>
          <w:i/>
          <w:noProof/>
          <w:sz w:val="24"/>
        </w:rPr>
        <w:t>acquis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, </w:t>
      </w:r>
      <w:r w:rsidR="000D76DD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to bring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 the </w:t>
      </w:r>
      <w:r w:rsidR="007001B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Turkish Cypriot community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 closer to </w:t>
      </w:r>
      <w:r w:rsidR="00540A26">
        <w:rPr>
          <w:rFonts w:ascii="Times New Roman,Calibri" w:hAnsi="Times New Roman,Calibri"/>
          <w:noProof/>
          <w:sz w:val="24"/>
        </w:rPr>
        <w:t>EU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 standards and procedures. In total 110 expert missions were organised and one workshop. In addition, efforts </w:t>
      </w:r>
      <w:r w:rsidR="00327C8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to build up</w:t>
      </w:r>
      <w:r w:rsidR="00327C89" w:rsidRPr="00FB72F4">
        <w:rPr>
          <w:rFonts w:ascii="Times New Roman,Calibri" w:hAnsi="Times New Roman,Calibri"/>
          <w:noProof/>
          <w:sz w:val="24"/>
        </w:rPr>
        <w:t xml:space="preserve"> </w:t>
      </w:r>
      <w:r w:rsidR="006F673E" w:rsidRPr="00FB72F4">
        <w:rPr>
          <w:rFonts w:ascii="Times New Roman,Calibri" w:hAnsi="Times New Roman,Calibri"/>
          <w:noProof/>
          <w:sz w:val="24"/>
        </w:rPr>
        <w:t xml:space="preserve">a database of all legal texts drafted with TAIEX support and </w:t>
      </w:r>
      <w:r w:rsidR="00327C8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to </w:t>
      </w:r>
      <w:r w:rsidR="006F673E" w:rsidRPr="00FB72F4">
        <w:rPr>
          <w:rFonts w:ascii="Times New Roman,Calibri" w:hAnsi="Times New Roman,Calibri"/>
          <w:noProof/>
          <w:sz w:val="24"/>
        </w:rPr>
        <w:t>ensure a high quality of translation and interpretation in the Turkish Cypriot community</w:t>
      </w:r>
      <w:r w:rsidR="00327C8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continued</w:t>
      </w:r>
      <w:r w:rsidR="006F673E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.</w:t>
      </w:r>
    </w:p>
    <w:p w14:paraId="73DD2E56" w14:textId="7170BF78" w:rsidR="00671D64" w:rsidRPr="00FB72F4" w:rsidRDefault="009C3B72" w:rsidP="00F60926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b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>S</w:t>
      </w:r>
      <w:r w:rsidR="00C47888" w:rsidRPr="00FB72F4">
        <w:rPr>
          <w:rFonts w:ascii="Times New Roman,Calibri" w:hAnsi="Times New Roman,Calibri"/>
          <w:noProof/>
          <w:sz w:val="24"/>
        </w:rPr>
        <w:t>upport for trade across the Green Line (</w:t>
      </w:r>
      <w:r w:rsidR="00DB4BA8" w:rsidRPr="00FB72F4">
        <w:rPr>
          <w:rFonts w:ascii="Times New Roman,Calibri" w:hAnsi="Times New Roman,Calibri"/>
          <w:noProof/>
          <w:sz w:val="24"/>
        </w:rPr>
        <w:t xml:space="preserve">Council </w:t>
      </w:r>
      <w:r w:rsidR="00C47888" w:rsidRPr="00FB72F4">
        <w:rPr>
          <w:rFonts w:ascii="Times New Roman,Calibri" w:hAnsi="Times New Roman,Calibri"/>
          <w:noProof/>
          <w:sz w:val="24"/>
        </w:rPr>
        <w:t xml:space="preserve">Regulation </w:t>
      </w:r>
      <w:r w:rsidR="00DB4BA8" w:rsidRPr="00FB72F4">
        <w:rPr>
          <w:rFonts w:ascii="Times New Roman,Calibri" w:hAnsi="Times New Roman,Calibri"/>
          <w:noProof/>
          <w:sz w:val="24"/>
        </w:rPr>
        <w:t>(EC) No</w:t>
      </w:r>
      <w:r w:rsid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 </w:t>
      </w:r>
      <w:r w:rsidR="00C47888" w:rsidRPr="00FB72F4">
        <w:rPr>
          <w:rFonts w:ascii="Times New Roman,Calibri" w:hAnsi="Times New Roman,Calibri"/>
          <w:noProof/>
          <w:sz w:val="24"/>
        </w:rPr>
        <w:t xml:space="preserve">866/2004) </w:t>
      </w:r>
      <w:r w:rsidR="00CE115C" w:rsidRPr="00FB72F4">
        <w:rPr>
          <w:rFonts w:ascii="Times New Roman,Calibri" w:hAnsi="Times New Roman,Calibri"/>
          <w:noProof/>
          <w:sz w:val="24"/>
        </w:rPr>
        <w:t>remained</w:t>
      </w:r>
      <w:r w:rsidRPr="00FB72F4">
        <w:rPr>
          <w:rFonts w:ascii="Times New Roman,Calibri" w:hAnsi="Times New Roman,Calibri"/>
          <w:noProof/>
          <w:sz w:val="24"/>
        </w:rPr>
        <w:t xml:space="preserve"> the </w:t>
      </w:r>
      <w:r w:rsidR="00CE115C" w:rsidRPr="00FB72F4">
        <w:rPr>
          <w:rFonts w:ascii="Times New Roman,Calibri" w:hAnsi="Times New Roman,Calibri"/>
          <w:noProof/>
          <w:sz w:val="24"/>
        </w:rPr>
        <w:t xml:space="preserve">most active and resource-intensive area </w:t>
      </w:r>
      <w:r w:rsidRPr="00FB72F4">
        <w:rPr>
          <w:rFonts w:ascii="Times New Roman,Calibri" w:hAnsi="Times New Roman,Calibri"/>
          <w:noProof/>
          <w:sz w:val="24"/>
        </w:rPr>
        <w:t xml:space="preserve">of TAIEX </w:t>
      </w:r>
      <w:r w:rsidR="00CE115C" w:rsidRPr="00FB72F4">
        <w:rPr>
          <w:rFonts w:ascii="Times New Roman,Calibri" w:hAnsi="Times New Roman,Calibri"/>
          <w:noProof/>
          <w:sz w:val="24"/>
        </w:rPr>
        <w:t>activities</w:t>
      </w:r>
      <w:r w:rsidR="00C47888" w:rsidRPr="00FB72F4">
        <w:rPr>
          <w:rFonts w:ascii="Times New Roman,Calibri" w:hAnsi="Times New Roman,Calibri"/>
          <w:noProof/>
          <w:sz w:val="24"/>
        </w:rPr>
        <w:t xml:space="preserve">. </w:t>
      </w:r>
      <w:r w:rsidR="005C30F8" w:rsidRPr="00FB72F4">
        <w:rPr>
          <w:rFonts w:ascii="Times New Roman,Calibri" w:hAnsi="Times New Roman,Calibri"/>
          <w:noProof/>
          <w:sz w:val="24"/>
        </w:rPr>
        <w:t xml:space="preserve">Commission-mandated </w:t>
      </w:r>
      <w:r w:rsidR="00C47888" w:rsidRPr="00FB72F4">
        <w:rPr>
          <w:rFonts w:ascii="Times New Roman,Calibri" w:hAnsi="Times New Roman,Calibri"/>
          <w:noProof/>
          <w:sz w:val="24"/>
        </w:rPr>
        <w:t xml:space="preserve">independent experts </w:t>
      </w:r>
      <w:r w:rsidR="00C37893" w:rsidRPr="00FB72F4">
        <w:rPr>
          <w:rFonts w:ascii="Times New Roman,Calibri" w:hAnsi="Times New Roman,Calibri"/>
          <w:noProof/>
          <w:sz w:val="24"/>
        </w:rPr>
        <w:t>carried out</w:t>
      </w:r>
      <w:r w:rsidR="00924858" w:rsidRPr="00FB72F4">
        <w:rPr>
          <w:rFonts w:ascii="Times New Roman,Calibri" w:hAnsi="Times New Roman,Calibri"/>
          <w:noProof/>
          <w:sz w:val="24"/>
        </w:rPr>
        <w:t xml:space="preserve"> </w:t>
      </w:r>
      <w:r w:rsidR="00F007B0" w:rsidRPr="00FB72F4">
        <w:rPr>
          <w:rFonts w:ascii="Times New Roman,Calibri" w:hAnsi="Times New Roman,Calibri"/>
          <w:noProof/>
          <w:sz w:val="24"/>
        </w:rPr>
        <w:t xml:space="preserve">regular </w:t>
      </w:r>
      <w:r w:rsidR="00CE115C" w:rsidRPr="00FB72F4">
        <w:rPr>
          <w:rFonts w:ascii="Times New Roman,Calibri" w:hAnsi="Times New Roman,Calibri"/>
          <w:noProof/>
          <w:sz w:val="24"/>
        </w:rPr>
        <w:t xml:space="preserve">phytosanitary </w:t>
      </w:r>
      <w:r w:rsidR="00F007B0" w:rsidRPr="00FB72F4">
        <w:rPr>
          <w:rFonts w:ascii="Times New Roman,Calibri" w:hAnsi="Times New Roman,Calibri"/>
          <w:noProof/>
          <w:sz w:val="24"/>
        </w:rPr>
        <w:t xml:space="preserve">inspections of </w:t>
      </w:r>
      <w:r w:rsidR="007934A3" w:rsidRPr="00FB72F4">
        <w:rPr>
          <w:rFonts w:ascii="Times New Roman,Calibri" w:hAnsi="Times New Roman,Calibri"/>
          <w:noProof/>
          <w:sz w:val="24"/>
        </w:rPr>
        <w:t xml:space="preserve">fresh fruit and vegetables, </w:t>
      </w:r>
      <w:r w:rsidR="00CE115C" w:rsidRPr="00FB72F4">
        <w:rPr>
          <w:rFonts w:ascii="Times New Roman,Calibri" w:hAnsi="Times New Roman,Calibri"/>
          <w:noProof/>
          <w:sz w:val="24"/>
        </w:rPr>
        <w:t xml:space="preserve">plant products, </w:t>
      </w:r>
      <w:r w:rsidR="007934A3" w:rsidRPr="00FB72F4">
        <w:rPr>
          <w:rFonts w:ascii="Times New Roman,Calibri" w:hAnsi="Times New Roman,Calibri"/>
          <w:noProof/>
          <w:sz w:val="24"/>
        </w:rPr>
        <w:t>potatoes, honey and fish</w:t>
      </w:r>
      <w:r w:rsidR="00CE115C" w:rsidRPr="00FB72F4">
        <w:rPr>
          <w:rFonts w:ascii="Times New Roman,Calibri" w:hAnsi="Times New Roman,Calibri"/>
          <w:noProof/>
          <w:sz w:val="24"/>
        </w:rPr>
        <w:t>ing vessels to ensure that EU standards for traded food products were met</w:t>
      </w:r>
      <w:r w:rsidR="007934A3" w:rsidRPr="00FB72F4">
        <w:rPr>
          <w:rFonts w:ascii="Times New Roman,Calibri" w:hAnsi="Times New Roman,Calibri"/>
          <w:noProof/>
          <w:sz w:val="24"/>
        </w:rPr>
        <w:t xml:space="preserve">. </w:t>
      </w:r>
      <w:r w:rsidR="00F67CB6" w:rsidRPr="00FB72F4">
        <w:rPr>
          <w:rFonts w:ascii="Times New Roman,Calibri" w:hAnsi="Times New Roman,Calibri"/>
          <w:noProof/>
          <w:sz w:val="24"/>
        </w:rPr>
        <w:t xml:space="preserve">In April 2024, the Ministry of Health </w:t>
      </w:r>
      <w:r w:rsidR="00CE115C" w:rsidRPr="00FB72F4">
        <w:rPr>
          <w:rFonts w:ascii="Times New Roman,Calibri" w:hAnsi="Times New Roman,Calibri"/>
          <w:noProof/>
          <w:sz w:val="24"/>
        </w:rPr>
        <w:t xml:space="preserve">of the Republic of Cyprus </w:t>
      </w:r>
      <w:r w:rsidR="00F67CB6" w:rsidRPr="00FB72F4">
        <w:rPr>
          <w:rFonts w:ascii="Times New Roman,Calibri" w:hAnsi="Times New Roman,Calibri"/>
          <w:noProof/>
          <w:sz w:val="24"/>
        </w:rPr>
        <w:t xml:space="preserve">issued a circular permitting trade across the Green Line in six further categories of processed food, namely coffee, lemonade, frozen vegetables, frozen potatoes, foods pickled in vinegar and dried jute leaves. </w:t>
      </w:r>
      <w:r w:rsidR="00BD35B0" w:rsidRPr="00FB72F4">
        <w:rPr>
          <w:rFonts w:ascii="Times New Roman,Calibri" w:hAnsi="Times New Roman,Calibri"/>
          <w:noProof/>
          <w:sz w:val="24"/>
        </w:rPr>
        <w:t xml:space="preserve">TAIEX experts </w:t>
      </w:r>
      <w:r w:rsidR="00880DD2" w:rsidRPr="00FB72F4">
        <w:rPr>
          <w:rFonts w:ascii="Times New Roman,Calibri" w:hAnsi="Times New Roman,Calibri"/>
          <w:noProof/>
          <w:sz w:val="24"/>
        </w:rPr>
        <w:t>ensured</w:t>
      </w:r>
      <w:r w:rsidR="00BD35B0" w:rsidRPr="00FB72F4">
        <w:rPr>
          <w:rFonts w:ascii="Times New Roman,Calibri" w:hAnsi="Times New Roman,Calibri"/>
          <w:noProof/>
          <w:sz w:val="24"/>
        </w:rPr>
        <w:t xml:space="preserve"> EU-level standards and quality through</w:t>
      </w:r>
      <w:r w:rsidR="007934A3" w:rsidRPr="00FB72F4">
        <w:rPr>
          <w:rFonts w:ascii="Times New Roman,Calibri" w:hAnsi="Times New Roman,Calibri"/>
          <w:noProof/>
          <w:sz w:val="24"/>
        </w:rPr>
        <w:t xml:space="preserve"> </w:t>
      </w:r>
      <w:r w:rsidR="00BD35B0" w:rsidRPr="00FB72F4">
        <w:rPr>
          <w:rFonts w:ascii="Times New Roman,Calibri" w:hAnsi="Times New Roman,Calibri"/>
          <w:noProof/>
          <w:sz w:val="24"/>
        </w:rPr>
        <w:t>compliance</w:t>
      </w:r>
      <w:r w:rsidR="007934A3" w:rsidRPr="00FB72F4">
        <w:rPr>
          <w:rFonts w:ascii="Times New Roman,Calibri" w:hAnsi="Times New Roman,Calibri"/>
          <w:noProof/>
          <w:sz w:val="24"/>
        </w:rPr>
        <w:t xml:space="preserve"> checks of </w:t>
      </w:r>
      <w:r w:rsidR="00BD35B0" w:rsidRPr="00FB72F4">
        <w:rPr>
          <w:rFonts w:ascii="Times New Roman,Calibri" w:hAnsi="Times New Roman,Calibri"/>
          <w:noProof/>
          <w:sz w:val="24"/>
        </w:rPr>
        <w:t xml:space="preserve">the </w:t>
      </w:r>
      <w:r w:rsidR="007934A3" w:rsidRPr="00FB72F4">
        <w:rPr>
          <w:rFonts w:ascii="Times New Roman,Calibri" w:hAnsi="Times New Roman,Calibri"/>
          <w:noProof/>
          <w:sz w:val="24"/>
        </w:rPr>
        <w:t>facilities</w:t>
      </w:r>
      <w:r w:rsidR="00A902C7" w:rsidRPr="00FB72F4">
        <w:rPr>
          <w:rFonts w:ascii="Times New Roman,Calibri" w:hAnsi="Times New Roman,Calibri"/>
          <w:noProof/>
          <w:sz w:val="24"/>
        </w:rPr>
        <w:t xml:space="preserve"> in the non</w:t>
      </w:r>
      <w:r w:rsidR="00EF1D3C" w:rsidRPr="00FB72F4">
        <w:rPr>
          <w:rFonts w:ascii="Times New Roman,Calibri" w:hAnsi="Times New Roman,Calibri"/>
          <w:noProof/>
          <w:sz w:val="24"/>
        </w:rPr>
        <w:t>-</w:t>
      </w:r>
      <w:r w:rsidR="005329CE" w:rsidRPr="00FB72F4">
        <w:rPr>
          <w:rFonts w:ascii="Times New Roman,Calibri" w:hAnsi="Times New Roman,Calibri"/>
          <w:noProof/>
          <w:sz w:val="24"/>
        </w:rPr>
        <w:t>government-controlled</w:t>
      </w:r>
      <w:r w:rsidR="00A902C7" w:rsidRPr="00FB72F4">
        <w:rPr>
          <w:rFonts w:ascii="Times New Roman,Calibri" w:hAnsi="Times New Roman,Calibri"/>
          <w:noProof/>
          <w:sz w:val="24"/>
        </w:rPr>
        <w:t xml:space="preserve"> areas</w:t>
      </w:r>
      <w:r w:rsidR="007934A3" w:rsidRPr="00FB72F4">
        <w:rPr>
          <w:rFonts w:ascii="Times New Roman,Calibri" w:hAnsi="Times New Roman,Calibri"/>
          <w:noProof/>
          <w:sz w:val="24"/>
        </w:rPr>
        <w:t>.</w:t>
      </w:r>
    </w:p>
    <w:p w14:paraId="71D7E090" w14:textId="03F760AC" w:rsidR="006C615B" w:rsidRPr="00FB72F4" w:rsidRDefault="00F42B39">
      <w:pPr>
        <w:numPr>
          <w:ilvl w:val="1"/>
          <w:numId w:val="3"/>
        </w:numPr>
        <w:spacing w:before="120" w:after="120" w:line="240" w:lineRule="auto"/>
        <w:ind w:left="851"/>
        <w:jc w:val="both"/>
        <w:outlineLvl w:val="1"/>
        <w:rPr>
          <w:rFonts w:ascii="Times New Roman" w:hAnsi="Times New Roman"/>
          <w:b/>
          <w:noProof/>
          <w:sz w:val="24"/>
        </w:rPr>
      </w:pPr>
      <w:r w:rsidRPr="00FB72F4">
        <w:rPr>
          <w:rFonts w:ascii="Times New Roman" w:hAnsi="Times New Roman"/>
          <w:b/>
          <w:noProof/>
          <w:sz w:val="24"/>
        </w:rPr>
        <w:t>Financial execution (contracts and payments)</w:t>
      </w:r>
    </w:p>
    <w:p w14:paraId="01CEF02C" w14:textId="77777777" w:rsidR="006C615B" w:rsidRPr="00FB72F4" w:rsidRDefault="00F42B39">
      <w:pPr>
        <w:numPr>
          <w:ilvl w:val="2"/>
          <w:numId w:val="3"/>
        </w:numPr>
        <w:spacing w:before="120" w:after="120" w:line="240" w:lineRule="auto"/>
        <w:ind w:left="851"/>
        <w:jc w:val="both"/>
        <w:outlineLvl w:val="2"/>
        <w:rPr>
          <w:rFonts w:ascii="Times New Roman" w:hAnsi="Times New Roman"/>
          <w:i/>
          <w:noProof/>
          <w:sz w:val="24"/>
        </w:rPr>
      </w:pPr>
      <w:r w:rsidRPr="00FB72F4">
        <w:rPr>
          <w:rFonts w:ascii="Times New Roman" w:hAnsi="Times New Roman"/>
          <w:i/>
          <w:noProof/>
          <w:sz w:val="24"/>
        </w:rPr>
        <w:t>Contracting</w:t>
      </w:r>
    </w:p>
    <w:p w14:paraId="363118A2" w14:textId="1AB358C2" w:rsidR="005E0BD9" w:rsidRPr="00FB72F4" w:rsidRDefault="00D0116B" w:rsidP="005E0BD9">
      <w:pPr>
        <w:spacing w:before="120" w:after="12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>
        <w:rPr>
          <w:rFonts w:ascii="Times New Roman,Calibri" w:hAnsi="Times New Roman,Calibri"/>
          <w:noProof/>
          <w:sz w:val="24"/>
        </w:rPr>
        <w:t>In 2024, t</w:t>
      </w:r>
      <w:r w:rsidR="00F42B39" w:rsidRPr="00FB72F4">
        <w:rPr>
          <w:rFonts w:ascii="Times New Roman,Calibri" w:hAnsi="Times New Roman,Calibri"/>
          <w:noProof/>
          <w:sz w:val="24"/>
        </w:rPr>
        <w:t>he Commission signed legal commitments amounting to EUR</w:t>
      </w:r>
      <w:r w:rsidR="00924858" w:rsidRPr="00FB72F4">
        <w:rPr>
          <w:rFonts w:ascii="Times New Roman,Calibri" w:hAnsi="Times New Roman,Calibri" w:hint="eastAsia"/>
          <w:noProof/>
          <w:sz w:val="24"/>
        </w:rPr>
        <w:t> </w:t>
      </w:r>
      <w:r w:rsidR="007D1659" w:rsidRPr="00FB72F4">
        <w:rPr>
          <w:rFonts w:ascii="Times New Roman,Calibri" w:hAnsi="Times New Roman,Calibri"/>
          <w:noProof/>
          <w:sz w:val="24"/>
        </w:rPr>
        <w:t>37.</w:t>
      </w:r>
      <w:r w:rsidR="003E3318" w:rsidRPr="00FB72F4">
        <w:rPr>
          <w:rFonts w:ascii="Times New Roman,Calibri" w:hAnsi="Times New Roman,Calibri"/>
          <w:noProof/>
          <w:sz w:val="24"/>
        </w:rPr>
        <w:t>5</w:t>
      </w:r>
      <w:r w:rsidR="001F4BE7" w:rsidRPr="00FB72F4">
        <w:rPr>
          <w:rFonts w:ascii="Times New Roman,Calibri" w:hAnsi="Times New Roman,Calibri"/>
          <w:noProof/>
          <w:sz w:val="24"/>
        </w:rPr>
        <w:t xml:space="preserve"> </w:t>
      </w:r>
      <w:r w:rsidR="00F42B39" w:rsidRPr="00FB72F4">
        <w:rPr>
          <w:rFonts w:ascii="Times New Roman,Calibri" w:hAnsi="Times New Roman,Calibri"/>
          <w:noProof/>
          <w:sz w:val="24"/>
        </w:rPr>
        <w:t>million</w:t>
      </w:r>
      <w:r w:rsidR="005C30F8" w:rsidRPr="00FB72F4">
        <w:rPr>
          <w:rFonts w:ascii="Times New Roman,Calibri" w:hAnsi="Times New Roman,Calibri"/>
          <w:noProof/>
          <w:sz w:val="24"/>
        </w:rPr>
        <w:t>.</w:t>
      </w:r>
    </w:p>
    <w:p w14:paraId="1262DEBB" w14:textId="77777777" w:rsidR="006C615B" w:rsidRPr="00FB72F4" w:rsidRDefault="00F42B39">
      <w:pPr>
        <w:numPr>
          <w:ilvl w:val="2"/>
          <w:numId w:val="3"/>
        </w:numPr>
        <w:spacing w:before="120" w:after="120" w:line="240" w:lineRule="auto"/>
        <w:ind w:left="851"/>
        <w:jc w:val="both"/>
        <w:outlineLvl w:val="2"/>
        <w:rPr>
          <w:rFonts w:ascii="Times New Roman" w:hAnsi="Times New Roman"/>
          <w:i/>
          <w:noProof/>
          <w:sz w:val="24"/>
        </w:rPr>
      </w:pPr>
      <w:r w:rsidRPr="00FB72F4">
        <w:rPr>
          <w:rFonts w:ascii="Times New Roman" w:hAnsi="Times New Roman"/>
          <w:i/>
          <w:noProof/>
          <w:sz w:val="24"/>
        </w:rPr>
        <w:t>Payments</w:t>
      </w:r>
    </w:p>
    <w:p w14:paraId="72881E95" w14:textId="28F4D84C" w:rsidR="00F47E74" w:rsidRPr="00FB72F4" w:rsidRDefault="00F42B39" w:rsidP="00051F7E">
      <w:pPr>
        <w:spacing w:before="120" w:after="12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Payments in </w:t>
      </w:r>
      <w:r w:rsidR="001F4BE7" w:rsidRPr="00FB72F4">
        <w:rPr>
          <w:rFonts w:ascii="Times New Roman,Calibri" w:hAnsi="Times New Roman,Calibri"/>
          <w:noProof/>
          <w:sz w:val="24"/>
        </w:rPr>
        <w:t>202</w:t>
      </w:r>
      <w:r w:rsidR="00DB480A" w:rsidRPr="00FB72F4">
        <w:rPr>
          <w:rFonts w:ascii="Times New Roman,Calibri" w:hAnsi="Times New Roman,Calibri"/>
          <w:noProof/>
          <w:sz w:val="24"/>
        </w:rPr>
        <w:t>4</w:t>
      </w:r>
      <w:r w:rsidR="003D265A" w:rsidRPr="00FB72F4">
        <w:rPr>
          <w:rFonts w:ascii="Times New Roman,Calibri" w:hAnsi="Times New Roman,Calibri"/>
          <w:noProof/>
          <w:sz w:val="24"/>
        </w:rPr>
        <w:t xml:space="preserve"> </w:t>
      </w:r>
      <w:r w:rsidR="005C30F8" w:rsidRPr="00FB72F4">
        <w:rPr>
          <w:rFonts w:ascii="Times New Roman,Calibri" w:hAnsi="Times New Roman,Calibri"/>
          <w:noProof/>
          <w:sz w:val="24"/>
        </w:rPr>
        <w:t xml:space="preserve">totalled </w:t>
      </w:r>
      <w:r w:rsidRPr="00FB72F4">
        <w:rPr>
          <w:rFonts w:ascii="Times New Roman,Calibri" w:hAnsi="Times New Roman,Calibri"/>
          <w:noProof/>
          <w:sz w:val="24"/>
        </w:rPr>
        <w:t>EUR</w:t>
      </w:r>
      <w:r w:rsidR="00924858" w:rsidRPr="00FB72F4">
        <w:rPr>
          <w:rFonts w:ascii="Times New Roman,Calibri" w:hAnsi="Times New Roman,Calibri" w:hint="eastAsia"/>
          <w:noProof/>
          <w:sz w:val="24"/>
        </w:rPr>
        <w:t> </w:t>
      </w:r>
      <w:r w:rsidR="00882F2D" w:rsidRPr="00FB72F4">
        <w:rPr>
          <w:rFonts w:ascii="Times New Roman,Calibri" w:hAnsi="Times New Roman,Calibri"/>
          <w:noProof/>
          <w:sz w:val="24"/>
        </w:rPr>
        <w:t>40.4</w:t>
      </w:r>
      <w:r w:rsidR="001F4BE7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million (EUR</w:t>
      </w:r>
      <w:r w:rsidR="00924858" w:rsidRPr="00FB72F4">
        <w:rPr>
          <w:rFonts w:ascii="Times New Roman,Calibri" w:hAnsi="Times New Roman,Calibri" w:hint="eastAsia"/>
          <w:noProof/>
          <w:sz w:val="24"/>
        </w:rPr>
        <w:t> </w:t>
      </w:r>
      <w:r w:rsidR="00DB480A" w:rsidRPr="00FB72F4">
        <w:rPr>
          <w:rFonts w:ascii="Times New Roman,Calibri" w:hAnsi="Times New Roman,Calibri"/>
          <w:noProof/>
          <w:sz w:val="24"/>
        </w:rPr>
        <w:t>37</w:t>
      </w:r>
      <w:r w:rsidR="00AD13AA" w:rsidRPr="00FB72F4">
        <w:rPr>
          <w:rFonts w:ascii="Times New Roman,Calibri" w:hAnsi="Times New Roman,Calibri"/>
          <w:noProof/>
          <w:sz w:val="24"/>
        </w:rPr>
        <w:t>.</w:t>
      </w:r>
      <w:r w:rsidR="00DB480A" w:rsidRPr="00FB72F4">
        <w:rPr>
          <w:rFonts w:ascii="Times New Roman,Calibri" w:hAnsi="Times New Roman,Calibri"/>
          <w:noProof/>
          <w:sz w:val="24"/>
        </w:rPr>
        <w:t>3</w:t>
      </w:r>
      <w:r w:rsidR="001F4BE7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 xml:space="preserve">million in </w:t>
      </w:r>
      <w:r w:rsidR="001F4BE7" w:rsidRPr="00FB72F4">
        <w:rPr>
          <w:rFonts w:ascii="Times New Roman,Calibri" w:hAnsi="Times New Roman,Calibri"/>
          <w:noProof/>
          <w:sz w:val="24"/>
        </w:rPr>
        <w:t>202</w:t>
      </w:r>
      <w:r w:rsidR="00DB480A" w:rsidRPr="00FB72F4">
        <w:rPr>
          <w:rFonts w:ascii="Times New Roman,Calibri" w:hAnsi="Times New Roman,Calibri"/>
          <w:noProof/>
          <w:sz w:val="24"/>
        </w:rPr>
        <w:t>3</w:t>
      </w:r>
      <w:r w:rsidRPr="00FB72F4">
        <w:rPr>
          <w:rFonts w:ascii="Times New Roman,Calibri" w:hAnsi="Times New Roman,Calibri"/>
          <w:noProof/>
          <w:sz w:val="24"/>
        </w:rPr>
        <w:t>).</w:t>
      </w:r>
    </w:p>
    <w:p w14:paraId="177BE76F" w14:textId="77777777" w:rsidR="006C615B" w:rsidRPr="00FB72F4" w:rsidRDefault="00F42B39">
      <w:pPr>
        <w:numPr>
          <w:ilvl w:val="1"/>
          <w:numId w:val="3"/>
        </w:numPr>
        <w:spacing w:before="120" w:after="120" w:line="240" w:lineRule="auto"/>
        <w:ind w:left="851"/>
        <w:jc w:val="both"/>
        <w:outlineLvl w:val="1"/>
        <w:rPr>
          <w:rFonts w:ascii="Times New Roman" w:hAnsi="Times New Roman"/>
          <w:b/>
          <w:noProof/>
          <w:sz w:val="24"/>
        </w:rPr>
      </w:pPr>
      <w:r w:rsidRPr="00FB72F4">
        <w:rPr>
          <w:rFonts w:ascii="Times New Roman" w:hAnsi="Times New Roman"/>
          <w:b/>
          <w:noProof/>
          <w:sz w:val="24"/>
        </w:rPr>
        <w:t>Monitoring</w:t>
      </w:r>
    </w:p>
    <w:p w14:paraId="076A587B" w14:textId="0D6E4C4B" w:rsidR="006C615B" w:rsidRPr="00FB72F4" w:rsidRDefault="00F42B39" w:rsidP="00F60926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Commission </w:t>
      </w:r>
      <w:r w:rsidR="005C30F8" w:rsidRPr="00FB72F4">
        <w:rPr>
          <w:rFonts w:ascii="Times New Roman,Calibri" w:hAnsi="Times New Roman,Calibri"/>
          <w:noProof/>
          <w:sz w:val="24"/>
        </w:rPr>
        <w:t xml:space="preserve">is </w:t>
      </w:r>
      <w:r w:rsidRPr="00FB72F4">
        <w:rPr>
          <w:rFonts w:ascii="Times New Roman,Calibri" w:hAnsi="Times New Roman,Calibri"/>
          <w:noProof/>
          <w:sz w:val="24"/>
        </w:rPr>
        <w:t>direct</w:t>
      </w:r>
      <w:r w:rsidR="005C30F8" w:rsidRPr="00FB72F4">
        <w:rPr>
          <w:rFonts w:ascii="Times New Roman,Calibri" w:hAnsi="Times New Roman,Calibri"/>
          <w:noProof/>
          <w:sz w:val="24"/>
        </w:rPr>
        <w:t>ly</w:t>
      </w:r>
      <w:r w:rsidRPr="00FB72F4">
        <w:rPr>
          <w:rFonts w:ascii="Times New Roman,Calibri" w:hAnsi="Times New Roman,Calibri"/>
          <w:noProof/>
          <w:sz w:val="24"/>
        </w:rPr>
        <w:t xml:space="preserve"> responsib</w:t>
      </w:r>
      <w:r w:rsidR="005C30F8" w:rsidRPr="00FB72F4">
        <w:rPr>
          <w:rFonts w:ascii="Times New Roman,Calibri" w:hAnsi="Times New Roman,Calibri"/>
          <w:noProof/>
          <w:sz w:val="24"/>
        </w:rPr>
        <w:t>le</w:t>
      </w:r>
      <w:r w:rsidRPr="00FB72F4">
        <w:rPr>
          <w:rFonts w:ascii="Times New Roman,Calibri" w:hAnsi="Times New Roman,Calibri"/>
          <w:noProof/>
          <w:sz w:val="24"/>
        </w:rPr>
        <w:t xml:space="preserve"> for </w:t>
      </w:r>
      <w:r w:rsidR="00924858" w:rsidRPr="00FB72F4">
        <w:rPr>
          <w:rFonts w:ascii="Times New Roman,Calibri" w:hAnsi="Times New Roman,Calibri"/>
          <w:noProof/>
          <w:sz w:val="24"/>
        </w:rPr>
        <w:t>implementing</w:t>
      </w:r>
      <w:r w:rsidRPr="00FB72F4">
        <w:rPr>
          <w:rFonts w:ascii="Times New Roman,Calibri" w:hAnsi="Times New Roman,Calibri"/>
          <w:noProof/>
          <w:sz w:val="24"/>
        </w:rPr>
        <w:t xml:space="preserve"> most projects (direct management). </w:t>
      </w:r>
      <w:r w:rsidR="00924858" w:rsidRPr="00FB72F4">
        <w:rPr>
          <w:rFonts w:ascii="Times New Roman,Calibri" w:hAnsi="Times New Roman,Calibri"/>
          <w:noProof/>
          <w:sz w:val="24"/>
        </w:rPr>
        <w:t>The level of monitoring by Commission staff is very high, with constant contacts with contractors, spot-check visits, site meetings and steering committee meetings</w:t>
      </w:r>
      <w:r w:rsidR="00DB480A" w:rsidRPr="00FB72F4">
        <w:rPr>
          <w:rFonts w:ascii="Times New Roman,Calibri" w:hAnsi="Times New Roman,Calibri"/>
          <w:noProof/>
          <w:sz w:val="24"/>
        </w:rPr>
        <w:t>, as well as increased cooperation with local coordinators of EU funding</w:t>
      </w:r>
      <w:r w:rsidR="00CE115C" w:rsidRPr="00FB72F4">
        <w:rPr>
          <w:rFonts w:ascii="Times New Roman,Calibri" w:hAnsi="Times New Roman,Calibri"/>
          <w:noProof/>
          <w:sz w:val="24"/>
        </w:rPr>
        <w:t xml:space="preserve">. </w:t>
      </w:r>
      <w:r w:rsidR="00924858" w:rsidRPr="00FB72F4">
        <w:rPr>
          <w:rFonts w:ascii="Times New Roman,Calibri" w:hAnsi="Times New Roman,Calibri"/>
          <w:noProof/>
          <w:sz w:val="24"/>
        </w:rPr>
        <w:t xml:space="preserve">The </w:t>
      </w:r>
      <w:r w:rsidR="00327C8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grant support team continued to provide </w:t>
      </w:r>
      <w:r w:rsidR="00924858" w:rsidRPr="00FB72F4">
        <w:rPr>
          <w:rFonts w:ascii="Times New Roman,Calibri" w:hAnsi="Times New Roman,Calibri"/>
          <w:noProof/>
          <w:sz w:val="24"/>
        </w:rPr>
        <w:t>technical assistance to support the Commission in monitoring the implementation of grant contracts, while also assisting grant beneficiaries in applying EU rules on implementing grant contracts, including secondary procurement rules.</w:t>
      </w:r>
    </w:p>
    <w:p w14:paraId="1904CEBD" w14:textId="5B7189B9" w:rsidR="00F47E74" w:rsidRPr="00FB72F4" w:rsidRDefault="00864521" w:rsidP="00F60926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>T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he Commission </w:t>
      </w:r>
      <w:r w:rsidRPr="00FB72F4">
        <w:rPr>
          <w:rFonts w:ascii="Times New Roman,Calibri" w:hAnsi="Times New Roman,Calibri"/>
          <w:noProof/>
          <w:sz w:val="24"/>
        </w:rPr>
        <w:t xml:space="preserve">also 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implements a number of contracts </w:t>
      </w:r>
      <w:r w:rsidRPr="00FB72F4">
        <w:rPr>
          <w:rFonts w:ascii="Times New Roman,Calibri" w:hAnsi="Times New Roman,Calibri"/>
          <w:noProof/>
          <w:sz w:val="24"/>
        </w:rPr>
        <w:t xml:space="preserve">through 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indirect management. The implementing </w:t>
      </w:r>
      <w:r w:rsidRPr="00FB72F4">
        <w:rPr>
          <w:rFonts w:ascii="Times New Roman,Calibri" w:hAnsi="Times New Roman,Calibri"/>
          <w:noProof/>
          <w:sz w:val="24"/>
        </w:rPr>
        <w:t xml:space="preserve">bodies, 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such as the UNDP, </w:t>
      </w:r>
      <w:r w:rsidR="001F4BE7" w:rsidRPr="00FB72F4">
        <w:rPr>
          <w:rFonts w:ascii="Times New Roman,Calibri" w:hAnsi="Times New Roman,Calibri"/>
          <w:noProof/>
          <w:sz w:val="24"/>
        </w:rPr>
        <w:t xml:space="preserve">the World Bank, </w:t>
      </w:r>
      <w:r w:rsidR="008E4FD5" w:rsidRPr="00FB72F4">
        <w:rPr>
          <w:rFonts w:ascii="Times New Roman,Calibri" w:hAnsi="Times New Roman,Calibri"/>
          <w:noProof/>
          <w:sz w:val="24"/>
        </w:rPr>
        <w:t xml:space="preserve">the </w:t>
      </w:r>
      <w:r w:rsidR="001F4BE7" w:rsidRPr="00FB72F4">
        <w:rPr>
          <w:rFonts w:ascii="Times New Roman,Calibri" w:hAnsi="Times New Roman,Calibri"/>
          <w:noProof/>
          <w:sz w:val="24"/>
        </w:rPr>
        <w:t>Goethe</w:t>
      </w:r>
      <w:r w:rsidR="0071236B" w:rsidRPr="00FB72F4">
        <w:rPr>
          <w:rFonts w:ascii="Times New Roman,Calibri" w:hAnsi="Times New Roman,Calibri"/>
          <w:noProof/>
          <w:sz w:val="24"/>
        </w:rPr>
        <w:t>-</w:t>
      </w:r>
      <w:r w:rsidR="001F4BE7" w:rsidRPr="00FB72F4">
        <w:rPr>
          <w:rFonts w:ascii="Times New Roman,Calibri" w:hAnsi="Times New Roman,Calibri"/>
          <w:noProof/>
          <w:sz w:val="24"/>
        </w:rPr>
        <w:t>Institut</w:t>
      </w:r>
      <w:r w:rsidR="00F22A11" w:rsidRPr="00FB72F4">
        <w:rPr>
          <w:rFonts w:ascii="Times New Roman,Calibri" w:hAnsi="Times New Roman,Calibri"/>
          <w:noProof/>
          <w:sz w:val="24"/>
        </w:rPr>
        <w:t xml:space="preserve">, </w:t>
      </w:r>
      <w:r w:rsidR="00140823" w:rsidRPr="00FB72F4">
        <w:rPr>
          <w:rFonts w:ascii="Times New Roman,Calibri" w:hAnsi="Times New Roman,Calibri"/>
          <w:noProof/>
          <w:sz w:val="24"/>
        </w:rPr>
        <w:t xml:space="preserve">and </w:t>
      </w:r>
      <w:r w:rsidR="00F22A11" w:rsidRPr="00FB72F4">
        <w:rPr>
          <w:rFonts w:ascii="Times New Roman,Calibri" w:hAnsi="Times New Roman,Calibri"/>
          <w:noProof/>
          <w:sz w:val="24"/>
        </w:rPr>
        <w:t>GiZ</w:t>
      </w:r>
      <w:r w:rsidR="002E6DB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(the German Agency for International Cooperation)</w:t>
      </w:r>
      <w:r w:rsidRPr="007E148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,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 report to the Commission in </w:t>
      </w:r>
      <w:r w:rsidRPr="00FB72F4">
        <w:rPr>
          <w:rFonts w:ascii="Times New Roman,Calibri" w:hAnsi="Times New Roman,Calibri"/>
          <w:noProof/>
          <w:sz w:val="24"/>
        </w:rPr>
        <w:t xml:space="preserve">line 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with the respective </w:t>
      </w:r>
      <w:r w:rsidR="00333789" w:rsidRPr="00FB72F4">
        <w:rPr>
          <w:rFonts w:ascii="Times New Roman,Calibri" w:hAnsi="Times New Roman,Calibri"/>
          <w:noProof/>
          <w:sz w:val="24"/>
        </w:rPr>
        <w:t>contribution and administration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a</w:t>
      </w:r>
      <w:r w:rsidR="00F42B39" w:rsidRPr="00FB72F4">
        <w:rPr>
          <w:rFonts w:ascii="Times New Roman,Calibri" w:hAnsi="Times New Roman,Calibri"/>
          <w:noProof/>
          <w:sz w:val="24"/>
        </w:rPr>
        <w:t>greements. The Commission is closely involved in the day-to-day monitoring of these actions.</w:t>
      </w:r>
    </w:p>
    <w:p w14:paraId="12F67C49" w14:textId="77777777" w:rsidR="006C615B" w:rsidRPr="00FB72F4" w:rsidRDefault="00F42B39" w:rsidP="00F60926">
      <w:pPr>
        <w:keepLines/>
        <w:numPr>
          <w:ilvl w:val="1"/>
          <w:numId w:val="3"/>
        </w:numPr>
        <w:spacing w:before="120" w:after="120" w:line="240" w:lineRule="auto"/>
        <w:ind w:left="851"/>
        <w:jc w:val="both"/>
        <w:outlineLvl w:val="1"/>
        <w:rPr>
          <w:rFonts w:ascii="Times New Roman" w:hAnsi="Times New Roman"/>
          <w:b/>
          <w:noProof/>
          <w:sz w:val="24"/>
        </w:rPr>
      </w:pPr>
      <w:r w:rsidRPr="00FB72F4">
        <w:rPr>
          <w:rFonts w:ascii="Times New Roman" w:hAnsi="Times New Roman"/>
          <w:b/>
          <w:noProof/>
          <w:sz w:val="24"/>
        </w:rPr>
        <w:t>Audit and controls</w:t>
      </w:r>
    </w:p>
    <w:p w14:paraId="665062CF" w14:textId="1CF9EE18" w:rsidR="00F60926" w:rsidRPr="00FB72F4" w:rsidRDefault="00F42B39" w:rsidP="00F60926">
      <w:pPr>
        <w:keepLines/>
        <w:spacing w:before="120" w:after="6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The recommendations of the last audit conducted by the </w:t>
      </w:r>
      <w:r w:rsidR="00864521" w:rsidRPr="00FB72F4">
        <w:rPr>
          <w:rFonts w:ascii="Times New Roman,Calibri" w:hAnsi="Times New Roman,Calibri"/>
          <w:noProof/>
          <w:sz w:val="24"/>
        </w:rPr>
        <w:t>Internal Audit Service</w:t>
      </w:r>
      <w:r w:rsidR="00864521" w:rsidRPr="00FB72F4" w:rsidDel="00864521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in 2017</w:t>
      </w:r>
      <w:r w:rsidR="002E6DB9" w:rsidRPr="00FB72F4">
        <w:rPr>
          <w:rFonts w:ascii="Times New Roman,Calibri" w:hAnsi="Times New Roman,Calibri"/>
          <w:noProof/>
          <w:sz w:val="24"/>
        </w:rPr>
        <w:t xml:space="preserve">, </w:t>
      </w:r>
      <w:r w:rsidR="002E6DB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which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related to internal control arrangements in the area of public procurement</w:t>
      </w:r>
      <w:r w:rsidR="00864521" w:rsidRPr="00FB72F4">
        <w:rPr>
          <w:rFonts w:ascii="Times New Roman,Calibri" w:hAnsi="Times New Roman,Calibri"/>
          <w:noProof/>
          <w:sz w:val="24"/>
        </w:rPr>
        <w:t>,</w:t>
      </w:r>
      <w:r w:rsidRPr="00FB72F4">
        <w:rPr>
          <w:rFonts w:ascii="Times New Roman,Calibri" w:hAnsi="Times New Roman,Calibri"/>
          <w:noProof/>
          <w:sz w:val="24"/>
        </w:rPr>
        <w:t xml:space="preserve"> have</w:t>
      </w:r>
      <w:r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</w:t>
      </w:r>
      <w:r w:rsidR="002E6DB9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now</w:t>
      </w:r>
      <w:r w:rsidR="002E6DB9" w:rsidRPr="00FB72F4">
        <w:rPr>
          <w:rFonts w:ascii="Times New Roman,Calibri" w:hAnsi="Times New Roman,Calibri"/>
          <w:noProof/>
          <w:sz w:val="24"/>
        </w:rPr>
        <w:t xml:space="preserve"> </w:t>
      </w:r>
      <w:r w:rsidRPr="00FB72F4">
        <w:rPr>
          <w:rFonts w:ascii="Times New Roman,Calibri" w:hAnsi="Times New Roman,Calibri"/>
          <w:noProof/>
          <w:sz w:val="24"/>
        </w:rPr>
        <w:t>been fully implemented.</w:t>
      </w:r>
    </w:p>
    <w:p w14:paraId="54CF89AA" w14:textId="77777777" w:rsidR="006C615B" w:rsidRPr="00FB72F4" w:rsidRDefault="00F42B39" w:rsidP="00F60926">
      <w:pPr>
        <w:keepNext/>
        <w:keepLines/>
        <w:numPr>
          <w:ilvl w:val="1"/>
          <w:numId w:val="2"/>
        </w:numPr>
        <w:spacing w:before="120" w:after="120" w:line="240" w:lineRule="auto"/>
        <w:ind w:left="851"/>
        <w:jc w:val="both"/>
        <w:outlineLvl w:val="1"/>
        <w:rPr>
          <w:rFonts w:ascii="Times New Roman" w:hAnsi="Times New Roman"/>
          <w:noProof/>
          <w:sz w:val="24"/>
        </w:rPr>
      </w:pPr>
      <w:r w:rsidRPr="00FB72F4">
        <w:rPr>
          <w:rFonts w:ascii="Times New Roman" w:hAnsi="Times New Roman"/>
          <w:b/>
          <w:noProof/>
          <w:sz w:val="24"/>
        </w:rPr>
        <w:t>Evaluation</w:t>
      </w:r>
    </w:p>
    <w:p w14:paraId="015B8CD7" w14:textId="7419C75C" w:rsidR="00F47E74" w:rsidRPr="00FB72F4" w:rsidRDefault="00F47E74" w:rsidP="00F60926">
      <w:pPr>
        <w:keepNext/>
        <w:keepLines/>
        <w:spacing w:before="120" w:after="60" w:line="240" w:lineRule="auto"/>
        <w:ind w:left="851"/>
        <w:jc w:val="both"/>
        <w:rPr>
          <w:rFonts w:ascii="Times New Roman" w:hAnsi="Times New Roman"/>
          <w:noProof/>
          <w:color w:val="000000"/>
          <w:sz w:val="24"/>
        </w:rPr>
      </w:pPr>
      <w:r w:rsidRPr="00FB72F4">
        <w:rPr>
          <w:rFonts w:ascii="Times New Roman" w:hAnsi="Times New Roman"/>
          <w:noProof/>
          <w:color w:val="000000"/>
          <w:sz w:val="24"/>
        </w:rPr>
        <w:t xml:space="preserve">An independent evaluation of the </w:t>
      </w:r>
      <w:r w:rsidR="002E6DB9" w:rsidRPr="007E1485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aid programme</w:t>
      </w:r>
      <w:r w:rsidRPr="00FB72F4">
        <w:rPr>
          <w:rFonts w:ascii="Times New Roman" w:hAnsi="Times New Roman"/>
          <w:noProof/>
          <w:color w:val="000000"/>
          <w:sz w:val="24"/>
        </w:rPr>
        <w:t xml:space="preserve"> </w:t>
      </w:r>
      <w:r w:rsidR="002F5BB7" w:rsidRPr="00FB72F4">
        <w:rPr>
          <w:rFonts w:ascii="Times New Roman" w:hAnsi="Times New Roman"/>
          <w:noProof/>
          <w:color w:val="000000"/>
          <w:sz w:val="24"/>
        </w:rPr>
        <w:t>covering</w:t>
      </w:r>
      <w:r w:rsidRPr="00FB72F4">
        <w:rPr>
          <w:rFonts w:ascii="Times New Roman" w:hAnsi="Times New Roman"/>
          <w:noProof/>
          <w:color w:val="000000"/>
          <w:sz w:val="24"/>
        </w:rPr>
        <w:t xml:space="preserve"> the period 2013</w:t>
      </w:r>
      <w:r w:rsidR="00051F7E" w:rsidRPr="00FB72F4">
        <w:rPr>
          <w:rFonts w:ascii="Times New Roman" w:hAnsi="Times New Roman"/>
          <w:noProof/>
          <w:color w:val="000000"/>
          <w:sz w:val="24"/>
        </w:rPr>
        <w:t>-</w:t>
      </w:r>
      <w:r w:rsidRPr="00FB72F4">
        <w:rPr>
          <w:rFonts w:ascii="Times New Roman" w:hAnsi="Times New Roman"/>
          <w:noProof/>
          <w:color w:val="000000"/>
          <w:sz w:val="24"/>
        </w:rPr>
        <w:t xml:space="preserve">2018 </w:t>
      </w:r>
      <w:r w:rsidR="002F5BB7" w:rsidRPr="00FB72F4">
        <w:rPr>
          <w:rFonts w:ascii="Times New Roman" w:hAnsi="Times New Roman"/>
          <w:noProof/>
          <w:color w:val="000000"/>
          <w:sz w:val="24"/>
        </w:rPr>
        <w:t xml:space="preserve">was </w:t>
      </w:r>
      <w:r w:rsidRPr="00FB72F4">
        <w:rPr>
          <w:rFonts w:ascii="Times New Roman" w:hAnsi="Times New Roman"/>
          <w:noProof/>
          <w:color w:val="000000"/>
          <w:sz w:val="24"/>
        </w:rPr>
        <w:t xml:space="preserve">published in 2022. The results of the evaluation were satisfactory. The evaluation concluded that the </w:t>
      </w:r>
      <w:r w:rsidR="00503C0A" w:rsidRPr="00FB72F4">
        <w:rPr>
          <w:rFonts w:ascii="Times New Roman" w:hAnsi="Times New Roman"/>
          <w:noProof/>
          <w:color w:val="000000"/>
          <w:sz w:val="24"/>
        </w:rPr>
        <w:t>p</w:t>
      </w:r>
      <w:r w:rsidRPr="00FB72F4">
        <w:rPr>
          <w:rFonts w:ascii="Times New Roman" w:hAnsi="Times New Roman"/>
          <w:noProof/>
          <w:color w:val="000000"/>
          <w:sz w:val="24"/>
        </w:rPr>
        <w:t>rogramme remain</w:t>
      </w:r>
      <w:r w:rsidR="002F5BB7" w:rsidRPr="00FB72F4">
        <w:rPr>
          <w:rFonts w:ascii="Times New Roman" w:hAnsi="Times New Roman"/>
          <w:noProof/>
          <w:color w:val="000000"/>
          <w:sz w:val="24"/>
        </w:rPr>
        <w:t>s relevant</w:t>
      </w:r>
      <w:r w:rsidRPr="00FB72F4">
        <w:rPr>
          <w:rFonts w:ascii="Times New Roman" w:hAnsi="Times New Roman"/>
          <w:noProof/>
          <w:color w:val="000000"/>
          <w:sz w:val="24"/>
        </w:rPr>
        <w:t xml:space="preserve"> and that its impact </w:t>
      </w:r>
      <w:r w:rsidR="002F5BB7" w:rsidRPr="00FB72F4">
        <w:rPr>
          <w:rFonts w:ascii="Times New Roman" w:hAnsi="Times New Roman"/>
          <w:noProof/>
          <w:color w:val="000000"/>
          <w:sz w:val="24"/>
        </w:rPr>
        <w:t xml:space="preserve">has been </w:t>
      </w:r>
      <w:r w:rsidRPr="00FB72F4">
        <w:rPr>
          <w:rFonts w:ascii="Times New Roman" w:hAnsi="Times New Roman"/>
          <w:noProof/>
          <w:color w:val="000000"/>
          <w:sz w:val="24"/>
        </w:rPr>
        <w:t xml:space="preserve">generally positive. It confirmed the EU added value and credited the programme with keeping the reunification perspective alive. It also </w:t>
      </w:r>
      <w:r w:rsidR="00D22CBD" w:rsidRPr="00FB72F4">
        <w:rPr>
          <w:rFonts w:ascii="Times New Roman" w:hAnsi="Times New Roman"/>
          <w:noProof/>
          <w:color w:val="000000"/>
          <w:sz w:val="24"/>
        </w:rPr>
        <w:t xml:space="preserve">underlined the </w:t>
      </w:r>
      <w:r w:rsidRPr="00FB72F4">
        <w:rPr>
          <w:rFonts w:ascii="Times New Roman" w:hAnsi="Times New Roman"/>
          <w:noProof/>
          <w:color w:val="000000"/>
          <w:sz w:val="24"/>
        </w:rPr>
        <w:t xml:space="preserve">general </w:t>
      </w:r>
      <w:r w:rsidR="00182638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consistency</w:t>
      </w:r>
      <w:r w:rsidR="00182638" w:rsidRPr="00FB72F4">
        <w:rPr>
          <w:rFonts w:ascii="Times New Roman" w:hAnsi="Times New Roman"/>
          <w:noProof/>
          <w:color w:val="000000"/>
          <w:sz w:val="24"/>
        </w:rPr>
        <w:t xml:space="preserve"> </w:t>
      </w:r>
      <w:r w:rsidRPr="00FB72F4">
        <w:rPr>
          <w:rFonts w:ascii="Times New Roman" w:hAnsi="Times New Roman"/>
          <w:noProof/>
          <w:color w:val="000000"/>
          <w:sz w:val="24"/>
        </w:rPr>
        <w:t xml:space="preserve">and efficiency of the programme. At the same time, the evaluation highlighted that the </w:t>
      </w:r>
      <w:r w:rsidR="002E6DB9" w:rsidRPr="007E1485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aid programme</w:t>
      </w:r>
      <w:r w:rsidR="002E6DB9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alone</w:t>
      </w:r>
      <w:r w:rsidR="002E6DB9" w:rsidRPr="00FB72F4">
        <w:rPr>
          <w:rFonts w:ascii="Times New Roman" w:hAnsi="Times New Roman"/>
          <w:noProof/>
          <w:color w:val="000000"/>
          <w:sz w:val="24"/>
        </w:rPr>
        <w:t xml:space="preserve"> </w:t>
      </w:r>
      <w:r w:rsidRPr="00FB72F4">
        <w:rPr>
          <w:rFonts w:ascii="Times New Roman" w:hAnsi="Times New Roman"/>
          <w:noProof/>
          <w:color w:val="000000"/>
          <w:sz w:val="24"/>
        </w:rPr>
        <w:t>cannot achieve the reunification of Cyprus, for which the two Cypriot communities remain responsible.</w:t>
      </w:r>
    </w:p>
    <w:p w14:paraId="228034ED" w14:textId="37D3E357" w:rsidR="006C615B" w:rsidRPr="00FB72F4" w:rsidRDefault="00F42B39">
      <w:pPr>
        <w:numPr>
          <w:ilvl w:val="1"/>
          <w:numId w:val="3"/>
        </w:numPr>
        <w:spacing w:before="120" w:after="120" w:line="240" w:lineRule="auto"/>
        <w:ind w:left="851"/>
        <w:jc w:val="both"/>
        <w:outlineLvl w:val="1"/>
        <w:rPr>
          <w:rFonts w:ascii="Times New Roman" w:hAnsi="Times New Roman"/>
          <w:b/>
          <w:noProof/>
          <w:sz w:val="24"/>
        </w:rPr>
      </w:pPr>
      <w:r w:rsidRPr="00FB72F4">
        <w:rPr>
          <w:rFonts w:ascii="Times New Roman" w:hAnsi="Times New Roman"/>
          <w:b/>
          <w:noProof/>
          <w:sz w:val="24"/>
        </w:rPr>
        <w:t xml:space="preserve">Information, </w:t>
      </w:r>
      <w:r w:rsidR="008C7E90" w:rsidRPr="00FB72F4">
        <w:rPr>
          <w:rFonts w:ascii="Times New Roman" w:hAnsi="Times New Roman"/>
          <w:b/>
          <w:noProof/>
          <w:sz w:val="24"/>
        </w:rPr>
        <w:t>p</w:t>
      </w:r>
      <w:r w:rsidRPr="00FB72F4">
        <w:rPr>
          <w:rFonts w:ascii="Times New Roman" w:hAnsi="Times New Roman"/>
          <w:b/>
          <w:noProof/>
          <w:sz w:val="24"/>
        </w:rPr>
        <w:t xml:space="preserve">ublicity and </w:t>
      </w:r>
      <w:r w:rsidR="008C7E90" w:rsidRPr="00FB72F4">
        <w:rPr>
          <w:rFonts w:ascii="Times New Roman" w:hAnsi="Times New Roman"/>
          <w:b/>
          <w:noProof/>
          <w:sz w:val="24"/>
        </w:rPr>
        <w:t>v</w:t>
      </w:r>
      <w:r w:rsidRPr="00FB72F4">
        <w:rPr>
          <w:rFonts w:ascii="Times New Roman" w:hAnsi="Times New Roman"/>
          <w:b/>
          <w:noProof/>
          <w:sz w:val="24"/>
        </w:rPr>
        <w:t>isibility</w:t>
      </w:r>
    </w:p>
    <w:p w14:paraId="41B2E3DF" w14:textId="7C0EFBB0" w:rsidR="00F47E74" w:rsidRPr="00FB72F4" w:rsidRDefault="00F42B39" w:rsidP="00F60926">
      <w:pPr>
        <w:keepNext/>
        <w:spacing w:before="120" w:after="60" w:line="240" w:lineRule="auto"/>
        <w:ind w:left="851"/>
        <w:jc w:val="both"/>
        <w:rPr>
          <w:rFonts w:ascii="Times New Roman" w:hAnsi="Times New Roman"/>
          <w:noProof/>
        </w:rPr>
      </w:pPr>
      <w:r w:rsidRPr="00FB72F4">
        <w:rPr>
          <w:rFonts w:ascii="Times New Roman" w:hAnsi="Times New Roman"/>
          <w:noProof/>
          <w:color w:val="000000"/>
          <w:sz w:val="24"/>
        </w:rPr>
        <w:t xml:space="preserve">Overall, </w:t>
      </w:r>
      <w:r w:rsidR="00882F2D" w:rsidRPr="00FB72F4">
        <w:rPr>
          <w:rFonts w:ascii="Times New Roman" w:hAnsi="Times New Roman"/>
          <w:noProof/>
          <w:color w:val="000000"/>
          <w:sz w:val="24"/>
        </w:rPr>
        <w:t xml:space="preserve">more than 350 </w:t>
      </w:r>
      <w:r w:rsidRPr="00FB72F4">
        <w:rPr>
          <w:rFonts w:ascii="Times New Roman" w:hAnsi="Times New Roman"/>
          <w:noProof/>
          <w:color w:val="000000"/>
          <w:sz w:val="24"/>
        </w:rPr>
        <w:t xml:space="preserve">visibility and communication actions </w:t>
      </w:r>
      <w:r w:rsidR="00503FD5" w:rsidRPr="00FB72F4">
        <w:rPr>
          <w:rFonts w:ascii="Times New Roman" w:hAnsi="Times New Roman"/>
          <w:noProof/>
          <w:color w:val="000000"/>
          <w:sz w:val="24"/>
        </w:rPr>
        <w:t xml:space="preserve">were </w:t>
      </w:r>
      <w:r w:rsidR="00270A8E" w:rsidRPr="00FB72F4">
        <w:rPr>
          <w:rFonts w:ascii="Times New Roman" w:hAnsi="Times New Roman"/>
          <w:noProof/>
          <w:color w:val="000000"/>
          <w:sz w:val="24"/>
        </w:rPr>
        <w:t xml:space="preserve">organised </w:t>
      </w:r>
      <w:r w:rsidRPr="00FB72F4">
        <w:rPr>
          <w:rFonts w:ascii="Times New Roman" w:hAnsi="Times New Roman"/>
          <w:noProof/>
          <w:color w:val="000000"/>
          <w:sz w:val="24"/>
        </w:rPr>
        <w:t xml:space="preserve">in </w:t>
      </w:r>
      <w:r w:rsidR="00C257CF" w:rsidRPr="00FB72F4">
        <w:rPr>
          <w:rFonts w:ascii="Times New Roman" w:hAnsi="Times New Roman"/>
          <w:noProof/>
          <w:color w:val="000000"/>
          <w:sz w:val="24"/>
        </w:rPr>
        <w:t>202</w:t>
      </w:r>
      <w:r w:rsidR="00DB480A" w:rsidRPr="00FB72F4">
        <w:rPr>
          <w:rFonts w:ascii="Times New Roman" w:hAnsi="Times New Roman"/>
          <w:noProof/>
          <w:color w:val="000000"/>
          <w:sz w:val="24"/>
        </w:rPr>
        <w:t>4</w:t>
      </w:r>
      <w:r w:rsidR="00270A8E" w:rsidRPr="00FB72F4">
        <w:rPr>
          <w:rFonts w:ascii="Times New Roman" w:hAnsi="Times New Roman"/>
          <w:noProof/>
          <w:color w:val="000000"/>
          <w:sz w:val="24"/>
        </w:rPr>
        <w:t xml:space="preserve"> to showcase the</w:t>
      </w:r>
      <w:r w:rsidR="00DB480A" w:rsidRPr="00FB72F4">
        <w:rPr>
          <w:rFonts w:ascii="Times New Roman" w:hAnsi="Times New Roman"/>
          <w:noProof/>
          <w:color w:val="000000"/>
          <w:sz w:val="24"/>
        </w:rPr>
        <w:t xml:space="preserve"> contribution of the European Union to the development of the </w:t>
      </w:r>
      <w:r w:rsidR="007001B9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Turkish Cypriot community</w:t>
      </w:r>
      <w:r w:rsidR="00DB480A" w:rsidRPr="00FB72F4">
        <w:rPr>
          <w:rFonts w:ascii="Times New Roman" w:hAnsi="Times New Roman"/>
          <w:noProof/>
          <w:color w:val="000000"/>
          <w:sz w:val="24"/>
        </w:rPr>
        <w:t xml:space="preserve"> and </w:t>
      </w:r>
      <w:r w:rsidR="0025438A" w:rsidRPr="00FB72F4">
        <w:rPr>
          <w:rFonts w:ascii="Times New Roman" w:hAnsi="Times New Roman"/>
          <w:noProof/>
          <w:color w:val="000000"/>
          <w:sz w:val="24"/>
        </w:rPr>
        <w:t xml:space="preserve">the </w:t>
      </w:r>
      <w:r w:rsidR="00DB480A" w:rsidRPr="00FB72F4">
        <w:rPr>
          <w:rFonts w:ascii="Times New Roman" w:hAnsi="Times New Roman"/>
          <w:noProof/>
          <w:color w:val="000000"/>
          <w:sz w:val="24"/>
        </w:rPr>
        <w:t>Cyprus settlement process</w:t>
      </w:r>
      <w:r w:rsidRPr="00FB72F4">
        <w:rPr>
          <w:rFonts w:ascii="Times New Roman" w:hAnsi="Times New Roman"/>
          <w:noProof/>
          <w:color w:val="000000"/>
          <w:sz w:val="24"/>
        </w:rPr>
        <w:t xml:space="preserve">. </w:t>
      </w:r>
      <w:r w:rsidR="0025438A" w:rsidRPr="00FB72F4">
        <w:rPr>
          <w:rFonts w:ascii="Times New Roman" w:hAnsi="Times New Roman"/>
          <w:noProof/>
          <w:color w:val="000000"/>
          <w:sz w:val="24"/>
        </w:rPr>
        <w:t>In 2024, t</w:t>
      </w:r>
      <w:r w:rsidR="001E24EC" w:rsidRPr="00FB72F4">
        <w:rPr>
          <w:rFonts w:ascii="Times New Roman" w:hAnsi="Times New Roman"/>
          <w:noProof/>
          <w:color w:val="000000"/>
          <w:sz w:val="24"/>
        </w:rPr>
        <w:t>he Commission</w:t>
      </w:r>
      <w:r w:rsidR="00F47E74" w:rsidRPr="00FB72F4">
        <w:rPr>
          <w:rFonts w:ascii="Times New Roman" w:hAnsi="Times New Roman"/>
          <w:noProof/>
          <w:color w:val="000000"/>
          <w:sz w:val="24"/>
        </w:rPr>
        <w:t xml:space="preserve"> </w:t>
      </w:r>
      <w:r w:rsidR="001E24EC" w:rsidRPr="00FB72F4">
        <w:rPr>
          <w:rFonts w:ascii="Times New Roman" w:hAnsi="Times New Roman"/>
          <w:noProof/>
          <w:color w:val="000000"/>
          <w:sz w:val="24"/>
        </w:rPr>
        <w:t>published</w:t>
      </w:r>
      <w:r w:rsidR="00F47E74" w:rsidRPr="00FB72F4">
        <w:rPr>
          <w:rFonts w:ascii="Times New Roman" w:hAnsi="Times New Roman"/>
          <w:noProof/>
          <w:color w:val="000000"/>
          <w:sz w:val="24"/>
        </w:rPr>
        <w:t xml:space="preserve"> a </w:t>
      </w:r>
      <w:r w:rsidR="00DB480A" w:rsidRPr="00FB72F4">
        <w:rPr>
          <w:rFonts w:ascii="Times New Roman" w:hAnsi="Times New Roman"/>
          <w:noProof/>
          <w:color w:val="000000"/>
          <w:sz w:val="24"/>
        </w:rPr>
        <w:t xml:space="preserve">dedicated report </w:t>
      </w:r>
      <w:r w:rsidR="0025438A" w:rsidRPr="00FB72F4">
        <w:rPr>
          <w:rFonts w:ascii="Times New Roman" w:hAnsi="Times New Roman"/>
          <w:noProof/>
          <w:color w:val="000000"/>
          <w:sz w:val="24"/>
        </w:rPr>
        <w:t>showcasing the</w:t>
      </w:r>
      <w:r w:rsidR="00DB480A" w:rsidRPr="00FB72F4">
        <w:rPr>
          <w:rFonts w:ascii="Times New Roman" w:hAnsi="Times New Roman"/>
          <w:noProof/>
          <w:color w:val="000000"/>
          <w:sz w:val="24"/>
        </w:rPr>
        <w:t xml:space="preserve"> </w:t>
      </w:r>
      <w:r w:rsidR="0025438A" w:rsidRPr="00FB72F4">
        <w:rPr>
          <w:rFonts w:ascii="Times New Roman" w:hAnsi="Times New Roman"/>
          <w:noProof/>
          <w:color w:val="000000"/>
          <w:sz w:val="24"/>
        </w:rPr>
        <w:t>efforts made under the</w:t>
      </w:r>
      <w:r w:rsidR="002E6DB9" w:rsidRPr="00FB72F4">
        <w:rPr>
          <w:rFonts w:ascii="Times New Roman" w:hAnsi="Times New Roman"/>
          <w:noProof/>
          <w:color w:val="000000"/>
          <w:sz w:val="24"/>
        </w:rPr>
        <w:t xml:space="preserve"> </w:t>
      </w:r>
      <w:r w:rsidR="002E6DB9" w:rsidRPr="007E1485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aid programme</w:t>
      </w:r>
      <w:r w:rsidR="0025438A" w:rsidRPr="00FB72F4">
        <w:rPr>
          <w:rFonts w:ascii="Times New Roman" w:hAnsi="Times New Roman"/>
          <w:noProof/>
          <w:color w:val="000000"/>
          <w:sz w:val="24"/>
        </w:rPr>
        <w:t xml:space="preserve"> for a comprehensive settlement of the Cyprus issue to ensure a better future for all Cypriots and to help achieve lasting security and stability in the </w:t>
      </w:r>
      <w:r w:rsidR="000D76DD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e</w:t>
      </w:r>
      <w:r w:rsidR="0025438A" w:rsidRPr="007E1485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astern</w:t>
      </w:r>
      <w:r w:rsidR="0025438A" w:rsidRPr="00FB72F4">
        <w:rPr>
          <w:rFonts w:ascii="Times New Roman" w:hAnsi="Times New Roman"/>
          <w:noProof/>
          <w:color w:val="000000"/>
          <w:sz w:val="24"/>
        </w:rPr>
        <w:t xml:space="preserve"> Mediterranean</w:t>
      </w:r>
      <w:r w:rsidR="00525E8C" w:rsidRPr="00FB72F4">
        <w:rPr>
          <w:rStyle w:val="FootnoteReference"/>
          <w:rFonts w:ascii="Times New Roman" w:hAnsi="Times New Roman"/>
          <w:noProof/>
          <w:sz w:val="24"/>
        </w:rPr>
        <w:footnoteReference w:id="5"/>
      </w:r>
      <w:r w:rsidR="007E1485" w:rsidRPr="007E1485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.</w:t>
      </w:r>
    </w:p>
    <w:p w14:paraId="2E591701" w14:textId="65DA9402" w:rsidR="006C615B" w:rsidRPr="00FB72F4" w:rsidRDefault="00F42B39">
      <w:pPr>
        <w:numPr>
          <w:ilvl w:val="1"/>
          <w:numId w:val="3"/>
        </w:numPr>
        <w:spacing w:before="120" w:after="120" w:line="240" w:lineRule="auto"/>
        <w:ind w:left="851"/>
        <w:jc w:val="both"/>
        <w:outlineLvl w:val="1"/>
        <w:rPr>
          <w:rFonts w:ascii="Times New Roman" w:hAnsi="Times New Roman"/>
          <w:b/>
          <w:noProof/>
          <w:sz w:val="24"/>
        </w:rPr>
      </w:pPr>
      <w:r w:rsidRPr="00FB72F4">
        <w:rPr>
          <w:rFonts w:ascii="Times New Roman" w:hAnsi="Times New Roman"/>
          <w:b/>
          <w:noProof/>
          <w:sz w:val="24"/>
        </w:rPr>
        <w:t xml:space="preserve">Consultations with the </w:t>
      </w:r>
      <w:r w:rsidR="000D76D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t>government</w:t>
      </w:r>
      <w:r w:rsidR="000D76DD" w:rsidRPr="00FB72F4">
        <w:rPr>
          <w:rFonts w:ascii="Times New Roman" w:hAnsi="Times New Roman"/>
          <w:b/>
          <w:noProof/>
          <w:sz w:val="24"/>
        </w:rPr>
        <w:t xml:space="preserve"> of the Republic of Cyprus</w:t>
      </w:r>
    </w:p>
    <w:p w14:paraId="6D1F2A17" w14:textId="3C720241" w:rsidR="00C948E8" w:rsidRPr="00FB72F4" w:rsidRDefault="00F33039" w:rsidP="00051F7E">
      <w:pPr>
        <w:spacing w:before="120" w:after="12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Regular meetings 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were held with representatives of the </w:t>
      </w:r>
      <w:r w:rsidR="00CC7E22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government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 of the Republic of Cyprus. The Commission continues to rely on the </w:t>
      </w:r>
      <w:r w:rsidR="00CC7E22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g</w:t>
      </w:r>
      <w:r w:rsidR="00F42B39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overnment</w:t>
      </w:r>
      <w:r w:rsidR="00924858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’</w:t>
      </w:r>
      <w:r w:rsidR="00F42B39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s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 cooperation for </w:t>
      </w:r>
      <w:r w:rsidR="00CC7E22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verifying</w:t>
      </w:r>
      <w:r w:rsidR="00CC7E22" w:rsidRPr="00FB72F4">
        <w:rPr>
          <w:rFonts w:ascii="Times New Roman,Calibri" w:hAnsi="Times New Roman,Calibri"/>
          <w:noProof/>
          <w:sz w:val="24"/>
        </w:rPr>
        <w:t xml:space="preserve"> 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property rights and </w:t>
      </w:r>
      <w:r w:rsidR="00CC7E22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facilitating</w:t>
      </w:r>
      <w:r w:rsidR="00CC7E22" w:rsidRPr="00FB72F4">
        <w:rPr>
          <w:rFonts w:ascii="Times New Roman,Calibri" w:hAnsi="Times New Roman,Calibri"/>
          <w:noProof/>
          <w:sz w:val="24"/>
        </w:rPr>
        <w:t xml:space="preserve"> 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the work of the bi-communal </w:t>
      </w:r>
      <w:r w:rsidR="00A15223" w:rsidRPr="00FB72F4">
        <w:rPr>
          <w:rFonts w:ascii="Times New Roman,Calibri" w:hAnsi="Times New Roman,Calibri"/>
          <w:noProof/>
          <w:sz w:val="24"/>
        </w:rPr>
        <w:t>T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echnical </w:t>
      </w:r>
      <w:r w:rsidR="00A15223" w:rsidRPr="00FB72F4">
        <w:rPr>
          <w:rFonts w:ascii="Times New Roman,Calibri" w:hAnsi="Times New Roman,Calibri"/>
          <w:noProof/>
          <w:sz w:val="24"/>
        </w:rPr>
        <w:t>C</w:t>
      </w:r>
      <w:r w:rsidR="00F42B39" w:rsidRPr="00FB72F4">
        <w:rPr>
          <w:rFonts w:ascii="Times New Roman,Calibri" w:hAnsi="Times New Roman,Calibri"/>
          <w:noProof/>
          <w:sz w:val="24"/>
        </w:rPr>
        <w:t>ommittees. The Commission</w:t>
      </w:r>
      <w:r w:rsidR="00F42B39" w:rsidRPr="007E1485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 xml:space="preserve"> </w:t>
      </w:r>
      <w:r w:rsidR="00CC7E22">
        <w:rPr>
          <w:rFonts w:ascii="Times New Roman,Calibri" w:eastAsia="Times New Roman,Calibri" w:hAnsi="Times New Roman,Calibri" w:cs="Times New Roman,Calibri"/>
          <w:noProof/>
          <w:sz w:val="24"/>
          <w:szCs w:val="24"/>
          <w:lang w:eastAsia="en-GB"/>
        </w:rPr>
        <w:t>also</w:t>
      </w:r>
      <w:r w:rsidR="00CC7E22" w:rsidRPr="00FB72F4">
        <w:rPr>
          <w:rFonts w:ascii="Times New Roman,Calibri" w:hAnsi="Times New Roman,Calibri"/>
          <w:noProof/>
          <w:sz w:val="24"/>
        </w:rPr>
        <w:t xml:space="preserve"> 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meets regularly with the </w:t>
      </w:r>
      <w:r w:rsidR="00B22B10" w:rsidRPr="00FB72F4">
        <w:rPr>
          <w:rFonts w:ascii="Times New Roman,Calibri" w:hAnsi="Times New Roman,Calibri"/>
          <w:noProof/>
          <w:sz w:val="24"/>
        </w:rPr>
        <w:t xml:space="preserve">Ministry of Foreign Affairs and </w:t>
      </w:r>
      <w:r w:rsidR="00D0116B">
        <w:rPr>
          <w:rFonts w:ascii="Times New Roman,Calibri" w:hAnsi="Times New Roman,Calibri"/>
          <w:noProof/>
          <w:sz w:val="24"/>
        </w:rPr>
        <w:t xml:space="preserve">the </w:t>
      </w:r>
      <w:r w:rsidR="00F42B39" w:rsidRPr="00FB72F4">
        <w:rPr>
          <w:rFonts w:ascii="Times New Roman,Calibri" w:hAnsi="Times New Roman,Calibri"/>
          <w:noProof/>
          <w:sz w:val="24"/>
        </w:rPr>
        <w:t>Permanent Representation</w:t>
      </w:r>
      <w:r w:rsidR="00B22B10" w:rsidRPr="00FB72F4">
        <w:rPr>
          <w:rFonts w:ascii="Times New Roman,Calibri" w:hAnsi="Times New Roman,Calibri"/>
          <w:noProof/>
          <w:sz w:val="24"/>
        </w:rPr>
        <w:t xml:space="preserve"> </w:t>
      </w:r>
      <w:r w:rsidR="00955B0A" w:rsidRPr="00FB72F4">
        <w:rPr>
          <w:rFonts w:ascii="Times New Roman,Calibri" w:hAnsi="Times New Roman,Calibri"/>
          <w:noProof/>
          <w:sz w:val="24"/>
        </w:rPr>
        <w:t xml:space="preserve">of the Republic of Cyprus </w:t>
      </w:r>
      <w:r w:rsidR="00B22B10" w:rsidRPr="00FB72F4">
        <w:rPr>
          <w:rFonts w:ascii="Times New Roman,Calibri" w:hAnsi="Times New Roman,Calibri"/>
          <w:noProof/>
          <w:sz w:val="24"/>
        </w:rPr>
        <w:t>to the EU</w:t>
      </w:r>
      <w:r w:rsidR="00F42B39" w:rsidRPr="00FB72F4">
        <w:rPr>
          <w:rFonts w:ascii="Times New Roman,Calibri" w:hAnsi="Times New Roman,Calibri"/>
          <w:noProof/>
          <w:sz w:val="24"/>
        </w:rPr>
        <w:t>.</w:t>
      </w:r>
    </w:p>
    <w:p w14:paraId="2EA1F83D" w14:textId="77777777" w:rsidR="006C615B" w:rsidRPr="00FB72F4" w:rsidRDefault="00F42B39">
      <w:pPr>
        <w:numPr>
          <w:ilvl w:val="0"/>
          <w:numId w:val="3"/>
        </w:numPr>
        <w:spacing w:before="120" w:after="120" w:line="240" w:lineRule="auto"/>
        <w:ind w:left="851" w:hanging="851"/>
        <w:jc w:val="both"/>
        <w:outlineLvl w:val="0"/>
        <w:rPr>
          <w:rFonts w:ascii="Times New Roman" w:hAnsi="Times New Roman"/>
          <w:b/>
          <w:noProof/>
          <w:sz w:val="24"/>
        </w:rPr>
      </w:pPr>
      <w:r w:rsidRPr="00FB72F4">
        <w:rPr>
          <w:rFonts w:ascii="Times New Roman" w:hAnsi="Times New Roman"/>
          <w:b/>
          <w:smallCaps/>
          <w:noProof/>
          <w:sz w:val="24"/>
        </w:rPr>
        <w:t>Conclusions</w:t>
      </w:r>
    </w:p>
    <w:p w14:paraId="17375190" w14:textId="2DF816F9" w:rsidR="008C531F" w:rsidRPr="00FB72F4" w:rsidRDefault="008C7E90" w:rsidP="00F60926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>Through the work it does in line with the Aid Regulation objectives, t</w:t>
      </w:r>
      <w:r w:rsidR="00F42B39" w:rsidRPr="00FB72F4">
        <w:rPr>
          <w:rFonts w:ascii="Times New Roman,Calibri" w:hAnsi="Times New Roman,Calibri"/>
          <w:noProof/>
          <w:sz w:val="24"/>
        </w:rPr>
        <w:t xml:space="preserve">he Commission continues to deliver assistance under the Aid Regulation to facilitate the reunification of Cyprus by encouraging the economic development of the </w:t>
      </w:r>
      <w:r w:rsidR="00CC536D" w:rsidRPr="00FB72F4">
        <w:rPr>
          <w:rFonts w:ascii="Times New Roman,Calibri" w:hAnsi="Times New Roman,Calibri"/>
          <w:noProof/>
          <w:sz w:val="24"/>
        </w:rPr>
        <w:t>Turkish Cypriot community</w:t>
      </w:r>
      <w:r w:rsidR="00DB480A" w:rsidRPr="00FB72F4">
        <w:rPr>
          <w:rFonts w:ascii="Times New Roman,Calibri" w:hAnsi="Times New Roman,Calibri"/>
          <w:noProof/>
          <w:sz w:val="24"/>
        </w:rPr>
        <w:t xml:space="preserve"> and </w:t>
      </w:r>
      <w:r w:rsidR="00255446" w:rsidRPr="00FB72F4">
        <w:rPr>
          <w:rFonts w:ascii="Times New Roman,Calibri" w:hAnsi="Times New Roman,Calibri"/>
          <w:noProof/>
          <w:sz w:val="24"/>
        </w:rPr>
        <w:t>bringing</w:t>
      </w:r>
      <w:r w:rsidR="00DB480A" w:rsidRPr="00FB72F4">
        <w:rPr>
          <w:rFonts w:ascii="Times New Roman,Calibri" w:hAnsi="Times New Roman,Calibri"/>
          <w:noProof/>
          <w:sz w:val="24"/>
        </w:rPr>
        <w:t xml:space="preserve"> it closer to the European Union</w:t>
      </w:r>
      <w:r w:rsidR="00D0116B">
        <w:rPr>
          <w:rFonts w:ascii="Times New Roman,Calibri" w:hAnsi="Times New Roman,Calibri"/>
          <w:noProof/>
          <w:sz w:val="24"/>
        </w:rPr>
        <w:t>.</w:t>
      </w:r>
    </w:p>
    <w:p w14:paraId="16BD036B" w14:textId="2BBB6371" w:rsidR="006C615B" w:rsidRPr="00FB72F4" w:rsidRDefault="00F42B39" w:rsidP="00F60926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During </w:t>
      </w:r>
      <w:r w:rsidR="00C257CF" w:rsidRPr="00FB72F4">
        <w:rPr>
          <w:rFonts w:ascii="Times New Roman,Calibri" w:hAnsi="Times New Roman,Calibri"/>
          <w:noProof/>
          <w:sz w:val="24"/>
        </w:rPr>
        <w:t>202</w:t>
      </w:r>
      <w:r w:rsidR="00DB480A" w:rsidRPr="00FB72F4">
        <w:rPr>
          <w:rFonts w:ascii="Times New Roman,Calibri" w:hAnsi="Times New Roman,Calibri"/>
          <w:noProof/>
          <w:sz w:val="24"/>
        </w:rPr>
        <w:t>4</w:t>
      </w:r>
      <w:r w:rsidRPr="00FB72F4">
        <w:rPr>
          <w:rFonts w:ascii="Times New Roman,Calibri" w:hAnsi="Times New Roman,Calibri"/>
          <w:noProof/>
          <w:sz w:val="24"/>
        </w:rPr>
        <w:t xml:space="preserve">, assistance continued to focus on areas that present particular </w:t>
      </w:r>
      <w:r w:rsidR="00C80FBF" w:rsidRPr="00FB72F4">
        <w:rPr>
          <w:rFonts w:ascii="Times New Roman,Calibri" w:hAnsi="Times New Roman,Calibri"/>
          <w:noProof/>
          <w:sz w:val="24"/>
        </w:rPr>
        <w:t xml:space="preserve">challenges </w:t>
      </w:r>
      <w:r w:rsidR="00503FD5" w:rsidRPr="00FB72F4">
        <w:rPr>
          <w:rFonts w:ascii="Times New Roman,Calibri" w:hAnsi="Times New Roman,Calibri"/>
          <w:noProof/>
          <w:sz w:val="24"/>
        </w:rPr>
        <w:t xml:space="preserve">for </w:t>
      </w:r>
      <w:r w:rsidRPr="00FB72F4">
        <w:rPr>
          <w:rFonts w:ascii="Times New Roman,Calibri" w:hAnsi="Times New Roman,Calibri"/>
          <w:noProof/>
          <w:sz w:val="24"/>
        </w:rPr>
        <w:t xml:space="preserve">future </w:t>
      </w:r>
      <w:r w:rsidR="00503FD5" w:rsidRPr="00FB72F4">
        <w:rPr>
          <w:rFonts w:ascii="Times New Roman,Calibri" w:hAnsi="Times New Roman,Calibri"/>
          <w:noProof/>
          <w:sz w:val="24"/>
        </w:rPr>
        <w:t>compliance with the</w:t>
      </w:r>
      <w:r w:rsidR="00503FD5" w:rsidRPr="00FB72F4">
        <w:rPr>
          <w:rFonts w:ascii="Times New Roman,Calibri" w:hAnsi="Times New Roman,Calibri"/>
          <w:i/>
          <w:noProof/>
          <w:sz w:val="24"/>
        </w:rPr>
        <w:t xml:space="preserve"> </w:t>
      </w:r>
      <w:r w:rsidR="00924858" w:rsidRPr="00FB72F4">
        <w:rPr>
          <w:rFonts w:ascii="Times New Roman,Calibri" w:hAnsi="Times New Roman,Calibri"/>
          <w:i/>
          <w:noProof/>
          <w:sz w:val="24"/>
        </w:rPr>
        <w:t>acquis</w:t>
      </w:r>
      <w:r w:rsidR="00F47E74" w:rsidRPr="00FB72F4">
        <w:rPr>
          <w:rFonts w:ascii="Times New Roman,Calibri" w:hAnsi="Times New Roman,Calibri"/>
          <w:noProof/>
          <w:sz w:val="24"/>
        </w:rPr>
        <w:t xml:space="preserve">, while also ensuring that emerging needs are addressed in </w:t>
      </w:r>
      <w:r w:rsidR="00A902C7" w:rsidRPr="00FB72F4">
        <w:rPr>
          <w:rFonts w:ascii="Times New Roman,Calibri" w:hAnsi="Times New Roman,Calibri"/>
          <w:noProof/>
          <w:sz w:val="24"/>
        </w:rPr>
        <w:t>an</w:t>
      </w:r>
      <w:r w:rsidR="00F47E74" w:rsidRPr="00FB72F4">
        <w:rPr>
          <w:rFonts w:ascii="Times New Roman,Calibri" w:hAnsi="Times New Roman,Calibri"/>
          <w:noProof/>
          <w:sz w:val="24"/>
        </w:rPr>
        <w:t xml:space="preserve"> efficient</w:t>
      </w:r>
      <w:r w:rsidR="00C80FBF" w:rsidRPr="00FB72F4">
        <w:rPr>
          <w:rFonts w:ascii="Times New Roman,Calibri" w:hAnsi="Times New Roman,Calibri"/>
          <w:noProof/>
          <w:sz w:val="24"/>
        </w:rPr>
        <w:t xml:space="preserve"> and timely</w:t>
      </w:r>
      <w:r w:rsidR="00F47E74" w:rsidRPr="00FB72F4">
        <w:rPr>
          <w:rFonts w:ascii="Times New Roman,Calibri" w:hAnsi="Times New Roman,Calibri"/>
          <w:noProof/>
          <w:sz w:val="24"/>
        </w:rPr>
        <w:t xml:space="preserve"> manner.</w:t>
      </w:r>
    </w:p>
    <w:p w14:paraId="5F523DFD" w14:textId="4EE2A28E" w:rsidR="006C615B" w:rsidRPr="00FB72F4" w:rsidRDefault="00842D4A" w:rsidP="00F60926">
      <w:pPr>
        <w:keepNext/>
        <w:spacing w:before="120" w:after="60" w:line="240" w:lineRule="auto"/>
        <w:ind w:left="851"/>
        <w:jc w:val="both"/>
        <w:rPr>
          <w:rFonts w:ascii="Times New Roman,Calibri" w:hAnsi="Times New Roman,Calibri"/>
          <w:noProof/>
          <w:sz w:val="24"/>
        </w:rPr>
      </w:pPr>
      <w:r w:rsidRPr="00FB72F4">
        <w:rPr>
          <w:rFonts w:ascii="Times New Roman,Calibri" w:hAnsi="Times New Roman,Calibri"/>
          <w:noProof/>
          <w:sz w:val="24"/>
        </w:rPr>
        <w:t xml:space="preserve">Emphasis on relevance, maturity, ownership and sustainability of projects has yielded positive results and will </w:t>
      </w:r>
      <w:r w:rsidR="008C531F" w:rsidRPr="00FB72F4">
        <w:rPr>
          <w:rFonts w:ascii="Times New Roman,Calibri" w:hAnsi="Times New Roman,Calibri"/>
          <w:noProof/>
          <w:sz w:val="24"/>
        </w:rPr>
        <w:t>continue to guide future programming discussions.</w:t>
      </w:r>
      <w:r w:rsidR="008C531F" w:rsidRPr="00FB72F4">
        <w:rPr>
          <w:noProof/>
        </w:rPr>
        <w:t xml:space="preserve"> </w:t>
      </w:r>
      <w:r w:rsidR="008C531F" w:rsidRPr="00FB72F4">
        <w:rPr>
          <w:rFonts w:ascii="Times New Roman,Calibri" w:hAnsi="Times New Roman,Calibri"/>
          <w:noProof/>
          <w:sz w:val="24"/>
        </w:rPr>
        <w:t xml:space="preserve">Also, efforts will continue </w:t>
      </w:r>
      <w:r w:rsidR="00134062" w:rsidRPr="00FB72F4">
        <w:rPr>
          <w:rFonts w:ascii="Times New Roman,Calibri" w:hAnsi="Times New Roman,Calibri"/>
          <w:noProof/>
          <w:sz w:val="24"/>
        </w:rPr>
        <w:t xml:space="preserve">on </w:t>
      </w:r>
      <w:r w:rsidR="008C531F" w:rsidRPr="00FB72F4">
        <w:rPr>
          <w:rFonts w:ascii="Times New Roman,Calibri" w:hAnsi="Times New Roman,Calibri"/>
          <w:noProof/>
          <w:sz w:val="24"/>
        </w:rPr>
        <w:t xml:space="preserve">making a greater and long-term impact in priority areas through strategic </w:t>
      </w:r>
      <w:r w:rsidR="004D20B6" w:rsidRPr="00FB72F4">
        <w:rPr>
          <w:rFonts w:ascii="Times New Roman,Calibri" w:hAnsi="Times New Roman,Calibri"/>
          <w:noProof/>
          <w:sz w:val="24"/>
        </w:rPr>
        <w:t>actions</w:t>
      </w:r>
      <w:r w:rsidR="00C80FBF" w:rsidRPr="00FB72F4">
        <w:rPr>
          <w:rFonts w:ascii="Times New Roman,Calibri" w:hAnsi="Times New Roman,Calibri"/>
          <w:noProof/>
          <w:sz w:val="24"/>
        </w:rPr>
        <w:t xml:space="preserve">. </w:t>
      </w:r>
      <w:r w:rsidR="00F42B39" w:rsidRPr="00FB72F4">
        <w:rPr>
          <w:rFonts w:ascii="Times New Roman" w:hAnsi="Times New Roman"/>
          <w:noProof/>
          <w:sz w:val="24"/>
        </w:rPr>
        <w:t xml:space="preserve">The Commission stands ready to deploy resources </w:t>
      </w:r>
      <w:r w:rsidR="008E4FD5" w:rsidRPr="00FB72F4">
        <w:rPr>
          <w:rFonts w:ascii="Times New Roman" w:hAnsi="Times New Roman"/>
          <w:noProof/>
          <w:sz w:val="24"/>
        </w:rPr>
        <w:t>as needed,</w:t>
      </w:r>
      <w:r w:rsidR="00F20245" w:rsidRPr="00FB72F4">
        <w:rPr>
          <w:rFonts w:ascii="Times New Roman" w:hAnsi="Times New Roman"/>
          <w:noProof/>
          <w:sz w:val="24"/>
        </w:rPr>
        <w:t xml:space="preserve"> </w:t>
      </w:r>
      <w:r w:rsidR="00F42B39" w:rsidRPr="00FB72F4">
        <w:rPr>
          <w:rFonts w:ascii="Times New Roman" w:hAnsi="Times New Roman"/>
          <w:noProof/>
          <w:sz w:val="24"/>
        </w:rPr>
        <w:t xml:space="preserve">including under the </w:t>
      </w:r>
      <w:r w:rsidR="00CC7E22" w:rsidRPr="007E1485">
        <w:rPr>
          <w:rFonts w:ascii="Times New Roman" w:eastAsia="Times New Roman" w:hAnsi="Times New Roman" w:cs="Times New Roman"/>
          <w:noProof/>
          <w:sz w:val="24"/>
          <w:szCs w:val="24"/>
        </w:rPr>
        <w:t>aid programme</w:t>
      </w:r>
      <w:r w:rsidR="00CC7E22" w:rsidRPr="00FB72F4">
        <w:rPr>
          <w:rFonts w:ascii="Times New Roman" w:hAnsi="Times New Roman"/>
          <w:noProof/>
          <w:sz w:val="24"/>
        </w:rPr>
        <w:t>,</w:t>
      </w:r>
      <w:r w:rsidR="00F20245" w:rsidRPr="00FB72F4">
        <w:rPr>
          <w:rFonts w:ascii="Times New Roman" w:hAnsi="Times New Roman"/>
          <w:noProof/>
          <w:sz w:val="24"/>
        </w:rPr>
        <w:t xml:space="preserve"> </w:t>
      </w:r>
      <w:r w:rsidR="00F42B39" w:rsidRPr="00FB72F4">
        <w:rPr>
          <w:rFonts w:ascii="Times New Roman" w:hAnsi="Times New Roman"/>
          <w:noProof/>
          <w:sz w:val="24"/>
        </w:rPr>
        <w:t>to support settlement negotiations under UN auspices</w:t>
      </w:r>
      <w:bookmarkEnd w:id="0"/>
      <w:r w:rsidR="00C80FBF" w:rsidRPr="00FB72F4">
        <w:rPr>
          <w:rFonts w:ascii="Times New Roman" w:hAnsi="Times New Roman"/>
          <w:noProof/>
          <w:sz w:val="24"/>
        </w:rPr>
        <w:t xml:space="preserve"> and further developments linked to the process.</w:t>
      </w:r>
    </w:p>
    <w:sectPr w:rsidR="006C615B" w:rsidRPr="00FB72F4" w:rsidSect="00A0614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CC4AE" w14:textId="77777777" w:rsidR="00252965" w:rsidRPr="007E1485" w:rsidRDefault="00252965">
      <w:pPr>
        <w:spacing w:after="0" w:line="240" w:lineRule="auto"/>
      </w:pPr>
      <w:r w:rsidRPr="007E1485">
        <w:separator/>
      </w:r>
    </w:p>
  </w:endnote>
  <w:endnote w:type="continuationSeparator" w:id="0">
    <w:p w14:paraId="1E821BB5" w14:textId="77777777" w:rsidR="00252965" w:rsidRPr="007E1485" w:rsidRDefault="00252965">
      <w:pPr>
        <w:spacing w:after="0" w:line="240" w:lineRule="auto"/>
      </w:pPr>
      <w:r w:rsidRPr="007E1485">
        <w:continuationSeparator/>
      </w:r>
    </w:p>
  </w:endnote>
  <w:endnote w:type="continuationNotice" w:id="1">
    <w:p w14:paraId="0D92F975" w14:textId="77777777" w:rsidR="00252965" w:rsidRPr="007E1485" w:rsidRDefault="002529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 Square Sans Pro">
    <w:altName w:val="Bahnschrift Light"/>
    <w:charset w:val="00"/>
    <w:family w:val="swiss"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41489" w14:textId="452E52B4" w:rsidR="007F7443" w:rsidRPr="007F7443" w:rsidRDefault="007F7443" w:rsidP="007F7443">
    <w:pPr>
      <w:pStyle w:val="FooterCoverPage"/>
      <w:rPr>
        <w:rFonts w:ascii="Arial" w:hAnsi="Arial" w:cs="Arial"/>
        <w:b/>
        <w:sz w:val="48"/>
      </w:rPr>
    </w:pPr>
    <w:r w:rsidRPr="007F7443">
      <w:rPr>
        <w:rFonts w:ascii="Arial" w:hAnsi="Arial" w:cs="Arial"/>
        <w:b/>
        <w:sz w:val="48"/>
      </w:rPr>
      <w:t>EN</w:t>
    </w:r>
    <w:r w:rsidRPr="007F7443">
      <w:rPr>
        <w:rFonts w:ascii="Arial" w:hAnsi="Arial" w:cs="Arial"/>
        <w:b/>
        <w:sz w:val="48"/>
      </w:rPr>
      <w:tab/>
    </w:r>
    <w:r w:rsidRPr="007F7443">
      <w:rPr>
        <w:rFonts w:ascii="Arial" w:hAnsi="Arial" w:cs="Arial"/>
        <w:b/>
        <w:sz w:val="48"/>
      </w:rPr>
      <w:tab/>
    </w:r>
    <w:r w:rsidRPr="007F7443">
      <w:tab/>
    </w:r>
    <w:r w:rsidRPr="007F7443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8EC66" w14:textId="097894C1" w:rsidR="007F7443" w:rsidRPr="007F7443" w:rsidRDefault="007F7443" w:rsidP="007F7443">
    <w:pPr>
      <w:pStyle w:val="FooterCoverPage"/>
      <w:rPr>
        <w:rFonts w:ascii="Arial" w:hAnsi="Arial" w:cs="Arial"/>
        <w:b/>
        <w:sz w:val="48"/>
      </w:rPr>
    </w:pPr>
    <w:r w:rsidRPr="007F7443">
      <w:rPr>
        <w:rFonts w:ascii="Arial" w:hAnsi="Arial" w:cs="Arial"/>
        <w:b/>
        <w:sz w:val="48"/>
      </w:rPr>
      <w:t>EN</w:t>
    </w:r>
    <w:r w:rsidRPr="007F7443">
      <w:rPr>
        <w:rFonts w:ascii="Arial" w:hAnsi="Arial" w:cs="Arial"/>
        <w:b/>
        <w:sz w:val="48"/>
      </w:rPr>
      <w:tab/>
    </w:r>
    <w:r w:rsidRPr="007F7443">
      <w:rPr>
        <w:rFonts w:ascii="Arial" w:hAnsi="Arial" w:cs="Arial"/>
        <w:b/>
        <w:sz w:val="48"/>
      </w:rPr>
      <w:tab/>
    </w:r>
    <w:r w:rsidRPr="007F7443">
      <w:tab/>
    </w:r>
    <w:r w:rsidRPr="007F7443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98AFA" w14:textId="77777777" w:rsidR="007F7443" w:rsidRPr="007F7443" w:rsidRDefault="007F7443" w:rsidP="007F7443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3F79" w14:textId="77777777" w:rsidR="00D73D18" w:rsidRPr="007E1485" w:rsidRDefault="00D73D1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0683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64C43D" w14:textId="4DE1E892" w:rsidR="00D73D18" w:rsidRPr="007E1485" w:rsidRDefault="00D73D1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4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4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14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744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E14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C92077" w14:textId="77777777" w:rsidR="00D73D18" w:rsidRPr="007E1485" w:rsidRDefault="00D73D1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F445A" w14:textId="77777777" w:rsidR="00D73D18" w:rsidRPr="007E1485" w:rsidRDefault="00D73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9297D" w14:textId="77777777" w:rsidR="00252965" w:rsidRPr="007E1485" w:rsidRDefault="00252965">
      <w:pPr>
        <w:spacing w:after="0" w:line="240" w:lineRule="auto"/>
      </w:pPr>
      <w:r w:rsidRPr="007E1485">
        <w:separator/>
      </w:r>
    </w:p>
  </w:footnote>
  <w:footnote w:type="continuationSeparator" w:id="0">
    <w:p w14:paraId="35C209B9" w14:textId="77777777" w:rsidR="00252965" w:rsidRPr="007E1485" w:rsidRDefault="00252965">
      <w:pPr>
        <w:spacing w:after="0" w:line="240" w:lineRule="auto"/>
      </w:pPr>
      <w:r w:rsidRPr="007E1485">
        <w:continuationSeparator/>
      </w:r>
    </w:p>
  </w:footnote>
  <w:footnote w:type="continuationNotice" w:id="1">
    <w:p w14:paraId="29E449D2" w14:textId="77777777" w:rsidR="00252965" w:rsidRPr="007E1485" w:rsidRDefault="00252965">
      <w:pPr>
        <w:spacing w:after="0" w:line="240" w:lineRule="auto"/>
      </w:pPr>
    </w:p>
  </w:footnote>
  <w:footnote w:id="2">
    <w:p w14:paraId="39AF7166" w14:textId="0DAA4A2D" w:rsidR="00D73D18" w:rsidRPr="007E1485" w:rsidRDefault="00D73D18" w:rsidP="00A87513">
      <w:pPr>
        <w:pStyle w:val="FootnoteText"/>
        <w:ind w:left="720" w:hanging="720"/>
        <w:jc w:val="both"/>
        <w:rPr>
          <w:rFonts w:ascii="Times New Roman" w:eastAsia="Times New Roman" w:hAnsi="Times New Roman" w:cs="Times New Roman"/>
        </w:rPr>
      </w:pPr>
      <w:r w:rsidRPr="007E1485">
        <w:rPr>
          <w:rStyle w:val="FootnoteReference"/>
          <w:rFonts w:ascii="Times New Roman" w:eastAsia="Times New Roman" w:hAnsi="Times New Roman" w:cs="Times New Roman"/>
        </w:rPr>
        <w:footnoteRef/>
      </w:r>
      <w:r w:rsidRPr="007E1485">
        <w:rPr>
          <w:rFonts w:ascii="Times New Roman" w:hAnsi="Times New Roman" w:cs="Times New Roman"/>
        </w:rPr>
        <w:tab/>
      </w:r>
      <w:r w:rsidRPr="007E1485">
        <w:rPr>
          <w:rFonts w:ascii="Times New Roman" w:eastAsia="Times New Roman" w:hAnsi="Times New Roman" w:cs="Times New Roman"/>
        </w:rPr>
        <w:t>Council Regulation (EC) No</w:t>
      </w:r>
      <w:r w:rsidR="00924858" w:rsidRPr="007E1485">
        <w:rPr>
          <w:rFonts w:ascii="Times New Roman" w:eastAsia="Times New Roman" w:hAnsi="Times New Roman" w:cs="Times New Roman"/>
        </w:rPr>
        <w:t> </w:t>
      </w:r>
      <w:r w:rsidRPr="007E1485">
        <w:rPr>
          <w:rFonts w:ascii="Times New Roman" w:eastAsia="Times New Roman" w:hAnsi="Times New Roman" w:cs="Times New Roman"/>
        </w:rPr>
        <w:t>389/2006 of 27</w:t>
      </w:r>
      <w:r w:rsidR="00924858" w:rsidRPr="007E1485">
        <w:rPr>
          <w:rFonts w:ascii="Times New Roman" w:eastAsia="Times New Roman" w:hAnsi="Times New Roman" w:cs="Times New Roman"/>
        </w:rPr>
        <w:t> </w:t>
      </w:r>
      <w:r w:rsidRPr="007E1485">
        <w:rPr>
          <w:rFonts w:ascii="Times New Roman" w:eastAsia="Times New Roman" w:hAnsi="Times New Roman" w:cs="Times New Roman"/>
        </w:rPr>
        <w:t>February 2006 establishing an instrument of financial support for encouraging the economic development of the Turkish Cypriot community and amending Council Regulation (EC) No</w:t>
      </w:r>
      <w:r w:rsidR="00924858" w:rsidRPr="007E1485">
        <w:rPr>
          <w:rFonts w:ascii="Times New Roman" w:eastAsia="Times New Roman" w:hAnsi="Times New Roman" w:cs="Times New Roman"/>
        </w:rPr>
        <w:t> </w:t>
      </w:r>
      <w:r w:rsidRPr="007E1485">
        <w:rPr>
          <w:rFonts w:ascii="Times New Roman" w:eastAsia="Times New Roman" w:hAnsi="Times New Roman" w:cs="Times New Roman"/>
        </w:rPr>
        <w:t>2667/2000 on the European Agency for Reconstruction (OJ L</w:t>
      </w:r>
      <w:r w:rsidR="00A87513">
        <w:rPr>
          <w:rFonts w:ascii="Times New Roman" w:eastAsia="Times New Roman" w:hAnsi="Times New Roman" w:cs="Times New Roman"/>
        </w:rPr>
        <w:t xml:space="preserve"> </w:t>
      </w:r>
      <w:r w:rsidRPr="007E1485">
        <w:rPr>
          <w:rFonts w:ascii="Times New Roman" w:eastAsia="Times New Roman" w:hAnsi="Times New Roman" w:cs="Times New Roman"/>
        </w:rPr>
        <w:t>65, 7.3.2006, p.</w:t>
      </w:r>
      <w:r w:rsidR="00924858" w:rsidRPr="007E1485">
        <w:rPr>
          <w:rFonts w:ascii="Times New Roman" w:eastAsia="Times New Roman" w:hAnsi="Times New Roman" w:cs="Times New Roman"/>
        </w:rPr>
        <w:t> </w:t>
      </w:r>
      <w:r w:rsidRPr="007E1485">
        <w:rPr>
          <w:rFonts w:ascii="Times New Roman" w:eastAsia="Times New Roman" w:hAnsi="Times New Roman" w:cs="Times New Roman"/>
        </w:rPr>
        <w:t>5).</w:t>
      </w:r>
    </w:p>
  </w:footnote>
  <w:footnote w:id="3">
    <w:p w14:paraId="1A9E391D" w14:textId="49D29467" w:rsidR="00D73D18" w:rsidRPr="007E1485" w:rsidRDefault="00D73D18" w:rsidP="00A87513">
      <w:pPr>
        <w:pStyle w:val="FootnoteText"/>
        <w:ind w:left="720" w:hanging="720"/>
        <w:jc w:val="both"/>
        <w:rPr>
          <w:rFonts w:ascii="Times New Roman" w:eastAsia="Times New Roman" w:hAnsi="Times New Roman" w:cs="Times New Roman"/>
        </w:rPr>
      </w:pPr>
      <w:r w:rsidRPr="007E1485">
        <w:rPr>
          <w:rStyle w:val="FootnoteReference"/>
          <w:rFonts w:ascii="Times New Roman" w:eastAsia="Times New Roman" w:hAnsi="Times New Roman" w:cs="Times New Roman"/>
        </w:rPr>
        <w:footnoteRef/>
      </w:r>
      <w:r w:rsidRPr="007E1485">
        <w:rPr>
          <w:rFonts w:ascii="Times New Roman" w:hAnsi="Times New Roman" w:cs="Times New Roman"/>
        </w:rPr>
        <w:tab/>
      </w:r>
      <w:r w:rsidR="00114EEB" w:rsidRPr="007E1485">
        <w:rPr>
          <w:rFonts w:ascii="Times New Roman" w:eastAsia="Times New Roman" w:hAnsi="Times New Roman" w:cs="Times New Roman"/>
        </w:rPr>
        <w:t xml:space="preserve">Commission Implementing Decision of </w:t>
      </w:r>
      <w:r w:rsidR="00F11A9E" w:rsidRPr="007E1485">
        <w:rPr>
          <w:rFonts w:ascii="Times New Roman" w:eastAsia="Times New Roman" w:hAnsi="Times New Roman" w:cs="Times New Roman"/>
        </w:rPr>
        <w:t>3</w:t>
      </w:r>
      <w:r w:rsidR="00A87513">
        <w:rPr>
          <w:rFonts w:ascii="Times New Roman" w:eastAsia="Times New Roman" w:hAnsi="Times New Roman" w:cs="Times New Roman"/>
        </w:rPr>
        <w:t xml:space="preserve"> September </w:t>
      </w:r>
      <w:r w:rsidR="00F11A9E" w:rsidRPr="007E1485">
        <w:rPr>
          <w:rFonts w:ascii="Times New Roman" w:eastAsia="Times New Roman" w:hAnsi="Times New Roman" w:cs="Times New Roman"/>
        </w:rPr>
        <w:t>2024</w:t>
      </w:r>
      <w:r w:rsidR="00E43A80">
        <w:rPr>
          <w:rFonts w:ascii="Times New Roman" w:eastAsia="Times New Roman" w:hAnsi="Times New Roman" w:cs="Times New Roman"/>
        </w:rPr>
        <w:t xml:space="preserve"> </w:t>
      </w:r>
      <w:r w:rsidR="00114EEB" w:rsidRPr="007E1485">
        <w:rPr>
          <w:rFonts w:ascii="Times New Roman" w:eastAsia="Times New Roman" w:hAnsi="Times New Roman" w:cs="Times New Roman"/>
        </w:rPr>
        <w:t>on adopting an Action Programme for the Turkish Cypriot community for the year 202</w:t>
      </w:r>
      <w:r w:rsidR="00F11A9E" w:rsidRPr="007E1485">
        <w:rPr>
          <w:rFonts w:ascii="Times New Roman" w:eastAsia="Times New Roman" w:hAnsi="Times New Roman" w:cs="Times New Roman"/>
        </w:rPr>
        <w:t>4</w:t>
      </w:r>
      <w:r w:rsidR="00114EEB" w:rsidRPr="007E1485">
        <w:rPr>
          <w:rFonts w:ascii="Times New Roman" w:eastAsia="Times New Roman" w:hAnsi="Times New Roman" w:cs="Times New Roman"/>
        </w:rPr>
        <w:t xml:space="preserve"> </w:t>
      </w:r>
      <w:r w:rsidR="00A87513">
        <w:rPr>
          <w:rFonts w:ascii="Times New Roman" w:eastAsia="Times New Roman" w:hAnsi="Times New Roman" w:cs="Times New Roman"/>
        </w:rPr>
        <w:t xml:space="preserve">- </w:t>
      </w:r>
      <w:r w:rsidR="00114EEB" w:rsidRPr="007E1485">
        <w:rPr>
          <w:rFonts w:ascii="Times New Roman" w:eastAsia="Times New Roman" w:hAnsi="Times New Roman" w:cs="Times New Roman"/>
        </w:rPr>
        <w:t>C(202</w:t>
      </w:r>
      <w:r w:rsidR="00F11A9E" w:rsidRPr="007E1485">
        <w:rPr>
          <w:rFonts w:ascii="Times New Roman" w:eastAsia="Times New Roman" w:hAnsi="Times New Roman" w:cs="Times New Roman"/>
        </w:rPr>
        <w:t>4</w:t>
      </w:r>
      <w:r w:rsidR="00114EEB" w:rsidRPr="007E1485">
        <w:rPr>
          <w:rFonts w:ascii="Times New Roman" w:eastAsia="Times New Roman" w:hAnsi="Times New Roman" w:cs="Times New Roman"/>
        </w:rPr>
        <w:t xml:space="preserve">) </w:t>
      </w:r>
      <w:r w:rsidR="00F11A9E" w:rsidRPr="007E1485">
        <w:rPr>
          <w:rFonts w:ascii="Times New Roman" w:eastAsia="Times New Roman" w:hAnsi="Times New Roman" w:cs="Times New Roman"/>
        </w:rPr>
        <w:t>6106 -</w:t>
      </w:r>
      <w:r w:rsidR="00F11A9E" w:rsidRPr="007E1485">
        <w:rPr>
          <w:sz w:val="22"/>
          <w:szCs w:val="22"/>
        </w:rPr>
        <w:t xml:space="preserve"> </w:t>
      </w:r>
      <w:hyperlink r:id="rId1" w:history="1">
        <w:r w:rsidR="00F11A9E" w:rsidRPr="007E1485">
          <w:rPr>
            <w:rStyle w:val="Hyperlink"/>
            <w:rFonts w:ascii="Times New Roman" w:eastAsia="Times New Roman" w:hAnsi="Times New Roman" w:cs="Times New Roman"/>
          </w:rPr>
          <w:t>Aid Programme decision 2024 - European Commission</w:t>
        </w:r>
      </w:hyperlink>
      <w:r w:rsidR="007E1485" w:rsidRPr="007E1485">
        <w:rPr>
          <w:rFonts w:ascii="Times New Roman" w:eastAsia="Times New Roman" w:hAnsi="Times New Roman" w:cs="Times New Roman"/>
        </w:rPr>
        <w:t>.</w:t>
      </w:r>
    </w:p>
  </w:footnote>
  <w:footnote w:id="4">
    <w:p w14:paraId="0FCDA762" w14:textId="2E9405EA" w:rsidR="00A87513" w:rsidRPr="007E1485" w:rsidRDefault="00A87513" w:rsidP="00A87513">
      <w:pPr>
        <w:pStyle w:val="FootnoteText"/>
        <w:ind w:left="720" w:hanging="720"/>
        <w:jc w:val="both"/>
      </w:pPr>
      <w:r w:rsidRPr="007E1485">
        <w:rPr>
          <w:rStyle w:val="FootnoteReference"/>
          <w:rFonts w:ascii="Times New Roman" w:eastAsia="Times New Roman" w:hAnsi="Times New Roman" w:cs="Times New Roman"/>
        </w:rPr>
        <w:footnoteRef/>
      </w:r>
      <w:r w:rsidRPr="007E1485">
        <w:rPr>
          <w:rFonts w:ascii="Times New Roman" w:eastAsia="Times New Roman" w:hAnsi="Times New Roman" w:cs="Times New Roman"/>
        </w:rPr>
        <w:tab/>
        <w:t>Council Regulation (EU, Euratom) 2020/2093 of 17 December 2020 laying down the multiannual financial framework for the years 2021 to 2027 (OJ L</w:t>
      </w:r>
      <w:r>
        <w:rPr>
          <w:rFonts w:ascii="Times New Roman" w:eastAsia="Times New Roman" w:hAnsi="Times New Roman" w:cs="Times New Roman"/>
        </w:rPr>
        <w:t xml:space="preserve"> </w:t>
      </w:r>
      <w:r w:rsidRPr="007E1485">
        <w:rPr>
          <w:rFonts w:ascii="Times New Roman" w:eastAsia="Times New Roman" w:hAnsi="Times New Roman" w:cs="Times New Roman"/>
        </w:rPr>
        <w:t>433I, 22.12.2020, p. 11).</w:t>
      </w:r>
    </w:p>
  </w:footnote>
  <w:footnote w:id="5">
    <w:p w14:paraId="5DE05474" w14:textId="2F1D4EF1" w:rsidR="00525E8C" w:rsidRPr="00D0116B" w:rsidRDefault="00525E8C" w:rsidP="00A87513">
      <w:pPr>
        <w:pStyle w:val="FootnoteText"/>
        <w:ind w:left="720" w:hanging="720"/>
        <w:rPr>
          <w:rFonts w:ascii="Times New Roman" w:hAnsi="Times New Roman" w:cs="Times New Roman"/>
        </w:rPr>
      </w:pPr>
      <w:r w:rsidRPr="00D0116B">
        <w:rPr>
          <w:rStyle w:val="FootnoteReference"/>
          <w:rFonts w:ascii="Times New Roman" w:hAnsi="Times New Roman" w:cs="Times New Roman"/>
        </w:rPr>
        <w:footnoteRef/>
      </w:r>
      <w:r w:rsidRPr="00D0116B">
        <w:rPr>
          <w:rFonts w:ascii="Times New Roman" w:hAnsi="Times New Roman" w:cs="Times New Roman"/>
        </w:rPr>
        <w:t xml:space="preserve"> </w:t>
      </w:r>
      <w:r w:rsidR="00A87513" w:rsidRPr="00D0116B">
        <w:rPr>
          <w:rFonts w:ascii="Times New Roman" w:hAnsi="Times New Roman" w:cs="Times New Roman"/>
        </w:rPr>
        <w:tab/>
      </w:r>
      <w:r w:rsidRPr="00D0116B">
        <w:rPr>
          <w:rFonts w:ascii="Times New Roman" w:hAnsi="Times New Roman" w:cs="Times New Roman"/>
        </w:rPr>
        <w:t xml:space="preserve">European Commission. (2024). </w:t>
      </w:r>
      <w:hyperlink r:id="rId2" w:history="1">
        <w:r w:rsidR="007E1485" w:rsidRPr="00D0116B">
          <w:rPr>
            <w:rStyle w:val="Hyperlink"/>
            <w:rFonts w:ascii="Times New Roman" w:hAnsi="Times New Roman" w:cs="Times New Roman"/>
          </w:rPr>
          <w:t>Delivering on EU support to the Cyprus settlement: A legacy and a vision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C544C" w14:textId="77777777" w:rsidR="007F7443" w:rsidRPr="007F7443" w:rsidRDefault="007F7443" w:rsidP="007F7443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EE323" w14:textId="77777777" w:rsidR="007F7443" w:rsidRPr="007F7443" w:rsidRDefault="007F7443" w:rsidP="007F7443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C6974" w14:textId="77777777" w:rsidR="007F7443" w:rsidRPr="007F7443" w:rsidRDefault="007F7443" w:rsidP="007F7443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810F" w14:textId="77777777" w:rsidR="00D73D18" w:rsidRPr="007E1485" w:rsidRDefault="00D73D1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C5825" w14:textId="77777777" w:rsidR="00D73D18" w:rsidRPr="007E1485" w:rsidRDefault="00D73D18" w:rsidP="00B06F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A0476" w14:textId="77777777" w:rsidR="00D73D18" w:rsidRPr="007E1485" w:rsidRDefault="00D73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0296"/>
    <w:multiLevelType w:val="hybridMultilevel"/>
    <w:tmpl w:val="BE48427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9E275AD"/>
    <w:multiLevelType w:val="hybridMultilevel"/>
    <w:tmpl w:val="8DBC0558"/>
    <w:lvl w:ilvl="0" w:tplc="C6AE7B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7639"/>
    <w:multiLevelType w:val="hybridMultilevel"/>
    <w:tmpl w:val="6A9A1C96"/>
    <w:lvl w:ilvl="0" w:tplc="EFFAF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C6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26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A7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E1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A4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23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C6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05DE6"/>
    <w:multiLevelType w:val="hybridMultilevel"/>
    <w:tmpl w:val="026E9454"/>
    <w:lvl w:ilvl="0" w:tplc="3070B298">
      <w:start w:val="1"/>
      <w:numFmt w:val="lowerLetter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53655"/>
    <w:multiLevelType w:val="hybridMultilevel"/>
    <w:tmpl w:val="36E0B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12FA4"/>
    <w:multiLevelType w:val="multilevel"/>
    <w:tmpl w:val="5746AFF0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 w:val="0"/>
        <w:i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842"/>
        </w:tabs>
        <w:ind w:left="1842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7091835"/>
    <w:multiLevelType w:val="hybridMultilevel"/>
    <w:tmpl w:val="E08E6AD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05B1A03"/>
    <w:multiLevelType w:val="hybridMultilevel"/>
    <w:tmpl w:val="203288B8"/>
    <w:lvl w:ilvl="0" w:tplc="A3660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47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4A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4D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A7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C0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A6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04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6AB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62F33"/>
    <w:multiLevelType w:val="hybridMultilevel"/>
    <w:tmpl w:val="F3E05A8C"/>
    <w:lvl w:ilvl="0" w:tplc="0B12E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A6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EE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43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C9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C0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2D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2F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fr-BE" w:vendorID="64" w:dllVersion="0" w:nlCheck="1" w:checkStyle="0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4029183C-C0F3-4BC8-B54C-4B07293C4563"/>
    <w:docVar w:name="LW_COVERPAGE_TYPE" w:val="1"/>
    <w:docVar w:name="LW_CROSSREFERENCE" w:val="&lt;UNUSED&gt;"/>
    <w:docVar w:name="LW_DocType" w:val="NORMAL"/>
    <w:docVar w:name="LW_EMISSION" w:val="1.7.2025"/>
    <w:docVar w:name="LW_EMISSION_ISODATE" w:val="2025-07-01"/>
    <w:docVar w:name="LW_EMISSION_LOCATION" w:val="BRX"/>
    <w:docVar w:name="LW_EMISSION_PREFIX" w:val="Brussels, "/>
    <w:docVar w:name="LW_EMISSION_SUFFIX" w:val=" "/>
    <w:docVar w:name="LW_ID_DOCTYPE_NONLW" w:val="CP-006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5) 352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OUS.TITRE.OBJ.CP" w:val="&lt;UNUSED&gt;"/>
    <w:docVar w:name="LW_SUPERTITRE" w:val="&lt;UNUSED&gt;"/>
    <w:docVar w:name="LW_TITRE.OBJ.CP" w:val="Annual Report 2024: Nineteenth annual report on the implementation of the EU assistance under Council Regulation (EC) No 389/2006 of 27 February 2006 establishing an instrument of financial support for encouraging the economic development of the Turkish Cypriot community"/>
    <w:docVar w:name="LW_TYPE.DOC.CP" w:val="REPORT FROM THE COMMISSION TO THE EUROPEAN PARLIAMENT AND THE COUNCIL"/>
    <w:docVar w:name="LwApiVersions" w:val="LW4CoDe 1.24.5.0; LW 9.0, Build 20240221"/>
    <w:docVar w:name="Stamp" w:val="\\dossiers.dgt.cec.eu.int\dossiers\REFORM\REFORM-2023-00017\REFORM-2023-00017-00-01-EN-EDT-00.202304251615209988760.DOCX"/>
  </w:docVars>
  <w:rsids>
    <w:rsidRoot w:val="006C615B"/>
    <w:rsid w:val="00000FD1"/>
    <w:rsid w:val="00006F35"/>
    <w:rsid w:val="00006FC9"/>
    <w:rsid w:val="00007324"/>
    <w:rsid w:val="000077AD"/>
    <w:rsid w:val="000217A1"/>
    <w:rsid w:val="00025D5D"/>
    <w:rsid w:val="000276CA"/>
    <w:rsid w:val="00033FC8"/>
    <w:rsid w:val="00034251"/>
    <w:rsid w:val="00036827"/>
    <w:rsid w:val="000402B4"/>
    <w:rsid w:val="00043C94"/>
    <w:rsid w:val="0004597C"/>
    <w:rsid w:val="0004686A"/>
    <w:rsid w:val="00051F7E"/>
    <w:rsid w:val="00061186"/>
    <w:rsid w:val="00061332"/>
    <w:rsid w:val="00062EDF"/>
    <w:rsid w:val="0006360B"/>
    <w:rsid w:val="000642FD"/>
    <w:rsid w:val="0006637A"/>
    <w:rsid w:val="00081384"/>
    <w:rsid w:val="000865D4"/>
    <w:rsid w:val="00091876"/>
    <w:rsid w:val="000959D4"/>
    <w:rsid w:val="000A5319"/>
    <w:rsid w:val="000A7788"/>
    <w:rsid w:val="000B1C7A"/>
    <w:rsid w:val="000B2CDC"/>
    <w:rsid w:val="000B340D"/>
    <w:rsid w:val="000B6FB3"/>
    <w:rsid w:val="000C2BFB"/>
    <w:rsid w:val="000C3E64"/>
    <w:rsid w:val="000C478F"/>
    <w:rsid w:val="000C4903"/>
    <w:rsid w:val="000C63DB"/>
    <w:rsid w:val="000C6CA3"/>
    <w:rsid w:val="000D1348"/>
    <w:rsid w:val="000D1B00"/>
    <w:rsid w:val="000D76DD"/>
    <w:rsid w:val="000E4D1D"/>
    <w:rsid w:val="000E5D3F"/>
    <w:rsid w:val="000F34DB"/>
    <w:rsid w:val="000F3D80"/>
    <w:rsid w:val="000F5E6E"/>
    <w:rsid w:val="000F7DA7"/>
    <w:rsid w:val="00101E7C"/>
    <w:rsid w:val="001051D9"/>
    <w:rsid w:val="001112BD"/>
    <w:rsid w:val="00112446"/>
    <w:rsid w:val="00113893"/>
    <w:rsid w:val="00114EEB"/>
    <w:rsid w:val="00120AD0"/>
    <w:rsid w:val="00134062"/>
    <w:rsid w:val="0013451B"/>
    <w:rsid w:val="00136EDD"/>
    <w:rsid w:val="00140823"/>
    <w:rsid w:val="00143B3C"/>
    <w:rsid w:val="001442FF"/>
    <w:rsid w:val="00145D5D"/>
    <w:rsid w:val="00146F59"/>
    <w:rsid w:val="00171590"/>
    <w:rsid w:val="001816A3"/>
    <w:rsid w:val="00181D7B"/>
    <w:rsid w:val="00182638"/>
    <w:rsid w:val="0018318F"/>
    <w:rsid w:val="00193997"/>
    <w:rsid w:val="00196EBC"/>
    <w:rsid w:val="001A3A63"/>
    <w:rsid w:val="001A4CF4"/>
    <w:rsid w:val="001A51C7"/>
    <w:rsid w:val="001A5F18"/>
    <w:rsid w:val="001B3841"/>
    <w:rsid w:val="001C0B33"/>
    <w:rsid w:val="001C19C7"/>
    <w:rsid w:val="001C341E"/>
    <w:rsid w:val="001C5D69"/>
    <w:rsid w:val="001C6D2A"/>
    <w:rsid w:val="001C79B8"/>
    <w:rsid w:val="001D100D"/>
    <w:rsid w:val="001E018F"/>
    <w:rsid w:val="001E0319"/>
    <w:rsid w:val="001E24EC"/>
    <w:rsid w:val="001E3706"/>
    <w:rsid w:val="001F1F5C"/>
    <w:rsid w:val="001F29E2"/>
    <w:rsid w:val="001F4962"/>
    <w:rsid w:val="001F4BE7"/>
    <w:rsid w:val="001F57FB"/>
    <w:rsid w:val="001F5F69"/>
    <w:rsid w:val="001F630A"/>
    <w:rsid w:val="00203087"/>
    <w:rsid w:val="002037C5"/>
    <w:rsid w:val="00203AD1"/>
    <w:rsid w:val="00207756"/>
    <w:rsid w:val="00207E77"/>
    <w:rsid w:val="00207F8F"/>
    <w:rsid w:val="00212D71"/>
    <w:rsid w:val="00213EAD"/>
    <w:rsid w:val="00215300"/>
    <w:rsid w:val="0021774E"/>
    <w:rsid w:val="00220862"/>
    <w:rsid w:val="0022515D"/>
    <w:rsid w:val="00226DA4"/>
    <w:rsid w:val="0022771B"/>
    <w:rsid w:val="002338C2"/>
    <w:rsid w:val="00242A3C"/>
    <w:rsid w:val="002461A8"/>
    <w:rsid w:val="00252965"/>
    <w:rsid w:val="002536E3"/>
    <w:rsid w:val="0025438A"/>
    <w:rsid w:val="00255299"/>
    <w:rsid w:val="00255446"/>
    <w:rsid w:val="00262E97"/>
    <w:rsid w:val="00264BD6"/>
    <w:rsid w:val="0026787D"/>
    <w:rsid w:val="00270A8E"/>
    <w:rsid w:val="00271F87"/>
    <w:rsid w:val="002768D2"/>
    <w:rsid w:val="00280C51"/>
    <w:rsid w:val="00281A90"/>
    <w:rsid w:val="00283DF9"/>
    <w:rsid w:val="00284F69"/>
    <w:rsid w:val="00286688"/>
    <w:rsid w:val="00290365"/>
    <w:rsid w:val="00292717"/>
    <w:rsid w:val="00294041"/>
    <w:rsid w:val="002A1DF6"/>
    <w:rsid w:val="002A2C46"/>
    <w:rsid w:val="002C15B7"/>
    <w:rsid w:val="002C2788"/>
    <w:rsid w:val="002C2B25"/>
    <w:rsid w:val="002C78DD"/>
    <w:rsid w:val="002E08B1"/>
    <w:rsid w:val="002E4BE7"/>
    <w:rsid w:val="002E58E6"/>
    <w:rsid w:val="002E6DB9"/>
    <w:rsid w:val="002E88EB"/>
    <w:rsid w:val="002F2231"/>
    <w:rsid w:val="002F3472"/>
    <w:rsid w:val="002F37D6"/>
    <w:rsid w:val="002F482A"/>
    <w:rsid w:val="002F5BB7"/>
    <w:rsid w:val="0030118A"/>
    <w:rsid w:val="00302DBD"/>
    <w:rsid w:val="003059C2"/>
    <w:rsid w:val="00306BC8"/>
    <w:rsid w:val="00311F8E"/>
    <w:rsid w:val="00313C98"/>
    <w:rsid w:val="0031491C"/>
    <w:rsid w:val="003149AD"/>
    <w:rsid w:val="00326283"/>
    <w:rsid w:val="00327913"/>
    <w:rsid w:val="00327C89"/>
    <w:rsid w:val="0033096C"/>
    <w:rsid w:val="00332270"/>
    <w:rsid w:val="00332D81"/>
    <w:rsid w:val="00333789"/>
    <w:rsid w:val="00333B41"/>
    <w:rsid w:val="00334793"/>
    <w:rsid w:val="003357D1"/>
    <w:rsid w:val="003366D4"/>
    <w:rsid w:val="00341797"/>
    <w:rsid w:val="00344D39"/>
    <w:rsid w:val="0034735A"/>
    <w:rsid w:val="00351D93"/>
    <w:rsid w:val="00360324"/>
    <w:rsid w:val="003614E7"/>
    <w:rsid w:val="00366468"/>
    <w:rsid w:val="00370FCD"/>
    <w:rsid w:val="00377227"/>
    <w:rsid w:val="00377AE6"/>
    <w:rsid w:val="00380C3E"/>
    <w:rsid w:val="003822BA"/>
    <w:rsid w:val="00383C91"/>
    <w:rsid w:val="003842C9"/>
    <w:rsid w:val="00387A8D"/>
    <w:rsid w:val="0039162D"/>
    <w:rsid w:val="0039248F"/>
    <w:rsid w:val="003932FC"/>
    <w:rsid w:val="00394C13"/>
    <w:rsid w:val="003A2B18"/>
    <w:rsid w:val="003A5626"/>
    <w:rsid w:val="003A6045"/>
    <w:rsid w:val="003A658B"/>
    <w:rsid w:val="003A676F"/>
    <w:rsid w:val="003B053F"/>
    <w:rsid w:val="003B0C34"/>
    <w:rsid w:val="003C73B3"/>
    <w:rsid w:val="003D1EEA"/>
    <w:rsid w:val="003D265A"/>
    <w:rsid w:val="003D3236"/>
    <w:rsid w:val="003D754B"/>
    <w:rsid w:val="003E3318"/>
    <w:rsid w:val="003E4212"/>
    <w:rsid w:val="00404DA2"/>
    <w:rsid w:val="00406AD8"/>
    <w:rsid w:val="004138B6"/>
    <w:rsid w:val="00415202"/>
    <w:rsid w:val="00420BB4"/>
    <w:rsid w:val="00422752"/>
    <w:rsid w:val="004227F6"/>
    <w:rsid w:val="0042545D"/>
    <w:rsid w:val="00426534"/>
    <w:rsid w:val="00440751"/>
    <w:rsid w:val="00444B68"/>
    <w:rsid w:val="004454A0"/>
    <w:rsid w:val="00446949"/>
    <w:rsid w:val="004474B1"/>
    <w:rsid w:val="0045361D"/>
    <w:rsid w:val="00453A78"/>
    <w:rsid w:val="0045559C"/>
    <w:rsid w:val="00456742"/>
    <w:rsid w:val="00465AC9"/>
    <w:rsid w:val="004714F9"/>
    <w:rsid w:val="00472452"/>
    <w:rsid w:val="00474E06"/>
    <w:rsid w:val="004752A3"/>
    <w:rsid w:val="0047798F"/>
    <w:rsid w:val="00481251"/>
    <w:rsid w:val="004911A2"/>
    <w:rsid w:val="004936E2"/>
    <w:rsid w:val="004936E6"/>
    <w:rsid w:val="00497A9C"/>
    <w:rsid w:val="004A0F65"/>
    <w:rsid w:val="004A410D"/>
    <w:rsid w:val="004A77A7"/>
    <w:rsid w:val="004B6C1C"/>
    <w:rsid w:val="004C178A"/>
    <w:rsid w:val="004C30DE"/>
    <w:rsid w:val="004C4920"/>
    <w:rsid w:val="004C561D"/>
    <w:rsid w:val="004C6D45"/>
    <w:rsid w:val="004D20B6"/>
    <w:rsid w:val="004D4828"/>
    <w:rsid w:val="004D5678"/>
    <w:rsid w:val="004E43BD"/>
    <w:rsid w:val="004E733C"/>
    <w:rsid w:val="004E7A10"/>
    <w:rsid w:val="004F616E"/>
    <w:rsid w:val="004F76A3"/>
    <w:rsid w:val="005012D7"/>
    <w:rsid w:val="00503C0A"/>
    <w:rsid w:val="00503FD5"/>
    <w:rsid w:val="00507566"/>
    <w:rsid w:val="00513674"/>
    <w:rsid w:val="00515E31"/>
    <w:rsid w:val="005163BD"/>
    <w:rsid w:val="0051679B"/>
    <w:rsid w:val="005178FB"/>
    <w:rsid w:val="00520FB1"/>
    <w:rsid w:val="00521F40"/>
    <w:rsid w:val="0052500E"/>
    <w:rsid w:val="00525E8C"/>
    <w:rsid w:val="00527845"/>
    <w:rsid w:val="00527D40"/>
    <w:rsid w:val="005329CE"/>
    <w:rsid w:val="005334DD"/>
    <w:rsid w:val="00534DA4"/>
    <w:rsid w:val="005354F1"/>
    <w:rsid w:val="005405E1"/>
    <w:rsid w:val="00540A26"/>
    <w:rsid w:val="0054384F"/>
    <w:rsid w:val="005439E1"/>
    <w:rsid w:val="005472BD"/>
    <w:rsid w:val="00553BFE"/>
    <w:rsid w:val="005614DF"/>
    <w:rsid w:val="00565D03"/>
    <w:rsid w:val="00575130"/>
    <w:rsid w:val="00576D42"/>
    <w:rsid w:val="00577095"/>
    <w:rsid w:val="0058073E"/>
    <w:rsid w:val="00584DA3"/>
    <w:rsid w:val="0059184B"/>
    <w:rsid w:val="005919DC"/>
    <w:rsid w:val="005A6395"/>
    <w:rsid w:val="005A7026"/>
    <w:rsid w:val="005B0DEF"/>
    <w:rsid w:val="005B5979"/>
    <w:rsid w:val="005B7464"/>
    <w:rsid w:val="005C11A9"/>
    <w:rsid w:val="005C30F8"/>
    <w:rsid w:val="005C56E6"/>
    <w:rsid w:val="005D1C6F"/>
    <w:rsid w:val="005D260F"/>
    <w:rsid w:val="005D4D0B"/>
    <w:rsid w:val="005E0BD9"/>
    <w:rsid w:val="005E1247"/>
    <w:rsid w:val="005F4F24"/>
    <w:rsid w:val="005F5551"/>
    <w:rsid w:val="005F5678"/>
    <w:rsid w:val="00600EF2"/>
    <w:rsid w:val="0060301F"/>
    <w:rsid w:val="00605B59"/>
    <w:rsid w:val="00607B1C"/>
    <w:rsid w:val="00610096"/>
    <w:rsid w:val="0061035C"/>
    <w:rsid w:val="006121EE"/>
    <w:rsid w:val="0061321A"/>
    <w:rsid w:val="00616D3C"/>
    <w:rsid w:val="0062171C"/>
    <w:rsid w:val="00622225"/>
    <w:rsid w:val="00623A63"/>
    <w:rsid w:val="0063102B"/>
    <w:rsid w:val="00640330"/>
    <w:rsid w:val="006423F9"/>
    <w:rsid w:val="00646EDE"/>
    <w:rsid w:val="00651134"/>
    <w:rsid w:val="00651DDD"/>
    <w:rsid w:val="006672F5"/>
    <w:rsid w:val="0066746E"/>
    <w:rsid w:val="0067049C"/>
    <w:rsid w:val="00671D64"/>
    <w:rsid w:val="00673ED4"/>
    <w:rsid w:val="00676B92"/>
    <w:rsid w:val="00677A3B"/>
    <w:rsid w:val="0068017E"/>
    <w:rsid w:val="00684011"/>
    <w:rsid w:val="006844E3"/>
    <w:rsid w:val="006849EC"/>
    <w:rsid w:val="006B0B2B"/>
    <w:rsid w:val="006B1A55"/>
    <w:rsid w:val="006B582E"/>
    <w:rsid w:val="006B70ED"/>
    <w:rsid w:val="006B72E8"/>
    <w:rsid w:val="006C1156"/>
    <w:rsid w:val="006C1D67"/>
    <w:rsid w:val="006C2937"/>
    <w:rsid w:val="006C3BD1"/>
    <w:rsid w:val="006C5AFE"/>
    <w:rsid w:val="006C615B"/>
    <w:rsid w:val="006D0AA1"/>
    <w:rsid w:val="006D3711"/>
    <w:rsid w:val="006E3BE7"/>
    <w:rsid w:val="006E7A7C"/>
    <w:rsid w:val="006F4769"/>
    <w:rsid w:val="006F673E"/>
    <w:rsid w:val="0070008A"/>
    <w:rsid w:val="007001B9"/>
    <w:rsid w:val="0070062B"/>
    <w:rsid w:val="00703DD0"/>
    <w:rsid w:val="0070585F"/>
    <w:rsid w:val="00706411"/>
    <w:rsid w:val="007105BE"/>
    <w:rsid w:val="0071236B"/>
    <w:rsid w:val="007131DC"/>
    <w:rsid w:val="00713A5C"/>
    <w:rsid w:val="00713DC3"/>
    <w:rsid w:val="00720527"/>
    <w:rsid w:val="0072488B"/>
    <w:rsid w:val="00727037"/>
    <w:rsid w:val="00730A1B"/>
    <w:rsid w:val="00733739"/>
    <w:rsid w:val="007419FD"/>
    <w:rsid w:val="00746F6D"/>
    <w:rsid w:val="0075102E"/>
    <w:rsid w:val="0075106C"/>
    <w:rsid w:val="0075235C"/>
    <w:rsid w:val="00755248"/>
    <w:rsid w:val="00755C14"/>
    <w:rsid w:val="00761954"/>
    <w:rsid w:val="00767DF9"/>
    <w:rsid w:val="00772DF1"/>
    <w:rsid w:val="00773F7B"/>
    <w:rsid w:val="007766CC"/>
    <w:rsid w:val="00776825"/>
    <w:rsid w:val="00787D17"/>
    <w:rsid w:val="0079061A"/>
    <w:rsid w:val="00791BAC"/>
    <w:rsid w:val="007934A3"/>
    <w:rsid w:val="007A3071"/>
    <w:rsid w:val="007A6647"/>
    <w:rsid w:val="007B34C0"/>
    <w:rsid w:val="007B3FD8"/>
    <w:rsid w:val="007B564E"/>
    <w:rsid w:val="007B5ED9"/>
    <w:rsid w:val="007C0975"/>
    <w:rsid w:val="007C536B"/>
    <w:rsid w:val="007C634A"/>
    <w:rsid w:val="007C6E68"/>
    <w:rsid w:val="007D1659"/>
    <w:rsid w:val="007D3EA7"/>
    <w:rsid w:val="007D7A35"/>
    <w:rsid w:val="007E1485"/>
    <w:rsid w:val="007E20A0"/>
    <w:rsid w:val="007F0390"/>
    <w:rsid w:val="007F2F5E"/>
    <w:rsid w:val="007F7443"/>
    <w:rsid w:val="007F78FF"/>
    <w:rsid w:val="008058B9"/>
    <w:rsid w:val="00806AD0"/>
    <w:rsid w:val="0081042E"/>
    <w:rsid w:val="00810E11"/>
    <w:rsid w:val="008115CA"/>
    <w:rsid w:val="0081795B"/>
    <w:rsid w:val="008222C4"/>
    <w:rsid w:val="00832B0E"/>
    <w:rsid w:val="00835493"/>
    <w:rsid w:val="00842D4A"/>
    <w:rsid w:val="00843E9F"/>
    <w:rsid w:val="00844ACB"/>
    <w:rsid w:val="00845ABC"/>
    <w:rsid w:val="00846757"/>
    <w:rsid w:val="00852E89"/>
    <w:rsid w:val="00862497"/>
    <w:rsid w:val="00864521"/>
    <w:rsid w:val="00866550"/>
    <w:rsid w:val="00866D29"/>
    <w:rsid w:val="00880DD2"/>
    <w:rsid w:val="008812DA"/>
    <w:rsid w:val="00882F2D"/>
    <w:rsid w:val="00883F64"/>
    <w:rsid w:val="00887901"/>
    <w:rsid w:val="00891DEB"/>
    <w:rsid w:val="00895628"/>
    <w:rsid w:val="00895CF1"/>
    <w:rsid w:val="00897FBD"/>
    <w:rsid w:val="008A33B7"/>
    <w:rsid w:val="008A7186"/>
    <w:rsid w:val="008A72A1"/>
    <w:rsid w:val="008C0B99"/>
    <w:rsid w:val="008C531F"/>
    <w:rsid w:val="008C6AD4"/>
    <w:rsid w:val="008C7E90"/>
    <w:rsid w:val="008D242B"/>
    <w:rsid w:val="008D3AB7"/>
    <w:rsid w:val="008E2B65"/>
    <w:rsid w:val="008E3612"/>
    <w:rsid w:val="008E3883"/>
    <w:rsid w:val="008E4FD5"/>
    <w:rsid w:val="008E553D"/>
    <w:rsid w:val="008E5576"/>
    <w:rsid w:val="008E5C7D"/>
    <w:rsid w:val="008F5CB3"/>
    <w:rsid w:val="009007D8"/>
    <w:rsid w:val="00913410"/>
    <w:rsid w:val="009159BC"/>
    <w:rsid w:val="00924858"/>
    <w:rsid w:val="009310E0"/>
    <w:rsid w:val="009326F0"/>
    <w:rsid w:val="0093429D"/>
    <w:rsid w:val="00935F76"/>
    <w:rsid w:val="00936E11"/>
    <w:rsid w:val="0094135A"/>
    <w:rsid w:val="00941AA2"/>
    <w:rsid w:val="009440AC"/>
    <w:rsid w:val="00951506"/>
    <w:rsid w:val="00951A20"/>
    <w:rsid w:val="00951DE9"/>
    <w:rsid w:val="00955AC5"/>
    <w:rsid w:val="00955B0A"/>
    <w:rsid w:val="009566D9"/>
    <w:rsid w:val="00957838"/>
    <w:rsid w:val="00964A76"/>
    <w:rsid w:val="00971B56"/>
    <w:rsid w:val="00974A64"/>
    <w:rsid w:val="00974F86"/>
    <w:rsid w:val="0097579B"/>
    <w:rsid w:val="009860BB"/>
    <w:rsid w:val="009900C7"/>
    <w:rsid w:val="009A73EA"/>
    <w:rsid w:val="009B5129"/>
    <w:rsid w:val="009C3319"/>
    <w:rsid w:val="009C3B72"/>
    <w:rsid w:val="009C42FC"/>
    <w:rsid w:val="009C5E2F"/>
    <w:rsid w:val="009D2303"/>
    <w:rsid w:val="009D29BB"/>
    <w:rsid w:val="009D6970"/>
    <w:rsid w:val="009D7611"/>
    <w:rsid w:val="009E2CEE"/>
    <w:rsid w:val="009E5386"/>
    <w:rsid w:val="009F2D38"/>
    <w:rsid w:val="009F3015"/>
    <w:rsid w:val="009F47AB"/>
    <w:rsid w:val="009F5C5D"/>
    <w:rsid w:val="00A01573"/>
    <w:rsid w:val="00A0277C"/>
    <w:rsid w:val="00A03B1B"/>
    <w:rsid w:val="00A0614E"/>
    <w:rsid w:val="00A07CFE"/>
    <w:rsid w:val="00A15223"/>
    <w:rsid w:val="00A15CF2"/>
    <w:rsid w:val="00A20DA4"/>
    <w:rsid w:val="00A25614"/>
    <w:rsid w:val="00A25FA3"/>
    <w:rsid w:val="00A27235"/>
    <w:rsid w:val="00A273CC"/>
    <w:rsid w:val="00A36E41"/>
    <w:rsid w:val="00A41469"/>
    <w:rsid w:val="00A42198"/>
    <w:rsid w:val="00A43E74"/>
    <w:rsid w:val="00A46CE3"/>
    <w:rsid w:val="00A50689"/>
    <w:rsid w:val="00A62BB5"/>
    <w:rsid w:val="00A63738"/>
    <w:rsid w:val="00A63C1B"/>
    <w:rsid w:val="00A7202F"/>
    <w:rsid w:val="00A87513"/>
    <w:rsid w:val="00A877D2"/>
    <w:rsid w:val="00A87FB5"/>
    <w:rsid w:val="00A901D6"/>
    <w:rsid w:val="00A902C7"/>
    <w:rsid w:val="00A926D0"/>
    <w:rsid w:val="00A94BF6"/>
    <w:rsid w:val="00A9532F"/>
    <w:rsid w:val="00A96741"/>
    <w:rsid w:val="00AA2E0D"/>
    <w:rsid w:val="00AA3980"/>
    <w:rsid w:val="00AA54BC"/>
    <w:rsid w:val="00AA79EC"/>
    <w:rsid w:val="00AB3340"/>
    <w:rsid w:val="00AB4EEB"/>
    <w:rsid w:val="00AC0BD4"/>
    <w:rsid w:val="00AC1074"/>
    <w:rsid w:val="00AC6701"/>
    <w:rsid w:val="00AC6F09"/>
    <w:rsid w:val="00AC7DEF"/>
    <w:rsid w:val="00AD13AA"/>
    <w:rsid w:val="00AD34B6"/>
    <w:rsid w:val="00AD77A7"/>
    <w:rsid w:val="00AE7E70"/>
    <w:rsid w:val="00AF0CFD"/>
    <w:rsid w:val="00AF1B59"/>
    <w:rsid w:val="00AF32D6"/>
    <w:rsid w:val="00B01299"/>
    <w:rsid w:val="00B01544"/>
    <w:rsid w:val="00B04382"/>
    <w:rsid w:val="00B05CDA"/>
    <w:rsid w:val="00B06FD6"/>
    <w:rsid w:val="00B07379"/>
    <w:rsid w:val="00B07836"/>
    <w:rsid w:val="00B12CAB"/>
    <w:rsid w:val="00B12E56"/>
    <w:rsid w:val="00B13458"/>
    <w:rsid w:val="00B15786"/>
    <w:rsid w:val="00B15843"/>
    <w:rsid w:val="00B2147F"/>
    <w:rsid w:val="00B22B10"/>
    <w:rsid w:val="00B232A2"/>
    <w:rsid w:val="00B24006"/>
    <w:rsid w:val="00B3037A"/>
    <w:rsid w:val="00B32720"/>
    <w:rsid w:val="00B35418"/>
    <w:rsid w:val="00B35EE0"/>
    <w:rsid w:val="00B438BD"/>
    <w:rsid w:val="00B462CC"/>
    <w:rsid w:val="00B525BC"/>
    <w:rsid w:val="00B67805"/>
    <w:rsid w:val="00B76B2B"/>
    <w:rsid w:val="00B77D71"/>
    <w:rsid w:val="00B8319C"/>
    <w:rsid w:val="00B840A4"/>
    <w:rsid w:val="00B90E9A"/>
    <w:rsid w:val="00B92B78"/>
    <w:rsid w:val="00B93A2F"/>
    <w:rsid w:val="00B94C50"/>
    <w:rsid w:val="00B97D7F"/>
    <w:rsid w:val="00BA053F"/>
    <w:rsid w:val="00BA1E29"/>
    <w:rsid w:val="00BA240B"/>
    <w:rsid w:val="00BA45EC"/>
    <w:rsid w:val="00BA59C9"/>
    <w:rsid w:val="00BA6DDB"/>
    <w:rsid w:val="00BA745A"/>
    <w:rsid w:val="00BB4C36"/>
    <w:rsid w:val="00BB4C79"/>
    <w:rsid w:val="00BC342D"/>
    <w:rsid w:val="00BC4FF4"/>
    <w:rsid w:val="00BC581C"/>
    <w:rsid w:val="00BC65C0"/>
    <w:rsid w:val="00BC71E2"/>
    <w:rsid w:val="00BC7CE1"/>
    <w:rsid w:val="00BD3573"/>
    <w:rsid w:val="00BD35B0"/>
    <w:rsid w:val="00BD5764"/>
    <w:rsid w:val="00BD6311"/>
    <w:rsid w:val="00BE01D0"/>
    <w:rsid w:val="00BF363A"/>
    <w:rsid w:val="00BF5ED4"/>
    <w:rsid w:val="00BF69E7"/>
    <w:rsid w:val="00BF726E"/>
    <w:rsid w:val="00C00B9F"/>
    <w:rsid w:val="00C05441"/>
    <w:rsid w:val="00C1075A"/>
    <w:rsid w:val="00C14DA8"/>
    <w:rsid w:val="00C15415"/>
    <w:rsid w:val="00C160C1"/>
    <w:rsid w:val="00C17294"/>
    <w:rsid w:val="00C21CB3"/>
    <w:rsid w:val="00C22BC5"/>
    <w:rsid w:val="00C23E06"/>
    <w:rsid w:val="00C257CF"/>
    <w:rsid w:val="00C25A7C"/>
    <w:rsid w:val="00C33554"/>
    <w:rsid w:val="00C37893"/>
    <w:rsid w:val="00C45930"/>
    <w:rsid w:val="00C47888"/>
    <w:rsid w:val="00C5018F"/>
    <w:rsid w:val="00C568FC"/>
    <w:rsid w:val="00C60B71"/>
    <w:rsid w:val="00C6120E"/>
    <w:rsid w:val="00C63022"/>
    <w:rsid w:val="00C63B6E"/>
    <w:rsid w:val="00C63BDD"/>
    <w:rsid w:val="00C64755"/>
    <w:rsid w:val="00C66A75"/>
    <w:rsid w:val="00C67C90"/>
    <w:rsid w:val="00C71EB7"/>
    <w:rsid w:val="00C72E6C"/>
    <w:rsid w:val="00C741D5"/>
    <w:rsid w:val="00C743F6"/>
    <w:rsid w:val="00C749A3"/>
    <w:rsid w:val="00C766A4"/>
    <w:rsid w:val="00C80FBF"/>
    <w:rsid w:val="00C81FD9"/>
    <w:rsid w:val="00C90889"/>
    <w:rsid w:val="00C93E03"/>
    <w:rsid w:val="00C948E8"/>
    <w:rsid w:val="00C94958"/>
    <w:rsid w:val="00C94C3D"/>
    <w:rsid w:val="00C95254"/>
    <w:rsid w:val="00CA0B80"/>
    <w:rsid w:val="00CA2A83"/>
    <w:rsid w:val="00CB0656"/>
    <w:rsid w:val="00CB1B9D"/>
    <w:rsid w:val="00CB2425"/>
    <w:rsid w:val="00CB475A"/>
    <w:rsid w:val="00CB5D9E"/>
    <w:rsid w:val="00CB77B0"/>
    <w:rsid w:val="00CC3410"/>
    <w:rsid w:val="00CC4714"/>
    <w:rsid w:val="00CC536D"/>
    <w:rsid w:val="00CC7E22"/>
    <w:rsid w:val="00CD4F69"/>
    <w:rsid w:val="00CD6073"/>
    <w:rsid w:val="00CD6D8A"/>
    <w:rsid w:val="00CE115C"/>
    <w:rsid w:val="00CE246E"/>
    <w:rsid w:val="00CE61AB"/>
    <w:rsid w:val="00CE719D"/>
    <w:rsid w:val="00D005E7"/>
    <w:rsid w:val="00D0116B"/>
    <w:rsid w:val="00D019FA"/>
    <w:rsid w:val="00D02526"/>
    <w:rsid w:val="00D06D28"/>
    <w:rsid w:val="00D07720"/>
    <w:rsid w:val="00D107E8"/>
    <w:rsid w:val="00D11358"/>
    <w:rsid w:val="00D1168A"/>
    <w:rsid w:val="00D13244"/>
    <w:rsid w:val="00D148D3"/>
    <w:rsid w:val="00D1588A"/>
    <w:rsid w:val="00D206CD"/>
    <w:rsid w:val="00D22CBD"/>
    <w:rsid w:val="00D24B32"/>
    <w:rsid w:val="00D326F3"/>
    <w:rsid w:val="00D412F6"/>
    <w:rsid w:val="00D448A5"/>
    <w:rsid w:val="00D47953"/>
    <w:rsid w:val="00D52DDF"/>
    <w:rsid w:val="00D66666"/>
    <w:rsid w:val="00D7214C"/>
    <w:rsid w:val="00D7328A"/>
    <w:rsid w:val="00D73D18"/>
    <w:rsid w:val="00D73E47"/>
    <w:rsid w:val="00D74A3C"/>
    <w:rsid w:val="00D753D8"/>
    <w:rsid w:val="00D761FC"/>
    <w:rsid w:val="00D81EE0"/>
    <w:rsid w:val="00D8430C"/>
    <w:rsid w:val="00D92C98"/>
    <w:rsid w:val="00DA03C2"/>
    <w:rsid w:val="00DA4108"/>
    <w:rsid w:val="00DA63F9"/>
    <w:rsid w:val="00DA6F0E"/>
    <w:rsid w:val="00DB047B"/>
    <w:rsid w:val="00DB2BDC"/>
    <w:rsid w:val="00DB45AA"/>
    <w:rsid w:val="00DB480A"/>
    <w:rsid w:val="00DB4BA8"/>
    <w:rsid w:val="00DC083E"/>
    <w:rsid w:val="00DC5104"/>
    <w:rsid w:val="00DC7F22"/>
    <w:rsid w:val="00DD1A25"/>
    <w:rsid w:val="00DD365D"/>
    <w:rsid w:val="00DE32D7"/>
    <w:rsid w:val="00DE3DF8"/>
    <w:rsid w:val="00DF14AF"/>
    <w:rsid w:val="00DF6E83"/>
    <w:rsid w:val="00E0446F"/>
    <w:rsid w:val="00E050B2"/>
    <w:rsid w:val="00E067BE"/>
    <w:rsid w:val="00E10C0F"/>
    <w:rsid w:val="00E120E0"/>
    <w:rsid w:val="00E13E56"/>
    <w:rsid w:val="00E1519F"/>
    <w:rsid w:val="00E15B06"/>
    <w:rsid w:val="00E16EB8"/>
    <w:rsid w:val="00E21072"/>
    <w:rsid w:val="00E21612"/>
    <w:rsid w:val="00E261B1"/>
    <w:rsid w:val="00E27E1C"/>
    <w:rsid w:val="00E35BFE"/>
    <w:rsid w:val="00E36B75"/>
    <w:rsid w:val="00E409EC"/>
    <w:rsid w:val="00E43A80"/>
    <w:rsid w:val="00E445B1"/>
    <w:rsid w:val="00E44BE1"/>
    <w:rsid w:val="00E47B88"/>
    <w:rsid w:val="00E51B2F"/>
    <w:rsid w:val="00E5218B"/>
    <w:rsid w:val="00E5562B"/>
    <w:rsid w:val="00E5574E"/>
    <w:rsid w:val="00E574B7"/>
    <w:rsid w:val="00E61E4A"/>
    <w:rsid w:val="00E64E76"/>
    <w:rsid w:val="00E737C6"/>
    <w:rsid w:val="00E74CA0"/>
    <w:rsid w:val="00E77A62"/>
    <w:rsid w:val="00E803D8"/>
    <w:rsid w:val="00E85AA3"/>
    <w:rsid w:val="00E85C57"/>
    <w:rsid w:val="00E90F7A"/>
    <w:rsid w:val="00E92318"/>
    <w:rsid w:val="00E94C7E"/>
    <w:rsid w:val="00E96872"/>
    <w:rsid w:val="00E96AAF"/>
    <w:rsid w:val="00EA00DE"/>
    <w:rsid w:val="00EB0410"/>
    <w:rsid w:val="00EB2471"/>
    <w:rsid w:val="00EC0D10"/>
    <w:rsid w:val="00ED0948"/>
    <w:rsid w:val="00ED12D7"/>
    <w:rsid w:val="00ED490F"/>
    <w:rsid w:val="00ED6995"/>
    <w:rsid w:val="00EE4D86"/>
    <w:rsid w:val="00EF10B7"/>
    <w:rsid w:val="00EF1D3C"/>
    <w:rsid w:val="00EF37FA"/>
    <w:rsid w:val="00EF650E"/>
    <w:rsid w:val="00F007B0"/>
    <w:rsid w:val="00F01D33"/>
    <w:rsid w:val="00F031D8"/>
    <w:rsid w:val="00F10684"/>
    <w:rsid w:val="00F11A9E"/>
    <w:rsid w:val="00F142A4"/>
    <w:rsid w:val="00F20245"/>
    <w:rsid w:val="00F20E47"/>
    <w:rsid w:val="00F21964"/>
    <w:rsid w:val="00F22A11"/>
    <w:rsid w:val="00F23282"/>
    <w:rsid w:val="00F24CD8"/>
    <w:rsid w:val="00F33039"/>
    <w:rsid w:val="00F35A2C"/>
    <w:rsid w:val="00F3783E"/>
    <w:rsid w:val="00F425FD"/>
    <w:rsid w:val="00F42B39"/>
    <w:rsid w:val="00F43B3B"/>
    <w:rsid w:val="00F47E74"/>
    <w:rsid w:val="00F50738"/>
    <w:rsid w:val="00F54562"/>
    <w:rsid w:val="00F60926"/>
    <w:rsid w:val="00F6109A"/>
    <w:rsid w:val="00F64836"/>
    <w:rsid w:val="00F67CB6"/>
    <w:rsid w:val="00F72E94"/>
    <w:rsid w:val="00F74BB2"/>
    <w:rsid w:val="00F75A7E"/>
    <w:rsid w:val="00F77079"/>
    <w:rsid w:val="00F81915"/>
    <w:rsid w:val="00F8208D"/>
    <w:rsid w:val="00F90059"/>
    <w:rsid w:val="00F93C38"/>
    <w:rsid w:val="00F966B2"/>
    <w:rsid w:val="00F9791C"/>
    <w:rsid w:val="00FA09D6"/>
    <w:rsid w:val="00FA3A03"/>
    <w:rsid w:val="00FB2429"/>
    <w:rsid w:val="00FB4482"/>
    <w:rsid w:val="00FB473F"/>
    <w:rsid w:val="00FB4B04"/>
    <w:rsid w:val="00FB5966"/>
    <w:rsid w:val="00FB5B4F"/>
    <w:rsid w:val="00FB72F4"/>
    <w:rsid w:val="00FC15F8"/>
    <w:rsid w:val="00FC46C8"/>
    <w:rsid w:val="00FC5C64"/>
    <w:rsid w:val="00FC7EF4"/>
    <w:rsid w:val="00FD1E09"/>
    <w:rsid w:val="00FD21EB"/>
    <w:rsid w:val="00FD6F6F"/>
    <w:rsid w:val="00FE0294"/>
    <w:rsid w:val="00FE44B0"/>
    <w:rsid w:val="00FF1A12"/>
    <w:rsid w:val="00FF3EAA"/>
    <w:rsid w:val="00FF5962"/>
    <w:rsid w:val="00FF5F2E"/>
    <w:rsid w:val="0143F83E"/>
    <w:rsid w:val="04080690"/>
    <w:rsid w:val="05B7B27D"/>
    <w:rsid w:val="06348CD2"/>
    <w:rsid w:val="0B9EC624"/>
    <w:rsid w:val="0BF1B5E8"/>
    <w:rsid w:val="0C689E00"/>
    <w:rsid w:val="0E468F23"/>
    <w:rsid w:val="0EFFE5F8"/>
    <w:rsid w:val="1010ABC9"/>
    <w:rsid w:val="11F28CCE"/>
    <w:rsid w:val="1209DB95"/>
    <w:rsid w:val="12F8A4F5"/>
    <w:rsid w:val="13029F4C"/>
    <w:rsid w:val="1484B2D5"/>
    <w:rsid w:val="172D3022"/>
    <w:rsid w:val="1B1D4FDB"/>
    <w:rsid w:val="1B6081FA"/>
    <w:rsid w:val="1BB61048"/>
    <w:rsid w:val="1BE4DE9A"/>
    <w:rsid w:val="1C6225C5"/>
    <w:rsid w:val="1C7BE402"/>
    <w:rsid w:val="1EC3B1E3"/>
    <w:rsid w:val="212F1221"/>
    <w:rsid w:val="284CECD8"/>
    <w:rsid w:val="2AD83F49"/>
    <w:rsid w:val="2BAE96BF"/>
    <w:rsid w:val="2CF21AF4"/>
    <w:rsid w:val="2D6FD7C2"/>
    <w:rsid w:val="2ECF0361"/>
    <w:rsid w:val="31134DD0"/>
    <w:rsid w:val="313DD6DD"/>
    <w:rsid w:val="31582499"/>
    <w:rsid w:val="3166ECE3"/>
    <w:rsid w:val="32D1C3B3"/>
    <w:rsid w:val="34B08BC7"/>
    <w:rsid w:val="35084FBC"/>
    <w:rsid w:val="3AB46B9D"/>
    <w:rsid w:val="3BCCB4A9"/>
    <w:rsid w:val="3C21EA50"/>
    <w:rsid w:val="3C5F44C8"/>
    <w:rsid w:val="3CC25AAA"/>
    <w:rsid w:val="3CE70E95"/>
    <w:rsid w:val="3CFF476D"/>
    <w:rsid w:val="3D75BCD4"/>
    <w:rsid w:val="3F36C200"/>
    <w:rsid w:val="415CB2E0"/>
    <w:rsid w:val="4310CF47"/>
    <w:rsid w:val="44222AFB"/>
    <w:rsid w:val="4486B7CE"/>
    <w:rsid w:val="44DCE994"/>
    <w:rsid w:val="458A616C"/>
    <w:rsid w:val="46757E34"/>
    <w:rsid w:val="49ACF822"/>
    <w:rsid w:val="4A24B9A2"/>
    <w:rsid w:val="4B6BAC69"/>
    <w:rsid w:val="515AAA6C"/>
    <w:rsid w:val="54AA779C"/>
    <w:rsid w:val="55056D2A"/>
    <w:rsid w:val="56ECD4D2"/>
    <w:rsid w:val="57F1CA06"/>
    <w:rsid w:val="5A00CEF7"/>
    <w:rsid w:val="5AC02B59"/>
    <w:rsid w:val="5B5CFCA5"/>
    <w:rsid w:val="5B89CA53"/>
    <w:rsid w:val="5CE3C05B"/>
    <w:rsid w:val="6094B337"/>
    <w:rsid w:val="61D9A72C"/>
    <w:rsid w:val="61F2AFE6"/>
    <w:rsid w:val="62F773E1"/>
    <w:rsid w:val="65B10CC0"/>
    <w:rsid w:val="65D5536E"/>
    <w:rsid w:val="66776429"/>
    <w:rsid w:val="6962B8B9"/>
    <w:rsid w:val="6A5F61B8"/>
    <w:rsid w:val="6D6B73EF"/>
    <w:rsid w:val="6DACA0D5"/>
    <w:rsid w:val="6DE94567"/>
    <w:rsid w:val="6E58B2B8"/>
    <w:rsid w:val="6F891005"/>
    <w:rsid w:val="7140CBB7"/>
    <w:rsid w:val="72051807"/>
    <w:rsid w:val="742546A0"/>
    <w:rsid w:val="744487BB"/>
    <w:rsid w:val="7473B319"/>
    <w:rsid w:val="748B4F7A"/>
    <w:rsid w:val="77516072"/>
    <w:rsid w:val="789E86F1"/>
    <w:rsid w:val="78D46582"/>
    <w:rsid w:val="7AEFCD59"/>
    <w:rsid w:val="7DCFBF53"/>
    <w:rsid w:val="7F2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16278B9"/>
  <w15:docId w15:val="{09348A5D-99B3-4717-B153-E1E16B76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2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mallCaps/>
      <w:sz w:val="24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2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Cs/>
      <w:i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2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Cs/>
      <w:i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Cs/>
      <w:iCs/>
      <w:sz w:val="24"/>
      <w:szCs w:val="20"/>
      <w:lang w:eastAsia="en-GB"/>
    </w:rPr>
  </w:style>
  <w:style w:type="paragraph" w:styleId="FootnoteText">
    <w:name w:val="footnote text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unhideWhenUsed/>
    <w:rPr>
      <w:shd w:val="clear" w:color="auto" w:fill="auto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AARText">
    <w:name w:val="AAR Text"/>
    <w:basedOn w:val="Normal"/>
    <w:link w:val="AARTextChar"/>
    <w:qFormat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customStyle="1" w:styleId="AARTextChar">
    <w:name w:val="AAR Text Char"/>
    <w:link w:val="AARText"/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Default">
    <w:name w:val="Default"/>
    <w:basedOn w:val="Normal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ecurityMarking">
    <w:name w:val="SecurityMarking"/>
    <w:basedOn w:val="Normal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HeaderSensitivityRight">
    <w:name w:val="Header Sensitivity Right"/>
    <w:basedOn w:val="Normal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normaltextrun">
    <w:name w:val="normaltextrun"/>
    <w:basedOn w:val="DefaultParagraphFont"/>
  </w:style>
  <w:style w:type="character" w:customStyle="1" w:styleId="findhit">
    <w:name w:val="findhit"/>
    <w:basedOn w:val="DefaultParagraphFont"/>
  </w:style>
  <w:style w:type="paragraph" w:customStyle="1" w:styleId="Typedudocument">
    <w:name w:val="Type du document"/>
    <w:basedOn w:val="Normal"/>
    <w:next w:val="Normal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itreobjet">
    <w:name w:val="Titre objet"/>
    <w:basedOn w:val="Normal"/>
    <w:next w:val="Normal"/>
    <w:pPr>
      <w:spacing w:before="360" w:after="3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Normal1">
    <w:name w:val="Normal1"/>
    <w:basedOn w:val="Normal"/>
    <w:rsid w:val="0078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italic">
    <w:name w:val="italic"/>
    <w:basedOn w:val="DefaultParagraphFont"/>
    <w:rsid w:val="00787D17"/>
  </w:style>
  <w:style w:type="paragraph" w:customStyle="1" w:styleId="ti-art">
    <w:name w:val="ti-art"/>
    <w:basedOn w:val="Normal"/>
    <w:rsid w:val="009D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NormalWeb">
    <w:name w:val="Normal (Web)"/>
    <w:basedOn w:val="Normal"/>
    <w:uiPriority w:val="99"/>
    <w:unhideWhenUsed/>
    <w:rsid w:val="0005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customStyle="1" w:styleId="Planning2022TableOutput-Indicator-Target">
    <w:name w:val="[Planning 2022] Table Output-Indicator-Target"/>
    <w:basedOn w:val="TableNormal"/>
    <w:uiPriority w:val="99"/>
    <w:rsid w:val="00007324"/>
    <w:pPr>
      <w:keepLines/>
      <w:spacing w:before="40" w:after="40" w:line="264" w:lineRule="auto"/>
    </w:pPr>
    <w:rPr>
      <w:rFonts w:ascii="EC Square Sans Pro" w:eastAsiaTheme="minorEastAsia" w:hAnsi="EC Square Sans Pro"/>
      <w:sz w:val="20"/>
      <w:szCs w:val="24"/>
      <w:lang w:eastAsia="nl-BE"/>
    </w:rPr>
    <w:tblPr>
      <w:tblStyleRowBandSize w:val="1"/>
      <w:tblStyleColBandSize w:val="1"/>
      <w:tblBorders>
        <w:top w:val="single" w:sz="4" w:space="0" w:color="8C8C8C"/>
        <w:left w:val="single" w:sz="4" w:space="0" w:color="8C8C8C"/>
        <w:bottom w:val="single" w:sz="4" w:space="0" w:color="8C8C8C"/>
        <w:right w:val="single" w:sz="4" w:space="0" w:color="8C8C8C"/>
        <w:insideH w:val="single" w:sz="4" w:space="0" w:color="8C8C8C"/>
        <w:insideV w:val="single" w:sz="4" w:space="0" w:color="8C8C8C"/>
      </w:tblBorders>
    </w:tblPr>
    <w:tcPr>
      <w:shd w:val="clear" w:color="auto" w:fill="F2F2F2"/>
    </w:tcPr>
    <w:tblStylePr w:type="firstRow">
      <w:pPr>
        <w:keepNext/>
        <w:keepLines/>
        <w:wordWrap/>
        <w:spacing w:beforeLines="0" w:before="40" w:beforeAutospacing="0" w:afterLines="0" w:after="40" w:afterAutospacing="0" w:line="264" w:lineRule="auto"/>
        <w:ind w:leftChars="0" w:left="0" w:rightChars="0" w:right="57" w:firstLineChars="0" w:firstLine="0"/>
        <w:jc w:val="left"/>
        <w:outlineLvl w:val="9"/>
      </w:pPr>
      <w:rPr>
        <w:rFonts w:ascii="EC Square Sans Pro" w:hAnsi="EC Square Sans Pro"/>
        <w:color w:val="000000" w:themeColor="text1"/>
      </w:rPr>
    </w:tblStylePr>
  </w:style>
  <w:style w:type="paragraph" w:customStyle="1" w:styleId="OPTABLEText">
    <w:name w:val="OP_TABLE Text"/>
    <w:basedOn w:val="Normal"/>
    <w:next w:val="Normal"/>
    <w:qFormat/>
    <w:rsid w:val="00007324"/>
    <w:pPr>
      <w:spacing w:before="40" w:after="40" w:line="264" w:lineRule="auto"/>
    </w:pPr>
    <w:rPr>
      <w:rFonts w:ascii="EC Square Sans Pro" w:eastAsiaTheme="minorEastAsia" w:hAnsi="EC Square Sans Pro"/>
      <w:sz w:val="20"/>
      <w:szCs w:val="24"/>
      <w:lang w:eastAsia="nl-BE"/>
    </w:rPr>
  </w:style>
  <w:style w:type="character" w:styleId="Hyperlink">
    <w:name w:val="Hyperlink"/>
    <w:basedOn w:val="DefaultParagraphFont"/>
    <w:uiPriority w:val="99"/>
    <w:unhideWhenUsed/>
    <w:rsid w:val="00A015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54A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2B0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5E8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1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21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4768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mmission.europa.eu/publications/delivering-eu-support-cyprus-settlement-legacy-and-vision_en?prefLang=fi" TargetMode="External"/><Relationship Id="rId1" Type="http://schemas.openxmlformats.org/officeDocument/2006/relationships/hyperlink" Target="https://commission.europa.eu/publications/aid-programme-decision-2024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aa30d10d-b30d-4a7a-9d26-d2ca493895f6" xsi:nil="true"/>
    <_Status xmlns="http://schemas.microsoft.com/sharepoint/v3/fields">Not Started</_Status>
    <EC_Collab_DocumentLanguage xmlns="aa30d10d-b30d-4a7a-9d26-d2ca493895f6">EN</EC_Collab_DocumentLanguage>
    <EC_Collab_Status xmlns="aa30d10d-b30d-4a7a-9d26-d2ca493895f6">Draft</EC_Collab_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4C19CB19FD2FBA47808508DA40B1A876" ma:contentTypeVersion="2" ma:contentTypeDescription="Create a new document in this library." ma:contentTypeScope="" ma:versionID="3923189a794b5493b2b4295a40120092">
  <xsd:schema xmlns:xsd="http://www.w3.org/2001/XMLSchema" xmlns:xs="http://www.w3.org/2001/XMLSchema" xmlns:p="http://schemas.microsoft.com/office/2006/metadata/properties" xmlns:ns2="http://schemas.microsoft.com/sharepoint/v3/fields" xmlns:ns3="aa30d10d-b30d-4a7a-9d26-d2ca493895f6" xmlns:ns4="dff91fe5-b91d-4940-8e43-17920bc15740" targetNamespace="http://schemas.microsoft.com/office/2006/metadata/properties" ma:root="true" ma:fieldsID="b495899bcf3fe2d0e418b1137719a0ba" ns2:_="" ns3:_="" ns4:_="">
    <xsd:import namespace="http://schemas.microsoft.com/sharepoint/v3/fields"/>
    <xsd:import namespace="aa30d10d-b30d-4a7a-9d26-d2ca493895f6"/>
    <xsd:import namespace="dff91fe5-b91d-4940-8e43-17920bc15740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0d10d-b30d-4a7a-9d26-d2ca493895f6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91fe5-b91d-4940-8e43-17920bc157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AE56-06A4-44AA-AB25-C70E985840EA}">
  <ds:schemaRefs>
    <ds:schemaRef ds:uri="http://schemas.microsoft.com/office/2006/metadata/properties"/>
    <ds:schemaRef ds:uri="http://schemas.microsoft.com/office/infopath/2007/PartnerControls"/>
    <ds:schemaRef ds:uri="aa30d10d-b30d-4a7a-9d26-d2ca493895f6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BB4D4A71-7EFF-41BD-B72F-E19245449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aa30d10d-b30d-4a7a-9d26-d2ca493895f6"/>
    <ds:schemaRef ds:uri="dff91fe5-b91d-4940-8e43-17920bc15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DEA5A-CF41-4EFB-8C5D-D09D1001C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425C0-A69C-4C81-ABDF-64231B65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Aid Report 2022</vt:lpstr>
    </vt:vector>
  </TitlesOfParts>
  <Manager/>
  <Company/>
  <LinksUpToDate>false</LinksUpToDate>
  <CharactersWithSpaces>24923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 Report 2022</dc:title>
  <dc:subject/>
  <dc:creator/>
  <cp:keywords/>
  <dc:description/>
  <cp:lastModifiedBy>EC CoDe</cp:lastModifiedBy>
  <cp:revision>12</cp:revision>
  <cp:lastPrinted>2023-04-25T14:16:00Z</cp:lastPrinted>
  <dcterms:created xsi:type="dcterms:W3CDTF">2025-05-18T20:12:00Z</dcterms:created>
  <dcterms:modified xsi:type="dcterms:W3CDTF">2025-06-26T08:25:00Z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Last edited using">
    <vt:lpwstr>LW 9.1, Build 20240808</vt:lpwstr>
  </property>
  <property fmtid="{D5CDD505-2E9C-101B-9397-08002B2CF9AE}" pid="7" name="Created using">
    <vt:lpwstr>LW 6.0.1, Build 20180503</vt:lpwstr>
  </property>
  <property fmtid="{D5CDD505-2E9C-101B-9397-08002B2CF9AE}" pid="8" name="Offisync_ProviderInitializationData">
    <vt:lpwstr>https://webgate.ec.europa.eu/connected</vt:lpwstr>
  </property>
  <property fmtid="{D5CDD505-2E9C-101B-9397-08002B2CF9AE}" pid="9" name="Offisync_ServerID">
    <vt:lpwstr>0d3b22a6-6203-4efc-8e8e-b5279256493b</vt:lpwstr>
  </property>
  <property fmtid="{D5CDD505-2E9C-101B-9397-08002B2CF9AE}" pid="10" name="Offisync_UniqueId">
    <vt:lpwstr>220926</vt:lpwstr>
  </property>
  <property fmtid="{D5CDD505-2E9C-101B-9397-08002B2CF9AE}" pid="11" name="Offisync_UpdateToken">
    <vt:lpwstr>742</vt:lpwstr>
  </property>
  <property fmtid="{D5CDD505-2E9C-101B-9397-08002B2CF9AE}" pid="12" name="Jive_LatestUserAccountName">
    <vt:lpwstr>dochemi</vt:lpwstr>
  </property>
  <property fmtid="{D5CDD505-2E9C-101B-9397-08002B2CF9AE}" pid="13" name="Jive_VersionGuid">
    <vt:lpwstr>a84ca07f-d499-481c-8b60-853de55b10db</vt:lpwstr>
  </property>
  <property fmtid="{D5CDD505-2E9C-101B-9397-08002B2CF9AE}" pid="14" name="CPTemplateID">
    <vt:lpwstr>CP-006</vt:lpwstr>
  </property>
  <property fmtid="{D5CDD505-2E9C-101B-9397-08002B2CF9AE}" pid="15" name="_LW_INVALIDATED__LW_INVALIDATED__LW_INVALIDATED__LW_INVALIDATED_ContentTypeId">
    <vt:lpwstr>0x01010062DF5834DAC63F45A019F166D171546C</vt:lpwstr>
  </property>
  <property fmtid="{D5CDD505-2E9C-101B-9397-08002B2CF9AE}" pid="16" name="ContentTypeId">
    <vt:lpwstr>0x010100258AA79CEB83498886A3A08681123250004C19CB19FD2FBA47808508DA40B1A876</vt:lpwstr>
  </property>
  <property fmtid="{D5CDD505-2E9C-101B-9397-08002B2CF9AE}" pid="17" name="MSIP_Label_6bd9ddd1-4d20-43f6-abfa-fc3c07406f94_Enabled">
    <vt:lpwstr>true</vt:lpwstr>
  </property>
  <property fmtid="{D5CDD505-2E9C-101B-9397-08002B2CF9AE}" pid="18" name="MSIP_Label_6bd9ddd1-4d20-43f6-abfa-fc3c07406f94_SetDate">
    <vt:lpwstr>2022-05-04T15:59:11Z</vt:lpwstr>
  </property>
  <property fmtid="{D5CDD505-2E9C-101B-9397-08002B2CF9AE}" pid="19" name="MSIP_Label_6bd9ddd1-4d20-43f6-abfa-fc3c07406f94_Method">
    <vt:lpwstr>Standard</vt:lpwstr>
  </property>
  <property fmtid="{D5CDD505-2E9C-101B-9397-08002B2CF9AE}" pid="20" name="MSIP_Label_6bd9ddd1-4d20-43f6-abfa-fc3c07406f94_Name">
    <vt:lpwstr>Commission Use</vt:lpwstr>
  </property>
  <property fmtid="{D5CDD505-2E9C-101B-9397-08002B2CF9AE}" pid="21" name="MSIP_Label_6bd9ddd1-4d20-43f6-abfa-fc3c07406f94_SiteId">
    <vt:lpwstr>b24c8b06-522c-46fe-9080-70926f8dddb1</vt:lpwstr>
  </property>
  <property fmtid="{D5CDD505-2E9C-101B-9397-08002B2CF9AE}" pid="22" name="MSIP_Label_6bd9ddd1-4d20-43f6-abfa-fc3c07406f94_ActionId">
    <vt:lpwstr>ba0cc6ef-a799-4f04-bed1-1c50247008d1</vt:lpwstr>
  </property>
  <property fmtid="{D5CDD505-2E9C-101B-9397-08002B2CF9AE}" pid="23" name="MSIP_Label_6bd9ddd1-4d20-43f6-abfa-fc3c07406f94_ContentBits">
    <vt:lpwstr>0</vt:lpwstr>
  </property>
</Properties>
</file>