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A0B" w:rsidRPr="003E37F9" w:rsidRDefault="00BF68B7" w:rsidP="00BF68B7">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D805E510-9741-493C-99B1-D120EE846C79" style="width:455.25pt;height:341.25pt">
            <v:imagedata r:id="rId11" o:title=""/>
          </v:shape>
        </w:pict>
      </w:r>
    </w:p>
    <w:p w:rsidR="006F0A0B" w:rsidRPr="003E37F9" w:rsidRDefault="006F0A0B" w:rsidP="006F0A0B">
      <w:pPr>
        <w:rPr>
          <w:noProof/>
        </w:rPr>
        <w:sectPr w:rsidR="006F0A0B" w:rsidRPr="003E37F9" w:rsidSect="00BF68B7">
          <w:footerReference w:type="even" r:id="rId12"/>
          <w:footerReference w:type="default" r:id="rId13"/>
          <w:pgSz w:w="11907" w:h="16839"/>
          <w:pgMar w:top="1134" w:right="1417" w:bottom="1134" w:left="1417" w:header="709" w:footer="709" w:gutter="0"/>
          <w:pgNumType w:start="0"/>
          <w:cols w:space="720"/>
          <w:docGrid w:linePitch="360"/>
        </w:sectPr>
      </w:pPr>
    </w:p>
    <w:p w:rsidR="00FD7EBB" w:rsidRPr="003E37F9" w:rsidRDefault="00FD7EBB" w:rsidP="00FD7EBB">
      <w:pPr>
        <w:pStyle w:val="Exposdesmotifstitre"/>
        <w:rPr>
          <w:noProof/>
        </w:rPr>
      </w:pPr>
      <w:bookmarkStart w:id="0" w:name="_GoBack"/>
      <w:bookmarkEnd w:id="0"/>
    </w:p>
    <w:p w:rsidR="00FD7EBB" w:rsidRPr="003E37F9" w:rsidRDefault="00FD7EBB" w:rsidP="00FD7EBB">
      <w:pPr>
        <w:rPr>
          <w:noProof/>
        </w:rPr>
      </w:pPr>
    </w:p>
    <w:p w:rsidR="00B70540" w:rsidRDefault="004F1497">
      <w:pPr>
        <w:pStyle w:val="Rfrenceinterinstitutionnelle"/>
        <w:rPr>
          <w:noProof/>
        </w:rPr>
      </w:pPr>
      <w:r>
        <w:rPr>
          <w:noProof/>
        </w:rPr>
        <w:t>2025/0186 (NLE)</w:t>
      </w:r>
    </w:p>
    <w:p w:rsidR="00197724" w:rsidRPr="003E37F9" w:rsidRDefault="003E37F9" w:rsidP="003E37F9">
      <w:pPr>
        <w:pStyle w:val="Statut"/>
        <w:rPr>
          <w:noProof/>
        </w:rPr>
      </w:pPr>
      <w:r w:rsidRPr="003E37F9">
        <w:rPr>
          <w:noProof/>
        </w:rPr>
        <w:t>Förslag till</w:t>
      </w:r>
    </w:p>
    <w:p w:rsidR="006F0A0B" w:rsidRPr="003E37F9" w:rsidRDefault="003E37F9" w:rsidP="003E37F9">
      <w:pPr>
        <w:pStyle w:val="Typedudocument"/>
        <w:rPr>
          <w:noProof/>
        </w:rPr>
      </w:pPr>
      <w:r w:rsidRPr="003E37F9">
        <w:rPr>
          <w:noProof/>
        </w:rPr>
        <w:t>RÅDETS BESLUT</w:t>
      </w:r>
    </w:p>
    <w:p w:rsidR="006F0A0B" w:rsidRPr="003E37F9" w:rsidRDefault="003E37F9" w:rsidP="003E37F9">
      <w:pPr>
        <w:pStyle w:val="Titreobjet"/>
        <w:rPr>
          <w:noProof/>
        </w:rPr>
      </w:pPr>
      <w:r w:rsidRPr="003E37F9">
        <w:rPr>
          <w:noProof/>
        </w:rPr>
        <w:t>om förekomsten av ett alltför stort underskott i Österrike</w:t>
      </w:r>
    </w:p>
    <w:p w:rsidR="003806D4" w:rsidRPr="003E37F9" w:rsidRDefault="003806D4" w:rsidP="00CE3680">
      <w:pPr>
        <w:pStyle w:val="Institutionquiagit"/>
        <w:rPr>
          <w:noProof/>
        </w:rPr>
      </w:pPr>
      <w:r w:rsidRPr="003E37F9">
        <w:rPr>
          <w:noProof/>
        </w:rPr>
        <w:t>EUROPEISKA UNIONENS RÅD HAR ANTAGIT DETTA BESLUT</w:t>
      </w:r>
    </w:p>
    <w:p w:rsidR="003806D4" w:rsidRPr="003E37F9" w:rsidRDefault="003806D4" w:rsidP="00CE3680">
      <w:pPr>
        <w:rPr>
          <w:noProof/>
        </w:rPr>
      </w:pPr>
      <w:r w:rsidRPr="003E37F9">
        <w:rPr>
          <w:noProof/>
        </w:rPr>
        <w:t>med beaktande av fördraget om Europeiska unionens funktionssätt, särskilt artikel 126.6,</w:t>
      </w:r>
    </w:p>
    <w:p w:rsidR="003806D4" w:rsidRPr="003E37F9" w:rsidRDefault="003806D4" w:rsidP="00CE3680">
      <w:pPr>
        <w:rPr>
          <w:noProof/>
        </w:rPr>
      </w:pPr>
      <w:r w:rsidRPr="003E37F9">
        <w:rPr>
          <w:noProof/>
        </w:rPr>
        <w:t>med beaktande av Europeiska kommissionens förslag,</w:t>
      </w:r>
    </w:p>
    <w:p w:rsidR="003806D4" w:rsidRPr="003E37F9" w:rsidRDefault="003806D4" w:rsidP="00CE3680">
      <w:pPr>
        <w:rPr>
          <w:noProof/>
        </w:rPr>
      </w:pPr>
      <w:r w:rsidRPr="003E37F9">
        <w:rPr>
          <w:noProof/>
        </w:rPr>
        <w:t>med beaktande av Österrikes synpunkter, och</w:t>
      </w:r>
    </w:p>
    <w:p w:rsidR="003806D4" w:rsidRPr="003E37F9" w:rsidRDefault="003806D4" w:rsidP="00CE3680">
      <w:pPr>
        <w:rPr>
          <w:noProof/>
        </w:rPr>
      </w:pPr>
      <w:r w:rsidRPr="003E37F9">
        <w:rPr>
          <w:noProof/>
        </w:rPr>
        <w:t>av följande skäl:</w:t>
      </w:r>
    </w:p>
    <w:p w:rsidR="003806D4" w:rsidRPr="003E37F9" w:rsidRDefault="003806D4" w:rsidP="00CE3680">
      <w:pPr>
        <w:rPr>
          <w:noProof/>
        </w:rPr>
      </w:pPr>
    </w:p>
    <w:p w:rsidR="003806D4" w:rsidRPr="003E37F9" w:rsidRDefault="00990E74" w:rsidP="00990E74">
      <w:pPr>
        <w:pStyle w:val="ManualConsidrant"/>
        <w:rPr>
          <w:noProof/>
        </w:rPr>
      </w:pPr>
      <w:r w:rsidRPr="00990E74">
        <w:rPr>
          <w:noProof/>
        </w:rPr>
        <w:t>(1)</w:t>
      </w:r>
      <w:r w:rsidRPr="00990E74">
        <w:rPr>
          <w:noProof/>
        </w:rPr>
        <w:tab/>
      </w:r>
      <w:r w:rsidR="44726964" w:rsidRPr="003E37F9">
        <w:rPr>
          <w:noProof/>
        </w:rPr>
        <w:t>Enligt artikel 126 i fördraget om Europeiska unionens funktionssätt (EUF-fördraget) är medlemsstaterna skyldiga att undvika alltför stora offentliga underskott.</w:t>
      </w:r>
    </w:p>
    <w:p w:rsidR="003806D4" w:rsidRPr="003E37F9" w:rsidRDefault="00990E74" w:rsidP="00990E74">
      <w:pPr>
        <w:pStyle w:val="ManualConsidrant"/>
        <w:rPr>
          <w:noProof/>
        </w:rPr>
      </w:pPr>
      <w:r w:rsidRPr="00990E74">
        <w:rPr>
          <w:noProof/>
        </w:rPr>
        <w:t>(2)</w:t>
      </w:r>
      <w:r w:rsidRPr="00990E74">
        <w:rPr>
          <w:noProof/>
        </w:rPr>
        <w:tab/>
      </w:r>
      <w:r w:rsidR="003806D4" w:rsidRPr="003E37F9">
        <w:rPr>
          <w:noProof/>
        </w:rPr>
        <w:t>Stabilitets- och tillväxtpakten grundar sig på målet att uppnå sunda och hållbara offentliga finanser som ett medel att stärka förutsättningarna för prisstabilitet och för en stark, hållbar och inkluderande tillväxt som underbyggs av finansiell stabilitet, och därigenom stödja uppnåendet av unionens mål för hållbar tillväxt och sysselsättning.</w:t>
      </w:r>
    </w:p>
    <w:p w:rsidR="003806D4" w:rsidRPr="003E37F9" w:rsidRDefault="00990E74" w:rsidP="00990E74">
      <w:pPr>
        <w:pStyle w:val="ManualConsidrant"/>
        <w:rPr>
          <w:noProof/>
        </w:rPr>
      </w:pPr>
      <w:r w:rsidRPr="00990E74">
        <w:rPr>
          <w:noProof/>
        </w:rPr>
        <w:t>(3)</w:t>
      </w:r>
      <w:r w:rsidRPr="00990E74">
        <w:rPr>
          <w:noProof/>
        </w:rPr>
        <w:tab/>
      </w:r>
      <w:r w:rsidR="003806D4" w:rsidRPr="003E37F9">
        <w:rPr>
          <w:noProof/>
        </w:rPr>
        <w:t>Beslut om att det föreligger ett alltför stort underskott följer det förfarande vid alltför stora underskott (</w:t>
      </w:r>
      <w:r w:rsidR="003806D4" w:rsidRPr="003E37F9">
        <w:rPr>
          <w:i/>
          <w:iCs/>
          <w:noProof/>
        </w:rPr>
        <w:t>underskottsförfarandet</w:t>
      </w:r>
      <w:r w:rsidR="003806D4" w:rsidRPr="003E37F9">
        <w:rPr>
          <w:noProof/>
        </w:rPr>
        <w:t>) som anges i artikel 126 i EUF-fördraget och som förtydligas i rådets förordning (EG) nr 1467/97 om påskyndande och förtydligande av tillämpningen av förfarandet vid alltför stora underskott</w:t>
      </w:r>
      <w:r w:rsidR="003806D4" w:rsidRPr="003E37F9">
        <w:rPr>
          <w:rStyle w:val="FootnoteReference"/>
          <w:noProof/>
        </w:rPr>
        <w:footnoteReference w:id="2"/>
      </w:r>
      <w:r w:rsidR="003806D4" w:rsidRPr="003E37F9">
        <w:rPr>
          <w:noProof/>
        </w:rPr>
        <w:t xml:space="preserve"> som är en del av stabilitets- och tillväxtpakten. Protokoll nr 12 om förfarandet vid alltför stora underskott, som är fogat till fördraget om Europeiska unionen och EUF-fördraget, innehåller ytterligare bestämmelser om genomförandet av förfarandet vid alltför stora underskott. I rådets förordning (EG) nr 479/2009</w:t>
      </w:r>
      <w:r w:rsidR="003806D4" w:rsidRPr="003E37F9">
        <w:rPr>
          <w:rStyle w:val="FootnoteReference"/>
          <w:noProof/>
        </w:rPr>
        <w:footnoteReference w:id="3"/>
      </w:r>
      <w:r w:rsidR="003806D4" w:rsidRPr="003E37F9">
        <w:rPr>
          <w:noProof/>
        </w:rPr>
        <w:t xml:space="preserve"> fastställs närmare regler och definitioner för tillämpningen av dessa bestämmelser. I unionens reformerade ramverk för ekonomisk styrning, som trädde i kraft den 30 april 2024, ingår rådets förordning (EU) 2024/1264, genom vilken förordning (EG) nr 1467/97 ändrades. Reformen innebär att förfarandet vid alltför stora underskott förblir i stort sett oförändrat om det inleds på grund av att underskottskriteriet inte är uppfyllt, medan ett underskottsförfarande som inleds på grund av att skuldkriteriet inte är uppfyllt, dvs. för medlemsstater med en offentlig skuldkvot som överstiger 60 % av BNP, kommer att fokusera på avvikelser från de rekommenderade maximala ökningstakter för nettoutgifter</w:t>
      </w:r>
      <w:r w:rsidR="002257F8" w:rsidRPr="003E37F9">
        <w:rPr>
          <w:rStyle w:val="FootnoteReference"/>
          <w:noProof/>
        </w:rPr>
        <w:footnoteReference w:id="4"/>
      </w:r>
      <w:r w:rsidR="003806D4" w:rsidRPr="003E37F9">
        <w:rPr>
          <w:noProof/>
        </w:rPr>
        <w:t xml:space="preserve"> som rådet fastställt enligt förordning (EU) 2024/1263. Rådets rekommendation av den [DATUM] om godkännande av Österrikes medelfristig plan</w:t>
      </w:r>
      <w:r w:rsidR="00993724" w:rsidRPr="003E37F9">
        <w:rPr>
          <w:rStyle w:val="FootnoteReference"/>
          <w:noProof/>
          <w:lang w:eastAsia="ja-JP"/>
        </w:rPr>
        <w:footnoteReference w:id="5"/>
      </w:r>
      <w:r w:rsidR="003806D4" w:rsidRPr="003E37F9">
        <w:rPr>
          <w:noProof/>
        </w:rPr>
        <w:t xml:space="preserve"> anger de rekommenderade maximala ökningstakterna för nettoutgifter för Österrike (årliga och kumulativa, med 2025 som basår). Bedömningen av om skuldkriteriet är uppfyllt kan inte genomföras förrän utfallsdata för 2025 blir tillgängliga under våren 2026. Detta beslut gäller därför endast att det offentliga underskottet i förhållande till BNP överskrider referensvärdet på 3 % av BNP, i linje med befintliga rättsliga bestämmelser.  </w:t>
      </w:r>
    </w:p>
    <w:p w:rsidR="003806D4" w:rsidRPr="003E37F9" w:rsidRDefault="00990E74" w:rsidP="00990E74">
      <w:pPr>
        <w:pStyle w:val="ManualConsidrant"/>
        <w:rPr>
          <w:noProof/>
        </w:rPr>
      </w:pPr>
      <w:r w:rsidRPr="00990E74">
        <w:rPr>
          <w:noProof/>
        </w:rPr>
        <w:t>(4)</w:t>
      </w:r>
      <w:r w:rsidRPr="00990E74">
        <w:rPr>
          <w:noProof/>
        </w:rPr>
        <w:tab/>
      </w:r>
      <w:r w:rsidR="7371A707" w:rsidRPr="003E37F9">
        <w:rPr>
          <w:noProof/>
        </w:rPr>
        <w:t>Enligt artikel 126.5 i EUF-fördraget ska kommissionen, om den anser att det föreligger eller kan uppstå ett alltför stort underskott i en medlemsstat, avge ett yttrande till den berörda medlemsstaten och informera rådet om detta. Efter att ha beaktat sin rapport som antagits enligt artikel 126.3 i EUF-fördraget, och med beaktande av ekonomiska och finansiella kommitténs yttrande som antagits enligt artikel 126.4 i EUF-fördraget, har kommissionen slagit fast att Österrike har ett alltför stort underskott. Den</w:t>
      </w:r>
      <w:r w:rsidR="001C5688" w:rsidRPr="003E37F9">
        <w:rPr>
          <w:noProof/>
        </w:rPr>
        <w:t xml:space="preserve"> 20 juni 2025</w:t>
      </w:r>
      <w:r w:rsidR="7371A707" w:rsidRPr="003E37F9">
        <w:rPr>
          <w:noProof/>
        </w:rPr>
        <w:t xml:space="preserve"> avgav kommissionen därför ett sådant yttrande till Österrike och informerade rådet om detta</w:t>
      </w:r>
      <w:r w:rsidR="003806D4" w:rsidRPr="003E37F9">
        <w:rPr>
          <w:rStyle w:val="FootnoteReference"/>
          <w:noProof/>
          <w:lang w:eastAsia="de-DE"/>
        </w:rPr>
        <w:footnoteReference w:id="6"/>
      </w:r>
      <w:r w:rsidR="7371A707" w:rsidRPr="003E37F9">
        <w:rPr>
          <w:noProof/>
        </w:rPr>
        <w:t>.</w:t>
      </w:r>
    </w:p>
    <w:p w:rsidR="003806D4" w:rsidRPr="003E37F9" w:rsidRDefault="00990E74" w:rsidP="00990E74">
      <w:pPr>
        <w:pStyle w:val="ManualConsidrant"/>
        <w:rPr>
          <w:noProof/>
        </w:rPr>
      </w:pPr>
      <w:r w:rsidRPr="00990E74">
        <w:rPr>
          <w:noProof/>
        </w:rPr>
        <w:t>(5)</w:t>
      </w:r>
      <w:r w:rsidRPr="00990E74">
        <w:rPr>
          <w:noProof/>
        </w:rPr>
        <w:tab/>
      </w:r>
      <w:r w:rsidR="003806D4" w:rsidRPr="003E37F9">
        <w:rPr>
          <w:noProof/>
        </w:rPr>
        <w:t>Enligt artikel 126.6 i EUF-fördraget ska rådet beakta eventuella synpunkter från den berörda medlemsstaten innan det efter en allsidig bedömning avgör om ett alltför stort underskott föreligger. När det gäller Österrike leder denna allsidiga bedömning till följande slutsatser.</w:t>
      </w:r>
    </w:p>
    <w:p w:rsidR="003806D4" w:rsidRPr="003E37F9" w:rsidDel="0055607F" w:rsidRDefault="00990E74" w:rsidP="00990E74">
      <w:pPr>
        <w:pStyle w:val="ManualConsidrant"/>
        <w:rPr>
          <w:rFonts w:eastAsia="Calibri"/>
          <w:noProof/>
        </w:rPr>
      </w:pPr>
      <w:r w:rsidRPr="00990E74">
        <w:rPr>
          <w:noProof/>
        </w:rPr>
        <w:t>(6)</w:t>
      </w:r>
      <w:r w:rsidRPr="00990E74">
        <w:rPr>
          <w:noProof/>
        </w:rPr>
        <w:tab/>
      </w:r>
      <w:r w:rsidR="12307A93" w:rsidRPr="003E37F9">
        <w:rPr>
          <w:noProof/>
        </w:rPr>
        <w:t>Enligt uppgifter som Eurostat tillhandahöll den</w:t>
      </w:r>
      <w:r w:rsidR="00963629" w:rsidRPr="003E37F9">
        <w:rPr>
          <w:noProof/>
        </w:rPr>
        <w:t xml:space="preserve"> 22 april 2025</w:t>
      </w:r>
      <w:r w:rsidR="003806D4" w:rsidRPr="003E37F9">
        <w:rPr>
          <w:rStyle w:val="FootnoteReference"/>
          <w:noProof/>
        </w:rPr>
        <w:footnoteReference w:id="7"/>
      </w:r>
      <w:r w:rsidR="12307A93" w:rsidRPr="003E37F9">
        <w:rPr>
          <w:noProof/>
        </w:rPr>
        <w:t xml:space="preserve"> uppgick Österrikes offentliga underskott till 4,7 % av BNP år 2024 och den offentliga skulden till 81,8 % av BNP. Österrikes offentliga underskott förväntas uppgå till 4,5 % av BNP år 2025</w:t>
      </w:r>
      <w:r w:rsidR="00EC25B8" w:rsidRPr="003E37F9">
        <w:rPr>
          <w:rStyle w:val="FootnoteReference"/>
          <w:noProof/>
          <w:lang w:eastAsia="en-GB"/>
        </w:rPr>
        <w:footnoteReference w:id="8"/>
      </w:r>
      <w:r w:rsidR="12307A93" w:rsidRPr="003E37F9">
        <w:rPr>
          <w:noProof/>
        </w:rPr>
        <w:t>. I kommissionens vårprognos 2025</w:t>
      </w:r>
      <w:r w:rsidR="0098337B" w:rsidRPr="003E37F9">
        <w:rPr>
          <w:rStyle w:val="FootnoteReference"/>
          <w:noProof/>
          <w:lang w:eastAsia="en-GB"/>
        </w:rPr>
        <w:footnoteReference w:id="9"/>
      </w:r>
      <w:r w:rsidR="12307A93" w:rsidRPr="003E37F9">
        <w:rPr>
          <w:noProof/>
        </w:rPr>
        <w:t xml:space="preserve"> förutses ett underskott på 4,4 % av BNP år 2025. Kommissionen bedömde i sin rapport enligt artikel 126.3 i EUF-fördraget att underskottet överskred fördragets referensvärde på 3 % av BNP 2024 undantagsvis och att detta berodde på en utdragen recession 2023 och 2024. Kommissionens vårprognos 2025, i vilken det offentliga underskottet beräknas ligga kvar över 3 % av BNP år 2025 och 2026, visar att överskridandet inte ligger nära fördragets referensvärde och inte är övergående.  Underskottskriteriet, såsom det definieras i fördraget och förordning (EG) nr 1467/97, är därför vid en första anblick inte uppfyllt. </w:t>
      </w:r>
    </w:p>
    <w:p w:rsidR="003806D4" w:rsidRPr="003E37F9" w:rsidRDefault="00990E74" w:rsidP="00990E74">
      <w:pPr>
        <w:pStyle w:val="ManualConsidrant"/>
        <w:rPr>
          <w:noProof/>
        </w:rPr>
      </w:pPr>
      <w:r w:rsidRPr="00990E74">
        <w:rPr>
          <w:noProof/>
        </w:rPr>
        <w:t>(7)</w:t>
      </w:r>
      <w:r w:rsidRPr="00990E74">
        <w:rPr>
          <w:noProof/>
        </w:rPr>
        <w:tab/>
      </w:r>
      <w:r w:rsidR="003806D4" w:rsidRPr="003E37F9">
        <w:rPr>
          <w:noProof/>
        </w:rPr>
        <w:t>Kommissionen har i enlighet med kraven i artikel 126.3 i EUF-fördraget även analyserat alla faktorer av betydelse i den rapport som utarbetats enligt artikel 126.3 i EUF-fördraget. Om den offentliga skulden i förhållande till BNP överskrider referensvärdet ska dessa faktorer av betydelse, enligt artikel 2.4 i förordning (EG) nr 1467/97, vid bedömningen av om underskottskriteriet är uppfyllt endast beaktas under de steg som följer på rapporten enligt artikel 126.3 i EUF-fördraget och som föregår beslutet om att det föreligger ett alltför stort underskott om det offentliga underskottet – innan dessa faktorer av betydelse beaktas – ligger nära referensvärdet och referensvärdet överskrids endast tillfälligt. I Österrikes fall uppfylls inte dessa båda villkor. Faktorer av betydelse har därför inte beaktats i de steg som föregått detta beslut.</w:t>
      </w:r>
    </w:p>
    <w:p w:rsidR="003806D4" w:rsidRPr="003E37F9" w:rsidRDefault="003806D4" w:rsidP="006463A4">
      <w:pPr>
        <w:rPr>
          <w:noProof/>
        </w:rPr>
      </w:pPr>
    </w:p>
    <w:p w:rsidR="003806D4" w:rsidRPr="003E37F9" w:rsidRDefault="003806D4" w:rsidP="006463A4">
      <w:pPr>
        <w:pStyle w:val="Formuledadoption"/>
        <w:rPr>
          <w:noProof/>
        </w:rPr>
      </w:pPr>
      <w:r w:rsidRPr="003E37F9">
        <w:rPr>
          <w:noProof/>
        </w:rPr>
        <w:t>HÄRIGENOM FÖRESKRIVS FÖLJANDE.</w:t>
      </w:r>
    </w:p>
    <w:p w:rsidR="006B4339" w:rsidRPr="003E37F9" w:rsidRDefault="006B4339" w:rsidP="006B4339">
      <w:pPr>
        <w:pStyle w:val="Titrearticle"/>
        <w:rPr>
          <w:noProof/>
        </w:rPr>
      </w:pPr>
      <w:r w:rsidRPr="003E37F9">
        <w:rPr>
          <w:noProof/>
        </w:rPr>
        <w:t>Artikel 1</w:t>
      </w:r>
    </w:p>
    <w:p w:rsidR="006B4339" w:rsidRPr="003E37F9" w:rsidRDefault="006B4339" w:rsidP="006B4339">
      <w:pPr>
        <w:rPr>
          <w:noProof/>
          <w:szCs w:val="24"/>
        </w:rPr>
      </w:pPr>
      <w:r w:rsidRPr="003E37F9">
        <w:rPr>
          <w:noProof/>
        </w:rPr>
        <w:t>En allsidig bedömning visar att det föreligger ett alltför stort underskott i Österrike eftersom underskottskriteriet inte är uppfyllt.</w:t>
      </w:r>
    </w:p>
    <w:p w:rsidR="006B4339" w:rsidRPr="003E37F9" w:rsidRDefault="006B4339" w:rsidP="00C972C6">
      <w:pPr>
        <w:pStyle w:val="Titrearticle"/>
        <w:rPr>
          <w:noProof/>
        </w:rPr>
      </w:pPr>
      <w:r w:rsidRPr="003E37F9">
        <w:rPr>
          <w:noProof/>
        </w:rPr>
        <w:t>Artikel 2</w:t>
      </w:r>
    </w:p>
    <w:p w:rsidR="006F0A0B" w:rsidRPr="003E37F9" w:rsidRDefault="5341C074">
      <w:pPr>
        <w:rPr>
          <w:noProof/>
        </w:rPr>
      </w:pPr>
      <w:r w:rsidRPr="003E37F9">
        <w:rPr>
          <w:noProof/>
        </w:rPr>
        <w:t>Detta beslut riktar sig till Republiken Österrike.</w:t>
      </w:r>
    </w:p>
    <w:p w:rsidR="006F0A0B" w:rsidRPr="003E37F9" w:rsidRDefault="003E37F9" w:rsidP="00C972C6">
      <w:pPr>
        <w:pStyle w:val="Fait"/>
        <w:rPr>
          <w:noProof/>
        </w:rPr>
      </w:pPr>
      <w:r>
        <w:rPr>
          <w:noProof/>
        </w:rPr>
        <w:t>Utfärdat i Bryssel den</w:t>
      </w:r>
    </w:p>
    <w:p w:rsidR="006F0A0B" w:rsidRPr="003E37F9" w:rsidRDefault="006F0A0B" w:rsidP="00C972C6">
      <w:pPr>
        <w:pStyle w:val="Institutionquisigne"/>
        <w:rPr>
          <w:noProof/>
        </w:rPr>
      </w:pPr>
      <w:r w:rsidRPr="003E37F9">
        <w:rPr>
          <w:noProof/>
        </w:rPr>
        <w:tab/>
        <w:t>På rådets vägnar</w:t>
      </w:r>
    </w:p>
    <w:p w:rsidR="006F0A0B" w:rsidRPr="003E37F9" w:rsidRDefault="006F0A0B" w:rsidP="00CE76B5">
      <w:pPr>
        <w:pStyle w:val="Personnequisigne"/>
        <w:rPr>
          <w:noProof/>
          <w:color w:val="008000"/>
        </w:rPr>
      </w:pPr>
      <w:r w:rsidRPr="003E37F9">
        <w:rPr>
          <w:noProof/>
        </w:rPr>
        <w:tab/>
        <w:t>Ordförande</w:t>
      </w:r>
    </w:p>
    <w:sectPr w:rsidR="006F0A0B" w:rsidRPr="003E37F9" w:rsidSect="00BF68B7">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B96" w:rsidRDefault="00B84B96" w:rsidP="006F0A0B">
      <w:pPr>
        <w:spacing w:before="0" w:after="0"/>
      </w:pPr>
      <w:r>
        <w:separator/>
      </w:r>
    </w:p>
  </w:endnote>
  <w:endnote w:type="continuationSeparator" w:id="0">
    <w:p w:rsidR="00B84B96" w:rsidRDefault="00B84B96" w:rsidP="006F0A0B">
      <w:pPr>
        <w:spacing w:before="0" w:after="0"/>
      </w:pPr>
      <w:r>
        <w:continuationSeparator/>
      </w:r>
    </w:p>
  </w:endnote>
  <w:endnote w:type="continuationNotice" w:id="1">
    <w:p w:rsidR="00B84B96" w:rsidRDefault="00B84B9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8B7" w:rsidRPr="00BF68B7" w:rsidRDefault="00BF68B7" w:rsidP="00BF68B7">
    <w:pPr>
      <w:pStyle w:val="Footer"/>
      <w:rPr>
        <w:rFonts w:ascii="Arial" w:hAnsi="Arial" w:cs="Arial"/>
        <w:b/>
        <w:sz w:val="48"/>
      </w:rPr>
    </w:pPr>
    <w:r w:rsidRPr="00BF68B7">
      <w:rPr>
        <w:rFonts w:ascii="Arial" w:hAnsi="Arial" w:cs="Arial"/>
        <w:b/>
        <w:sz w:val="48"/>
      </w:rPr>
      <w:t>SV</w:t>
    </w:r>
    <w:r w:rsidRPr="00BF68B7">
      <w:rPr>
        <w:rFonts w:ascii="Arial" w:hAnsi="Arial" w:cs="Arial"/>
        <w:b/>
        <w:sz w:val="48"/>
      </w:rPr>
      <w:tab/>
    </w:r>
    <w:r w:rsidRPr="00BF68B7">
      <w:rPr>
        <w:rFonts w:ascii="Arial" w:hAnsi="Arial" w:cs="Arial"/>
        <w:b/>
        <w:sz w:val="48"/>
      </w:rPr>
      <w:tab/>
    </w:r>
    <w:r w:rsidRPr="00BF68B7">
      <w:tab/>
    </w:r>
    <w:r w:rsidRPr="00BF68B7">
      <w:rPr>
        <w:rFonts w:ascii="Arial" w:hAnsi="Arial" w:cs="Arial"/>
        <w:b/>
        <w:sz w:val="48"/>
      </w:rPr>
      <w:t>SV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8B7" w:rsidRPr="00BF68B7" w:rsidRDefault="00BF68B7" w:rsidP="00BF68B7">
    <w:pPr>
      <w:pStyle w:val="Footer"/>
      <w:rPr>
        <w:rFonts w:ascii="Arial" w:hAnsi="Arial" w:cs="Arial"/>
        <w:b/>
        <w:sz w:val="48"/>
      </w:rPr>
    </w:pPr>
    <w:r w:rsidRPr="00BF68B7">
      <w:rPr>
        <w:rFonts w:ascii="Arial" w:hAnsi="Arial" w:cs="Arial"/>
        <w:b/>
        <w:sz w:val="48"/>
      </w:rPr>
      <w:t>SV</w:t>
    </w:r>
    <w:r w:rsidRPr="00BF68B7">
      <w:rPr>
        <w:rFonts w:ascii="Arial" w:hAnsi="Arial" w:cs="Arial"/>
        <w:b/>
        <w:sz w:val="48"/>
      </w:rPr>
      <w:tab/>
    </w:r>
    <w:r w:rsidRPr="00BF68B7">
      <w:rPr>
        <w:rFonts w:ascii="Arial" w:hAnsi="Arial" w:cs="Arial"/>
        <w:b/>
        <w:sz w:val="48"/>
      </w:rPr>
      <w:tab/>
    </w:r>
    <w:r w:rsidRPr="00BF68B7">
      <w:tab/>
    </w:r>
    <w:r w:rsidRPr="00BF68B7">
      <w:rPr>
        <w:rFonts w:ascii="Arial" w:hAnsi="Arial" w:cs="Arial"/>
        <w:b/>
        <w:sz w:val="48"/>
      </w:rPr>
      <w:t>SV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8B7" w:rsidRDefault="00BF68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8B7" w:rsidRPr="00BF68B7" w:rsidRDefault="00BF68B7" w:rsidP="00BF68B7">
    <w:pPr>
      <w:pStyle w:val="Footer"/>
      <w:rPr>
        <w:rFonts w:ascii="Arial" w:hAnsi="Arial" w:cs="Arial"/>
        <w:b/>
        <w:sz w:val="48"/>
      </w:rPr>
    </w:pPr>
    <w:r w:rsidRPr="00BF68B7">
      <w:rPr>
        <w:rFonts w:ascii="Arial" w:hAnsi="Arial" w:cs="Arial"/>
        <w:b/>
        <w:sz w:val="48"/>
      </w:rPr>
      <w:t>SV</w:t>
    </w:r>
    <w:r w:rsidRPr="00BF68B7">
      <w:rPr>
        <w:rFonts w:ascii="Arial" w:hAnsi="Arial" w:cs="Arial"/>
        <w:b/>
        <w:sz w:val="48"/>
      </w:rPr>
      <w:tab/>
    </w:r>
    <w:r>
      <w:fldChar w:fldCharType="begin"/>
    </w:r>
    <w:r>
      <w:instrText xml:space="preserve"> PAGE  \* MERGEFORMAT </w:instrText>
    </w:r>
    <w:r>
      <w:fldChar w:fldCharType="separate"/>
    </w:r>
    <w:r w:rsidR="00C972C6">
      <w:rPr>
        <w:noProof/>
      </w:rPr>
      <w:t>3</w:t>
    </w:r>
    <w:r>
      <w:fldChar w:fldCharType="end"/>
    </w:r>
    <w:r>
      <w:tab/>
    </w:r>
    <w:r w:rsidRPr="00BF68B7">
      <w:tab/>
    </w:r>
    <w:r w:rsidRPr="00BF68B7">
      <w:rPr>
        <w:rFonts w:ascii="Arial" w:hAnsi="Arial" w:cs="Arial"/>
        <w:b/>
        <w:sz w:val="48"/>
      </w:rPr>
      <w:t>SV</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8B7" w:rsidRDefault="00BF68B7" w:rsidP="00BF6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B96" w:rsidRDefault="00B84B96" w:rsidP="006F0A0B">
      <w:pPr>
        <w:spacing w:before="0" w:after="0"/>
      </w:pPr>
      <w:r>
        <w:separator/>
      </w:r>
    </w:p>
  </w:footnote>
  <w:footnote w:type="continuationSeparator" w:id="0">
    <w:p w:rsidR="00B84B96" w:rsidRDefault="00B84B96" w:rsidP="006F0A0B">
      <w:pPr>
        <w:spacing w:before="0" w:after="0"/>
      </w:pPr>
      <w:r>
        <w:continuationSeparator/>
      </w:r>
    </w:p>
  </w:footnote>
  <w:footnote w:type="continuationNotice" w:id="1">
    <w:p w:rsidR="00B84B96" w:rsidRDefault="00B84B96">
      <w:pPr>
        <w:spacing w:before="0" w:after="0"/>
      </w:pPr>
    </w:p>
  </w:footnote>
  <w:footnote w:id="2">
    <w:p w:rsidR="003806D4" w:rsidRPr="001C5688" w:rsidRDefault="003806D4" w:rsidP="003806D4">
      <w:pPr>
        <w:pStyle w:val="FootnoteText"/>
      </w:pPr>
      <w:r>
        <w:rPr>
          <w:rStyle w:val="FootnoteReference"/>
        </w:rPr>
        <w:footnoteRef/>
      </w:r>
      <w:r w:rsidRPr="001C5688">
        <w:tab/>
        <w:t xml:space="preserve">EGT L 209, 2.8.1997, ELI: </w:t>
      </w:r>
      <w:hyperlink r:id="rId1" w:tooltip="Ger åtkomst till dokumentet via dess ELI-adress." w:history="1">
        <w:r w:rsidRPr="001C5688">
          <w:rPr>
            <w:rStyle w:val="Hyperlink"/>
            <w:color w:val="337AB7"/>
            <w:shd w:val="clear" w:color="auto" w:fill="FFFFFF"/>
          </w:rPr>
          <w:t>http://data.europa.eu/eli/reg/1997/1467/2024-04-30</w:t>
        </w:r>
      </w:hyperlink>
      <w:r w:rsidRPr="001C5688">
        <w:t>.</w:t>
      </w:r>
    </w:p>
  </w:footnote>
  <w:footnote w:id="3">
    <w:p w:rsidR="003806D4" w:rsidRPr="001C5688" w:rsidRDefault="003806D4" w:rsidP="003806D4">
      <w:pPr>
        <w:pStyle w:val="FootnoteText"/>
      </w:pPr>
      <w:r>
        <w:rPr>
          <w:rStyle w:val="FootnoteReference"/>
        </w:rPr>
        <w:footnoteRef/>
      </w:r>
      <w:r w:rsidRPr="001C5688">
        <w:tab/>
        <w:t>EUT L 145, 10.6.2009, s. 1.</w:t>
      </w:r>
    </w:p>
  </w:footnote>
  <w:footnote w:id="4">
    <w:p w:rsidR="002257F8" w:rsidRPr="001C5688" w:rsidRDefault="002257F8" w:rsidP="002257F8">
      <w:pPr>
        <w:pStyle w:val="FootnoteText"/>
      </w:pPr>
      <w:r>
        <w:rPr>
          <w:rStyle w:val="FootnoteReference"/>
        </w:rPr>
        <w:footnoteRef/>
      </w:r>
      <w:r w:rsidRPr="001C5688">
        <w:tab/>
        <w:t xml:space="preserve">Enligt artikel 2.2 i förordning (EU) 2024/1263 är </w:t>
      </w:r>
      <w:r w:rsidRPr="001C5688">
        <w:rPr>
          <w:i/>
          <w:iCs/>
        </w:rPr>
        <w:t>nettoutgifter</w:t>
      </w:r>
      <w:r w:rsidRPr="001C5688">
        <w:t xml:space="preserve"> offentliga utgifter efter avdrag för ränteutgifter, diskretionära åtgärder på inkomstsidan, utgifter för unionsprogram som till fullo motsvaras av inkomster i form av unionsmedel, nationella utgifter för samfinansiering av program som finansieras av unionen, konjunkturberoende delar av utgifter för arbetslöshetsersättning samt engångsåtgärder och andra tillfälliga åtgärder.</w:t>
      </w:r>
    </w:p>
  </w:footnote>
  <w:footnote w:id="5">
    <w:p w:rsidR="00993724" w:rsidRDefault="00CC000F" w:rsidP="0074056A">
      <w:pPr>
        <w:pStyle w:val="FootnoteText"/>
        <w:ind w:left="0" w:firstLine="0"/>
      </w:pPr>
      <w:r>
        <w:rPr>
          <w:rStyle w:val="FootnoteReference"/>
        </w:rPr>
        <w:footnoteRef/>
      </w:r>
      <w:r>
        <w:tab/>
      </w:r>
    </w:p>
  </w:footnote>
  <w:footnote w:id="6">
    <w:p w:rsidR="003806D4" w:rsidRPr="001C5688" w:rsidRDefault="003806D4" w:rsidP="77FBC84D">
      <w:pPr>
        <w:pStyle w:val="FootnoteText"/>
        <w:jc w:val="left"/>
      </w:pPr>
      <w:r>
        <w:rPr>
          <w:rStyle w:val="FootnoteReference"/>
        </w:rPr>
        <w:footnoteRef/>
      </w:r>
      <w:r w:rsidRPr="001C5688">
        <w:tab/>
        <w:t xml:space="preserve">Alla dokument om underskottsförfarandet när det gäller Österrike kan laddas ned från: </w:t>
      </w:r>
      <w:hyperlink r:id="rId2">
        <w:r w:rsidRPr="001C5688">
          <w:rPr>
            <w:rStyle w:val="Hyperlink"/>
          </w:rPr>
          <w:t>https://economy-finance.ec.europa.eu/economic-and-fiscal-governance/stability-and-growth-pact/corrective-arm-excessive-deficit-procedure/excessive-deficit-procedures-overview/austria_sv</w:t>
        </w:r>
      </w:hyperlink>
      <w:r w:rsidRPr="001C5688">
        <w:t xml:space="preserve">. </w:t>
      </w:r>
    </w:p>
  </w:footnote>
  <w:footnote w:id="7">
    <w:p w:rsidR="003806D4" w:rsidRPr="001C5688" w:rsidRDefault="003806D4" w:rsidP="003806D4">
      <w:pPr>
        <w:pStyle w:val="FootnoteText"/>
      </w:pPr>
      <w:r>
        <w:rPr>
          <w:rStyle w:val="FootnoteReference"/>
        </w:rPr>
        <w:footnoteRef/>
      </w:r>
      <w:r w:rsidRPr="001C5688">
        <w:tab/>
        <w:t>Eurostat Euro Indicators, offentliggjorda den</w:t>
      </w:r>
      <w:r w:rsidR="000B0CBD">
        <w:t xml:space="preserve"> 22 april 2025</w:t>
      </w:r>
      <w:r w:rsidR="00D72F43">
        <w:t xml:space="preserve"> </w:t>
      </w:r>
      <w:r w:rsidRPr="001C5688">
        <w:t xml:space="preserve"> (</w:t>
      </w:r>
      <w:hyperlink r:id="rId3" w:history="1">
        <w:r w:rsidRPr="001C5688">
          <w:rPr>
            <w:rStyle w:val="Hyperlink"/>
          </w:rPr>
          <w:t>https://ec.europa.eu/eurostat/en/web/products-euro-indicators/w/2-22042025-AP</w:t>
        </w:r>
      </w:hyperlink>
      <w:r w:rsidRPr="001C5688">
        <w:t>) i enlighet med artikel 14 i rådets förordning (EG) nr 479/2009.</w:t>
      </w:r>
    </w:p>
  </w:footnote>
  <w:footnote w:id="8">
    <w:p w:rsidR="00EC25B8" w:rsidRPr="001C5688" w:rsidRDefault="00EC25B8" w:rsidP="00EC25B8">
      <w:pPr>
        <w:pStyle w:val="FootnoteText"/>
        <w:jc w:val="left"/>
        <w:rPr>
          <w:lang w:val="fr-BE"/>
        </w:rPr>
      </w:pPr>
      <w:r>
        <w:rPr>
          <w:rStyle w:val="FootnoteReference"/>
        </w:rPr>
        <w:footnoteRef/>
      </w:r>
      <w:r w:rsidRPr="001C5688">
        <w:tab/>
        <w:t xml:space="preserve">Planerat underskott enligt rapport om de offentliga finanserna till Eurostat våren 2025. </w:t>
      </w:r>
      <w:r w:rsidRPr="001C5688">
        <w:rPr>
          <w:lang w:val="fr-BE"/>
        </w:rPr>
        <w:t xml:space="preserve">Se: </w:t>
      </w:r>
      <w:hyperlink r:id="rId4" w:history="1">
        <w:r w:rsidRPr="001C5688">
          <w:rPr>
            <w:rStyle w:val="Hyperlink"/>
            <w:lang w:val="fr-BE"/>
          </w:rPr>
          <w:t>https://ec.europa.eu/eurostat/web/government-finance-statistics/excessive-deficit-procedure/edp-notification-tables</w:t>
        </w:r>
      </w:hyperlink>
      <w:r w:rsidRPr="001C5688">
        <w:rPr>
          <w:lang w:val="fr-BE"/>
        </w:rPr>
        <w:t xml:space="preserve">. </w:t>
      </w:r>
    </w:p>
  </w:footnote>
  <w:footnote w:id="9">
    <w:p w:rsidR="0098337B" w:rsidRDefault="0098337B" w:rsidP="0098337B">
      <w:pPr>
        <w:pStyle w:val="FootnoteText"/>
        <w:jc w:val="left"/>
      </w:pPr>
      <w:r>
        <w:rPr>
          <w:rStyle w:val="FootnoteReference"/>
        </w:rPr>
        <w:footnoteRef/>
      </w:r>
      <w:r>
        <w:tab/>
      </w:r>
      <w:r>
        <w:rPr>
          <w:i/>
          <w:iCs/>
        </w:rPr>
        <w:t>European Economic Forecast - Spring 2025</w:t>
      </w:r>
      <w:r>
        <w:t xml:space="preserve">, </w:t>
      </w:r>
      <w:r>
        <w:rPr>
          <w:i/>
          <w:iCs/>
        </w:rPr>
        <w:t>European Economy-Institutional Paper</w:t>
      </w:r>
      <w:r>
        <w:t>, nr 318, 19 maj 2025.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8B7" w:rsidRDefault="00BF6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8B7" w:rsidRDefault="00BF6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0"/>
  </w:num>
  <w:num w:numId="3">
    <w:abstractNumId w:val="8"/>
  </w:num>
  <w:num w:numId="4">
    <w:abstractNumId w:val="17"/>
  </w:num>
  <w:num w:numId="5">
    <w:abstractNumId w:val="16"/>
  </w:num>
  <w:num w:numId="6">
    <w:abstractNumId w:val="27"/>
  </w:num>
  <w:num w:numId="7">
    <w:abstractNumId w:val="24"/>
  </w:num>
  <w:num w:numId="8">
    <w:abstractNumId w:val="28"/>
  </w:num>
  <w:num w:numId="9">
    <w:abstractNumId w:val="29"/>
  </w:num>
  <w:num w:numId="10">
    <w:abstractNumId w:val="1"/>
  </w:num>
  <w:num w:numId="11">
    <w:abstractNumId w:val="10"/>
  </w:num>
  <w:num w:numId="12">
    <w:abstractNumId w:val="2"/>
  </w:num>
  <w:num w:numId="13">
    <w:abstractNumId w:val="11"/>
  </w:num>
  <w:num w:numId="14">
    <w:abstractNumId w:val="9"/>
  </w:num>
  <w:num w:numId="15">
    <w:abstractNumId w:val="18"/>
  </w:num>
  <w:num w:numId="16">
    <w:abstractNumId w:val="7"/>
  </w:num>
  <w:num w:numId="17">
    <w:abstractNumId w:val="30"/>
    <w:lvlOverride w:ilvl="0">
      <w:startOverride w:val="1"/>
    </w:lvlOverride>
  </w:num>
  <w:num w:numId="18">
    <w:abstractNumId w:val="23"/>
  </w:num>
  <w:num w:numId="19">
    <w:abstractNumId w:val="12"/>
  </w:num>
  <w:num w:numId="20">
    <w:abstractNumId w:val="26"/>
  </w:num>
  <w:num w:numId="21">
    <w:abstractNumId w:val="6"/>
  </w:num>
  <w:num w:numId="22">
    <w:abstractNumId w:val="13"/>
  </w:num>
  <w:num w:numId="23">
    <w:abstractNumId w:val="14"/>
  </w:num>
  <w:num w:numId="24">
    <w:abstractNumId w:val="4"/>
  </w:num>
  <w:num w:numId="25">
    <w:abstractNumId w:val="25"/>
  </w:num>
  <w:num w:numId="26">
    <w:abstractNumId w:val="3"/>
  </w:num>
  <w:num w:numId="27">
    <w:abstractNumId w:val="15"/>
  </w:num>
  <w:num w:numId="28">
    <w:abstractNumId w:val="21"/>
  </w:num>
  <w:num w:numId="29">
    <w:abstractNumId w:val="22"/>
  </w:num>
  <w:num w:numId="30">
    <w:abstractNumId w:val="5"/>
  </w:num>
  <w:num w:numId="31">
    <w:abstractNumId w:val="19"/>
  </w:num>
  <w:num w:numId="32">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5-07-01 12:54:24"/>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EPKit_DocumentHasBeenSaved" w:val="true"/>
    <w:docVar w:name="LW_CORRIGENDUM" w:val="&lt;UNUSED&gt;"/>
    <w:docVar w:name="LW_COVERPAGE_EXISTS" w:val="True"/>
    <w:docVar w:name="LW_COVERPAGE_GUID" w:val="D805E510-9741-493C-99B1-D120EE846C79"/>
    <w:docVar w:name="LW_COVERPAGE_TYPE" w:val="1"/>
    <w:docVar w:name="LW_CreatedUtc" w:val="2025-05-26T07:18:31.2129971Z"/>
    <w:docVar w:name="LW_CROSSREFERENCE" w:val="&lt;UNUSED&gt;"/>
    <w:docVar w:name="LW_DocType" w:val="COM"/>
    <w:docVar w:name="LW_EMISSION" w:val="23.6.2025"/>
    <w:docVar w:name="LW_EMISSION_ISODATE" w:val="2025-06-23"/>
    <w:docVar w:name="LW_EMISSION_LOCATION" w:val="BRX"/>
    <w:docVar w:name="LW_EMISSION_PREFIX" w:val="Bryssel den "/>
    <w:docVar w:name="LW_EMISSION_SUFFIX" w:val=" "/>
    <w:docVar w:name="LW_ID_DOCMODEL" w:val="SJ-019"/>
    <w:docVar w:name="LW_ID_DOCSIGNATURE" w:val="SJ-019"/>
    <w:docVar w:name="LW_ID_DOCSTRUCTURE" w:val="COM/PL/ORG"/>
    <w:docVar w:name="LW_ID_DOCTYPE" w:val="SJ-019"/>
    <w:docVar w:name="LW_ID_STATUT" w:val="SJ-019"/>
    <w:docVar w:name="LW_INSERT_EXP.MOTIFS.NEW" w:val="1"/>
    <w:docVar w:name="LW_INTERETEEE.CP" w:val="&lt;UNUSED&gt;"/>
    <w:docVar w:name="LW_LANGUE" w:val="SV"/>
    <w:docVar w:name="LW_LEVEL_OF_SENSITIVITY" w:val="Standard treatment"/>
    <w:docVar w:name="LW_NOM.INST" w:val="EUROPEISKA KOMMISSIONEN"/>
    <w:docVar w:name="LW_NOM.INST_JOINTDOC" w:val="&lt;EMPTY&gt;"/>
    <w:docVar w:name="LW_PART_NBR" w:val="1"/>
    <w:docVar w:name="LW_PART_NBR_TOTAL" w:val="1"/>
    <w:docVar w:name="LW_REF.II.NEW.CP" w:val="NLE"/>
    <w:docVar w:name="LW_REF.II.NEW.CP_NUMBER" w:val="0186"/>
    <w:docVar w:name="LW_REF.II.NEW.CP_YEAR" w:val="2025"/>
    <w:docVar w:name="LW_REF.INST.NEW" w:val="COM"/>
    <w:docVar w:name="LW_REF.INST.NEW_ADOPTED" w:val="final"/>
    <w:docVar w:name="LW_REF.INST.NEW_TEXT" w:val="(2025) 3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Förslag till"/>
    <w:docVar w:name="LW_SUPERTITRE" w:val="&lt;UNUSED&gt;"/>
    <w:docVar w:name="LW_TITRE.OBJ.CP" w:val="om förekomsten av ett alltför stort underskott i Österrike"/>
    <w:docVar w:name="LW_TYPE.DOC.CP" w:val="RÅDETS BESLUT"/>
    <w:docVar w:name="LwApiVersions" w:val="LW4CoDe 1.24.5.0; LW 9.0, Build 20240221"/>
  </w:docVars>
  <w:rsids>
    <w:rsidRoot w:val="006F0A0B"/>
    <w:rsid w:val="000102AE"/>
    <w:rsid w:val="000234AF"/>
    <w:rsid w:val="00037529"/>
    <w:rsid w:val="00037B8E"/>
    <w:rsid w:val="00053279"/>
    <w:rsid w:val="0005768A"/>
    <w:rsid w:val="00057D3A"/>
    <w:rsid w:val="00060CE4"/>
    <w:rsid w:val="00062D96"/>
    <w:rsid w:val="00076C52"/>
    <w:rsid w:val="0007773B"/>
    <w:rsid w:val="00082A0D"/>
    <w:rsid w:val="00082AED"/>
    <w:rsid w:val="00085C08"/>
    <w:rsid w:val="000A44EF"/>
    <w:rsid w:val="000A4BF8"/>
    <w:rsid w:val="000A646E"/>
    <w:rsid w:val="000B0CBD"/>
    <w:rsid w:val="000B7B2E"/>
    <w:rsid w:val="000C3182"/>
    <w:rsid w:val="000C35BF"/>
    <w:rsid w:val="000C46F8"/>
    <w:rsid w:val="000C4AE3"/>
    <w:rsid w:val="000D0C69"/>
    <w:rsid w:val="000E2675"/>
    <w:rsid w:val="000F42D3"/>
    <w:rsid w:val="00101825"/>
    <w:rsid w:val="001065F5"/>
    <w:rsid w:val="00112CA4"/>
    <w:rsid w:val="00117506"/>
    <w:rsid w:val="00121DCA"/>
    <w:rsid w:val="001232BD"/>
    <w:rsid w:val="001238EF"/>
    <w:rsid w:val="00123AE7"/>
    <w:rsid w:val="0012643B"/>
    <w:rsid w:val="00133544"/>
    <w:rsid w:val="00137A41"/>
    <w:rsid w:val="00143262"/>
    <w:rsid w:val="00151247"/>
    <w:rsid w:val="00163215"/>
    <w:rsid w:val="00163780"/>
    <w:rsid w:val="00163B05"/>
    <w:rsid w:val="00171226"/>
    <w:rsid w:val="001740DF"/>
    <w:rsid w:val="00175BCF"/>
    <w:rsid w:val="001772B7"/>
    <w:rsid w:val="00181094"/>
    <w:rsid w:val="00181ED0"/>
    <w:rsid w:val="00184DE3"/>
    <w:rsid w:val="0018529B"/>
    <w:rsid w:val="00191B93"/>
    <w:rsid w:val="00193452"/>
    <w:rsid w:val="00193C4A"/>
    <w:rsid w:val="001967CF"/>
    <w:rsid w:val="00197613"/>
    <w:rsid w:val="00197724"/>
    <w:rsid w:val="00197C29"/>
    <w:rsid w:val="00197E1B"/>
    <w:rsid w:val="001A22AE"/>
    <w:rsid w:val="001B7AF4"/>
    <w:rsid w:val="001C5688"/>
    <w:rsid w:val="001E1810"/>
    <w:rsid w:val="001E3F12"/>
    <w:rsid w:val="001E44CD"/>
    <w:rsid w:val="001E4973"/>
    <w:rsid w:val="001E4CB7"/>
    <w:rsid w:val="001E67CC"/>
    <w:rsid w:val="001F506E"/>
    <w:rsid w:val="001F5292"/>
    <w:rsid w:val="001F7238"/>
    <w:rsid w:val="002147FA"/>
    <w:rsid w:val="002257F8"/>
    <w:rsid w:val="002276DE"/>
    <w:rsid w:val="00231BC5"/>
    <w:rsid w:val="00233DC7"/>
    <w:rsid w:val="00241CF4"/>
    <w:rsid w:val="0024295B"/>
    <w:rsid w:val="00247779"/>
    <w:rsid w:val="00252197"/>
    <w:rsid w:val="002613B0"/>
    <w:rsid w:val="00270855"/>
    <w:rsid w:val="00271B6D"/>
    <w:rsid w:val="002735FF"/>
    <w:rsid w:val="00274C5A"/>
    <w:rsid w:val="002766B8"/>
    <w:rsid w:val="00277DEE"/>
    <w:rsid w:val="00285BEE"/>
    <w:rsid w:val="00286010"/>
    <w:rsid w:val="002879F8"/>
    <w:rsid w:val="00294D00"/>
    <w:rsid w:val="0029533F"/>
    <w:rsid w:val="002A420F"/>
    <w:rsid w:val="002A5E94"/>
    <w:rsid w:val="002B1BCE"/>
    <w:rsid w:val="002B30AF"/>
    <w:rsid w:val="002C042F"/>
    <w:rsid w:val="002C2CD9"/>
    <w:rsid w:val="002C5A30"/>
    <w:rsid w:val="002C6105"/>
    <w:rsid w:val="002C6759"/>
    <w:rsid w:val="002D6152"/>
    <w:rsid w:val="002E3E04"/>
    <w:rsid w:val="002F19A7"/>
    <w:rsid w:val="003001B5"/>
    <w:rsid w:val="00305310"/>
    <w:rsid w:val="00310359"/>
    <w:rsid w:val="0031097A"/>
    <w:rsid w:val="0031232E"/>
    <w:rsid w:val="00314806"/>
    <w:rsid w:val="00314B8F"/>
    <w:rsid w:val="00315DA2"/>
    <w:rsid w:val="0032030F"/>
    <w:rsid w:val="0032325F"/>
    <w:rsid w:val="00330F75"/>
    <w:rsid w:val="00332338"/>
    <w:rsid w:val="0033344A"/>
    <w:rsid w:val="0033463B"/>
    <w:rsid w:val="003410FD"/>
    <w:rsid w:val="00341744"/>
    <w:rsid w:val="00343330"/>
    <w:rsid w:val="00344591"/>
    <w:rsid w:val="00345759"/>
    <w:rsid w:val="00345FF9"/>
    <w:rsid w:val="00352DAC"/>
    <w:rsid w:val="0036189B"/>
    <w:rsid w:val="0036436F"/>
    <w:rsid w:val="003677D7"/>
    <w:rsid w:val="00371B13"/>
    <w:rsid w:val="00376487"/>
    <w:rsid w:val="003777DB"/>
    <w:rsid w:val="003806D4"/>
    <w:rsid w:val="003A0D0A"/>
    <w:rsid w:val="003A34F5"/>
    <w:rsid w:val="003A413A"/>
    <w:rsid w:val="003B286C"/>
    <w:rsid w:val="003B28AE"/>
    <w:rsid w:val="003B4589"/>
    <w:rsid w:val="003C54CA"/>
    <w:rsid w:val="003C6216"/>
    <w:rsid w:val="003D2E0B"/>
    <w:rsid w:val="003E37F9"/>
    <w:rsid w:val="003E6D13"/>
    <w:rsid w:val="003F2610"/>
    <w:rsid w:val="00403904"/>
    <w:rsid w:val="00403FDD"/>
    <w:rsid w:val="00412E9E"/>
    <w:rsid w:val="00415C69"/>
    <w:rsid w:val="00416D53"/>
    <w:rsid w:val="00416E58"/>
    <w:rsid w:val="00423089"/>
    <w:rsid w:val="0042310D"/>
    <w:rsid w:val="004256EF"/>
    <w:rsid w:val="0042648E"/>
    <w:rsid w:val="00431468"/>
    <w:rsid w:val="00433A90"/>
    <w:rsid w:val="0044695A"/>
    <w:rsid w:val="0044736F"/>
    <w:rsid w:val="00452AB8"/>
    <w:rsid w:val="004606FC"/>
    <w:rsid w:val="00461877"/>
    <w:rsid w:val="0046255D"/>
    <w:rsid w:val="00472588"/>
    <w:rsid w:val="00477F5E"/>
    <w:rsid w:val="00490AC4"/>
    <w:rsid w:val="004936D2"/>
    <w:rsid w:val="00493890"/>
    <w:rsid w:val="004A0530"/>
    <w:rsid w:val="004A365C"/>
    <w:rsid w:val="004B2080"/>
    <w:rsid w:val="004B2F11"/>
    <w:rsid w:val="004C70E3"/>
    <w:rsid w:val="004D0AF2"/>
    <w:rsid w:val="004D1EB9"/>
    <w:rsid w:val="004E3351"/>
    <w:rsid w:val="004E64D8"/>
    <w:rsid w:val="004F0F70"/>
    <w:rsid w:val="004F47CE"/>
    <w:rsid w:val="004F56A6"/>
    <w:rsid w:val="00505598"/>
    <w:rsid w:val="00506A90"/>
    <w:rsid w:val="00511246"/>
    <w:rsid w:val="005130C0"/>
    <w:rsid w:val="005161A4"/>
    <w:rsid w:val="005214C8"/>
    <w:rsid w:val="00531A80"/>
    <w:rsid w:val="0054120F"/>
    <w:rsid w:val="0054594A"/>
    <w:rsid w:val="005460DF"/>
    <w:rsid w:val="00546168"/>
    <w:rsid w:val="00555741"/>
    <w:rsid w:val="0055607F"/>
    <w:rsid w:val="00560FC8"/>
    <w:rsid w:val="00566A2A"/>
    <w:rsid w:val="0057104C"/>
    <w:rsid w:val="00572BEB"/>
    <w:rsid w:val="00581259"/>
    <w:rsid w:val="00583F7D"/>
    <w:rsid w:val="00584864"/>
    <w:rsid w:val="00593F36"/>
    <w:rsid w:val="00597B3E"/>
    <w:rsid w:val="005B1EB6"/>
    <w:rsid w:val="005B2584"/>
    <w:rsid w:val="005B44CF"/>
    <w:rsid w:val="005B481B"/>
    <w:rsid w:val="005B6453"/>
    <w:rsid w:val="005C1F9A"/>
    <w:rsid w:val="005C225B"/>
    <w:rsid w:val="005D1B24"/>
    <w:rsid w:val="005D7948"/>
    <w:rsid w:val="005E34B3"/>
    <w:rsid w:val="005E387B"/>
    <w:rsid w:val="005E38E1"/>
    <w:rsid w:val="005E6008"/>
    <w:rsid w:val="005F1B7A"/>
    <w:rsid w:val="006043CB"/>
    <w:rsid w:val="006139EE"/>
    <w:rsid w:val="00615704"/>
    <w:rsid w:val="00617151"/>
    <w:rsid w:val="00622BC1"/>
    <w:rsid w:val="00625FCB"/>
    <w:rsid w:val="00635653"/>
    <w:rsid w:val="00641477"/>
    <w:rsid w:val="00645522"/>
    <w:rsid w:val="006463A4"/>
    <w:rsid w:val="00647CF0"/>
    <w:rsid w:val="00650A3E"/>
    <w:rsid w:val="006652BE"/>
    <w:rsid w:val="006654EB"/>
    <w:rsid w:val="00665804"/>
    <w:rsid w:val="00666328"/>
    <w:rsid w:val="00671848"/>
    <w:rsid w:val="00672BB9"/>
    <w:rsid w:val="0067588C"/>
    <w:rsid w:val="006862E2"/>
    <w:rsid w:val="00690E19"/>
    <w:rsid w:val="006940FA"/>
    <w:rsid w:val="00695E5E"/>
    <w:rsid w:val="006B21C7"/>
    <w:rsid w:val="006B3E12"/>
    <w:rsid w:val="006B4339"/>
    <w:rsid w:val="006B7178"/>
    <w:rsid w:val="006C4FD8"/>
    <w:rsid w:val="006C7109"/>
    <w:rsid w:val="006D0624"/>
    <w:rsid w:val="006F0A0B"/>
    <w:rsid w:val="006F0BF4"/>
    <w:rsid w:val="007021BF"/>
    <w:rsid w:val="007116BA"/>
    <w:rsid w:val="0071208F"/>
    <w:rsid w:val="00715443"/>
    <w:rsid w:val="0071605A"/>
    <w:rsid w:val="007213A1"/>
    <w:rsid w:val="007225C8"/>
    <w:rsid w:val="0072760B"/>
    <w:rsid w:val="0074056A"/>
    <w:rsid w:val="00752820"/>
    <w:rsid w:val="0075598F"/>
    <w:rsid w:val="00770817"/>
    <w:rsid w:val="00770A97"/>
    <w:rsid w:val="00770D9C"/>
    <w:rsid w:val="007713CB"/>
    <w:rsid w:val="00773331"/>
    <w:rsid w:val="00775928"/>
    <w:rsid w:val="00775ED5"/>
    <w:rsid w:val="00792017"/>
    <w:rsid w:val="007932EF"/>
    <w:rsid w:val="00795749"/>
    <w:rsid w:val="007A1B2C"/>
    <w:rsid w:val="007A3231"/>
    <w:rsid w:val="007A5677"/>
    <w:rsid w:val="007B5C74"/>
    <w:rsid w:val="007C23F5"/>
    <w:rsid w:val="007C2B17"/>
    <w:rsid w:val="007C583B"/>
    <w:rsid w:val="007C72B6"/>
    <w:rsid w:val="007D54C4"/>
    <w:rsid w:val="007D7B37"/>
    <w:rsid w:val="007E05B0"/>
    <w:rsid w:val="007E1434"/>
    <w:rsid w:val="007E6AC2"/>
    <w:rsid w:val="007F2CF4"/>
    <w:rsid w:val="00821C2A"/>
    <w:rsid w:val="0082352C"/>
    <w:rsid w:val="00842568"/>
    <w:rsid w:val="00843A17"/>
    <w:rsid w:val="00843E4F"/>
    <w:rsid w:val="0084414E"/>
    <w:rsid w:val="0085111A"/>
    <w:rsid w:val="008516E8"/>
    <w:rsid w:val="00852694"/>
    <w:rsid w:val="00853ECC"/>
    <w:rsid w:val="00862D51"/>
    <w:rsid w:val="008631F2"/>
    <w:rsid w:val="008730C1"/>
    <w:rsid w:val="00874D22"/>
    <w:rsid w:val="00882098"/>
    <w:rsid w:val="00883E76"/>
    <w:rsid w:val="00885E52"/>
    <w:rsid w:val="00890186"/>
    <w:rsid w:val="008973B2"/>
    <w:rsid w:val="008A2914"/>
    <w:rsid w:val="008C19A9"/>
    <w:rsid w:val="008C1B8C"/>
    <w:rsid w:val="008C2D98"/>
    <w:rsid w:val="008C2F69"/>
    <w:rsid w:val="008C3CBE"/>
    <w:rsid w:val="008D1058"/>
    <w:rsid w:val="008D55D7"/>
    <w:rsid w:val="008E07FF"/>
    <w:rsid w:val="008E4D8E"/>
    <w:rsid w:val="008E5251"/>
    <w:rsid w:val="008E648F"/>
    <w:rsid w:val="008F219D"/>
    <w:rsid w:val="008F260A"/>
    <w:rsid w:val="008F2B48"/>
    <w:rsid w:val="0090093B"/>
    <w:rsid w:val="00900B23"/>
    <w:rsid w:val="0090203B"/>
    <w:rsid w:val="009047BD"/>
    <w:rsid w:val="00906875"/>
    <w:rsid w:val="00906E1C"/>
    <w:rsid w:val="00921EE2"/>
    <w:rsid w:val="00931A80"/>
    <w:rsid w:val="00932875"/>
    <w:rsid w:val="00941C83"/>
    <w:rsid w:val="009479F6"/>
    <w:rsid w:val="009502D8"/>
    <w:rsid w:val="00950A55"/>
    <w:rsid w:val="00955255"/>
    <w:rsid w:val="00957A6A"/>
    <w:rsid w:val="00961C77"/>
    <w:rsid w:val="00963629"/>
    <w:rsid w:val="00966F31"/>
    <w:rsid w:val="00977B58"/>
    <w:rsid w:val="0098085C"/>
    <w:rsid w:val="00982DB6"/>
    <w:rsid w:val="0098337B"/>
    <w:rsid w:val="009840D5"/>
    <w:rsid w:val="0098458C"/>
    <w:rsid w:val="0098740A"/>
    <w:rsid w:val="00990B9E"/>
    <w:rsid w:val="00990E74"/>
    <w:rsid w:val="009926AE"/>
    <w:rsid w:val="00993724"/>
    <w:rsid w:val="00994A52"/>
    <w:rsid w:val="00997A01"/>
    <w:rsid w:val="009A2D34"/>
    <w:rsid w:val="009A4D17"/>
    <w:rsid w:val="009A531A"/>
    <w:rsid w:val="009A7DD0"/>
    <w:rsid w:val="009B141F"/>
    <w:rsid w:val="009C1CB1"/>
    <w:rsid w:val="009C24CF"/>
    <w:rsid w:val="009D0118"/>
    <w:rsid w:val="009D7065"/>
    <w:rsid w:val="009D7E1B"/>
    <w:rsid w:val="009E2787"/>
    <w:rsid w:val="009E489E"/>
    <w:rsid w:val="009E7463"/>
    <w:rsid w:val="009F1715"/>
    <w:rsid w:val="009F1AB0"/>
    <w:rsid w:val="009F2922"/>
    <w:rsid w:val="00A03F3F"/>
    <w:rsid w:val="00A118CF"/>
    <w:rsid w:val="00A1246C"/>
    <w:rsid w:val="00A12CDD"/>
    <w:rsid w:val="00A13311"/>
    <w:rsid w:val="00A1480A"/>
    <w:rsid w:val="00A166E1"/>
    <w:rsid w:val="00A17A79"/>
    <w:rsid w:val="00A20276"/>
    <w:rsid w:val="00A21326"/>
    <w:rsid w:val="00A21566"/>
    <w:rsid w:val="00A25EB0"/>
    <w:rsid w:val="00A26374"/>
    <w:rsid w:val="00A27A7A"/>
    <w:rsid w:val="00A31510"/>
    <w:rsid w:val="00A3264B"/>
    <w:rsid w:val="00A37291"/>
    <w:rsid w:val="00A47B15"/>
    <w:rsid w:val="00A5667E"/>
    <w:rsid w:val="00A567DC"/>
    <w:rsid w:val="00A6035B"/>
    <w:rsid w:val="00A60379"/>
    <w:rsid w:val="00A62344"/>
    <w:rsid w:val="00A70508"/>
    <w:rsid w:val="00A70FDB"/>
    <w:rsid w:val="00A72C21"/>
    <w:rsid w:val="00A802B6"/>
    <w:rsid w:val="00A81325"/>
    <w:rsid w:val="00A839D7"/>
    <w:rsid w:val="00AA5A1D"/>
    <w:rsid w:val="00AB09D8"/>
    <w:rsid w:val="00AC5E41"/>
    <w:rsid w:val="00AD2337"/>
    <w:rsid w:val="00AD2644"/>
    <w:rsid w:val="00AE2153"/>
    <w:rsid w:val="00AE2B88"/>
    <w:rsid w:val="00AF4278"/>
    <w:rsid w:val="00B02DAD"/>
    <w:rsid w:val="00B11C2C"/>
    <w:rsid w:val="00B3378D"/>
    <w:rsid w:val="00B406B7"/>
    <w:rsid w:val="00B5322E"/>
    <w:rsid w:val="00B67795"/>
    <w:rsid w:val="00B6799C"/>
    <w:rsid w:val="00B70540"/>
    <w:rsid w:val="00B72908"/>
    <w:rsid w:val="00B747AD"/>
    <w:rsid w:val="00B7528C"/>
    <w:rsid w:val="00B83E33"/>
    <w:rsid w:val="00B84B96"/>
    <w:rsid w:val="00B86B09"/>
    <w:rsid w:val="00B870DC"/>
    <w:rsid w:val="00B919CD"/>
    <w:rsid w:val="00B92E34"/>
    <w:rsid w:val="00B94775"/>
    <w:rsid w:val="00B95B16"/>
    <w:rsid w:val="00BB03A0"/>
    <w:rsid w:val="00BB0AA3"/>
    <w:rsid w:val="00BB3D62"/>
    <w:rsid w:val="00BB4B54"/>
    <w:rsid w:val="00BB58E2"/>
    <w:rsid w:val="00BC5763"/>
    <w:rsid w:val="00BC6B01"/>
    <w:rsid w:val="00BD7F8C"/>
    <w:rsid w:val="00BE368C"/>
    <w:rsid w:val="00BE790F"/>
    <w:rsid w:val="00BE7BA2"/>
    <w:rsid w:val="00BF045A"/>
    <w:rsid w:val="00BF1054"/>
    <w:rsid w:val="00BF2913"/>
    <w:rsid w:val="00BF68B7"/>
    <w:rsid w:val="00C01E50"/>
    <w:rsid w:val="00C0454A"/>
    <w:rsid w:val="00C12301"/>
    <w:rsid w:val="00C142A1"/>
    <w:rsid w:val="00C20ED9"/>
    <w:rsid w:val="00C24834"/>
    <w:rsid w:val="00C30B11"/>
    <w:rsid w:val="00C32D4D"/>
    <w:rsid w:val="00C340DC"/>
    <w:rsid w:val="00C34981"/>
    <w:rsid w:val="00C368E3"/>
    <w:rsid w:val="00C47DE6"/>
    <w:rsid w:val="00C525D0"/>
    <w:rsid w:val="00C64273"/>
    <w:rsid w:val="00C66C88"/>
    <w:rsid w:val="00C70889"/>
    <w:rsid w:val="00C71239"/>
    <w:rsid w:val="00C72E16"/>
    <w:rsid w:val="00C747C7"/>
    <w:rsid w:val="00C8614F"/>
    <w:rsid w:val="00C91CAF"/>
    <w:rsid w:val="00C927E8"/>
    <w:rsid w:val="00C949CD"/>
    <w:rsid w:val="00C95137"/>
    <w:rsid w:val="00C96BEB"/>
    <w:rsid w:val="00C972C6"/>
    <w:rsid w:val="00CA06A7"/>
    <w:rsid w:val="00CA42C3"/>
    <w:rsid w:val="00CA47C1"/>
    <w:rsid w:val="00CA5E29"/>
    <w:rsid w:val="00CB22DD"/>
    <w:rsid w:val="00CC000F"/>
    <w:rsid w:val="00CC4CCA"/>
    <w:rsid w:val="00CC579C"/>
    <w:rsid w:val="00CC7AD9"/>
    <w:rsid w:val="00CE3680"/>
    <w:rsid w:val="00CE39AF"/>
    <w:rsid w:val="00CE76B5"/>
    <w:rsid w:val="00D01C9D"/>
    <w:rsid w:val="00D01D2A"/>
    <w:rsid w:val="00D02304"/>
    <w:rsid w:val="00D042EC"/>
    <w:rsid w:val="00D13F5C"/>
    <w:rsid w:val="00D151F8"/>
    <w:rsid w:val="00D167A1"/>
    <w:rsid w:val="00D20381"/>
    <w:rsid w:val="00D26337"/>
    <w:rsid w:val="00D46426"/>
    <w:rsid w:val="00D47493"/>
    <w:rsid w:val="00D53A8D"/>
    <w:rsid w:val="00D53E78"/>
    <w:rsid w:val="00D566C5"/>
    <w:rsid w:val="00D61D9D"/>
    <w:rsid w:val="00D67572"/>
    <w:rsid w:val="00D72F43"/>
    <w:rsid w:val="00D90B05"/>
    <w:rsid w:val="00D91FBD"/>
    <w:rsid w:val="00D95DAF"/>
    <w:rsid w:val="00D96A2F"/>
    <w:rsid w:val="00DA2363"/>
    <w:rsid w:val="00DC45F4"/>
    <w:rsid w:val="00DC4A8B"/>
    <w:rsid w:val="00DD5CFD"/>
    <w:rsid w:val="00DD5EDE"/>
    <w:rsid w:val="00DE559E"/>
    <w:rsid w:val="00DF165D"/>
    <w:rsid w:val="00E0568F"/>
    <w:rsid w:val="00E16509"/>
    <w:rsid w:val="00E212BF"/>
    <w:rsid w:val="00E213D4"/>
    <w:rsid w:val="00E25CA7"/>
    <w:rsid w:val="00E265F7"/>
    <w:rsid w:val="00E26693"/>
    <w:rsid w:val="00E27ACA"/>
    <w:rsid w:val="00E30536"/>
    <w:rsid w:val="00E34A9A"/>
    <w:rsid w:val="00E425E6"/>
    <w:rsid w:val="00E45FC8"/>
    <w:rsid w:val="00E63A81"/>
    <w:rsid w:val="00E70A09"/>
    <w:rsid w:val="00E71D01"/>
    <w:rsid w:val="00E7259F"/>
    <w:rsid w:val="00E7453C"/>
    <w:rsid w:val="00E77123"/>
    <w:rsid w:val="00E77F9F"/>
    <w:rsid w:val="00E87C62"/>
    <w:rsid w:val="00E91147"/>
    <w:rsid w:val="00E926AC"/>
    <w:rsid w:val="00E95B16"/>
    <w:rsid w:val="00E97186"/>
    <w:rsid w:val="00EA018A"/>
    <w:rsid w:val="00EA3688"/>
    <w:rsid w:val="00EC242A"/>
    <w:rsid w:val="00EC25B8"/>
    <w:rsid w:val="00EC4839"/>
    <w:rsid w:val="00EC4BCB"/>
    <w:rsid w:val="00ED0A9E"/>
    <w:rsid w:val="00ED1E5F"/>
    <w:rsid w:val="00ED2F86"/>
    <w:rsid w:val="00ED38F0"/>
    <w:rsid w:val="00ED3945"/>
    <w:rsid w:val="00ED56E6"/>
    <w:rsid w:val="00EE1281"/>
    <w:rsid w:val="00EE4A2F"/>
    <w:rsid w:val="00EF10BF"/>
    <w:rsid w:val="00EF28F5"/>
    <w:rsid w:val="00EF7122"/>
    <w:rsid w:val="00F03737"/>
    <w:rsid w:val="00F04B3B"/>
    <w:rsid w:val="00F104EF"/>
    <w:rsid w:val="00F1191F"/>
    <w:rsid w:val="00F12373"/>
    <w:rsid w:val="00F1263F"/>
    <w:rsid w:val="00F12687"/>
    <w:rsid w:val="00F2141B"/>
    <w:rsid w:val="00F22472"/>
    <w:rsid w:val="00F233FC"/>
    <w:rsid w:val="00F23F51"/>
    <w:rsid w:val="00F25CAF"/>
    <w:rsid w:val="00F33981"/>
    <w:rsid w:val="00F339B1"/>
    <w:rsid w:val="00F33E82"/>
    <w:rsid w:val="00F549E4"/>
    <w:rsid w:val="00F57606"/>
    <w:rsid w:val="00F63258"/>
    <w:rsid w:val="00F74731"/>
    <w:rsid w:val="00F84A17"/>
    <w:rsid w:val="00F90358"/>
    <w:rsid w:val="00F92FBC"/>
    <w:rsid w:val="00FA075C"/>
    <w:rsid w:val="00FA1FB2"/>
    <w:rsid w:val="00FA20D8"/>
    <w:rsid w:val="00FA5756"/>
    <w:rsid w:val="00FA6116"/>
    <w:rsid w:val="00FA6F1D"/>
    <w:rsid w:val="00FB4744"/>
    <w:rsid w:val="00FC2791"/>
    <w:rsid w:val="00FC38F8"/>
    <w:rsid w:val="00FC4702"/>
    <w:rsid w:val="00FD4640"/>
    <w:rsid w:val="00FD7EBB"/>
    <w:rsid w:val="00FE1C0B"/>
    <w:rsid w:val="00FE1D73"/>
    <w:rsid w:val="00FE4C08"/>
    <w:rsid w:val="00FF74D3"/>
    <w:rsid w:val="0267CB38"/>
    <w:rsid w:val="039F9F1C"/>
    <w:rsid w:val="047161D6"/>
    <w:rsid w:val="069B5982"/>
    <w:rsid w:val="09FB383A"/>
    <w:rsid w:val="0B970D59"/>
    <w:rsid w:val="0C577CD2"/>
    <w:rsid w:val="117D0A58"/>
    <w:rsid w:val="12111660"/>
    <w:rsid w:val="12307A93"/>
    <w:rsid w:val="1343AC14"/>
    <w:rsid w:val="1694D1A3"/>
    <w:rsid w:val="193AA469"/>
    <w:rsid w:val="19E915B8"/>
    <w:rsid w:val="1C755811"/>
    <w:rsid w:val="2164D99A"/>
    <w:rsid w:val="24A4DF63"/>
    <w:rsid w:val="29009AD4"/>
    <w:rsid w:val="2A049543"/>
    <w:rsid w:val="2AB8BA7D"/>
    <w:rsid w:val="2BCB253D"/>
    <w:rsid w:val="2CC960E5"/>
    <w:rsid w:val="2D700597"/>
    <w:rsid w:val="307FCE16"/>
    <w:rsid w:val="309FBB2B"/>
    <w:rsid w:val="30A2587B"/>
    <w:rsid w:val="316F3D34"/>
    <w:rsid w:val="3402ADE9"/>
    <w:rsid w:val="3D5B77CA"/>
    <w:rsid w:val="400CDB96"/>
    <w:rsid w:val="42A7EDBF"/>
    <w:rsid w:val="44726964"/>
    <w:rsid w:val="453D32E5"/>
    <w:rsid w:val="4576C22A"/>
    <w:rsid w:val="468FE5EF"/>
    <w:rsid w:val="49ACF4F2"/>
    <w:rsid w:val="4C0A41F1"/>
    <w:rsid w:val="4C10E0C7"/>
    <w:rsid w:val="4D6520B6"/>
    <w:rsid w:val="5099BAE4"/>
    <w:rsid w:val="5341C074"/>
    <w:rsid w:val="5371451C"/>
    <w:rsid w:val="53AF8394"/>
    <w:rsid w:val="578A219D"/>
    <w:rsid w:val="5E775836"/>
    <w:rsid w:val="5EE3A188"/>
    <w:rsid w:val="5EFF487B"/>
    <w:rsid w:val="5F9F5A98"/>
    <w:rsid w:val="5FB9A7E6"/>
    <w:rsid w:val="62D1529D"/>
    <w:rsid w:val="66961522"/>
    <w:rsid w:val="6793B628"/>
    <w:rsid w:val="6D136C1F"/>
    <w:rsid w:val="6D604F10"/>
    <w:rsid w:val="6F44363D"/>
    <w:rsid w:val="7371A707"/>
    <w:rsid w:val="750D41FB"/>
    <w:rsid w:val="77FBC84D"/>
    <w:rsid w:val="7990FE04"/>
    <w:rsid w:val="7B594E12"/>
    <w:rsid w:val="7E9F8746"/>
    <w:rsid w:val="7EE341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26C2BE4A-089D-460C-A65B-448DB8FD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v-SE"/>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5"/>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5"/>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6F0A0B"/>
    <w:pPr>
      <w:numPr>
        <w:numId w:val="2"/>
      </w:numPr>
      <w:tabs>
        <w:tab w:val="num" w:pos="360"/>
      </w:tabs>
      <w:ind w:left="0" w:firstLine="0"/>
    </w:pPr>
    <w:rPr>
      <w:rFonts w:eastAsia="Times New Roman"/>
      <w:lang w:eastAsia="de-DE"/>
    </w:rPr>
  </w:style>
  <w:style w:type="paragraph" w:styleId="ListNumber">
    <w:name w:val="List Number"/>
    <w:basedOn w:val="Normal"/>
    <w:rsid w:val="006F0A0B"/>
    <w:pPr>
      <w:numPr>
        <w:numId w:val="6"/>
      </w:numPr>
    </w:pPr>
    <w:rPr>
      <w:rFonts w:eastAsia="Times New Roman"/>
      <w:lang w:eastAsia="de-DE"/>
    </w:rPr>
  </w:style>
  <w:style w:type="paragraph" w:customStyle="1" w:styleId="ListBullet1">
    <w:name w:val="List Bullet 1"/>
    <w:basedOn w:val="Normal"/>
    <w:rsid w:val="006F0A0B"/>
    <w:pPr>
      <w:numPr>
        <w:numId w:val="1"/>
      </w:numPr>
    </w:pPr>
    <w:rPr>
      <w:rFonts w:eastAsia="Times New Roman"/>
      <w:lang w:eastAsia="de-DE"/>
    </w:rPr>
  </w:style>
  <w:style w:type="paragraph" w:customStyle="1" w:styleId="ListDash">
    <w:name w:val="List Dash"/>
    <w:basedOn w:val="Normal"/>
    <w:rsid w:val="006F0A0B"/>
    <w:pPr>
      <w:numPr>
        <w:numId w:val="3"/>
      </w:numPr>
    </w:pPr>
    <w:rPr>
      <w:rFonts w:eastAsia="Times New Roman"/>
      <w:lang w:eastAsia="de-DE"/>
    </w:rPr>
  </w:style>
  <w:style w:type="paragraph" w:customStyle="1" w:styleId="ListDash1">
    <w:name w:val="List Dash 1"/>
    <w:basedOn w:val="Normal"/>
    <w:rsid w:val="006F0A0B"/>
    <w:pPr>
      <w:numPr>
        <w:numId w:val="4"/>
      </w:numPr>
    </w:pPr>
    <w:rPr>
      <w:rFonts w:eastAsia="Times New Roman"/>
      <w:lang w:eastAsia="de-DE"/>
    </w:rPr>
  </w:style>
  <w:style w:type="paragraph" w:customStyle="1" w:styleId="ListDash2">
    <w:name w:val="List Dash 2"/>
    <w:basedOn w:val="Normal"/>
    <w:rsid w:val="006F0A0B"/>
    <w:pPr>
      <w:numPr>
        <w:numId w:val="5"/>
      </w:numPr>
    </w:pPr>
    <w:rPr>
      <w:rFonts w:eastAsia="Times New Roman"/>
      <w:lang w:eastAsia="de-DE"/>
    </w:rPr>
  </w:style>
  <w:style w:type="paragraph" w:customStyle="1" w:styleId="ListNumberLevel2">
    <w:name w:val="List Number (Level 2)"/>
    <w:basedOn w:val="Normal"/>
    <w:rsid w:val="006F0A0B"/>
    <w:pPr>
      <w:numPr>
        <w:ilvl w:val="1"/>
        <w:numId w:val="6"/>
      </w:numPr>
    </w:pPr>
    <w:rPr>
      <w:rFonts w:eastAsia="Times New Roman"/>
      <w:lang w:eastAsia="de-DE"/>
    </w:rPr>
  </w:style>
  <w:style w:type="paragraph" w:customStyle="1" w:styleId="ListNumberLevel3">
    <w:name w:val="List Number (Level 3)"/>
    <w:basedOn w:val="Normal"/>
    <w:rsid w:val="006F0A0B"/>
    <w:pPr>
      <w:numPr>
        <w:ilvl w:val="2"/>
        <w:numId w:val="6"/>
      </w:numPr>
    </w:pPr>
    <w:rPr>
      <w:rFonts w:eastAsia="Times New Roman"/>
      <w:lang w:eastAsia="de-DE"/>
    </w:rPr>
  </w:style>
  <w:style w:type="paragraph" w:customStyle="1" w:styleId="ListNumberLevel4">
    <w:name w:val="List Number (Level 4)"/>
    <w:basedOn w:val="Normal"/>
    <w:rsid w:val="006F0A0B"/>
    <w:pPr>
      <w:numPr>
        <w:ilvl w:val="3"/>
        <w:numId w:val="6"/>
      </w:numPr>
    </w:pPr>
    <w:rPr>
      <w:rFonts w:eastAsia="Times New Roman"/>
      <w:lang w:eastAsia="de-DE"/>
    </w:rPr>
  </w:style>
  <w:style w:type="table" w:styleId="TableGrid">
    <w:name w:val="Table Grid"/>
    <w:basedOn w:val="TableNormal"/>
    <w:rsid w:val="006F0A0B"/>
    <w:pPr>
      <w:spacing w:before="120" w:after="120" w:line="240" w:lineRule="auto"/>
      <w:jc w:val="both"/>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F0A0B"/>
    <w:rPr>
      <w:color w:val="0000FF"/>
      <w:u w:val="single"/>
    </w:rPr>
  </w:style>
  <w:style w:type="paragraph" w:styleId="ListBullet">
    <w:name w:val="List Bullet"/>
    <w:basedOn w:val="Normal"/>
    <w:rsid w:val="006F0A0B"/>
    <w:pPr>
      <w:numPr>
        <w:numId w:val="7"/>
      </w:numPr>
    </w:pPr>
    <w:rPr>
      <w:rFonts w:eastAsia="Times New Roman"/>
      <w:lang w:eastAsia="en-GB"/>
    </w:rPr>
  </w:style>
  <w:style w:type="paragraph" w:styleId="ListBullet2">
    <w:name w:val="List Bullet 2"/>
    <w:basedOn w:val="Normal"/>
    <w:rsid w:val="006F0A0B"/>
    <w:pPr>
      <w:numPr>
        <w:numId w:val="8"/>
      </w:numPr>
    </w:pPr>
    <w:rPr>
      <w:rFonts w:eastAsia="Times New Roman"/>
      <w:lang w:eastAsia="en-GB"/>
    </w:rPr>
  </w:style>
  <w:style w:type="paragraph" w:styleId="ListBullet3">
    <w:name w:val="List Bullet 3"/>
    <w:basedOn w:val="Normal"/>
    <w:rsid w:val="006F0A0B"/>
    <w:pPr>
      <w:numPr>
        <w:numId w:val="9"/>
      </w:numPr>
    </w:pPr>
    <w:rPr>
      <w:rFonts w:eastAsia="Times New Roman"/>
      <w:lang w:eastAsia="en-GB"/>
    </w:rPr>
  </w:style>
  <w:style w:type="paragraph" w:styleId="ListNumber2">
    <w:name w:val="List Number 2"/>
    <w:basedOn w:val="Normal"/>
    <w:rsid w:val="006F0A0B"/>
    <w:pPr>
      <w:numPr>
        <w:numId w:val="13"/>
      </w:numPr>
    </w:pPr>
    <w:rPr>
      <w:rFonts w:eastAsia="Times New Roman"/>
      <w:lang w:eastAsia="en-GB"/>
    </w:rPr>
  </w:style>
  <w:style w:type="paragraph" w:styleId="ListNumber3">
    <w:name w:val="List Number 3"/>
    <w:basedOn w:val="Normal"/>
    <w:rsid w:val="006F0A0B"/>
    <w:pPr>
      <w:numPr>
        <w:numId w:val="14"/>
      </w:numPr>
    </w:pPr>
    <w:rPr>
      <w:rFonts w:eastAsia="Times New Roman"/>
      <w:lang w:eastAsia="en-GB"/>
    </w:rPr>
  </w:style>
  <w:style w:type="paragraph" w:styleId="ListNumber4">
    <w:name w:val="List Number 4"/>
    <w:basedOn w:val="Normal"/>
    <w:rsid w:val="006F0A0B"/>
    <w:pPr>
      <w:numPr>
        <w:numId w:val="15"/>
      </w:numPr>
    </w:pPr>
    <w:rPr>
      <w:rFonts w:eastAsia="Times New Roman"/>
      <w:lang w:eastAsia="en-GB"/>
    </w:rPr>
  </w:style>
  <w:style w:type="paragraph" w:customStyle="1" w:styleId="ListDash3">
    <w:name w:val="List Dash 3"/>
    <w:basedOn w:val="Normal"/>
    <w:rsid w:val="006F0A0B"/>
    <w:pPr>
      <w:numPr>
        <w:numId w:val="10"/>
      </w:numPr>
    </w:pPr>
    <w:rPr>
      <w:rFonts w:eastAsia="Times New Roman"/>
      <w:lang w:eastAsia="en-GB"/>
    </w:rPr>
  </w:style>
  <w:style w:type="paragraph" w:customStyle="1" w:styleId="ListDash4">
    <w:name w:val="List Dash 4"/>
    <w:basedOn w:val="Normal"/>
    <w:rsid w:val="006F0A0B"/>
    <w:pPr>
      <w:numPr>
        <w:numId w:val="11"/>
      </w:numPr>
    </w:pPr>
    <w:rPr>
      <w:rFonts w:eastAsia="Times New Roman"/>
      <w:lang w:eastAsia="en-GB"/>
    </w:rPr>
  </w:style>
  <w:style w:type="paragraph" w:customStyle="1" w:styleId="ListNumber1">
    <w:name w:val="List Number 1"/>
    <w:basedOn w:val="Text1"/>
    <w:rsid w:val="006F0A0B"/>
    <w:pPr>
      <w:numPr>
        <w:numId w:val="12"/>
      </w:numPr>
    </w:pPr>
    <w:rPr>
      <w:rFonts w:eastAsia="Times New Roman"/>
      <w:lang w:eastAsia="en-GB"/>
    </w:rPr>
  </w:style>
  <w:style w:type="paragraph" w:customStyle="1" w:styleId="ListNumber1Level2">
    <w:name w:val="List Number 1 (Level 2)"/>
    <w:basedOn w:val="Text1"/>
    <w:rsid w:val="006F0A0B"/>
    <w:pPr>
      <w:numPr>
        <w:ilvl w:val="1"/>
        <w:numId w:val="12"/>
      </w:numPr>
    </w:pPr>
    <w:rPr>
      <w:rFonts w:eastAsia="Times New Roman"/>
      <w:lang w:eastAsia="en-GB"/>
    </w:rPr>
  </w:style>
  <w:style w:type="paragraph" w:customStyle="1" w:styleId="ListNumber2Level2">
    <w:name w:val="List Number 2 (Level 2)"/>
    <w:basedOn w:val="Text2"/>
    <w:rsid w:val="006F0A0B"/>
    <w:pPr>
      <w:numPr>
        <w:ilvl w:val="1"/>
        <w:numId w:val="13"/>
      </w:numPr>
    </w:pPr>
    <w:rPr>
      <w:rFonts w:eastAsia="Times New Roman"/>
      <w:lang w:eastAsia="en-GB"/>
    </w:rPr>
  </w:style>
  <w:style w:type="paragraph" w:customStyle="1" w:styleId="ListNumber3Level2">
    <w:name w:val="List Number 3 (Level 2)"/>
    <w:basedOn w:val="Text3"/>
    <w:rsid w:val="006F0A0B"/>
    <w:pPr>
      <w:numPr>
        <w:ilvl w:val="1"/>
        <w:numId w:val="14"/>
      </w:numPr>
    </w:pPr>
    <w:rPr>
      <w:rFonts w:eastAsia="Times New Roman"/>
      <w:lang w:eastAsia="en-GB"/>
    </w:rPr>
  </w:style>
  <w:style w:type="paragraph" w:customStyle="1" w:styleId="ListNumber4Level2">
    <w:name w:val="List Number 4 (Level 2)"/>
    <w:basedOn w:val="Text4"/>
    <w:rsid w:val="006F0A0B"/>
    <w:pPr>
      <w:numPr>
        <w:ilvl w:val="1"/>
        <w:numId w:val="15"/>
      </w:numPr>
    </w:pPr>
    <w:rPr>
      <w:rFonts w:eastAsia="Times New Roman"/>
      <w:lang w:eastAsia="en-GB"/>
    </w:rPr>
  </w:style>
  <w:style w:type="paragraph" w:customStyle="1" w:styleId="ListNumber1Level3">
    <w:name w:val="List Number 1 (Level 3)"/>
    <w:basedOn w:val="Text1"/>
    <w:rsid w:val="006F0A0B"/>
    <w:pPr>
      <w:numPr>
        <w:ilvl w:val="2"/>
        <w:numId w:val="12"/>
      </w:numPr>
    </w:pPr>
    <w:rPr>
      <w:rFonts w:eastAsia="Times New Roman"/>
      <w:lang w:eastAsia="en-GB"/>
    </w:rPr>
  </w:style>
  <w:style w:type="paragraph" w:customStyle="1" w:styleId="ListNumber2Level3">
    <w:name w:val="List Number 2 (Level 3)"/>
    <w:basedOn w:val="Text2"/>
    <w:rsid w:val="006F0A0B"/>
    <w:pPr>
      <w:numPr>
        <w:ilvl w:val="2"/>
        <w:numId w:val="13"/>
      </w:numPr>
    </w:pPr>
    <w:rPr>
      <w:rFonts w:eastAsia="Times New Roman"/>
      <w:lang w:eastAsia="en-GB"/>
    </w:rPr>
  </w:style>
  <w:style w:type="paragraph" w:customStyle="1" w:styleId="ListNumber3Level3">
    <w:name w:val="List Number 3 (Level 3)"/>
    <w:basedOn w:val="Text3"/>
    <w:rsid w:val="006F0A0B"/>
    <w:pPr>
      <w:numPr>
        <w:ilvl w:val="2"/>
        <w:numId w:val="14"/>
      </w:numPr>
    </w:pPr>
    <w:rPr>
      <w:rFonts w:eastAsia="Times New Roman"/>
      <w:lang w:eastAsia="en-GB"/>
    </w:rPr>
  </w:style>
  <w:style w:type="paragraph" w:customStyle="1" w:styleId="ListNumber4Level3">
    <w:name w:val="List Number 4 (Level 3)"/>
    <w:basedOn w:val="Text4"/>
    <w:rsid w:val="006F0A0B"/>
    <w:pPr>
      <w:numPr>
        <w:ilvl w:val="2"/>
        <w:numId w:val="15"/>
      </w:numPr>
    </w:pPr>
    <w:rPr>
      <w:rFonts w:eastAsia="Times New Roman"/>
      <w:lang w:eastAsia="en-GB"/>
    </w:rPr>
  </w:style>
  <w:style w:type="paragraph" w:customStyle="1" w:styleId="ListNumber1Level4">
    <w:name w:val="List Number 1 (Level 4)"/>
    <w:basedOn w:val="Text1"/>
    <w:rsid w:val="006F0A0B"/>
    <w:pPr>
      <w:numPr>
        <w:ilvl w:val="3"/>
        <w:numId w:val="12"/>
      </w:numPr>
    </w:pPr>
    <w:rPr>
      <w:rFonts w:eastAsia="Times New Roman"/>
      <w:lang w:eastAsia="en-GB"/>
    </w:rPr>
  </w:style>
  <w:style w:type="paragraph" w:customStyle="1" w:styleId="ListNumber2Level4">
    <w:name w:val="List Number 2 (Level 4)"/>
    <w:basedOn w:val="Text2"/>
    <w:rsid w:val="006F0A0B"/>
    <w:pPr>
      <w:numPr>
        <w:ilvl w:val="3"/>
        <w:numId w:val="13"/>
      </w:numPr>
    </w:pPr>
    <w:rPr>
      <w:rFonts w:eastAsia="Times New Roman"/>
      <w:lang w:eastAsia="en-GB"/>
    </w:rPr>
  </w:style>
  <w:style w:type="paragraph" w:customStyle="1" w:styleId="ListNumber3Level4">
    <w:name w:val="List Number 3 (Level 4)"/>
    <w:basedOn w:val="Text3"/>
    <w:rsid w:val="006F0A0B"/>
    <w:pPr>
      <w:numPr>
        <w:ilvl w:val="3"/>
        <w:numId w:val="14"/>
      </w:numPr>
    </w:pPr>
    <w:rPr>
      <w:rFonts w:eastAsia="Times New Roman"/>
      <w:lang w:eastAsia="en-GB"/>
    </w:rPr>
  </w:style>
  <w:style w:type="paragraph" w:customStyle="1" w:styleId="ListNumber4Level4">
    <w:name w:val="List Number 4 (Level 4)"/>
    <w:basedOn w:val="Text4"/>
    <w:rsid w:val="006F0A0B"/>
    <w:pPr>
      <w:numPr>
        <w:ilvl w:val="3"/>
        <w:numId w:val="15"/>
      </w:numPr>
    </w:pPr>
    <w:rPr>
      <w:rFonts w:eastAsia="Times New Roman"/>
      <w:lang w:eastAsia="en-GB"/>
    </w:rPr>
  </w:style>
  <w:style w:type="paragraph" w:customStyle="1" w:styleId="Annexetitreacte">
    <w:name w:val="Annexe titre (acte)"/>
    <w:basedOn w:val="Normal"/>
    <w:next w:val="Normal"/>
    <w:rsid w:val="006F0A0B"/>
    <w:pPr>
      <w:jc w:val="center"/>
    </w:pPr>
    <w:rPr>
      <w:rFonts w:eastAsia="Times New Roman"/>
      <w:b/>
      <w:u w:val="single"/>
      <w:lang w:eastAsia="en-GB"/>
    </w:rPr>
  </w:style>
  <w:style w:type="paragraph" w:customStyle="1" w:styleId="Annexetitreexposglobal">
    <w:name w:val="Annexe titre (exposé global)"/>
    <w:basedOn w:val="Normal"/>
    <w:next w:val="Normal"/>
    <w:rsid w:val="006F0A0B"/>
    <w:pPr>
      <w:jc w:val="center"/>
    </w:pPr>
    <w:rPr>
      <w:rFonts w:eastAsia="Times New Roman"/>
      <w:b/>
      <w:u w:val="single"/>
      <w:lang w:eastAsia="en-GB"/>
    </w:rPr>
  </w:style>
  <w:style w:type="paragraph" w:customStyle="1" w:styleId="Annexetitrefichefinacte">
    <w:name w:val="Annexe titre (fiche fin. acte)"/>
    <w:basedOn w:val="Normal"/>
    <w:next w:val="Normal"/>
    <w:rsid w:val="006F0A0B"/>
    <w:pPr>
      <w:jc w:val="center"/>
    </w:pPr>
    <w:rPr>
      <w:rFonts w:eastAsia="Times New Roman"/>
      <w:b/>
      <w:u w:val="single"/>
      <w:lang w:eastAsia="en-GB"/>
    </w:rPr>
  </w:style>
  <w:style w:type="paragraph" w:customStyle="1" w:styleId="Annexetitrefichefinglobale">
    <w:name w:val="Annexe titre (fiche fin. globale)"/>
    <w:basedOn w:val="Normal"/>
    <w:next w:val="Normal"/>
    <w:rsid w:val="006F0A0B"/>
    <w:pPr>
      <w:jc w:val="center"/>
    </w:pPr>
    <w:rPr>
      <w:rFonts w:eastAsia="Times New Roman"/>
      <w:b/>
      <w:u w:val="single"/>
      <w:lang w:eastAsia="en-GB"/>
    </w:rPr>
  </w:style>
  <w:style w:type="paragraph" w:customStyle="1" w:styleId="Annexetitreglobale">
    <w:name w:val="Annexe titre (globale)"/>
    <w:basedOn w:val="Normal"/>
    <w:next w:val="Normal"/>
    <w:rsid w:val="006F0A0B"/>
    <w:pPr>
      <w:jc w:val="center"/>
    </w:pPr>
    <w:rPr>
      <w:rFonts w:eastAsia="Times New Roman"/>
      <w:b/>
      <w:u w:val="single"/>
      <w:lang w:eastAsia="en-GB"/>
    </w:rPr>
  </w:style>
  <w:style w:type="paragraph" w:customStyle="1" w:styleId="Exposdesmotifstitreglobal">
    <w:name w:val="Exposé des motifs titre (global)"/>
    <w:basedOn w:val="Normal"/>
    <w:next w:val="Normal"/>
    <w:rsid w:val="006F0A0B"/>
    <w:pPr>
      <w:jc w:val="center"/>
    </w:pPr>
    <w:rPr>
      <w:rFonts w:eastAsia="Times New Roman"/>
      <w:b/>
      <w:u w:val="single"/>
      <w:lang w:eastAsia="en-GB"/>
    </w:rPr>
  </w:style>
  <w:style w:type="paragraph" w:customStyle="1" w:styleId="Langueoriginale">
    <w:name w:val="Langue originale"/>
    <w:basedOn w:val="Normal"/>
    <w:rsid w:val="006F0A0B"/>
    <w:pPr>
      <w:spacing w:before="360"/>
      <w:jc w:val="center"/>
    </w:pPr>
    <w:rPr>
      <w:rFonts w:eastAsia="Times New Roman"/>
      <w:caps/>
      <w:lang w:eastAsia="en-GB"/>
    </w:rPr>
  </w:style>
  <w:style w:type="paragraph" w:customStyle="1" w:styleId="Phrasefinale">
    <w:name w:val="Phrase finale"/>
    <w:basedOn w:val="Normal"/>
    <w:next w:val="Normal"/>
    <w:rsid w:val="006F0A0B"/>
    <w:pPr>
      <w:spacing w:before="360" w:after="0"/>
      <w:jc w:val="center"/>
    </w:pPr>
    <w:rPr>
      <w:rFonts w:eastAsia="Times New Roman"/>
      <w:lang w:eastAsia="en-GB"/>
    </w:rPr>
  </w:style>
  <w:style w:type="paragraph" w:customStyle="1" w:styleId="Prliminairetitre">
    <w:name w:val="Préliminaire titre"/>
    <w:basedOn w:val="Normal"/>
    <w:next w:val="Normal"/>
    <w:rsid w:val="006F0A0B"/>
    <w:pPr>
      <w:spacing w:before="360" w:after="360"/>
      <w:jc w:val="center"/>
    </w:pPr>
    <w:rPr>
      <w:rFonts w:eastAsia="Times New Roman"/>
      <w:b/>
      <w:lang w:eastAsia="en-GB"/>
    </w:rPr>
  </w:style>
  <w:style w:type="paragraph" w:customStyle="1" w:styleId="Prliminairetype">
    <w:name w:val="Préliminaire type"/>
    <w:basedOn w:val="Normal"/>
    <w:next w:val="Normal"/>
    <w:rsid w:val="006F0A0B"/>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6F0A0B"/>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6F0A0B"/>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6F0A0B"/>
    <w:pPr>
      <w:spacing w:before="0" w:after="0"/>
      <w:ind w:left="5103"/>
      <w:jc w:val="left"/>
    </w:pPr>
    <w:rPr>
      <w:rFonts w:eastAsia="Times New Roman"/>
      <w:lang w:eastAsia="en-GB"/>
    </w:rPr>
  </w:style>
  <w:style w:type="paragraph" w:customStyle="1" w:styleId="Sous-titreobjetprliminaire">
    <w:name w:val="Sous-titre objet (préliminaire)"/>
    <w:basedOn w:val="Normal"/>
    <w:rsid w:val="006F0A0B"/>
    <w:pPr>
      <w:spacing w:before="0" w:after="0"/>
      <w:jc w:val="center"/>
    </w:pPr>
    <w:rPr>
      <w:rFonts w:eastAsia="Times New Roman"/>
      <w:b/>
      <w:lang w:eastAsia="en-GB"/>
    </w:rPr>
  </w:style>
  <w:style w:type="paragraph" w:customStyle="1" w:styleId="Statutprliminaire">
    <w:name w:val="Statut (préliminaire)"/>
    <w:basedOn w:val="Normal"/>
    <w:next w:val="Normal"/>
    <w:rsid w:val="006F0A0B"/>
    <w:pPr>
      <w:spacing w:before="360" w:after="0"/>
      <w:jc w:val="center"/>
    </w:pPr>
    <w:rPr>
      <w:rFonts w:eastAsia="Times New Roman"/>
      <w:lang w:eastAsia="en-GB"/>
    </w:rPr>
  </w:style>
  <w:style w:type="paragraph" w:customStyle="1" w:styleId="Titreobjetprliminaire">
    <w:name w:val="Titre objet (préliminaire)"/>
    <w:basedOn w:val="Normal"/>
    <w:next w:val="Normal"/>
    <w:rsid w:val="006F0A0B"/>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6F0A0B"/>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6F0A0B"/>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6F0A0B"/>
    <w:pPr>
      <w:jc w:val="center"/>
    </w:pPr>
    <w:rPr>
      <w:rFonts w:eastAsia="Times New Roman"/>
      <w:b/>
      <w:u w:val="single"/>
      <w:lang w:eastAsia="en-GB"/>
    </w:rPr>
  </w:style>
  <w:style w:type="paragraph" w:customStyle="1" w:styleId="Fichefinanciretravailtitre">
    <w:name w:val="Fiche financière (travail) titre"/>
    <w:basedOn w:val="Normal"/>
    <w:next w:val="Normal"/>
    <w:rsid w:val="006F0A0B"/>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6F0A0B"/>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6F0A0B"/>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6F0A0B"/>
    <w:pPr>
      <w:jc w:val="center"/>
    </w:pPr>
    <w:rPr>
      <w:rFonts w:eastAsia="Times New Roman"/>
      <w:b/>
      <w:u w:val="single"/>
      <w:lang w:eastAsia="en-GB"/>
    </w:rPr>
  </w:style>
  <w:style w:type="character" w:styleId="CommentReference">
    <w:name w:val="annotation reference"/>
    <w:rsid w:val="006F0A0B"/>
    <w:rPr>
      <w:rFonts w:cs="Times New Roman"/>
      <w:sz w:val="16"/>
      <w:szCs w:val="16"/>
    </w:rPr>
  </w:style>
  <w:style w:type="paragraph" w:styleId="CommentText">
    <w:name w:val="annotation text"/>
    <w:basedOn w:val="Normal"/>
    <w:link w:val="CommentTextChar"/>
    <w:rsid w:val="006F0A0B"/>
    <w:rPr>
      <w:rFonts w:eastAsia="Times New Roman"/>
      <w:sz w:val="20"/>
      <w:szCs w:val="20"/>
      <w:lang w:eastAsia="en-GB"/>
    </w:rPr>
  </w:style>
  <w:style w:type="character" w:customStyle="1" w:styleId="CommentTextChar">
    <w:name w:val="Comment Text Char"/>
    <w:basedOn w:val="DefaultParagraphFont"/>
    <w:link w:val="CommentText"/>
    <w:rsid w:val="006F0A0B"/>
    <w:rPr>
      <w:rFonts w:ascii="Times New Roman" w:eastAsia="Times New Roman" w:hAnsi="Times New Roman" w:cs="Times New Roman"/>
      <w:sz w:val="20"/>
      <w:szCs w:val="20"/>
      <w:lang w:val="sv-SE" w:eastAsia="en-GB"/>
    </w:rPr>
  </w:style>
  <w:style w:type="paragraph" w:styleId="CommentSubject">
    <w:name w:val="annotation subject"/>
    <w:basedOn w:val="CommentText"/>
    <w:next w:val="CommentText"/>
    <w:link w:val="CommentSubjectChar"/>
    <w:rsid w:val="006F0A0B"/>
    <w:rPr>
      <w:b/>
      <w:bCs/>
    </w:rPr>
  </w:style>
  <w:style w:type="character" w:customStyle="1" w:styleId="CommentSubjectChar">
    <w:name w:val="Comment Subject Char"/>
    <w:basedOn w:val="CommentTextChar"/>
    <w:link w:val="CommentSubject"/>
    <w:rsid w:val="006F0A0B"/>
    <w:rPr>
      <w:rFonts w:ascii="Times New Roman" w:eastAsia="Times New Roman" w:hAnsi="Times New Roman" w:cs="Times New Roman"/>
      <w:b/>
      <w:bCs/>
      <w:sz w:val="20"/>
      <w:szCs w:val="20"/>
      <w:lang w:val="sv-SE" w:eastAsia="en-GB"/>
    </w:rPr>
  </w:style>
  <w:style w:type="paragraph" w:styleId="BalloonText">
    <w:name w:val="Balloon Text"/>
    <w:basedOn w:val="Normal"/>
    <w:link w:val="BalloonTextChar"/>
    <w:rsid w:val="006F0A0B"/>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6F0A0B"/>
    <w:rPr>
      <w:rFonts w:ascii="Tahoma" w:eastAsia="Times New Roman" w:hAnsi="Tahoma" w:cs="Tahoma"/>
      <w:sz w:val="16"/>
      <w:szCs w:val="16"/>
      <w:lang w:val="sv-SE" w:eastAsia="en-GB"/>
    </w:rPr>
  </w:style>
  <w:style w:type="paragraph" w:styleId="Caption">
    <w:name w:val="caption"/>
    <w:basedOn w:val="Normal"/>
    <w:next w:val="Normal"/>
    <w:qFormat/>
    <w:rsid w:val="006F0A0B"/>
    <w:rPr>
      <w:rFonts w:eastAsia="Times New Roman"/>
      <w:b/>
      <w:bCs/>
      <w:sz w:val="20"/>
      <w:szCs w:val="20"/>
      <w:lang w:eastAsia="en-GB"/>
    </w:rPr>
  </w:style>
  <w:style w:type="paragraph" w:styleId="TableofFigures">
    <w:name w:val="table of figures"/>
    <w:basedOn w:val="Normal"/>
    <w:next w:val="Normal"/>
    <w:rsid w:val="006F0A0B"/>
    <w:rPr>
      <w:rFonts w:eastAsia="Times New Roman"/>
      <w:lang w:eastAsia="en-GB"/>
    </w:rPr>
  </w:style>
  <w:style w:type="character" w:styleId="PageNumber">
    <w:name w:val="page number"/>
    <w:rsid w:val="006F0A0B"/>
  </w:style>
  <w:style w:type="character" w:customStyle="1" w:styleId="tw4winMark">
    <w:name w:val="tw4winMark"/>
    <w:rsid w:val="006F0A0B"/>
    <w:rPr>
      <w:vanish/>
      <w:color w:val="800080"/>
      <w:vertAlign w:val="subscript"/>
    </w:rPr>
  </w:style>
  <w:style w:type="character" w:styleId="FollowedHyperlink">
    <w:name w:val="FollowedHyperlink"/>
    <w:rsid w:val="006F0A0B"/>
    <w:rPr>
      <w:color w:val="800080"/>
      <w:u w:val="single"/>
    </w:rPr>
  </w:style>
  <w:style w:type="paragraph" w:customStyle="1" w:styleId="Sous-titreobjet">
    <w:name w:val="Sous-titre objet"/>
    <w:basedOn w:val="Normal"/>
    <w:rsid w:val="006F0A0B"/>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6F0A0B"/>
  </w:style>
  <w:style w:type="paragraph" w:styleId="Revision">
    <w:name w:val="Revision"/>
    <w:hidden/>
    <w:uiPriority w:val="99"/>
    <w:semiHidden/>
    <w:rsid w:val="006F0A0B"/>
    <w:rPr>
      <w:rFonts w:ascii="Calibri" w:eastAsia="Calibri" w:hAnsi="Calibri" w:cs="Times New Roman"/>
      <w:sz w:val="24"/>
      <w:lang w:eastAsia="en-GB"/>
    </w:rPr>
  </w:style>
  <w:style w:type="paragraph" w:customStyle="1" w:styleId="FooterCoverPage">
    <w:name w:val="Footer Cover Page"/>
    <w:basedOn w:val="Normal"/>
    <w:link w:val="FooterCoverPageChar"/>
    <w:rsid w:val="006F0A0B"/>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6F0A0B"/>
    <w:rPr>
      <w:rFonts w:ascii="Times New Roman" w:hAnsi="Times New Roman" w:cs="Times New Roman"/>
      <w:b/>
      <w:sz w:val="28"/>
      <w:lang w:val="sv-SE"/>
    </w:rPr>
  </w:style>
  <w:style w:type="character" w:customStyle="1" w:styleId="FooterCoverPageChar">
    <w:name w:val="Footer Cover Page Char"/>
    <w:link w:val="FooterCoverPage"/>
    <w:rsid w:val="006F0A0B"/>
    <w:rPr>
      <w:rFonts w:ascii="Times New Roman" w:eastAsia="Calibri" w:hAnsi="Times New Roman" w:cs="Times New Roman"/>
      <w:sz w:val="24"/>
      <w:lang w:val="sv-SE" w:eastAsia="en-GB"/>
    </w:rPr>
  </w:style>
  <w:style w:type="paragraph" w:customStyle="1" w:styleId="HeaderCoverPage">
    <w:name w:val="Header Cover Page"/>
    <w:basedOn w:val="Normal"/>
    <w:link w:val="HeaderCoverPageChar"/>
    <w:rsid w:val="006F0A0B"/>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6F0A0B"/>
    <w:rPr>
      <w:rFonts w:ascii="Times New Roman" w:eastAsia="Calibri" w:hAnsi="Times New Roman" w:cs="Times New Roman"/>
      <w:sz w:val="24"/>
      <w:lang w:val="sv-SE" w:eastAsia="en-GB"/>
    </w:rPr>
  </w:style>
  <w:style w:type="character" w:customStyle="1" w:styleId="FooterSensitivityChar">
    <w:name w:val="Footer Sensitivity Char"/>
    <w:rsid w:val="006F0A0B"/>
    <w:rPr>
      <w:rFonts w:ascii="Times New Roman" w:hAnsi="Times New Roman" w:cs="Times New Roman"/>
      <w:b/>
      <w:sz w:val="32"/>
      <w:lang w:val="sv-SE"/>
    </w:rPr>
  </w:style>
  <w:style w:type="character" w:customStyle="1" w:styleId="HeaderSensitivityChar">
    <w:name w:val="Header Sensitivity Char"/>
    <w:rsid w:val="006F0A0B"/>
    <w:rPr>
      <w:rFonts w:ascii="Times New Roman" w:hAnsi="Times New Roman" w:cs="Times New Roman"/>
      <w:b/>
      <w:sz w:val="32"/>
      <w:lang w:val="sv-SE"/>
    </w:rPr>
  </w:style>
  <w:style w:type="character" w:customStyle="1" w:styleId="HeaderSensitivityRightChar">
    <w:name w:val="Header Sensitivity Right Char"/>
    <w:rsid w:val="006F0A0B"/>
    <w:rPr>
      <w:rFonts w:ascii="Times New Roman" w:hAnsi="Times New Roman" w:cs="Times New Roman"/>
      <w:sz w:val="28"/>
      <w:lang w:val="sv-SE"/>
    </w:rPr>
  </w:style>
  <w:style w:type="paragraph" w:customStyle="1" w:styleId="LegalNumPar">
    <w:name w:val="LegalNumPar"/>
    <w:basedOn w:val="Normal"/>
    <w:rsid w:val="006F0A0B"/>
    <w:pPr>
      <w:numPr>
        <w:numId w:val="16"/>
      </w:numPr>
      <w:spacing w:line="360" w:lineRule="auto"/>
    </w:pPr>
    <w:rPr>
      <w:rFonts w:eastAsia="Times New Roman"/>
      <w:lang w:eastAsia="en-GB"/>
    </w:rPr>
  </w:style>
  <w:style w:type="paragraph" w:customStyle="1" w:styleId="LegalNumPar2">
    <w:name w:val="LegalNumPar2"/>
    <w:basedOn w:val="Normal"/>
    <w:rsid w:val="006F0A0B"/>
    <w:pPr>
      <w:numPr>
        <w:ilvl w:val="1"/>
        <w:numId w:val="16"/>
      </w:numPr>
      <w:spacing w:line="360" w:lineRule="auto"/>
    </w:pPr>
    <w:rPr>
      <w:rFonts w:eastAsia="Times New Roman"/>
      <w:lang w:eastAsia="en-GB"/>
    </w:rPr>
  </w:style>
  <w:style w:type="paragraph" w:customStyle="1" w:styleId="LegalNumPar3">
    <w:name w:val="LegalNumPar3"/>
    <w:basedOn w:val="Normal"/>
    <w:rsid w:val="006F0A0B"/>
    <w:pPr>
      <w:numPr>
        <w:ilvl w:val="2"/>
        <w:numId w:val="16"/>
      </w:numPr>
      <w:spacing w:line="360" w:lineRule="auto"/>
    </w:pPr>
    <w:rPr>
      <w:rFonts w:eastAsia="Times New Roman"/>
      <w:lang w:eastAsia="en-GB"/>
    </w:rPr>
  </w:style>
  <w:style w:type="paragraph" w:styleId="ListParagraph">
    <w:name w:val="List Paragraph"/>
    <w:basedOn w:val="Normal"/>
    <w:uiPriority w:val="34"/>
    <w:qFormat/>
    <w:rsid w:val="006F0A0B"/>
    <w:pPr>
      <w:ind w:left="720"/>
      <w:contextualSpacing/>
    </w:pPr>
    <w:rPr>
      <w:rFonts w:eastAsia="Times New Roman"/>
      <w:lang w:eastAsia="en-GB"/>
    </w:rPr>
  </w:style>
  <w:style w:type="character" w:customStyle="1" w:styleId="UnresolvedMention">
    <w:name w:val="Unresolved Mention"/>
    <w:basedOn w:val="DefaultParagraphFont"/>
    <w:uiPriority w:val="99"/>
    <w:semiHidden/>
    <w:unhideWhenUsed/>
    <w:rsid w:val="006F0A0B"/>
    <w:rPr>
      <w:color w:val="605E5C"/>
      <w:shd w:val="clear" w:color="auto" w:fill="E1DFDD"/>
    </w:rPr>
  </w:style>
  <w:style w:type="character" w:styleId="Strong">
    <w:name w:val="Strong"/>
    <w:basedOn w:val="DefaultParagraphFont"/>
    <w:qFormat/>
    <w:rsid w:val="006F0A0B"/>
    <w:rPr>
      <w:b/>
      <w:bCs/>
    </w:rPr>
  </w:style>
  <w:style w:type="character" w:styleId="Emphasis">
    <w:name w:val="Emphasis"/>
    <w:basedOn w:val="DefaultParagraphFont"/>
    <w:qFormat/>
    <w:rsid w:val="006F0A0B"/>
    <w:rPr>
      <w:i/>
      <w:iCs/>
    </w:rPr>
  </w:style>
  <w:style w:type="character" w:customStyle="1" w:styleId="Mention">
    <w:name w:val="Mention"/>
    <w:basedOn w:val="DefaultParagraphFont"/>
    <w:uiPriority w:val="99"/>
    <w:unhideWhenUsed/>
    <w:rsid w:val="006F0A0B"/>
    <w:rPr>
      <w:color w:val="2B579A"/>
      <w:shd w:val="clear" w:color="auto" w:fill="E1DFDD"/>
    </w:rPr>
  </w:style>
  <w:style w:type="character" w:customStyle="1" w:styleId="normaltextrun">
    <w:name w:val="normaltextrun"/>
    <w:basedOn w:val="DefaultParagraphFont"/>
    <w:rsid w:val="006F0A0B"/>
  </w:style>
  <w:style w:type="character" w:customStyle="1" w:styleId="eop">
    <w:name w:val="eop"/>
    <w:basedOn w:val="DefaultParagraphFont"/>
    <w:rsid w:val="006F0A0B"/>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057D3A"/>
    <w:pPr>
      <w:spacing w:after="160" w:line="240" w:lineRule="exact"/>
      <w:ind w:left="357"/>
    </w:pPr>
    <w:rPr>
      <w:rFonts w:asciiTheme="minorHAnsi" w:hAnsiTheme="minorHAnsi" w:cstheme="minorBidi"/>
      <w:sz w:val="22"/>
      <w:vertAlign w:val="superscript"/>
    </w:rPr>
  </w:style>
  <w:style w:type="character" w:styleId="PlaceholderText">
    <w:name w:val="Placeholder Text"/>
    <w:basedOn w:val="DefaultParagraphFont"/>
    <w:uiPriority w:val="99"/>
    <w:semiHidden/>
    <w:rsid w:val="00057D3A"/>
    <w:rPr>
      <w:color w:val="666666"/>
    </w:rPr>
  </w:style>
  <w:style w:type="character" w:customStyle="1" w:styleId="Hyperlink1">
    <w:name w:val="Hyperlink1"/>
    <w:basedOn w:val="DefaultParagraphFont"/>
    <w:uiPriority w:val="99"/>
    <w:unhideWhenUsed/>
    <w:rsid w:val="00E63A81"/>
    <w:rPr>
      <w:color w:val="0000FF"/>
      <w:u w:val="single"/>
    </w:rPr>
  </w:style>
  <w:style w:type="character" w:customStyle="1" w:styleId="HeaderChar">
    <w:name w:val="Header Char"/>
    <w:basedOn w:val="DefaultParagraphFont"/>
    <w:link w:val="Header"/>
    <w:uiPriority w:val="99"/>
    <w:rsid w:val="00BF68B7"/>
    <w:rPr>
      <w:rFonts w:ascii="Times New Roman" w:hAnsi="Times New Roman" w:cs="Times New Roman"/>
      <w:sz w:val="24"/>
      <w:lang w:val="sv-SE"/>
    </w:rPr>
  </w:style>
  <w:style w:type="character" w:customStyle="1" w:styleId="FooterChar">
    <w:name w:val="Footer Char"/>
    <w:basedOn w:val="DefaultParagraphFont"/>
    <w:link w:val="Footer"/>
    <w:uiPriority w:val="99"/>
    <w:rsid w:val="00BF68B7"/>
    <w:rPr>
      <w:rFonts w:ascii="Times New Roman" w:hAnsi="Times New Roman" w:cs="Times New Roman"/>
      <w:sz w:val="24"/>
      <w:lang w:val="sv-S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sv-S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sv-S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sv-S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sv-S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sv-S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sv-S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sv-S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link w:val="FootnotesymbolCarZchn"/>
    <w:uiPriority w:val="99"/>
    <w:semiHidden/>
    <w:unhideWhenUsed/>
    <w:rPr>
      <w:shd w:val="clear" w:color="auto" w:fill="auto"/>
      <w:vertAlign w:val="superscript"/>
    </w:rPr>
  </w:style>
  <w:style w:type="paragraph" w:customStyle="1" w:styleId="HeaderSensitivity">
    <w:name w:val="Header Sensitivity"/>
    <w:basedOn w:val="Normal"/>
    <w:rsid w:val="00BF68B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F68B7"/>
    <w:pPr>
      <w:spacing w:before="0"/>
      <w:jc w:val="right"/>
    </w:pPr>
    <w:rPr>
      <w:sz w:val="28"/>
    </w:rPr>
  </w:style>
  <w:style w:type="paragraph" w:customStyle="1" w:styleId="FooterSensitivity">
    <w:name w:val="Footer Sensitivity"/>
    <w:basedOn w:val="Normal"/>
    <w:rsid w:val="00BF68B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Tiret5">
    <w:name w:val="Tiret 5"/>
    <w:basedOn w:val="Point5"/>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NumPar5">
    <w:name w:val="NumPar 5"/>
    <w:basedOn w:val="Normal"/>
    <w:next w:val="Text2"/>
    <w:pPr>
      <w:numPr>
        <w:ilvl w:val="4"/>
        <w:numId w:val="24"/>
      </w:numPr>
    </w:pPr>
  </w:style>
  <w:style w:type="paragraph" w:customStyle="1" w:styleId="NumPar6">
    <w:name w:val="NumPar 6"/>
    <w:basedOn w:val="Normal"/>
    <w:next w:val="Text2"/>
    <w:pPr>
      <w:numPr>
        <w:ilvl w:val="5"/>
        <w:numId w:val="24"/>
      </w:numPr>
    </w:pPr>
  </w:style>
  <w:style w:type="paragraph" w:customStyle="1" w:styleId="NumPar7">
    <w:name w:val="NumPar 7"/>
    <w:basedOn w:val="Normal"/>
    <w:next w:val="Text2"/>
    <w:pPr>
      <w:numPr>
        <w:ilvl w:val="6"/>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BF68B7"/>
    <w:pPr>
      <w:tabs>
        <w:tab w:val="center" w:pos="4535"/>
        <w:tab w:val="right" w:pos="9071"/>
      </w:tabs>
      <w:spacing w:before="0"/>
    </w:pPr>
  </w:style>
  <w:style w:type="paragraph" w:customStyle="1" w:styleId="HeaderLandscape">
    <w:name w:val="HeaderLandscape"/>
    <w:basedOn w:val="Normal"/>
    <w:rsid w:val="00BF68B7"/>
    <w:pPr>
      <w:tabs>
        <w:tab w:val="center" w:pos="7285"/>
        <w:tab w:val="right" w:pos="14003"/>
      </w:tabs>
      <w:spacing w:before="0"/>
    </w:pPr>
  </w:style>
  <w:style w:type="paragraph" w:styleId="Footer">
    <w:name w:val="footer"/>
    <w:basedOn w:val="Normal"/>
    <w:link w:val="FooterChar"/>
    <w:uiPriority w:val="99"/>
    <w:unhideWhenUsed/>
    <w:rsid w:val="00BF68B7"/>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BF68B7"/>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en/web/products-euro-indicators/w/2-22042025-AP" TargetMode="External"/><Relationship Id="rId2" Type="http://schemas.openxmlformats.org/officeDocument/2006/relationships/hyperlink" Target="https://economy-finance.ec.europa.eu/economic-and-fiscal-governance/stability-and-growth-pact/corrective-arm-excessive-deficit-procedure/excessive-deficit-procedures-overview/austria_sv" TargetMode="External"/><Relationship Id="rId1" Type="http://schemas.openxmlformats.org/officeDocument/2006/relationships/hyperlink" Target="http://data.europa.eu/eli/reg/1997/1467/2024-04-30" TargetMode="External"/><Relationship Id="rId4" Type="http://schemas.openxmlformats.org/officeDocument/2006/relationships/hyperlink" Target="https://ec.europa.eu/eurostat/web/government-finance-statistics/excessive-deficit-procedure/edp-notification-tab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248cd52f-b46b-4611-a611-1f804cc55ba9" xsi:nil="true"/>
    <Doctype xmlns="248cd52f-b46b-4611-a611-1f804cc55b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6BF9CE7B864144AB9135903AF2016F" ma:contentTypeVersion="8" ma:contentTypeDescription="Create a new document." ma:contentTypeScope="" ma:versionID="fa9a5521ca02e2a40499fd685cb0c97c">
  <xsd:schema xmlns:xsd="http://www.w3.org/2001/XMLSchema" xmlns:xs="http://www.w3.org/2001/XMLSchema" xmlns:p="http://schemas.microsoft.com/office/2006/metadata/properties" xmlns:ns2="248cd52f-b46b-4611-a611-1f804cc55ba9" xmlns:ns3="ee00aed3-c832-4f67-975b-fd0d79c6c939" targetNamespace="http://schemas.microsoft.com/office/2006/metadata/properties" ma:root="true" ma:fieldsID="4177f16b53c6add2b9c882363fa6a991" ns2:_="" ns3:_="">
    <xsd:import namespace="248cd52f-b46b-4611-a611-1f804cc55ba9"/>
    <xsd:import namespace="ee00aed3-c832-4f67-975b-fd0d79c6c9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Status" minOccurs="0"/>
                <xsd:element ref="ns3:SharedWithUsers" minOccurs="0"/>
                <xsd:element ref="ns3:SharedWithDetail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8cd52f-b46b-4611-a611-1f804cc55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tatus" ma:index="12" nillable="true" ma:displayName="Status" ma:format="Dropdown" ma:internalName="Status">
      <xsd:simpleType>
        <xsd:restriction base="dms:Choice">
          <xsd:enumeration value="Draft"/>
          <xsd:enumeration value="Info"/>
          <xsd:enumeration value="Pending CAB approval"/>
          <xsd:enumeration value="Final"/>
        </xsd:restriction>
      </xsd:simpleType>
    </xsd:element>
    <xsd:element name="Doctype" ma:index="15" nillable="true" ma:displayName="Doc type" ma:format="Dropdown" ma:internalName="Doctype">
      <xsd:simpleType>
        <xsd:restriction base="dms:Choice">
          <xsd:enumeration value="Template"/>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ee00aed3-c832-4f67-975b-fd0d79c6c93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F9B61-14FB-4A81-A72D-17AC99A435FA}">
  <ds:schemaRefs>
    <ds:schemaRef ds:uri="http://schemas.microsoft.com/sharepoint/v3/contenttype/forms"/>
  </ds:schemaRefs>
</ds:datastoreItem>
</file>

<file path=customXml/itemProps2.xml><?xml version="1.0" encoding="utf-8"?>
<ds:datastoreItem xmlns:ds="http://schemas.openxmlformats.org/officeDocument/2006/customXml" ds:itemID="{EBF25505-C935-4A6A-9B5E-ABDA72DEA4A0}">
  <ds:schemaRefs>
    <ds:schemaRef ds:uri="http://schemas.microsoft.com/office/2006/metadata/properties"/>
    <ds:schemaRef ds:uri="http://schemas.microsoft.com/office/infopath/2007/PartnerControls"/>
    <ds:schemaRef ds:uri="248cd52f-b46b-4611-a611-1f804cc55ba9"/>
  </ds:schemaRefs>
</ds:datastoreItem>
</file>

<file path=customXml/itemProps3.xml><?xml version="1.0" encoding="utf-8"?>
<ds:datastoreItem xmlns:ds="http://schemas.openxmlformats.org/officeDocument/2006/customXml" ds:itemID="{7E2FBCAE-DBE0-418F-A430-4BF89F820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8cd52f-b46b-4611-a611-1f804cc55ba9"/>
    <ds:schemaRef ds:uri="ee00aed3-c832-4f67-975b-fd0d79c6c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EFBFAC-2F38-45D4-9F50-AF6BDE865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12</TotalTime>
  <Pages>4</Pages>
  <Words>858</Words>
  <Characters>4895</Characters>
  <Application>Microsoft Office Word</Application>
  <DocSecurity>0</DocSecurity>
  <Lines>40</Lines>
  <Paragraphs>11</Paragraphs>
  <ScaleCrop>false</ScaleCrop>
  <Manager/>
  <Company/>
  <LinksUpToDate>false</LinksUpToDate>
  <CharactersWithSpaces>5742</CharactersWithSpaces>
  <SharedDoc>false</SharedDoc>
  <HLinks>
    <vt:vector size="24" baseType="variant">
      <vt:variant>
        <vt:i4>8192096</vt:i4>
      </vt:variant>
      <vt:variant>
        <vt:i4>9</vt:i4>
      </vt:variant>
      <vt:variant>
        <vt:i4>0</vt:i4>
      </vt:variant>
      <vt:variant>
        <vt:i4>5</vt:i4>
      </vt:variant>
      <vt:variant>
        <vt:lpwstr>https://ec.europa.eu/eurostat/web/government-finance-statistics/excessive-deficit-procedure/edp-notification-tables</vt:lpwstr>
      </vt:variant>
      <vt:variant>
        <vt:lpwstr/>
      </vt:variant>
      <vt:variant>
        <vt:i4>1114124</vt:i4>
      </vt:variant>
      <vt:variant>
        <vt:i4>6</vt:i4>
      </vt:variant>
      <vt:variant>
        <vt:i4>0</vt:i4>
      </vt:variant>
      <vt:variant>
        <vt:i4>5</vt:i4>
      </vt:variant>
      <vt:variant>
        <vt:lpwstr>https://ec.europa.eu/eurostat/en/web/products-euro-indicators/w/2-22042025-AP</vt:lpwstr>
      </vt:variant>
      <vt:variant>
        <vt:lpwstr/>
      </vt:variant>
      <vt:variant>
        <vt:i4>1048678</vt:i4>
      </vt:variant>
      <vt:variant>
        <vt:i4>3</vt:i4>
      </vt:variant>
      <vt:variant>
        <vt:i4>0</vt:i4>
      </vt:variant>
      <vt:variant>
        <vt:i4>5</vt:i4>
      </vt:variant>
      <vt:variant>
        <vt:lpwstr>https://economy-finance.ec.europa.eu/economic-and-fiscal-governance/stability-and-growth-pact/corrective-arm-excessive-deficit-procedure/excessive-deficit-procedures-overview/austria_en</vt:lpwstr>
      </vt:variant>
      <vt:variant>
        <vt:lpwstr/>
      </vt:variant>
      <vt:variant>
        <vt:i4>2228258</vt:i4>
      </vt:variant>
      <vt:variant>
        <vt:i4>0</vt:i4>
      </vt:variant>
      <vt:variant>
        <vt:i4>0</vt:i4>
      </vt:variant>
      <vt:variant>
        <vt:i4>5</vt:i4>
      </vt:variant>
      <vt:variant>
        <vt:lpwstr>http://data.europa.eu/eli/reg/1997/1467/2024-04-30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62</cp:revision>
  <dcterms:created xsi:type="dcterms:W3CDTF">2025-06-10T08:17:00Z</dcterms:created>
  <dcterms:modified xsi:type="dcterms:W3CDTF">2025-07-01T10:54:00Z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9.1, Build 20240808</vt:lpwstr>
  </property>
  <property fmtid="{D5CDD505-2E9C-101B-9397-08002B2CF9AE}" pid="5" name="Created using">
    <vt:lpwstr>LW 9.1, Build 20240808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MSIP_Label_6bd9ddd1-4d20-43f6-abfa-fc3c07406f94_Enabled">
    <vt:lpwstr>true</vt:lpwstr>
  </property>
  <property fmtid="{D5CDD505-2E9C-101B-9397-08002B2CF9AE}" pid="11" name="MSIP_Label_6bd9ddd1-4d20-43f6-abfa-fc3c07406f94_SetDate">
    <vt:lpwstr>2025-05-26T07:19:20Z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cad20ff1-723d-4515-ae93-063ca8b876aa</vt:lpwstr>
  </property>
  <property fmtid="{D5CDD505-2E9C-101B-9397-08002B2CF9AE}" pid="16" name="MSIP_Label_6bd9ddd1-4d20-43f6-abfa-fc3c07406f94_ContentBits">
    <vt:lpwstr>0</vt:lpwstr>
  </property>
  <property fmtid="{D5CDD505-2E9C-101B-9397-08002B2CF9AE}" pid="17" name="ContentTypeId">
    <vt:lpwstr>0x010100756BF9CE7B864144AB9135903AF2016F</vt:lpwstr>
  </property>
  <property fmtid="{D5CDD505-2E9C-101B-9397-08002B2CF9AE}" pid="18" name="DQCStatus">
    <vt:lpwstr>Green (DQC version 03)</vt:lpwstr>
  </property>
</Properties>
</file>