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footer163.xml" ContentType="application/vnd.openxmlformats-officedocument.wordprocessingml.footer+xml"/>
  <Override PartName="/word/header164.xml" ContentType="application/vnd.openxmlformats-officedocument.wordprocessingml.header+xml"/>
  <Override PartName="/word/header165.xml" ContentType="application/vnd.openxmlformats-officedocument.wordprocessingml.header+xml"/>
  <Override PartName="/word/footer164.xml" ContentType="application/vnd.openxmlformats-officedocument.wordprocessingml.footer+xml"/>
  <Override PartName="/word/footer165.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167.xml" ContentType="application/vnd.openxmlformats-officedocument.wordprocessingml.header+xml"/>
  <Override PartName="/word/header168.xml" ContentType="application/vnd.openxmlformats-officedocument.wordprocessingml.header+xml"/>
  <Override PartName="/word/footer167.xml" ContentType="application/vnd.openxmlformats-officedocument.wordprocessingml.footer+xml"/>
  <Override PartName="/word/footer168.xml" ContentType="application/vnd.openxmlformats-officedocument.wordprocessingml.footer+xml"/>
  <Override PartName="/word/header169.xml" ContentType="application/vnd.openxmlformats-officedocument.wordprocessingml.header+xml"/>
  <Override PartName="/word/footer169.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footer170.xml" ContentType="application/vnd.openxmlformats-officedocument.wordprocessingml.footer+xml"/>
  <Override PartName="/word/footer171.xml" ContentType="application/vnd.openxmlformats-officedocument.wordprocessingml.footer+xml"/>
  <Override PartName="/word/header172.xml" ContentType="application/vnd.openxmlformats-officedocument.wordprocessingml.header+xml"/>
  <Override PartName="/word/footer172.xml" ContentType="application/vnd.openxmlformats-officedocument.wordprocessingml.footer+xml"/>
  <Override PartName="/word/header173.xml" ContentType="application/vnd.openxmlformats-officedocument.wordprocessingml.header+xml"/>
  <Override PartName="/word/header174.xml" ContentType="application/vnd.openxmlformats-officedocument.wordprocessingml.header+xml"/>
  <Override PartName="/word/footer173.xml" ContentType="application/vnd.openxmlformats-officedocument.wordprocessingml.footer+xml"/>
  <Override PartName="/word/footer174.xml" ContentType="application/vnd.openxmlformats-officedocument.wordprocessingml.footer+xml"/>
  <Override PartName="/word/header175.xml" ContentType="application/vnd.openxmlformats-officedocument.wordprocessingml.header+xml"/>
  <Override PartName="/word/footer175.xml" ContentType="application/vnd.openxmlformats-officedocument.wordprocessingml.footer+xml"/>
  <Override PartName="/word/header176.xml" ContentType="application/vnd.openxmlformats-officedocument.wordprocessingml.header+xml"/>
  <Override PartName="/word/header177.xml" ContentType="application/vnd.openxmlformats-officedocument.wordprocessingml.header+xml"/>
  <Override PartName="/word/footer176.xml" ContentType="application/vnd.openxmlformats-officedocument.wordprocessingml.footer+xml"/>
  <Override PartName="/word/footer177.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header179.xml" ContentType="application/vnd.openxmlformats-officedocument.wordprocessingml.header+xml"/>
  <Override PartName="/word/header180.xml" ContentType="application/vnd.openxmlformats-officedocument.wordprocessingml.header+xml"/>
  <Override PartName="/word/footer179.xml" ContentType="application/vnd.openxmlformats-officedocument.wordprocessingml.footer+xml"/>
  <Override PartName="/word/footer180.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header182.xml" ContentType="application/vnd.openxmlformats-officedocument.wordprocessingml.header+xml"/>
  <Override PartName="/word/header183.xml" ContentType="application/vnd.openxmlformats-officedocument.wordprocessingml.header+xml"/>
  <Override PartName="/word/footer182.xml" ContentType="application/vnd.openxmlformats-officedocument.wordprocessingml.footer+xml"/>
  <Override PartName="/word/footer183.xml" ContentType="application/vnd.openxmlformats-officedocument.wordprocessingml.footer+xml"/>
  <Override PartName="/word/header184.xml" ContentType="application/vnd.openxmlformats-officedocument.wordprocessingml.header+xml"/>
  <Override PartName="/word/footer1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CA883" w14:textId="72794BBD" w:rsidR="00CB0FCB" w:rsidRDefault="00354F45" w:rsidP="00354F45">
      <w:pPr>
        <w:pStyle w:val="Pagedecouverture"/>
        <w:rPr>
          <w:noProof/>
        </w:rPr>
      </w:pPr>
      <w:bookmarkStart w:id="0" w:name="LW_BM_COVERPAGE"/>
      <w:r>
        <w:rPr>
          <w:noProof/>
        </w:rPr>
        <w:pict w14:anchorId="4B4FF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CEFF894-42A5-40A2-8DAC-6AAC524F46FD" style="width:455.25pt;height:410.25pt">
            <v:imagedata r:id="rId12" o:title=""/>
          </v:shape>
        </w:pict>
      </w:r>
    </w:p>
    <w:bookmarkEnd w:id="0"/>
    <w:p w14:paraId="77D7706F" w14:textId="77777777" w:rsidR="00CB0FCB" w:rsidRDefault="00CB0FCB">
      <w:pPr>
        <w:rPr>
          <w:noProof/>
        </w:rPr>
        <w:sectPr w:rsidR="00CB0FCB" w:rsidSect="00354F4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14:paraId="745C6217" w14:textId="02BC9429" w:rsidR="00CB0FCB" w:rsidRDefault="009D2B11">
      <w:pPr>
        <w:pStyle w:val="P68B1DB1-Normal1"/>
        <w:spacing w:before="120" w:after="120" w:line="240" w:lineRule="auto"/>
        <w:jc w:val="center"/>
        <w:rPr>
          <w:bCs/>
          <w:noProof/>
        </w:rPr>
      </w:pPr>
      <w:bookmarkStart w:id="1" w:name="_GoBack"/>
      <w:bookmarkEnd w:id="1"/>
      <w:r>
        <w:rPr>
          <w:noProof/>
        </w:rPr>
        <w:lastRenderedPageBreak/>
        <w:t>PIELIKUMS</w:t>
      </w:r>
    </w:p>
    <w:p w14:paraId="172BFAA7" w14:textId="77777777" w:rsidR="00CB0FCB" w:rsidRDefault="00CB0FCB">
      <w:pPr>
        <w:spacing w:before="120" w:after="120" w:line="240" w:lineRule="auto"/>
        <w:jc w:val="center"/>
        <w:rPr>
          <w:rFonts w:ascii="Times New Roman" w:hAnsi="Times New Roman" w:cs="Times New Roman"/>
          <w:b/>
          <w:bCs/>
          <w:noProof/>
        </w:rPr>
      </w:pPr>
    </w:p>
    <w:p w14:paraId="0D3B9A89" w14:textId="77777777" w:rsidR="00CB0FCB" w:rsidRDefault="009D2B11">
      <w:pPr>
        <w:pStyle w:val="Heading4"/>
        <w:ind w:left="0" w:firstLine="0"/>
        <w:rPr>
          <w:noProof/>
        </w:rPr>
      </w:pPr>
      <w:r>
        <w:rPr>
          <w:noProof/>
        </w:rPr>
        <w:t>1. IEDAĻA. REFORMAS UN INVESTĪCIJAS SASKAŅĀ AR ATVESEĻOŠANAS UN NOTURĪBAS PLĀNU</w:t>
      </w:r>
    </w:p>
    <w:p w14:paraId="42A42048" w14:textId="77777777" w:rsidR="00CB0FCB" w:rsidRDefault="00CB0FCB">
      <w:pPr>
        <w:spacing w:before="120" w:after="120" w:line="240" w:lineRule="auto"/>
        <w:jc w:val="both"/>
        <w:rPr>
          <w:rFonts w:ascii="Times New Roman" w:hAnsi="Times New Roman" w:cs="Times New Roman"/>
          <w:noProof/>
          <w:sz w:val="24"/>
        </w:rPr>
      </w:pPr>
    </w:p>
    <w:p w14:paraId="2D7751EF" w14:textId="77777777" w:rsidR="00CB0FCB" w:rsidRDefault="009D2B11">
      <w:pPr>
        <w:pStyle w:val="P68B1DB1-Normal2"/>
        <w:numPr>
          <w:ilvl w:val="6"/>
          <w:numId w:val="9"/>
        </w:numPr>
        <w:spacing w:before="120" w:after="120" w:line="240" w:lineRule="auto"/>
        <w:ind w:left="0" w:firstLine="0"/>
        <w:jc w:val="both"/>
        <w:rPr>
          <w:rFonts w:cs="Times New Roman"/>
          <w:noProof/>
        </w:rPr>
      </w:pPr>
      <w:r>
        <w:rPr>
          <w:noProof/>
        </w:rPr>
        <w:t xml:space="preserve">Reformu un investīciju apraksts </w:t>
      </w:r>
    </w:p>
    <w:p w14:paraId="558F0741" w14:textId="77777777" w:rsidR="00CB0FCB" w:rsidRDefault="00CB0FCB">
      <w:pPr>
        <w:spacing w:before="120" w:after="120" w:line="240" w:lineRule="auto"/>
        <w:jc w:val="both"/>
        <w:rPr>
          <w:rFonts w:ascii="Times New Roman" w:hAnsi="Times New Roman" w:cs="Times New Roman"/>
          <w:b/>
          <w:noProof/>
          <w:sz w:val="24"/>
        </w:rPr>
      </w:pPr>
    </w:p>
    <w:p w14:paraId="6B1622C0" w14:textId="77777777" w:rsidR="00CB0FCB" w:rsidRDefault="009D2B11">
      <w:pPr>
        <w:pStyle w:val="P68B1DB1-ListParagraph3"/>
        <w:numPr>
          <w:ilvl w:val="0"/>
          <w:numId w:val="90"/>
        </w:numPr>
        <w:spacing w:before="120" w:after="120" w:line="240" w:lineRule="auto"/>
        <w:jc w:val="both"/>
        <w:outlineLvl w:val="3"/>
        <w:rPr>
          <w:rFonts w:cs="Times New Roman"/>
          <w:bCs/>
          <w:noProof/>
        </w:rPr>
      </w:pPr>
      <w:r>
        <w:rPr>
          <w:noProof/>
        </w:rPr>
        <w:t>KOMPONENTS: ENERĢĒTIKAS UZLABOŠANA</w:t>
      </w:r>
    </w:p>
    <w:p w14:paraId="4B400D4B" w14:textId="77777777" w:rsidR="00CB0FCB" w:rsidRDefault="009D2B11">
      <w:pPr>
        <w:pStyle w:val="P68B1DB1-Normal4"/>
        <w:jc w:val="both"/>
        <w:rPr>
          <w:rFonts w:cs="Times New Roman"/>
          <w:b/>
          <w:bCs/>
          <w:noProof/>
        </w:rPr>
      </w:pPr>
      <w:r>
        <w:rPr>
          <w:noProof/>
        </w:rPr>
        <w:t>Šis Grieķijas atveseļošanas un noturības plāna komponents ir vērsts uz reformām un investīcijām, kuru mērķis ir palielināt atjaunīgo energoresursu īpatsvaru elektroenerģijas sistēmā un veicināt Grieķijas dekarbonizācijas procesu. Reformas vienkāršo licencēšanas noteikumus investīcijām atjaunojamo energoresursu enerģijā, padara elektroenerģijas tirgu efektīvāku un nodrošina atbalsta shēmu finansiālo ilgtspēju. Komponents ietver arī būtiskas investīcijas tīklos, lai pabeigtu starpsavienojumu ar Kiklādu salām un padarītu elektroenerģijas sadali videi draudzīgāku un spētu absorbēt lielāku atjaunīgās enerģijas īpatsvaru. Uzkrāšanas sistēmas arī atbalsta ekonomikas dekarbonizāciju, uzkrājot atjaunīgās elektroenerģijas pārpalikumu. Zemes rehabilitāciju atbalsta arī teritorijās, ko pašlaik izmanto kā lignīta raktuves kā taisnīgas pārkārtošanās procesa posmu teritorijās, kuras visvairāk skārusi lignīta izmantošanas pārtraukšana. Komponents atbilst nacionālajam enerģētikas un klimata plānam (NEKP) un atbalsta konkrētām valstīm adresēto ieteikumu par publiskajām un privātajām investīcijām īstenošanu (2020. gada konkrētai valstij adresētais ieteikums Nr. 3 un 2019. gada konkrētai valstij adresētais ieteikums Nr. 2).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734AE5A9" w14:textId="77777777" w:rsidR="00CB0FCB" w:rsidRDefault="009D2B11">
      <w:pPr>
        <w:spacing w:before="120" w:after="120" w:line="240" w:lineRule="auto"/>
        <w:jc w:val="both"/>
        <w:rPr>
          <w:rFonts w:ascii="Times New Roman" w:hAnsi="Times New Roman" w:cs="Times New Roman"/>
          <w:noProof/>
          <w:sz w:val="24"/>
        </w:rPr>
      </w:pPr>
      <w:r>
        <w:rPr>
          <w:rFonts w:ascii="Times New Roman" w:hAnsi="Times New Roman"/>
          <w:b/>
          <w:noProof/>
          <w:sz w:val="24"/>
          <w:u w:val="single"/>
        </w:rPr>
        <w:t xml:space="preserve">A.1. </w:t>
      </w:r>
      <w:r>
        <w:rPr>
          <w:noProof/>
        </w:rPr>
        <w:t xml:space="preserve"> </w:t>
      </w:r>
      <w:r>
        <w:rPr>
          <w:rFonts w:ascii="Times New Roman" w:hAnsi="Times New Roman"/>
          <w:b/>
          <w:noProof/>
          <w:sz w:val="24"/>
          <w:u w:val="single"/>
        </w:rPr>
        <w:t>Reformu un investīciju apraksts neatmaksājamam finansiālajam atbalstam</w:t>
      </w:r>
    </w:p>
    <w:p w14:paraId="1B59886C" w14:textId="77777777" w:rsidR="00CB0FCB" w:rsidRDefault="009D2B11">
      <w:pPr>
        <w:pStyle w:val="P68B1DB1-Normal4"/>
        <w:spacing w:before="120" w:after="120" w:line="240" w:lineRule="auto"/>
        <w:jc w:val="both"/>
        <w:rPr>
          <w:rFonts w:cs="Times New Roman"/>
          <w:noProof/>
        </w:rPr>
      </w:pPr>
      <w:r>
        <w:rPr>
          <w:b/>
          <w:noProof/>
        </w:rPr>
        <w:t xml:space="preserve">Ieguldījums: </w:t>
      </w:r>
      <w:r>
        <w:rPr>
          <w:noProof/>
        </w:rPr>
        <w:t>Atbalsts uzglabāšanas sistēmu uzstādīšanai, lai veicinātu atjaunojamo energoresursu (AER) izplatību (pasākums ID: 16926)</w:t>
      </w:r>
    </w:p>
    <w:p w14:paraId="54D34CCF" w14:textId="77777777" w:rsidR="00CB0FCB" w:rsidRDefault="009D2B11">
      <w:pPr>
        <w:pStyle w:val="P68B1DB1-Normal5"/>
        <w:spacing w:before="120" w:after="120" w:line="240" w:lineRule="auto"/>
        <w:jc w:val="both"/>
        <w:rPr>
          <w:rFonts w:cs="Times New Roman"/>
          <w:noProof/>
        </w:rPr>
      </w:pPr>
      <w:r>
        <w:rPr>
          <w:noProof/>
        </w:rPr>
        <w:t>Investīcija nodrošina publiskās dotācijas enerģijas uzkrāšanas jaudas līdz 1 380 MW uzstādīšanai elektroenerģijas sistēmā. Šo investīciju mērķis ir ļaut sistēmā integrēt jaunu AER jaudu, kas ir nepieciešama NEKP mērķu sasniegšanai. Turklāt šīs darbības mērķis ir arī mazināt tīkla pārslodzi, palielināt elektroenerģijas sistēmas elastību un balansēšanas tirgus likviditāti, uzlabot sistēmas pietiekamību, nodrošināt energoefektivitāti, veicināt pārredzamību elektroenerģijas cenu veidošanā un samazināt enerģijas izmaksas. Investīciju īstenošanu pabeidz līdz 2025. gada 31. decembrim.</w:t>
      </w:r>
    </w:p>
    <w:p w14:paraId="4936762B" w14:textId="77777777" w:rsidR="00CB0FCB" w:rsidRDefault="009D2B11">
      <w:pPr>
        <w:pStyle w:val="P68B1DB1-Normal4"/>
        <w:spacing w:before="120" w:after="120" w:line="240" w:lineRule="auto"/>
        <w:jc w:val="both"/>
        <w:rPr>
          <w:rFonts w:cs="Times New Roman"/>
          <w:noProof/>
        </w:rPr>
      </w:pPr>
      <w:r>
        <w:rPr>
          <w:b/>
          <w:noProof/>
        </w:rPr>
        <w:t xml:space="preserve">Ieguldījums: Visvairāk skarto teritoriju (taisnīgas pārkārtošanās teritoriju) </w:t>
      </w:r>
      <w:r>
        <w:rPr>
          <w:noProof/>
        </w:rPr>
        <w:t>atdzīvināšanas darbības (pasākums ID: 16871)</w:t>
      </w:r>
    </w:p>
    <w:p w14:paraId="496028B6" w14:textId="57DC83C4" w:rsidR="00CB0FCB" w:rsidRDefault="009D2B11">
      <w:pPr>
        <w:pStyle w:val="P68B1DB1-Normal4"/>
        <w:spacing w:before="120" w:after="120" w:line="240" w:lineRule="auto"/>
        <w:jc w:val="both"/>
        <w:rPr>
          <w:rFonts w:cs="Times New Roman"/>
          <w:noProof/>
          <w:szCs w:val="24"/>
        </w:rPr>
      </w:pPr>
      <w:r>
        <w:rPr>
          <w:noProof/>
        </w:rPr>
        <w:t xml:space="preserve">Ieguldījumu veido dotācijas zemes atjaunošanas finansēšanai bijušo lignīta raktuvju teritorijās Rietummaķedonijā un Megalopolā. Pasākums attiecas uz taisnīgas pārkārtošanās teritorijām ar vidiskiem un ekonomiskiem intervences pasākumiem, piemēram, augsnes sanāciju, ainavas un vides atjaunošanas intervenču atjaunošanu un īstenošanu, zemes izmantojuma pielāgošanu un organizētu darbību receptoru izveidi. Šo investīciju īstenošanu pārvalda īpašam nolūkam dibināta sabiedrība, kas jāizveido, Grieķijai stājoties spēkā attiecīgajam tiesiskajam regulējumam. Šī sistēma ietver noteikumu, ka </w:t>
      </w:r>
      <w:r>
        <w:rPr>
          <w:noProof/>
          <w:szCs w:val="24"/>
        </w:rPr>
        <w:t xml:space="preserve">īpašam nolūkam dibinātā sabiedrība kļūst par nodoto ģeogrāfisko teritoriju jauno </w:t>
      </w:r>
      <w:r>
        <w:rPr>
          <w:noProof/>
          <w:szCs w:val="24"/>
        </w:rPr>
        <w:lastRenderedPageBreak/>
        <w:t>likumīgo īpašnieku un zemes attīstītāju. Īpašā projekta instrumentsabiedrība ir atbildīga par sanācijas, atjaunošanas, rehabilitācijas un modernizācijas darbu finansēšanu un veikšanu. Investīciju īstenošanu pabeidz līdz 2025. gada 31. decembrim.</w:t>
      </w:r>
    </w:p>
    <w:p w14:paraId="0906A6D6"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Intervences salu elektrotīklu starpsavienojumiem un elektroenerģijas tīkla modernizācijai (pasākums ID: 16870)</w:t>
      </w:r>
    </w:p>
    <w:p w14:paraId="5F3B159D" w14:textId="25ABF329" w:rsidR="00CB0FCB" w:rsidRDefault="009D2B11">
      <w:pPr>
        <w:pStyle w:val="P68B1DB1-Normal5"/>
        <w:spacing w:before="120" w:after="120" w:line="240" w:lineRule="auto"/>
        <w:jc w:val="both"/>
        <w:rPr>
          <w:rFonts w:cs="Times New Roman"/>
          <w:noProof/>
        </w:rPr>
      </w:pPr>
      <w:r>
        <w:rPr>
          <w:noProof/>
        </w:rPr>
        <w:t>Investīcija ietver elektrotīklu starpsavienojumu Cyclades salās (D posms), gaisvadu līniju, kas savieno augstsprieguma centru (EHVC) Corinth un EHVC Koumoundouros, un saistītos projektus. Projektu mērķis ir palielināt energosistēmas drošību, vienlaikus palielinot elektroenerģijas ražošanas potenciālu no AER salās un Peloponēsā. Investīciju mērķis ir samazināt enerģijas izmaksas, radot jaunas investīcijas un darbvietas energoietilpīgās ekonomikas nozarēs. Investīciju īstenošanu pabeidz līdz 2025. gada 31. decembrim.</w:t>
      </w:r>
    </w:p>
    <w:p w14:paraId="78B918E0" w14:textId="77777777" w:rsidR="00CB0FCB" w:rsidRDefault="009D2B11">
      <w:pPr>
        <w:pStyle w:val="P68B1DB1-Normal4"/>
        <w:spacing w:before="120" w:after="120" w:line="240" w:lineRule="auto"/>
        <w:jc w:val="both"/>
        <w:rPr>
          <w:rFonts w:cs="Times New Roman"/>
          <w:noProof/>
        </w:rPr>
      </w:pPr>
      <w:r>
        <w:rPr>
          <w:b/>
          <w:noProof/>
        </w:rPr>
        <w:t xml:space="preserve">Ieguldījums: </w:t>
      </w:r>
      <w:r>
        <w:rPr>
          <w:noProof/>
        </w:rPr>
        <w:t>Grieķijas elektroenerģijas sadales tīkla operatora (HEDNO) tīkla modernizācija, kuras mērķis ir uzlabot noturību un aizsargāt vidi (pasākuma ID: 16901)</w:t>
      </w:r>
    </w:p>
    <w:p w14:paraId="6FFC3857" w14:textId="2A58A285" w:rsidR="00CB0FCB" w:rsidRDefault="009D2B11">
      <w:pPr>
        <w:pStyle w:val="P68B1DB1-Normal5"/>
        <w:spacing w:before="120" w:after="120" w:line="240" w:lineRule="auto"/>
        <w:jc w:val="both"/>
        <w:rPr>
          <w:rFonts w:cs="Times New Roman"/>
          <w:noProof/>
        </w:rPr>
      </w:pPr>
      <w:r>
        <w:rPr>
          <w:noProof/>
        </w:rPr>
        <w:t>Investīcija ietver elektroenerģijas sadales tīkla pazemināšanu un maršruta maiņu īpaši nozīmīgās apdzīvotās vietās no kultūras vai tūrisma viedokļa, kā arī pilsētu teritorijās, prioritāti piešķirot teritorijām, kurās infrastruktūra ir neaizsargāta pret ekstremāliem laikapstākļiem. Tās mērķis ir uzlabot sadales tīkla noturību un veicināt vides aizsardzību. Investīciju īstenošanu pabeidz līdz 2025. gada 31. decembrim.</w:t>
      </w:r>
    </w:p>
    <w:p w14:paraId="3A0A6242"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Grieķijas elektroenerģijas sadales tīkla operatora (HEDNO) virszemes tīkla modernizācija meža teritorijās (pasākums ID: 16900)</w:t>
      </w:r>
    </w:p>
    <w:p w14:paraId="3B68532C" w14:textId="77777777" w:rsidR="00CB0FCB" w:rsidRDefault="009D2B11">
      <w:pPr>
        <w:pStyle w:val="P68B1DB1-Normal5"/>
        <w:spacing w:before="120" w:after="120" w:line="240" w:lineRule="auto"/>
        <w:jc w:val="both"/>
        <w:rPr>
          <w:rFonts w:cs="Times New Roman"/>
          <w:noProof/>
        </w:rPr>
      </w:pPr>
      <w:r>
        <w:rPr>
          <w:noProof/>
        </w:rPr>
        <w:t>Investīcija ietver karsto vadu nomaiņu elektroenerģijas sadales gaisvadu tīklā (ar segtiem vadiem vai savītu kabeli), izolācijas vāku uzstādīšanu un apakšzemes vai elektroenerģijas sadales tīkla pārvietošanu pa meža teritorijām. Projekta mērķis ir uzlabot tīkla noturību un uzticamību (energokvalitātes rādītāji SAIDI, SAIFI) un labāk aizsargāt vidi (mežus, savvaļas dzīvniekus). Investīciju īstenošanu pabeidz līdz 2025. gada 31. decembrim.</w:t>
      </w:r>
    </w:p>
    <w:p w14:paraId="2C4B869E"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Uzstādītās jaudas palielināšana Grieķijas elektroenerģijas sadales tīkla operatora (HEDNO) augstsprieguma/vidējā sprieguma apakšstacijās jaunam AER pieslēgumam (pasākuma ID: 16899)</w:t>
      </w:r>
    </w:p>
    <w:p w14:paraId="687827C0" w14:textId="77777777" w:rsidR="00CB0FCB" w:rsidRDefault="009D2B11">
      <w:pPr>
        <w:pStyle w:val="P68B1DB1-Normal5"/>
        <w:spacing w:before="120" w:after="120" w:line="240" w:lineRule="auto"/>
        <w:jc w:val="both"/>
        <w:rPr>
          <w:rFonts w:cs="Times New Roman"/>
          <w:noProof/>
        </w:rPr>
      </w:pPr>
      <w:r>
        <w:rPr>
          <w:noProof/>
        </w:rPr>
        <w:t>Investīcija palielina esošo tīkla apakšstaciju jaudu, lai novērstu sadales tīkla pārslodzi, kas pašlaik neļauj veikt turpmākus ieguldījumus atjaunīgajā enerģijā. Investīciju īstenošanu pabeidz līdz 2025. gada 31. decembrim.</w:t>
      </w:r>
    </w:p>
    <w:p w14:paraId="6499CE1C"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Atjaunojamo energoresursu-kombinētās siltumenerģijas un elektroenerģijas (AER-CHP) konta ieņēmumu pārstrukturēšana un uzlabošana (pasākuma ID: 16865)</w:t>
      </w:r>
    </w:p>
    <w:p w14:paraId="5F824DEC" w14:textId="0FA4D6A7" w:rsidR="00CB0FCB" w:rsidRDefault="009D2B11">
      <w:pPr>
        <w:pStyle w:val="P68B1DB1-Normal4"/>
        <w:spacing w:before="120" w:after="120" w:line="240" w:lineRule="auto"/>
        <w:jc w:val="both"/>
        <w:rPr>
          <w:noProof/>
        </w:rPr>
      </w:pPr>
      <w:r>
        <w:rPr>
          <w:noProof/>
        </w:rPr>
        <w:t xml:space="preserve">Reforma ietver: a) esošās AER ražotāju atlīdzības struktūras pārstrukturēšana, izveidojot jaunu AER iekārtu (kas nodota ekspluatācijā pēc 2021. gada 1. janvāra) jaunu AER-CHP kontu, kas aizstātu pašreizējo kontu, kuru papildina jauni mehānismi, kas garantē gan esošo, gan jauno AER-CHP kontu finansiālo dzīvotspēju; un b) izcelsmes apliecinājumu tirdzniecības sistēmas ieviešana, ārkārtas “Covid-19 nodokļa” ieviešana AER ražotājiem un piegādātājiem un pastāvīga “oglekļa nodokļa” ieviešana dīzeļdegvielai. Pasākumi nodrošina esošās uzstādītās AER jaudas dzīvotspēju un atvieglo jaunu AER projektu finansēšanu, jo jebkādas neparedzētas ienākošās/izplūdes, kas rada negatīvu ietekmi uz AER kontu(-iem), tiek risinātas, izmantojot regulatīvās maksas, ko pārnes uz klientiem. </w:t>
      </w:r>
    </w:p>
    <w:p w14:paraId="7B84EE72" w14:textId="6791CD6A" w:rsidR="00CB0FCB" w:rsidRDefault="009D2B11">
      <w:pPr>
        <w:pStyle w:val="P68B1DB1-Normal4"/>
        <w:spacing w:before="120" w:after="120" w:line="240" w:lineRule="auto"/>
        <w:jc w:val="both"/>
        <w:rPr>
          <w:rFonts w:cs="Times New Roman"/>
          <w:noProof/>
        </w:rPr>
      </w:pPr>
      <w:r>
        <w:rPr>
          <w:noProof/>
        </w:rPr>
        <w:t>Reformas īstenošanu, tostarp atjaunojamo energoresursu elektroenerģijas ražošanas jaudas palielināšanu par 3 gigavatiem, pabeidz līdz 2025. gada 30. jūnijam.</w:t>
      </w:r>
    </w:p>
    <w:p w14:paraId="35BC894B"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Racionalizēt jaunā elektroenerģijas tirgus modeļa efektīvu darbību un jaunu AER elektrostaciju attīstību, lai sasniegtu NEKP mērķus, īstenojot uzraudzības mehānismu, iesaistot pieprasījumreakciju un plaši reformējot jaunu AER licencēšanas procedūru (ID: 16860)</w:t>
      </w:r>
    </w:p>
    <w:p w14:paraId="1CEBE215" w14:textId="77777777" w:rsidR="00CB0FCB" w:rsidRDefault="009D2B11">
      <w:pPr>
        <w:pStyle w:val="P68B1DB1-Normal4"/>
        <w:spacing w:before="120" w:after="120" w:line="240" w:lineRule="auto"/>
        <w:jc w:val="both"/>
        <w:rPr>
          <w:rFonts w:cs="Times New Roman"/>
          <w:noProof/>
        </w:rPr>
      </w:pPr>
      <w:r>
        <w:rPr>
          <w:noProof/>
        </w:rPr>
        <w:t>Reforma ietver RES licencēšanas satvara racionalizēšanu, tostarp procedūru vienkāršošanu un digitalizāciju, īsus un saistošus administratīvās reaģēšanas laikus un pārskatatbildības procedūras attiecībā uz nevajadzīgu kavēšanos, nepieciešamās dokumentācijas un procedūru samazināšanu, kā arī jaunu īpašu regulējumu atkrastes AER stacijām. Mērķis ir paātrināt uzstādītās AER jaudas divkāršošanu, ņemot vērā elektroenerģijas ražošanas no lignīta pārtraukšanu Grieķijā.</w:t>
      </w:r>
    </w:p>
    <w:p w14:paraId="204CFF52" w14:textId="77777777" w:rsidR="00CB0FCB" w:rsidRDefault="009D2B11">
      <w:pPr>
        <w:pStyle w:val="P68B1DB1-Normal4"/>
        <w:spacing w:before="120" w:after="120" w:line="240" w:lineRule="auto"/>
        <w:jc w:val="both"/>
        <w:rPr>
          <w:rFonts w:cs="Times New Roman"/>
          <w:noProof/>
        </w:rPr>
      </w:pPr>
      <w:r>
        <w:rPr>
          <w:noProof/>
        </w:rPr>
        <w:t xml:space="preserve">Visbeidzot, ar reformu izveido arī tirgus uzraudzības sistēmu valsts regulatīvajai iestādei (RAE) un pieprasījumreakcijas (pieprasījumreakcijas) dalību balansēšanas tirgū. </w:t>
      </w:r>
    </w:p>
    <w:p w14:paraId="44EBAF66" w14:textId="77777777" w:rsidR="00CB0FCB" w:rsidRDefault="009D2B11">
      <w:pPr>
        <w:pStyle w:val="P68B1DB1-Normal4"/>
        <w:spacing w:before="120" w:after="120" w:line="240" w:lineRule="auto"/>
        <w:jc w:val="both"/>
        <w:rPr>
          <w:rFonts w:cs="Times New Roman"/>
          <w:noProof/>
        </w:rPr>
      </w:pPr>
      <w:r>
        <w:rPr>
          <w:noProof/>
        </w:rPr>
        <w:t>Reformas īstenošanu pabeidz līdz 2022. gada 30. jūnijam.</w:t>
      </w:r>
    </w:p>
    <w:p w14:paraId="20B4C841" w14:textId="77777777" w:rsidR="00CB0FCB" w:rsidRDefault="00CB0FCB">
      <w:pPr>
        <w:spacing w:before="120" w:after="120" w:line="240" w:lineRule="auto"/>
        <w:ind w:left="709"/>
        <w:jc w:val="both"/>
        <w:rPr>
          <w:rFonts w:ascii="Times New Roman" w:hAnsi="Times New Roman" w:cs="Times New Roman"/>
          <w:noProof/>
          <w:sz w:val="24"/>
        </w:rPr>
      </w:pPr>
    </w:p>
    <w:p w14:paraId="3D17B1D6" w14:textId="77777777" w:rsidR="00CB0FCB" w:rsidRDefault="00CB0FCB">
      <w:pPr>
        <w:spacing w:before="120" w:after="120" w:line="240" w:lineRule="auto"/>
        <w:ind w:left="709"/>
        <w:jc w:val="both"/>
        <w:rPr>
          <w:rFonts w:ascii="Times New Roman" w:hAnsi="Times New Roman" w:cs="Times New Roman"/>
          <w:noProof/>
          <w:sz w:val="24"/>
        </w:rPr>
        <w:sectPr w:rsidR="00CB0FCB" w:rsidSect="00F72C9B">
          <w:headerReference w:type="even" r:id="rId19"/>
          <w:headerReference w:type="default" r:id="rId20"/>
          <w:footerReference w:type="even" r:id="rId21"/>
          <w:footerReference w:type="default" r:id="rId22"/>
          <w:headerReference w:type="first" r:id="rId23"/>
          <w:footerReference w:type="first" r:id="rId24"/>
          <w:pgSz w:w="11907" w:h="16839"/>
          <w:pgMar w:top="1134" w:right="1134" w:bottom="1134" w:left="1134" w:header="567" w:footer="567" w:gutter="0"/>
          <w:cols w:space="720"/>
          <w:docGrid w:linePitch="360"/>
        </w:sectPr>
      </w:pPr>
    </w:p>
    <w:p w14:paraId="510E3BCD" w14:textId="77777777" w:rsidR="00CB0FCB" w:rsidRDefault="009D2B11">
      <w:pPr>
        <w:keepNext/>
        <w:keepLines/>
        <w:spacing w:before="240" w:after="0" w:line="240" w:lineRule="auto"/>
        <w:jc w:val="both"/>
        <w:outlineLvl w:val="4"/>
        <w:rPr>
          <w:rFonts w:ascii="Cambria" w:eastAsia="Times New Roman" w:hAnsi="Cambria"/>
          <w:noProof/>
          <w:color w:val="365F91"/>
          <w:sz w:val="24"/>
        </w:rPr>
      </w:pPr>
      <w:r>
        <w:rPr>
          <w:rFonts w:ascii="Times New Roman" w:hAnsi="Times New Roman"/>
          <w:b/>
          <w:noProof/>
          <w:sz w:val="24"/>
          <w:u w:val="single"/>
        </w:rPr>
        <w:t xml:space="preserve">A.2.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2A19183E" w14:textId="77777777" w:rsidR="00CB0FCB" w:rsidRDefault="009D2B11">
      <w:pPr>
        <w:pStyle w:val="P68B1DB1-Normal6"/>
        <w:keepNext/>
        <w:keepLines/>
        <w:spacing w:before="240" w:after="0" w:line="240" w:lineRule="auto"/>
        <w:jc w:val="both"/>
        <w:outlineLvl w:val="4"/>
        <w:rPr>
          <w:rFonts w:eastAsia="Times New Roman"/>
          <w:noProof/>
        </w:rPr>
      </w:pPr>
      <w:r>
        <w:rPr>
          <w:noProof/>
        </w:rPr>
        <w:t>Lielākā investīcija: Intervences attiecībā uz salu elektrotīklu starpsavienojumiem un elektroenerģijas tīkla modernizāciju</w:t>
      </w:r>
    </w:p>
    <w:p w14:paraId="1FC3C42A" w14:textId="77777777" w:rsidR="00CB0FCB" w:rsidRDefault="00CB0FCB">
      <w:pPr>
        <w:jc w:val="right"/>
        <w:rPr>
          <w:rFonts w:ascii="Cambria" w:eastAsia="Times New Roman" w:hAnsi="Cambria"/>
          <w:noProof/>
          <w:sz w:val="24"/>
        </w:rPr>
      </w:pPr>
    </w:p>
    <w:tbl>
      <w:tblPr>
        <w:tblW w:w="14737" w:type="dxa"/>
        <w:tblLayout w:type="fixed"/>
        <w:tblLook w:val="04A0" w:firstRow="1" w:lastRow="0" w:firstColumn="1" w:lastColumn="0" w:noHBand="0" w:noVBand="1"/>
      </w:tblPr>
      <w:tblGrid>
        <w:gridCol w:w="562"/>
        <w:gridCol w:w="2127"/>
        <w:gridCol w:w="992"/>
        <w:gridCol w:w="1513"/>
        <w:gridCol w:w="1690"/>
        <w:gridCol w:w="951"/>
        <w:gridCol w:w="1047"/>
        <w:gridCol w:w="651"/>
        <w:gridCol w:w="896"/>
        <w:gridCol w:w="10"/>
        <w:gridCol w:w="887"/>
        <w:gridCol w:w="3411"/>
      </w:tblGrid>
      <w:tr w:rsidR="00CB0FCB" w14:paraId="488A1750" w14:textId="77777777">
        <w:trPr>
          <w:trHeight w:val="1125"/>
          <w:tblHeader/>
        </w:trPr>
        <w:tc>
          <w:tcPr>
            <w:tcW w:w="562" w:type="dxa"/>
            <w:vMerge w:val="restart"/>
            <w:tcBorders>
              <w:top w:val="single" w:sz="4" w:space="0" w:color="auto"/>
              <w:left w:val="single" w:sz="4" w:space="0" w:color="auto"/>
              <w:right w:val="single" w:sz="4" w:space="0" w:color="auto"/>
            </w:tcBorders>
            <w:shd w:val="clear" w:color="auto" w:fill="BDD7EE"/>
            <w:vAlign w:val="center"/>
            <w:hideMark/>
          </w:tcPr>
          <w:p w14:paraId="3449373B" w14:textId="3A516D62" w:rsidR="00CB0FCB" w:rsidRDefault="009D2B11">
            <w:pPr>
              <w:pStyle w:val="P68B1DB1-Normal7"/>
              <w:spacing w:before="120" w:after="120" w:line="240" w:lineRule="auto"/>
              <w:jc w:val="center"/>
              <w:rPr>
                <w:rFonts w:cs="Times New Roman"/>
                <w:noProof/>
                <w:sz w:val="24"/>
              </w:rPr>
            </w:pPr>
            <w:r>
              <w:rPr>
                <w:noProof/>
              </w:rPr>
              <w:t>Nē.</w:t>
            </w:r>
          </w:p>
          <w:p w14:paraId="77D8A035" w14:textId="77777777" w:rsidR="00CB0FCB" w:rsidRDefault="00CB0FCB">
            <w:pPr>
              <w:spacing w:before="120" w:after="120" w:line="240" w:lineRule="auto"/>
              <w:jc w:val="center"/>
              <w:rPr>
                <w:rFonts w:ascii="Times New Roman" w:hAnsi="Times New Roman" w:cs="Times New Roman"/>
                <w:noProof/>
                <w:sz w:val="24"/>
              </w:rPr>
            </w:pPr>
          </w:p>
        </w:tc>
        <w:tc>
          <w:tcPr>
            <w:tcW w:w="2127" w:type="dxa"/>
            <w:vMerge w:val="restart"/>
            <w:tcBorders>
              <w:top w:val="single" w:sz="4" w:space="0" w:color="auto"/>
              <w:left w:val="single" w:sz="4" w:space="0" w:color="auto"/>
              <w:right w:val="single" w:sz="4" w:space="0" w:color="auto"/>
            </w:tcBorders>
            <w:shd w:val="clear" w:color="auto" w:fill="BDD7EE"/>
            <w:vAlign w:val="center"/>
            <w:hideMark/>
          </w:tcPr>
          <w:p w14:paraId="4C86FFEC" w14:textId="77777777" w:rsidR="00CB0FCB" w:rsidRDefault="009D2B11">
            <w:pPr>
              <w:pStyle w:val="P68B1DB1-Normal7"/>
              <w:spacing w:before="120" w:after="120" w:line="240" w:lineRule="auto"/>
              <w:jc w:val="center"/>
              <w:rPr>
                <w:rFonts w:cs="Times New Roman"/>
                <w:noProof/>
                <w:sz w:val="24"/>
              </w:rPr>
            </w:pPr>
            <w:r>
              <w:rPr>
                <w:noProof/>
              </w:rPr>
              <w:t>Saistītais pasākums (reforma vai ieguldījums)</w:t>
            </w:r>
          </w:p>
        </w:tc>
        <w:tc>
          <w:tcPr>
            <w:tcW w:w="992" w:type="dxa"/>
            <w:vMerge w:val="restart"/>
            <w:tcBorders>
              <w:top w:val="single" w:sz="4" w:space="0" w:color="auto"/>
              <w:left w:val="single" w:sz="4" w:space="0" w:color="auto"/>
              <w:right w:val="single" w:sz="4" w:space="0" w:color="auto"/>
            </w:tcBorders>
            <w:shd w:val="clear" w:color="auto" w:fill="BDD7EE"/>
            <w:vAlign w:val="center"/>
            <w:hideMark/>
          </w:tcPr>
          <w:p w14:paraId="7214E583" w14:textId="77777777" w:rsidR="00CB0FCB" w:rsidRDefault="009D2B11">
            <w:pPr>
              <w:pStyle w:val="P68B1DB1-Normal7"/>
              <w:spacing w:before="120" w:after="120" w:line="240" w:lineRule="auto"/>
              <w:jc w:val="center"/>
              <w:rPr>
                <w:rFonts w:cs="Times New Roman"/>
                <w:noProof/>
                <w:sz w:val="24"/>
              </w:rPr>
            </w:pPr>
            <w:r>
              <w:rPr>
                <w:noProof/>
              </w:rPr>
              <w:t>Atskaites punkts/mērķrādītājs</w:t>
            </w:r>
          </w:p>
        </w:tc>
        <w:tc>
          <w:tcPr>
            <w:tcW w:w="1513" w:type="dxa"/>
            <w:vMerge w:val="restart"/>
            <w:tcBorders>
              <w:top w:val="single" w:sz="4" w:space="0" w:color="auto"/>
              <w:left w:val="nil"/>
              <w:right w:val="single" w:sz="4" w:space="0" w:color="auto"/>
            </w:tcBorders>
            <w:shd w:val="clear" w:color="auto" w:fill="BDD7EE"/>
            <w:vAlign w:val="center"/>
            <w:hideMark/>
          </w:tcPr>
          <w:p w14:paraId="26B5B832" w14:textId="77777777" w:rsidR="00CB0FCB" w:rsidRDefault="009D2B11">
            <w:pPr>
              <w:pStyle w:val="P68B1DB1-Normal7"/>
              <w:spacing w:before="120" w:after="120" w:line="240" w:lineRule="auto"/>
              <w:jc w:val="center"/>
              <w:rPr>
                <w:rFonts w:cs="Times New Roman"/>
                <w:noProof/>
                <w:sz w:val="24"/>
              </w:rPr>
            </w:pPr>
            <w:r>
              <w:rPr>
                <w:noProof/>
              </w:rPr>
              <w:t>Nosaukums</w:t>
            </w:r>
          </w:p>
        </w:tc>
        <w:tc>
          <w:tcPr>
            <w:tcW w:w="1690" w:type="dxa"/>
            <w:vMerge w:val="restart"/>
            <w:tcBorders>
              <w:top w:val="single" w:sz="4" w:space="0" w:color="auto"/>
              <w:left w:val="single" w:sz="4" w:space="0" w:color="auto"/>
              <w:right w:val="single" w:sz="4" w:space="0" w:color="auto"/>
            </w:tcBorders>
            <w:shd w:val="clear" w:color="auto" w:fill="BDD7EE"/>
            <w:vAlign w:val="center"/>
            <w:hideMark/>
          </w:tcPr>
          <w:p w14:paraId="24681555" w14:textId="77777777" w:rsidR="00CB0FCB" w:rsidRDefault="009D2B11">
            <w:pPr>
              <w:pStyle w:val="P68B1DB1-Normal7"/>
              <w:spacing w:before="120" w:after="120" w:line="240" w:lineRule="auto"/>
              <w:jc w:val="center"/>
              <w:rPr>
                <w:rFonts w:cs="Times New Roman"/>
                <w:noProof/>
                <w:sz w:val="24"/>
              </w:rPr>
            </w:pPr>
            <w:r>
              <w:rPr>
                <w:noProof/>
              </w:rPr>
              <w:t>Kvalitatīvie rādītāji (atskaites punktiem)</w:t>
            </w:r>
          </w:p>
        </w:tc>
        <w:tc>
          <w:tcPr>
            <w:tcW w:w="2649" w:type="dxa"/>
            <w:gridSpan w:val="3"/>
            <w:tcBorders>
              <w:top w:val="single" w:sz="4" w:space="0" w:color="auto"/>
              <w:left w:val="nil"/>
              <w:bottom w:val="single" w:sz="4" w:space="0" w:color="auto"/>
              <w:right w:val="single" w:sz="4" w:space="0" w:color="auto"/>
            </w:tcBorders>
            <w:shd w:val="clear" w:color="auto" w:fill="BDD7EE"/>
            <w:vAlign w:val="center"/>
            <w:hideMark/>
          </w:tcPr>
          <w:p w14:paraId="48071613" w14:textId="77777777" w:rsidR="00CB0FCB" w:rsidRDefault="009D2B11">
            <w:pPr>
              <w:pStyle w:val="P68B1DB1-Normal7"/>
              <w:spacing w:before="120" w:after="120" w:line="240" w:lineRule="auto"/>
              <w:jc w:val="center"/>
              <w:rPr>
                <w:rFonts w:cs="Times New Roman"/>
                <w:noProof/>
                <w:sz w:val="24"/>
              </w:rPr>
            </w:pPr>
            <w:r>
              <w:rPr>
                <w:noProof/>
              </w:rPr>
              <w:t>Kvantitatīvie rādītāji (mērķrādītājiem)</w:t>
            </w:r>
          </w:p>
        </w:tc>
        <w:tc>
          <w:tcPr>
            <w:tcW w:w="1793" w:type="dxa"/>
            <w:gridSpan w:val="3"/>
            <w:tcBorders>
              <w:top w:val="single" w:sz="4" w:space="0" w:color="auto"/>
              <w:left w:val="nil"/>
              <w:bottom w:val="single" w:sz="4" w:space="0" w:color="auto"/>
              <w:right w:val="single" w:sz="4" w:space="0" w:color="auto"/>
            </w:tcBorders>
            <w:shd w:val="clear" w:color="auto" w:fill="BDD7EE"/>
            <w:vAlign w:val="center"/>
            <w:hideMark/>
          </w:tcPr>
          <w:p w14:paraId="52E6B995" w14:textId="77777777" w:rsidR="00CB0FCB" w:rsidRDefault="009D2B11">
            <w:pPr>
              <w:pStyle w:val="P68B1DB1-Normal7"/>
              <w:spacing w:before="120" w:after="120" w:line="240" w:lineRule="auto"/>
              <w:jc w:val="center"/>
              <w:rPr>
                <w:rFonts w:cs="Times New Roman"/>
                <w:noProof/>
                <w:sz w:val="24"/>
              </w:rPr>
            </w:pPr>
            <w:r>
              <w:rPr>
                <w:noProof/>
              </w:rPr>
              <w:t>Orientējošs pabeigšanas termiņš</w:t>
            </w:r>
          </w:p>
        </w:tc>
        <w:tc>
          <w:tcPr>
            <w:tcW w:w="34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A6B6F" w14:textId="77777777" w:rsidR="00CB0FCB" w:rsidRDefault="009D2B11">
            <w:pPr>
              <w:pStyle w:val="P68B1DB1-Normal7"/>
              <w:spacing w:before="120" w:after="120" w:line="240" w:lineRule="auto"/>
              <w:jc w:val="center"/>
              <w:rPr>
                <w:rFonts w:cs="Times New Roman"/>
                <w:noProof/>
                <w:sz w:val="24"/>
              </w:rPr>
            </w:pPr>
            <w:r>
              <w:rPr>
                <w:noProof/>
              </w:rPr>
              <w:t>Apraksts par katru atskaites punktu un mērķrādītāju</w:t>
            </w:r>
          </w:p>
          <w:p w14:paraId="25A86727" w14:textId="77777777" w:rsidR="00CB0FCB" w:rsidRDefault="00CB0FCB">
            <w:pPr>
              <w:spacing w:before="120" w:after="120" w:line="240" w:lineRule="auto"/>
              <w:jc w:val="center"/>
              <w:rPr>
                <w:rFonts w:ascii="Times New Roman" w:hAnsi="Times New Roman" w:cs="Times New Roman"/>
                <w:noProof/>
                <w:sz w:val="24"/>
              </w:rPr>
            </w:pPr>
          </w:p>
        </w:tc>
      </w:tr>
      <w:tr w:rsidR="00CB0FCB" w14:paraId="6F0ED93F" w14:textId="77777777">
        <w:trPr>
          <w:trHeight w:val="848"/>
          <w:tblHeader/>
        </w:trPr>
        <w:tc>
          <w:tcPr>
            <w:tcW w:w="562" w:type="dxa"/>
            <w:vMerge/>
            <w:tcBorders>
              <w:left w:val="single" w:sz="4" w:space="0" w:color="auto"/>
              <w:bottom w:val="single" w:sz="4" w:space="0" w:color="000000"/>
              <w:right w:val="single" w:sz="4" w:space="0" w:color="auto"/>
            </w:tcBorders>
            <w:shd w:val="clear" w:color="auto" w:fill="BDD7EE"/>
            <w:vAlign w:val="center"/>
          </w:tcPr>
          <w:p w14:paraId="74AD3139"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2127" w:type="dxa"/>
            <w:vMerge/>
            <w:tcBorders>
              <w:left w:val="single" w:sz="4" w:space="0" w:color="auto"/>
              <w:bottom w:val="single" w:sz="4" w:space="0" w:color="auto"/>
              <w:right w:val="single" w:sz="4" w:space="0" w:color="auto"/>
            </w:tcBorders>
            <w:shd w:val="clear" w:color="auto" w:fill="BDD7EE"/>
            <w:vAlign w:val="center"/>
          </w:tcPr>
          <w:p w14:paraId="33465DC1"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992" w:type="dxa"/>
            <w:vMerge/>
            <w:tcBorders>
              <w:left w:val="single" w:sz="4" w:space="0" w:color="auto"/>
              <w:bottom w:val="single" w:sz="4" w:space="0" w:color="auto"/>
              <w:right w:val="single" w:sz="4" w:space="0" w:color="auto"/>
            </w:tcBorders>
            <w:shd w:val="clear" w:color="auto" w:fill="BDD7EE"/>
            <w:vAlign w:val="center"/>
          </w:tcPr>
          <w:p w14:paraId="2D878D4E"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513" w:type="dxa"/>
            <w:vMerge/>
            <w:tcBorders>
              <w:left w:val="nil"/>
              <w:bottom w:val="single" w:sz="4" w:space="0" w:color="auto"/>
              <w:right w:val="single" w:sz="4" w:space="0" w:color="auto"/>
            </w:tcBorders>
            <w:shd w:val="clear" w:color="auto" w:fill="BDD7EE"/>
            <w:vAlign w:val="center"/>
          </w:tcPr>
          <w:p w14:paraId="4444BB28"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690" w:type="dxa"/>
            <w:vMerge/>
            <w:tcBorders>
              <w:left w:val="single" w:sz="4" w:space="0" w:color="auto"/>
              <w:bottom w:val="single" w:sz="4" w:space="0" w:color="auto"/>
              <w:right w:val="single" w:sz="4" w:space="0" w:color="auto"/>
            </w:tcBorders>
            <w:shd w:val="clear" w:color="auto" w:fill="BDD7EE"/>
            <w:vAlign w:val="center"/>
          </w:tcPr>
          <w:p w14:paraId="1BCCD4DC"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951" w:type="dxa"/>
            <w:tcBorders>
              <w:top w:val="single" w:sz="4" w:space="0" w:color="auto"/>
              <w:left w:val="nil"/>
              <w:bottom w:val="single" w:sz="4" w:space="0" w:color="auto"/>
              <w:right w:val="single" w:sz="4" w:space="0" w:color="auto"/>
            </w:tcBorders>
            <w:shd w:val="clear" w:color="auto" w:fill="BDD7EE"/>
            <w:vAlign w:val="center"/>
          </w:tcPr>
          <w:p w14:paraId="1C0EC1E8" w14:textId="77777777" w:rsidR="00CB0FCB" w:rsidRDefault="009D2B11">
            <w:pPr>
              <w:pStyle w:val="P68B1DB1-Normal7"/>
              <w:spacing w:before="120" w:after="120" w:line="240" w:lineRule="auto"/>
              <w:jc w:val="center"/>
              <w:rPr>
                <w:rFonts w:eastAsia="Times New Roman" w:cs="Times New Roman"/>
                <w:bCs/>
                <w:noProof/>
                <w:szCs w:val="18"/>
              </w:rPr>
            </w:pPr>
            <w:r>
              <w:rPr>
                <w:noProof/>
              </w:rPr>
              <w:t>Mēra vienība</w:t>
            </w:r>
          </w:p>
        </w:tc>
        <w:tc>
          <w:tcPr>
            <w:tcW w:w="1047" w:type="dxa"/>
            <w:tcBorders>
              <w:top w:val="single" w:sz="4" w:space="0" w:color="auto"/>
              <w:left w:val="nil"/>
              <w:bottom w:val="single" w:sz="4" w:space="0" w:color="auto"/>
              <w:right w:val="single" w:sz="4" w:space="0" w:color="auto"/>
            </w:tcBorders>
            <w:shd w:val="clear" w:color="auto" w:fill="BDD7EE"/>
            <w:vAlign w:val="center"/>
          </w:tcPr>
          <w:p w14:paraId="7D31ADC8" w14:textId="77777777" w:rsidR="00CB0FCB" w:rsidRDefault="009D2B11">
            <w:pPr>
              <w:pStyle w:val="P68B1DB1-Normal7"/>
              <w:spacing w:before="120" w:after="120" w:line="240" w:lineRule="auto"/>
              <w:jc w:val="center"/>
              <w:rPr>
                <w:rFonts w:eastAsia="Times New Roman" w:cs="Times New Roman"/>
                <w:bCs/>
                <w:noProof/>
                <w:szCs w:val="18"/>
              </w:rPr>
            </w:pPr>
            <w:r>
              <w:rPr>
                <w:noProof/>
              </w:rPr>
              <w:t>Pamatscenārijs</w:t>
            </w:r>
          </w:p>
        </w:tc>
        <w:tc>
          <w:tcPr>
            <w:tcW w:w="651" w:type="dxa"/>
            <w:tcBorders>
              <w:top w:val="single" w:sz="4" w:space="0" w:color="auto"/>
              <w:left w:val="nil"/>
              <w:bottom w:val="single" w:sz="4" w:space="0" w:color="auto"/>
              <w:right w:val="single" w:sz="4" w:space="0" w:color="auto"/>
            </w:tcBorders>
            <w:shd w:val="clear" w:color="auto" w:fill="BDD7EE"/>
            <w:vAlign w:val="center"/>
          </w:tcPr>
          <w:p w14:paraId="75E4BCF3" w14:textId="77777777" w:rsidR="00CB0FCB" w:rsidRDefault="009D2B11">
            <w:pPr>
              <w:pStyle w:val="P68B1DB1-Normal7"/>
              <w:spacing w:before="120" w:after="120" w:line="240" w:lineRule="auto"/>
              <w:jc w:val="center"/>
              <w:rPr>
                <w:rFonts w:eastAsia="Times New Roman" w:cs="Times New Roman"/>
                <w:bCs/>
                <w:noProof/>
                <w:szCs w:val="18"/>
              </w:rPr>
            </w:pPr>
            <w:r>
              <w:rPr>
                <w:noProof/>
              </w:rPr>
              <w:t>Mērķis</w:t>
            </w:r>
          </w:p>
        </w:tc>
        <w:tc>
          <w:tcPr>
            <w:tcW w:w="896" w:type="dxa"/>
            <w:tcBorders>
              <w:top w:val="single" w:sz="4" w:space="0" w:color="auto"/>
              <w:left w:val="nil"/>
              <w:bottom w:val="single" w:sz="4" w:space="0" w:color="auto"/>
              <w:right w:val="single" w:sz="4" w:space="0" w:color="auto"/>
            </w:tcBorders>
            <w:shd w:val="clear" w:color="auto" w:fill="BDD7EE"/>
            <w:vAlign w:val="center"/>
          </w:tcPr>
          <w:p w14:paraId="6331BAAC" w14:textId="77777777" w:rsidR="00CB0FCB" w:rsidRDefault="009D2B11">
            <w:pPr>
              <w:pStyle w:val="P68B1DB1-Normal7"/>
              <w:spacing w:before="120" w:after="120" w:line="240" w:lineRule="auto"/>
              <w:jc w:val="center"/>
              <w:rPr>
                <w:rFonts w:eastAsia="Times New Roman" w:cs="Times New Roman"/>
                <w:bCs/>
                <w:noProof/>
                <w:szCs w:val="18"/>
              </w:rPr>
            </w:pPr>
            <w:r>
              <w:rPr>
                <w:noProof/>
              </w:rPr>
              <w:t>Ceturkšņa laikā</w:t>
            </w:r>
          </w:p>
        </w:tc>
        <w:tc>
          <w:tcPr>
            <w:tcW w:w="897" w:type="dxa"/>
            <w:gridSpan w:val="2"/>
            <w:tcBorders>
              <w:top w:val="single" w:sz="4" w:space="0" w:color="auto"/>
              <w:left w:val="nil"/>
              <w:bottom w:val="single" w:sz="4" w:space="0" w:color="auto"/>
              <w:right w:val="single" w:sz="4" w:space="0" w:color="auto"/>
            </w:tcBorders>
            <w:shd w:val="clear" w:color="auto" w:fill="BDD7EE"/>
            <w:vAlign w:val="center"/>
          </w:tcPr>
          <w:p w14:paraId="05D35731" w14:textId="77777777" w:rsidR="00CB0FCB" w:rsidRDefault="009D2B11">
            <w:pPr>
              <w:pStyle w:val="P68B1DB1-Normal7"/>
              <w:spacing w:before="120" w:after="120" w:line="240" w:lineRule="auto"/>
              <w:jc w:val="center"/>
              <w:rPr>
                <w:rFonts w:eastAsia="Times New Roman" w:cs="Times New Roman"/>
                <w:bCs/>
                <w:noProof/>
                <w:szCs w:val="18"/>
              </w:rPr>
            </w:pPr>
            <w:r>
              <w:rPr>
                <w:noProof/>
              </w:rPr>
              <w:t>Gadu</w:t>
            </w:r>
          </w:p>
        </w:tc>
        <w:tc>
          <w:tcPr>
            <w:tcW w:w="3411" w:type="dxa"/>
            <w:vMerge/>
            <w:tcBorders>
              <w:left w:val="single" w:sz="4" w:space="0" w:color="auto"/>
              <w:bottom w:val="single" w:sz="4" w:space="0" w:color="auto"/>
              <w:right w:val="single" w:sz="4" w:space="0" w:color="auto"/>
            </w:tcBorders>
            <w:shd w:val="clear" w:color="auto" w:fill="BDD7EE"/>
            <w:vAlign w:val="center"/>
          </w:tcPr>
          <w:p w14:paraId="17C4AC33"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r>
      <w:tr w:rsidR="00CB0FCB" w14:paraId="6696AAC2" w14:textId="77777777">
        <w:tc>
          <w:tcPr>
            <w:tcW w:w="562" w:type="dxa"/>
            <w:tcBorders>
              <w:top w:val="nil"/>
              <w:left w:val="single" w:sz="4" w:space="0" w:color="auto"/>
              <w:bottom w:val="single" w:sz="4" w:space="0" w:color="auto"/>
              <w:right w:val="single" w:sz="4" w:space="0" w:color="auto"/>
            </w:tcBorders>
            <w:shd w:val="clear" w:color="auto" w:fill="C6EFCE"/>
            <w:noWrap/>
          </w:tcPr>
          <w:p w14:paraId="27B132FC" w14:textId="77777777" w:rsidR="00CB0FCB" w:rsidRDefault="009D2B11">
            <w:pPr>
              <w:pStyle w:val="P68B1DB1-Normal8"/>
              <w:spacing w:after="0" w:line="240" w:lineRule="auto"/>
              <w:rPr>
                <w:rFonts w:eastAsia="Times New Roman" w:cs="Times New Roman"/>
                <w:noProof/>
                <w:szCs w:val="18"/>
              </w:rPr>
            </w:pPr>
            <w:r>
              <w:rPr>
                <w:noProof/>
              </w:rPr>
              <w:t>1</w:t>
            </w:r>
          </w:p>
        </w:tc>
        <w:tc>
          <w:tcPr>
            <w:tcW w:w="2127" w:type="dxa"/>
            <w:tcBorders>
              <w:top w:val="single" w:sz="4" w:space="0" w:color="auto"/>
              <w:left w:val="nil"/>
              <w:bottom w:val="single" w:sz="4" w:space="0" w:color="auto"/>
              <w:right w:val="single" w:sz="4" w:space="0" w:color="auto"/>
            </w:tcBorders>
            <w:shd w:val="clear" w:color="auto" w:fill="C6EFCE"/>
            <w:noWrap/>
          </w:tcPr>
          <w:p w14:paraId="53FDB301" w14:textId="77777777" w:rsidR="00CB0FCB" w:rsidRDefault="009D2B11">
            <w:pPr>
              <w:pStyle w:val="P68B1DB1-Normal9"/>
              <w:spacing w:after="0" w:line="240" w:lineRule="auto"/>
              <w:rPr>
                <w:rFonts w:eastAsia="Times New Roman" w:cs="Calibri"/>
                <w:noProof/>
                <w:szCs w:val="18"/>
              </w:rPr>
            </w:pPr>
            <w:r>
              <w:rPr>
                <w:noProof/>
              </w:rPr>
              <w:t>1–1.1. Elektroenerģijas palielināšana — 16870_Intervences salu elektrotīklu starpsavienojumiem un elektroenerģijas tīkla modernizācijai</w:t>
            </w:r>
          </w:p>
        </w:tc>
        <w:tc>
          <w:tcPr>
            <w:tcW w:w="992" w:type="dxa"/>
            <w:tcBorders>
              <w:top w:val="single" w:sz="4" w:space="0" w:color="auto"/>
              <w:left w:val="nil"/>
              <w:bottom w:val="single" w:sz="4" w:space="0" w:color="auto"/>
              <w:right w:val="single" w:sz="4" w:space="0" w:color="auto"/>
            </w:tcBorders>
            <w:shd w:val="clear" w:color="auto" w:fill="C6EFCE"/>
            <w:noWrap/>
          </w:tcPr>
          <w:p w14:paraId="46C915D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13" w:type="dxa"/>
            <w:tcBorders>
              <w:top w:val="single" w:sz="4" w:space="0" w:color="auto"/>
              <w:left w:val="nil"/>
              <w:bottom w:val="single" w:sz="4" w:space="0" w:color="auto"/>
              <w:right w:val="single" w:sz="4" w:space="0" w:color="auto"/>
            </w:tcBorders>
            <w:shd w:val="clear" w:color="auto" w:fill="C6EFCE"/>
            <w:noWrap/>
          </w:tcPr>
          <w:p w14:paraId="2B56AE58"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Salu starpsavienojums — līgumu slēgšanas tiesību piešķiršana</w:t>
            </w:r>
          </w:p>
        </w:tc>
        <w:tc>
          <w:tcPr>
            <w:tcW w:w="1690" w:type="dxa"/>
            <w:tcBorders>
              <w:top w:val="single" w:sz="4" w:space="0" w:color="auto"/>
              <w:left w:val="nil"/>
              <w:bottom w:val="single" w:sz="4" w:space="0" w:color="auto"/>
              <w:right w:val="single" w:sz="4" w:space="0" w:color="auto"/>
            </w:tcBorders>
            <w:shd w:val="clear" w:color="auto" w:fill="C6EFCE"/>
            <w:noWrap/>
          </w:tcPr>
          <w:p w14:paraId="376B4162" w14:textId="77777777" w:rsidR="00CB0FCB" w:rsidRDefault="009D2B11">
            <w:pPr>
              <w:pStyle w:val="P68B1DB1-Normal9"/>
              <w:spacing w:after="120" w:line="240" w:lineRule="auto"/>
              <w:rPr>
                <w:rFonts w:ascii="Times New Roman" w:eastAsia="Times New Roman" w:hAnsi="Times New Roman" w:cs="Times New Roman"/>
                <w:noProof/>
                <w:szCs w:val="18"/>
              </w:rPr>
            </w:pPr>
            <w:r>
              <w:rPr>
                <w:noProof/>
              </w:rPr>
              <w:t>Paziņojums par visu līgumu slēgšanas tiesību piešķiršanu</w:t>
            </w:r>
          </w:p>
        </w:tc>
        <w:tc>
          <w:tcPr>
            <w:tcW w:w="951" w:type="dxa"/>
            <w:tcBorders>
              <w:top w:val="nil"/>
              <w:left w:val="nil"/>
              <w:bottom w:val="single" w:sz="4" w:space="0" w:color="auto"/>
              <w:right w:val="single" w:sz="4" w:space="0" w:color="auto"/>
            </w:tcBorders>
            <w:shd w:val="clear" w:color="auto" w:fill="C6EFCE"/>
            <w:noWrap/>
          </w:tcPr>
          <w:p w14:paraId="28B81728" w14:textId="77777777" w:rsidR="00CB0FCB" w:rsidRDefault="00CB0FCB">
            <w:pPr>
              <w:spacing w:after="0" w:line="240" w:lineRule="auto"/>
              <w:rPr>
                <w:rFonts w:ascii="Times New Roman" w:eastAsia="Times New Roman" w:hAnsi="Times New Roman" w:cs="Times New Roman"/>
                <w:noProof/>
                <w:sz w:val="18"/>
                <w:szCs w:val="18"/>
              </w:rPr>
            </w:pPr>
          </w:p>
        </w:tc>
        <w:tc>
          <w:tcPr>
            <w:tcW w:w="1047" w:type="dxa"/>
            <w:tcBorders>
              <w:top w:val="nil"/>
              <w:left w:val="nil"/>
              <w:bottom w:val="single" w:sz="4" w:space="0" w:color="auto"/>
              <w:right w:val="single" w:sz="4" w:space="0" w:color="auto"/>
            </w:tcBorders>
            <w:shd w:val="clear" w:color="auto" w:fill="C6EFCE"/>
            <w:noWrap/>
          </w:tcPr>
          <w:p w14:paraId="395D291B" w14:textId="77777777" w:rsidR="00CB0FCB" w:rsidRDefault="00CB0FCB">
            <w:pPr>
              <w:spacing w:after="0" w:line="240" w:lineRule="auto"/>
              <w:rPr>
                <w:rFonts w:ascii="Times New Roman" w:eastAsia="Times New Roman" w:hAnsi="Times New Roman" w:cs="Times New Roman"/>
                <w:noProof/>
                <w:sz w:val="18"/>
                <w:szCs w:val="18"/>
              </w:rPr>
            </w:pPr>
          </w:p>
        </w:tc>
        <w:tc>
          <w:tcPr>
            <w:tcW w:w="651" w:type="dxa"/>
            <w:tcBorders>
              <w:top w:val="nil"/>
              <w:left w:val="nil"/>
              <w:bottom w:val="single" w:sz="4" w:space="0" w:color="auto"/>
              <w:right w:val="single" w:sz="4" w:space="0" w:color="auto"/>
            </w:tcBorders>
            <w:shd w:val="clear" w:color="auto" w:fill="C6EFCE"/>
            <w:noWrap/>
          </w:tcPr>
          <w:p w14:paraId="45FEC6E7" w14:textId="77777777" w:rsidR="00CB0FCB" w:rsidRDefault="00CB0FCB">
            <w:pPr>
              <w:spacing w:after="0" w:line="240" w:lineRule="auto"/>
              <w:rPr>
                <w:rFonts w:ascii="Times New Roman" w:eastAsia="Times New Roman" w:hAnsi="Times New Roman" w:cs="Times New Roman"/>
                <w:noProof/>
                <w:sz w:val="18"/>
                <w:szCs w:val="18"/>
              </w:rPr>
            </w:pPr>
          </w:p>
        </w:tc>
        <w:tc>
          <w:tcPr>
            <w:tcW w:w="906" w:type="dxa"/>
            <w:gridSpan w:val="2"/>
            <w:tcBorders>
              <w:top w:val="nil"/>
              <w:left w:val="nil"/>
              <w:bottom w:val="single" w:sz="4" w:space="0" w:color="auto"/>
              <w:right w:val="single" w:sz="4" w:space="0" w:color="auto"/>
            </w:tcBorders>
            <w:shd w:val="clear" w:color="auto" w:fill="C6EFCE"/>
            <w:noWrap/>
          </w:tcPr>
          <w:p w14:paraId="5A215A71" w14:textId="77777777" w:rsidR="00CB0FCB" w:rsidRDefault="009D2B11">
            <w:pPr>
              <w:pStyle w:val="P68B1DB1-Normal9"/>
              <w:spacing w:after="120" w:line="240" w:lineRule="auto"/>
              <w:rPr>
                <w:rFonts w:eastAsia="Times New Roman"/>
                <w:noProof/>
                <w:szCs w:val="18"/>
              </w:rPr>
            </w:pPr>
            <w:r>
              <w:rPr>
                <w:noProof/>
              </w:rPr>
              <w:t>2. CET.</w:t>
            </w:r>
          </w:p>
        </w:tc>
        <w:tc>
          <w:tcPr>
            <w:tcW w:w="887" w:type="dxa"/>
            <w:tcBorders>
              <w:top w:val="nil"/>
              <w:left w:val="nil"/>
              <w:bottom w:val="single" w:sz="4" w:space="0" w:color="auto"/>
              <w:right w:val="single" w:sz="4" w:space="0" w:color="auto"/>
            </w:tcBorders>
            <w:shd w:val="clear" w:color="auto" w:fill="C6EFCE"/>
            <w:noWrap/>
          </w:tcPr>
          <w:p w14:paraId="4C9788AD" w14:textId="77777777" w:rsidR="00CB0FCB" w:rsidRDefault="009D2B11">
            <w:pPr>
              <w:pStyle w:val="P68B1DB1-Normal9"/>
              <w:spacing w:after="120" w:line="240" w:lineRule="auto"/>
              <w:rPr>
                <w:rFonts w:eastAsia="Times New Roman"/>
                <w:noProof/>
                <w:szCs w:val="18"/>
              </w:rPr>
            </w:pPr>
            <w:r>
              <w:rPr>
                <w:noProof/>
              </w:rPr>
              <w:t>2023</w:t>
            </w:r>
          </w:p>
        </w:tc>
        <w:tc>
          <w:tcPr>
            <w:tcW w:w="3411" w:type="dxa"/>
            <w:tcBorders>
              <w:top w:val="single" w:sz="4" w:space="0" w:color="auto"/>
              <w:left w:val="nil"/>
              <w:bottom w:val="single" w:sz="4" w:space="0" w:color="auto"/>
              <w:right w:val="single" w:sz="4" w:space="0" w:color="auto"/>
            </w:tcBorders>
            <w:shd w:val="clear" w:color="auto" w:fill="C6EFCE"/>
            <w:noWrap/>
          </w:tcPr>
          <w:p w14:paraId="6C6336B4" w14:textId="77777777" w:rsidR="00CB0FCB" w:rsidRDefault="009D2B11">
            <w:pPr>
              <w:pStyle w:val="P68B1DB1-Normal9"/>
              <w:spacing w:after="0" w:line="240" w:lineRule="auto"/>
              <w:rPr>
                <w:rFonts w:eastAsia="Times New Roman" w:cs="Calibri"/>
                <w:noProof/>
                <w:szCs w:val="18"/>
              </w:rPr>
            </w:pPr>
            <w:r>
              <w:rPr>
                <w:noProof/>
              </w:rPr>
              <w:t>Paziņojums par visu līgumu slēgšanas tiesību piešķiršanu, ko veic neatkarīgs elektroenerģijas pārvades operators (IPTO), lai pilnībā uzstādītu:</w:t>
            </w:r>
          </w:p>
          <w:p w14:paraId="353679C6" w14:textId="77777777" w:rsidR="00CB0FCB" w:rsidRDefault="009D2B11">
            <w:pPr>
              <w:pStyle w:val="P68B1DB1-Normal9"/>
              <w:spacing w:after="0" w:line="240" w:lineRule="auto"/>
              <w:rPr>
                <w:rFonts w:eastAsia="Times New Roman" w:cs="Calibri"/>
                <w:noProof/>
                <w:szCs w:val="18"/>
              </w:rPr>
            </w:pPr>
            <w:r>
              <w:rPr>
                <w:noProof/>
              </w:rPr>
              <w:t>1) Naxos — Thira kabeļsavienojums;</w:t>
            </w:r>
          </w:p>
          <w:p w14:paraId="05EA6771" w14:textId="77777777" w:rsidR="00CB0FCB" w:rsidRDefault="009D2B11">
            <w:pPr>
              <w:pStyle w:val="P68B1DB1-Normal9"/>
              <w:spacing w:after="0" w:line="240" w:lineRule="auto"/>
              <w:rPr>
                <w:rFonts w:eastAsia="Times New Roman" w:cs="Calibri"/>
                <w:noProof/>
                <w:szCs w:val="18"/>
              </w:rPr>
            </w:pPr>
            <w:r>
              <w:rPr>
                <w:noProof/>
              </w:rPr>
              <w:t>2) ļoti augsta sprieguma kabeļi (EHVC) Koumoundoros — Korinthos (1. un 2. daļa); un</w:t>
            </w:r>
          </w:p>
          <w:p w14:paraId="0C8F0A9C"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3) Substacijas Milos, Folegandros, Serifos un kabeļu savienojumi Lavrio-Serifos, Serifos-Milos, Milos-Folegandros, Folegandros-Thira.</w:t>
            </w:r>
          </w:p>
        </w:tc>
      </w:tr>
      <w:tr w:rsidR="00CB0FCB" w14:paraId="15A94FCC" w14:textId="77777777">
        <w:tc>
          <w:tcPr>
            <w:tcW w:w="562" w:type="dxa"/>
            <w:tcBorders>
              <w:top w:val="single" w:sz="4" w:space="0" w:color="auto"/>
              <w:left w:val="single" w:sz="4" w:space="0" w:color="auto"/>
              <w:bottom w:val="single" w:sz="4" w:space="0" w:color="auto"/>
              <w:right w:val="single" w:sz="4" w:space="0" w:color="auto"/>
            </w:tcBorders>
            <w:shd w:val="clear" w:color="auto" w:fill="C6EFCE"/>
            <w:noWrap/>
            <w:hideMark/>
          </w:tcPr>
          <w:p w14:paraId="6EB6377E" w14:textId="77777777" w:rsidR="00CB0FCB" w:rsidRDefault="009D2B11">
            <w:pPr>
              <w:pStyle w:val="P68B1DB1-Normal9"/>
              <w:spacing w:before="120" w:after="120" w:line="240" w:lineRule="auto"/>
              <w:rPr>
                <w:rFonts w:ascii="Times New Roman" w:hAnsi="Times New Roman" w:cs="Times New Roman"/>
                <w:noProof/>
                <w:sz w:val="24"/>
              </w:rPr>
            </w:pPr>
            <w:r>
              <w:rPr>
                <w:noProof/>
              </w:rPr>
              <w:t>3</w:t>
            </w:r>
          </w:p>
        </w:tc>
        <w:tc>
          <w:tcPr>
            <w:tcW w:w="2127" w:type="dxa"/>
            <w:tcBorders>
              <w:top w:val="single" w:sz="4" w:space="0" w:color="auto"/>
              <w:left w:val="nil"/>
              <w:bottom w:val="single" w:sz="4" w:space="0" w:color="auto"/>
              <w:right w:val="single" w:sz="4" w:space="0" w:color="auto"/>
            </w:tcBorders>
            <w:shd w:val="clear" w:color="auto" w:fill="C6EFCE"/>
            <w:noWrap/>
            <w:hideMark/>
          </w:tcPr>
          <w:p w14:paraId="5F7BE0CC" w14:textId="77777777" w:rsidR="00CB0FCB" w:rsidRDefault="009D2B11">
            <w:pPr>
              <w:pStyle w:val="P68B1DB1-Normal9"/>
              <w:spacing w:after="120" w:line="240" w:lineRule="auto"/>
              <w:rPr>
                <w:rFonts w:ascii="Times New Roman" w:hAnsi="Times New Roman" w:cs="Times New Roman"/>
                <w:noProof/>
                <w:sz w:val="24"/>
              </w:rPr>
            </w:pPr>
            <w:r>
              <w:rPr>
                <w:noProof/>
              </w:rPr>
              <w:t>1–1.1. Elektroenerģijas palielināšana — 16870_Intervences salu elektrotīklu starpsavienojumiem un elektroenerģijas tīkla modernizācijai</w:t>
            </w:r>
          </w:p>
        </w:tc>
        <w:tc>
          <w:tcPr>
            <w:tcW w:w="992" w:type="dxa"/>
            <w:tcBorders>
              <w:top w:val="single" w:sz="4" w:space="0" w:color="auto"/>
              <w:left w:val="nil"/>
              <w:bottom w:val="single" w:sz="4" w:space="0" w:color="auto"/>
              <w:right w:val="single" w:sz="4" w:space="0" w:color="auto"/>
            </w:tcBorders>
            <w:shd w:val="clear" w:color="auto" w:fill="C6EFCE"/>
            <w:noWrap/>
            <w:hideMark/>
          </w:tcPr>
          <w:p w14:paraId="2E6BCE0C" w14:textId="30E666BB" w:rsidR="00CB0FCB" w:rsidRDefault="009D2B11">
            <w:pPr>
              <w:pStyle w:val="P68B1DB1-Normal9"/>
              <w:spacing w:after="120" w:line="240" w:lineRule="auto"/>
              <w:rPr>
                <w:rFonts w:ascii="Times New Roman" w:hAnsi="Times New Roman" w:cs="Times New Roman"/>
                <w:noProof/>
                <w:sz w:val="24"/>
              </w:rPr>
            </w:pPr>
            <w:r>
              <w:rPr>
                <w:noProof/>
              </w:rPr>
              <w:t>Atskaites punkts</w:t>
            </w:r>
          </w:p>
        </w:tc>
        <w:tc>
          <w:tcPr>
            <w:tcW w:w="1513" w:type="dxa"/>
            <w:tcBorders>
              <w:top w:val="single" w:sz="4" w:space="0" w:color="auto"/>
              <w:left w:val="nil"/>
              <w:bottom w:val="single" w:sz="4" w:space="0" w:color="auto"/>
              <w:right w:val="single" w:sz="4" w:space="0" w:color="auto"/>
            </w:tcBorders>
            <w:shd w:val="clear" w:color="auto" w:fill="C6EFCE"/>
            <w:noWrap/>
            <w:hideMark/>
          </w:tcPr>
          <w:p w14:paraId="78CC7753" w14:textId="77777777" w:rsidR="00CB0FCB" w:rsidRDefault="009D2B11">
            <w:pPr>
              <w:pStyle w:val="P68B1DB1-Normal9"/>
              <w:spacing w:after="120" w:line="240" w:lineRule="auto"/>
              <w:rPr>
                <w:rFonts w:ascii="Times New Roman" w:hAnsi="Times New Roman" w:cs="Times New Roman"/>
                <w:noProof/>
                <w:sz w:val="24"/>
              </w:rPr>
            </w:pPr>
            <w:r>
              <w:rPr>
                <w:noProof/>
              </w:rPr>
              <w:t>Salu starpsavienojums — pabeigšana</w:t>
            </w:r>
          </w:p>
        </w:tc>
        <w:tc>
          <w:tcPr>
            <w:tcW w:w="1690" w:type="dxa"/>
            <w:tcBorders>
              <w:top w:val="single" w:sz="4" w:space="0" w:color="auto"/>
              <w:left w:val="nil"/>
              <w:bottom w:val="single" w:sz="4" w:space="0" w:color="auto"/>
              <w:right w:val="single" w:sz="4" w:space="0" w:color="auto"/>
            </w:tcBorders>
            <w:shd w:val="clear" w:color="auto" w:fill="C6EFCE"/>
            <w:noWrap/>
            <w:hideMark/>
          </w:tcPr>
          <w:p w14:paraId="570AAA9B" w14:textId="77777777" w:rsidR="00CB0FCB" w:rsidRDefault="009D2B11">
            <w:pPr>
              <w:pStyle w:val="P68B1DB1-Normal9"/>
              <w:spacing w:after="120" w:line="240" w:lineRule="auto"/>
              <w:rPr>
                <w:rFonts w:ascii="Times New Roman" w:hAnsi="Times New Roman" w:cs="Times New Roman"/>
                <w:noProof/>
                <w:sz w:val="24"/>
              </w:rPr>
            </w:pPr>
            <w:r>
              <w:rPr>
                <w:noProof/>
              </w:rPr>
              <w:t>Sekmīga darbības sākšana/elektrifikācija, ko sertificējis IPTO; sekmīgu izmēģinājumu ekspluatācijas sertifikātu izdošana</w:t>
            </w:r>
          </w:p>
        </w:tc>
        <w:tc>
          <w:tcPr>
            <w:tcW w:w="951" w:type="dxa"/>
            <w:tcBorders>
              <w:top w:val="single" w:sz="4" w:space="0" w:color="auto"/>
              <w:left w:val="nil"/>
              <w:bottom w:val="single" w:sz="4" w:space="0" w:color="auto"/>
              <w:right w:val="single" w:sz="4" w:space="0" w:color="auto"/>
            </w:tcBorders>
            <w:shd w:val="clear" w:color="auto" w:fill="C6EFCE"/>
            <w:noWrap/>
            <w:hideMark/>
          </w:tcPr>
          <w:p w14:paraId="4F3FD519" w14:textId="77777777" w:rsidR="00CB0FCB" w:rsidRDefault="009D2B11">
            <w:pPr>
              <w:pStyle w:val="P68B1DB1-Normal9"/>
              <w:spacing w:after="120" w:line="240" w:lineRule="auto"/>
              <w:rPr>
                <w:rFonts w:ascii="Times New Roman" w:hAnsi="Times New Roman" w:cs="Times New Roman"/>
                <w:noProof/>
                <w:sz w:val="24"/>
              </w:rPr>
            </w:pPr>
            <w:r>
              <w:rPr>
                <w:noProof/>
              </w:rPr>
              <w:t xml:space="preserve"> </w:t>
            </w:r>
          </w:p>
        </w:tc>
        <w:tc>
          <w:tcPr>
            <w:tcW w:w="1047" w:type="dxa"/>
            <w:tcBorders>
              <w:top w:val="single" w:sz="4" w:space="0" w:color="auto"/>
              <w:left w:val="nil"/>
              <w:bottom w:val="single" w:sz="4" w:space="0" w:color="auto"/>
              <w:right w:val="single" w:sz="4" w:space="0" w:color="auto"/>
            </w:tcBorders>
            <w:shd w:val="clear" w:color="auto" w:fill="C6EFCE"/>
            <w:noWrap/>
            <w:hideMark/>
          </w:tcPr>
          <w:p w14:paraId="5EDF0349" w14:textId="77777777" w:rsidR="00CB0FCB" w:rsidRDefault="009D2B11">
            <w:pPr>
              <w:pStyle w:val="P68B1DB1-Normal9"/>
              <w:spacing w:after="120" w:line="240" w:lineRule="auto"/>
              <w:rPr>
                <w:rFonts w:ascii="Times New Roman" w:hAnsi="Times New Roman" w:cs="Times New Roman"/>
                <w:noProof/>
                <w:sz w:val="24"/>
              </w:rPr>
            </w:pPr>
            <w:r>
              <w:rPr>
                <w:noProof/>
              </w:rPr>
              <w:t xml:space="preserve"> </w:t>
            </w:r>
          </w:p>
        </w:tc>
        <w:tc>
          <w:tcPr>
            <w:tcW w:w="651" w:type="dxa"/>
            <w:tcBorders>
              <w:top w:val="single" w:sz="4" w:space="0" w:color="auto"/>
              <w:left w:val="nil"/>
              <w:bottom w:val="single" w:sz="4" w:space="0" w:color="auto"/>
              <w:right w:val="single" w:sz="4" w:space="0" w:color="auto"/>
            </w:tcBorders>
            <w:shd w:val="clear" w:color="auto" w:fill="C6EFCE"/>
            <w:noWrap/>
            <w:hideMark/>
          </w:tcPr>
          <w:p w14:paraId="2C8DF43E" w14:textId="77777777" w:rsidR="00CB0FCB" w:rsidRDefault="009D2B11">
            <w:pPr>
              <w:pStyle w:val="P68B1DB1-Normal9"/>
              <w:spacing w:after="120" w:line="240" w:lineRule="auto"/>
              <w:rPr>
                <w:rFonts w:ascii="Times New Roman" w:hAnsi="Times New Roman" w:cs="Times New Roman"/>
                <w:noProof/>
                <w:sz w:val="24"/>
              </w:rPr>
            </w:pPr>
            <w:r>
              <w:rPr>
                <w:noProof/>
              </w:rPr>
              <w:t xml:space="preserve"> </w:t>
            </w:r>
          </w:p>
        </w:tc>
        <w:tc>
          <w:tcPr>
            <w:tcW w:w="906" w:type="dxa"/>
            <w:gridSpan w:val="2"/>
            <w:tcBorders>
              <w:top w:val="single" w:sz="4" w:space="0" w:color="auto"/>
              <w:left w:val="nil"/>
              <w:bottom w:val="single" w:sz="4" w:space="0" w:color="auto"/>
              <w:right w:val="single" w:sz="4" w:space="0" w:color="auto"/>
            </w:tcBorders>
            <w:shd w:val="clear" w:color="auto" w:fill="C6EFCE"/>
            <w:noWrap/>
            <w:hideMark/>
          </w:tcPr>
          <w:p w14:paraId="5CDFB781" w14:textId="77777777" w:rsidR="00CB0FCB" w:rsidRDefault="009D2B11">
            <w:pPr>
              <w:pStyle w:val="P68B1DB1-Normal9"/>
              <w:spacing w:after="120" w:line="240" w:lineRule="auto"/>
              <w:rPr>
                <w:rFonts w:ascii="Times New Roman" w:hAnsi="Times New Roman" w:cs="Times New Roman"/>
                <w:noProof/>
                <w:sz w:val="24"/>
              </w:rPr>
            </w:pPr>
            <w:r>
              <w:rPr>
                <w:noProof/>
              </w:rPr>
              <w:t>4. CET.</w:t>
            </w:r>
          </w:p>
        </w:tc>
        <w:tc>
          <w:tcPr>
            <w:tcW w:w="887" w:type="dxa"/>
            <w:tcBorders>
              <w:top w:val="single" w:sz="4" w:space="0" w:color="auto"/>
              <w:left w:val="nil"/>
              <w:bottom w:val="single" w:sz="4" w:space="0" w:color="auto"/>
              <w:right w:val="single" w:sz="4" w:space="0" w:color="auto"/>
            </w:tcBorders>
            <w:shd w:val="clear" w:color="auto" w:fill="C6EFCE"/>
            <w:noWrap/>
            <w:hideMark/>
          </w:tcPr>
          <w:p w14:paraId="0D8FA68F" w14:textId="77777777" w:rsidR="00CB0FCB" w:rsidRDefault="009D2B11">
            <w:pPr>
              <w:pStyle w:val="P68B1DB1-Normal9"/>
              <w:spacing w:after="120" w:line="240" w:lineRule="auto"/>
              <w:rPr>
                <w:rFonts w:ascii="Times New Roman" w:hAnsi="Times New Roman" w:cs="Times New Roman"/>
                <w:noProof/>
                <w:sz w:val="24"/>
              </w:rPr>
            </w:pPr>
            <w:r>
              <w:rPr>
                <w:noProof/>
              </w:rPr>
              <w:t>2025 </w:t>
            </w:r>
          </w:p>
        </w:tc>
        <w:tc>
          <w:tcPr>
            <w:tcW w:w="3411" w:type="dxa"/>
            <w:tcBorders>
              <w:top w:val="single" w:sz="4" w:space="0" w:color="auto"/>
              <w:left w:val="nil"/>
              <w:bottom w:val="single" w:sz="4" w:space="0" w:color="auto"/>
              <w:right w:val="single" w:sz="4" w:space="0" w:color="auto"/>
            </w:tcBorders>
            <w:shd w:val="clear" w:color="auto" w:fill="C6EFCE"/>
            <w:noWrap/>
            <w:hideMark/>
          </w:tcPr>
          <w:p w14:paraId="5AF5757E" w14:textId="77777777" w:rsidR="00CB0FCB" w:rsidRDefault="009D2B11">
            <w:pPr>
              <w:pStyle w:val="P68B1DB1-Normal9"/>
              <w:spacing w:after="120" w:line="240" w:lineRule="auto"/>
              <w:rPr>
                <w:noProof/>
                <w:szCs w:val="18"/>
              </w:rPr>
            </w:pPr>
            <w:r>
              <w:rPr>
                <w:noProof/>
              </w:rPr>
              <w:t>Visu trīs apakšprojektu pabeigšana (Naksas-Thiras savienojums, EHVC Koumoundoros-Korinthos, apakšstacijas un citi savienojumi), sekmīga iekļaušana Grieķijas elektroenerģijas transporta sistēmā un darbības sākšana.</w:t>
            </w:r>
          </w:p>
        </w:tc>
      </w:tr>
    </w:tbl>
    <w:p w14:paraId="1B67039A" w14:textId="77777777" w:rsidR="00CB0FCB" w:rsidRDefault="009D2B11">
      <w:pPr>
        <w:pStyle w:val="P68B1DB1-Normal6"/>
        <w:keepNext/>
        <w:keepLines/>
        <w:spacing w:before="240" w:after="240" w:line="240" w:lineRule="auto"/>
        <w:jc w:val="both"/>
        <w:outlineLvl w:val="4"/>
        <w:rPr>
          <w:rFonts w:eastAsia="Times New Roman"/>
          <w:noProof/>
        </w:rPr>
      </w:pPr>
      <w:r>
        <w:rPr>
          <w:noProof/>
        </w:rPr>
        <w:t>Galvenā reforma: AER-CHP konta ieņēmumu pārstrukturēšana un uzlabošana — racionalizēt jaunā elektroenerģijas tirgus modeļa efektīvu darbību un jaunu AER elektrostaciju attīstību, lai sasniegtu NEKP mērķus, īstenojot uzraudzības mehānismu, iesaistot pieprasījumreakciju un plaši reformējot jaunu AER licencēšanas procedūru</w:t>
      </w:r>
    </w:p>
    <w:tbl>
      <w:tblPr>
        <w:tblpPr w:leftFromText="180" w:rightFromText="180" w:vertAnchor="text" w:tblpX="113" w:tblpY="1"/>
        <w:tblOverlap w:val="never"/>
        <w:tblW w:w="14737" w:type="dxa"/>
        <w:tblLook w:val="04A0" w:firstRow="1" w:lastRow="0" w:firstColumn="1" w:lastColumn="0" w:noHBand="0" w:noVBand="1"/>
      </w:tblPr>
      <w:tblGrid>
        <w:gridCol w:w="1043"/>
        <w:gridCol w:w="1952"/>
        <w:gridCol w:w="1807"/>
        <w:gridCol w:w="1286"/>
        <w:gridCol w:w="1286"/>
        <w:gridCol w:w="1278"/>
        <w:gridCol w:w="1396"/>
        <w:gridCol w:w="766"/>
        <w:gridCol w:w="1027"/>
        <w:gridCol w:w="956"/>
        <w:gridCol w:w="3278"/>
      </w:tblGrid>
      <w:tr w:rsidR="00CB0FCB" w14:paraId="4F272FCD" w14:textId="77777777">
        <w:trPr>
          <w:trHeight w:val="558"/>
          <w:tblHeader/>
        </w:trPr>
        <w:tc>
          <w:tcPr>
            <w:tcW w:w="1043"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5A01F127" w14:textId="77777777" w:rsidR="00CB0FCB" w:rsidRDefault="009D2B11">
            <w:pPr>
              <w:pStyle w:val="P68B1DB1-Normal7"/>
              <w:spacing w:after="0" w:line="240" w:lineRule="auto"/>
              <w:jc w:val="center"/>
              <w:rPr>
                <w:rFonts w:eastAsia="Times New Roman" w:cs="Calibri"/>
                <w:noProof/>
                <w:color w:val="006100"/>
                <w:szCs w:val="18"/>
              </w:rPr>
            </w:pPr>
            <w:r>
              <w:rPr>
                <w:noProof/>
              </w:rPr>
              <w:t>Kārtas numurs</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178D4694" w14:textId="77777777" w:rsidR="00CB0FCB" w:rsidRDefault="009D2B11">
            <w:pPr>
              <w:pStyle w:val="P68B1DB1-Normal7"/>
              <w:spacing w:after="0" w:line="240" w:lineRule="auto"/>
              <w:jc w:val="center"/>
              <w:rPr>
                <w:rFonts w:eastAsia="Times New Roman" w:cs="Calibri"/>
                <w:noProof/>
                <w:color w:val="006100"/>
                <w:szCs w:val="18"/>
              </w:rPr>
            </w:pPr>
            <w:r>
              <w:rPr>
                <w:noProof/>
              </w:rPr>
              <w:t>Saistītais pasākums (reforma vai ieguldījums)</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21D95457" w14:textId="77777777" w:rsidR="00CB0FCB" w:rsidRDefault="009D2B11">
            <w:pPr>
              <w:pStyle w:val="P68B1DB1-Normal7"/>
              <w:spacing w:after="0" w:line="240" w:lineRule="auto"/>
              <w:jc w:val="center"/>
              <w:rPr>
                <w:rFonts w:eastAsia="Times New Roman" w:cs="Calibri"/>
                <w:noProof/>
                <w:color w:val="006100"/>
                <w:szCs w:val="18"/>
              </w:rPr>
            </w:pPr>
            <w:r>
              <w:rPr>
                <w:noProof/>
              </w:rPr>
              <w:t>Atskaites punkts/mērķrādītājs</w:t>
            </w:r>
          </w:p>
        </w:tc>
        <w:tc>
          <w:tcPr>
            <w:tcW w:w="1234" w:type="dxa"/>
            <w:vMerge w:val="restart"/>
            <w:tcBorders>
              <w:top w:val="single" w:sz="4" w:space="0" w:color="auto"/>
              <w:left w:val="nil"/>
              <w:bottom w:val="single" w:sz="4" w:space="0" w:color="auto"/>
              <w:right w:val="single" w:sz="4" w:space="0" w:color="auto"/>
            </w:tcBorders>
            <w:shd w:val="clear" w:color="auto" w:fill="B8CCE4"/>
            <w:noWrap/>
            <w:vAlign w:val="center"/>
          </w:tcPr>
          <w:p w14:paraId="29854667" w14:textId="77777777" w:rsidR="00CB0FCB" w:rsidRDefault="009D2B11">
            <w:pPr>
              <w:pStyle w:val="P68B1DB1-Normal7"/>
              <w:spacing w:after="0" w:line="240" w:lineRule="auto"/>
              <w:jc w:val="center"/>
              <w:rPr>
                <w:rFonts w:eastAsia="Times New Roman" w:cs="Calibri"/>
                <w:noProof/>
                <w:color w:val="006100"/>
                <w:szCs w:val="18"/>
              </w:rPr>
            </w:pPr>
            <w:r>
              <w:rPr>
                <w:noProof/>
              </w:rPr>
              <w:t>Nosaukums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78EAAB1E" w14:textId="77777777" w:rsidR="00CB0FCB" w:rsidRDefault="009D2B11">
            <w:pPr>
              <w:pStyle w:val="P68B1DB1-Normal7"/>
              <w:spacing w:after="0" w:line="240" w:lineRule="auto"/>
              <w:jc w:val="center"/>
              <w:rPr>
                <w:rFonts w:eastAsia="Times New Roman" w:cs="Calibri"/>
                <w:noProof/>
                <w:color w:val="006100"/>
                <w:szCs w:val="18"/>
              </w:rPr>
            </w:pPr>
            <w:r>
              <w:rPr>
                <w:noProof/>
              </w:rPr>
              <w:t>Kvalitatīvie rādītāji (atskaites punktiem)</w:t>
            </w:r>
          </w:p>
        </w:tc>
        <w:tc>
          <w:tcPr>
            <w:tcW w:w="2890" w:type="dxa"/>
            <w:gridSpan w:val="3"/>
            <w:tcBorders>
              <w:top w:val="single" w:sz="4" w:space="0" w:color="auto"/>
              <w:left w:val="nil"/>
              <w:bottom w:val="single" w:sz="4" w:space="0" w:color="auto"/>
              <w:right w:val="single" w:sz="4" w:space="0" w:color="auto"/>
            </w:tcBorders>
            <w:shd w:val="clear" w:color="auto" w:fill="B8CCE4"/>
            <w:noWrap/>
            <w:vAlign w:val="center"/>
          </w:tcPr>
          <w:p w14:paraId="5DB38599" w14:textId="77777777" w:rsidR="00CB0FCB" w:rsidRDefault="009D2B11">
            <w:pPr>
              <w:pStyle w:val="P68B1DB1-Normal7"/>
              <w:spacing w:after="0" w:line="240" w:lineRule="auto"/>
              <w:jc w:val="center"/>
              <w:rPr>
                <w:rFonts w:eastAsia="Times New Roman" w:cs="Calibri"/>
                <w:noProof/>
                <w:color w:val="006100"/>
                <w:szCs w:val="18"/>
              </w:rPr>
            </w:pPr>
            <w:r>
              <w:rPr>
                <w:noProof/>
              </w:rPr>
              <w:t>Kvantitatīvie rādītāji (mērķrādītājiem)</w:t>
            </w:r>
          </w:p>
        </w:tc>
        <w:tc>
          <w:tcPr>
            <w:tcW w:w="1912" w:type="dxa"/>
            <w:gridSpan w:val="2"/>
            <w:tcBorders>
              <w:top w:val="single" w:sz="4" w:space="0" w:color="auto"/>
              <w:left w:val="nil"/>
              <w:bottom w:val="single" w:sz="4" w:space="0" w:color="auto"/>
              <w:right w:val="single" w:sz="4" w:space="0" w:color="auto"/>
            </w:tcBorders>
            <w:shd w:val="clear" w:color="auto" w:fill="B8CCE4"/>
            <w:noWrap/>
            <w:vAlign w:val="center"/>
          </w:tcPr>
          <w:p w14:paraId="4B192768" w14:textId="77777777" w:rsidR="00CB0FCB" w:rsidRDefault="009D2B11">
            <w:pPr>
              <w:pStyle w:val="P68B1DB1-Normal7"/>
              <w:spacing w:after="0" w:line="240" w:lineRule="auto"/>
              <w:jc w:val="center"/>
              <w:rPr>
                <w:rFonts w:eastAsia="Times New Roman" w:cs="Calibri"/>
                <w:noProof/>
                <w:color w:val="006100"/>
                <w:szCs w:val="18"/>
              </w:rPr>
            </w:pPr>
            <w:r>
              <w:rPr>
                <w:noProof/>
              </w:rPr>
              <w:t>Orientējošs pabeigšanas termiņš</w:t>
            </w:r>
          </w:p>
        </w:tc>
        <w:tc>
          <w:tcPr>
            <w:tcW w:w="3278" w:type="dxa"/>
            <w:vMerge w:val="restart"/>
            <w:tcBorders>
              <w:top w:val="single" w:sz="4" w:space="0" w:color="auto"/>
              <w:left w:val="nil"/>
              <w:bottom w:val="single" w:sz="4" w:space="0" w:color="auto"/>
              <w:right w:val="single" w:sz="4" w:space="0" w:color="auto"/>
            </w:tcBorders>
            <w:shd w:val="clear" w:color="auto" w:fill="B8CCE4"/>
            <w:noWrap/>
            <w:vAlign w:val="center"/>
          </w:tcPr>
          <w:p w14:paraId="1F099F0B" w14:textId="77777777" w:rsidR="00CB0FCB" w:rsidRDefault="009D2B11">
            <w:pPr>
              <w:pStyle w:val="P68B1DB1-Normal7"/>
              <w:spacing w:after="0" w:line="240" w:lineRule="auto"/>
              <w:rPr>
                <w:rFonts w:eastAsia="Times New Roman" w:cs="Calibri"/>
                <w:noProof/>
                <w:color w:val="006100"/>
                <w:szCs w:val="18"/>
              </w:rPr>
            </w:pPr>
            <w:r>
              <w:rPr>
                <w:noProof/>
              </w:rPr>
              <w:t>Apraksts par katru atskaites punktu un mērķrādītāju</w:t>
            </w:r>
          </w:p>
        </w:tc>
      </w:tr>
      <w:tr w:rsidR="00CB0FCB" w14:paraId="5E9F5D4D" w14:textId="77777777">
        <w:trPr>
          <w:trHeight w:val="557"/>
        </w:trPr>
        <w:tc>
          <w:tcPr>
            <w:tcW w:w="1043"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2D61BE44" w14:textId="77777777" w:rsidR="00CB0FCB" w:rsidRDefault="00CB0FCB">
            <w:pPr>
              <w:spacing w:after="0" w:line="240" w:lineRule="auto"/>
              <w:rPr>
                <w:rFonts w:ascii="Times New Roman" w:eastAsia="Times New Roman" w:hAnsi="Times New Roman" w:cs="Times New Roman"/>
                <w:b/>
                <w:bCs/>
                <w:noProof/>
                <w:sz w:val="18"/>
                <w:szCs w:val="18"/>
              </w:rPr>
            </w:pPr>
          </w:p>
        </w:tc>
        <w:tc>
          <w:tcPr>
            <w:tcW w:w="195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19CCF4AC" w14:textId="77777777" w:rsidR="00CB0FCB" w:rsidRDefault="00CB0FCB">
            <w:pPr>
              <w:spacing w:after="0" w:line="240" w:lineRule="auto"/>
              <w:rPr>
                <w:rFonts w:ascii="Times New Roman" w:eastAsia="Times New Roman" w:hAnsi="Times New Roman" w:cs="Times New Roman"/>
                <w:b/>
                <w:bCs/>
                <w:noProof/>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66D32646" w14:textId="77777777" w:rsidR="00CB0FCB" w:rsidRDefault="00CB0FCB">
            <w:pPr>
              <w:spacing w:after="0" w:line="240" w:lineRule="auto"/>
              <w:rPr>
                <w:rFonts w:ascii="Times New Roman" w:eastAsia="Times New Roman" w:hAnsi="Times New Roman" w:cs="Times New Roman"/>
                <w:b/>
                <w:bCs/>
                <w:noProof/>
                <w:sz w:val="18"/>
                <w:szCs w:val="18"/>
              </w:rPr>
            </w:pPr>
          </w:p>
        </w:tc>
        <w:tc>
          <w:tcPr>
            <w:tcW w:w="1234" w:type="dxa"/>
            <w:vMerge/>
            <w:tcBorders>
              <w:top w:val="single" w:sz="4" w:space="0" w:color="auto"/>
              <w:left w:val="nil"/>
              <w:bottom w:val="single" w:sz="4" w:space="0" w:color="auto"/>
              <w:right w:val="single" w:sz="4" w:space="0" w:color="auto"/>
            </w:tcBorders>
            <w:shd w:val="clear" w:color="auto" w:fill="B8CCE4"/>
            <w:noWrap/>
            <w:vAlign w:val="center"/>
          </w:tcPr>
          <w:p w14:paraId="4D7049AF" w14:textId="77777777" w:rsidR="00CB0FCB" w:rsidRDefault="00CB0FCB">
            <w:pPr>
              <w:spacing w:after="0" w:line="240" w:lineRule="auto"/>
              <w:rPr>
                <w:rFonts w:ascii="Times New Roman" w:eastAsia="Times New Roman" w:hAnsi="Times New Roman" w:cs="Times New Roman"/>
                <w:b/>
                <w:bCs/>
                <w:noProof/>
                <w:sz w:val="18"/>
                <w:szCs w:val="18"/>
              </w:rPr>
            </w:pPr>
          </w:p>
        </w:tc>
        <w:tc>
          <w:tcPr>
            <w:tcW w:w="1286"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67C79AE2" w14:textId="77777777" w:rsidR="00CB0FCB" w:rsidRDefault="00CB0FCB">
            <w:pPr>
              <w:spacing w:after="0" w:line="240" w:lineRule="auto"/>
              <w:rPr>
                <w:rFonts w:ascii="Times New Roman" w:eastAsia="Times New Roman" w:hAnsi="Times New Roman" w:cs="Times New Roman"/>
                <w:b/>
                <w:bCs/>
                <w:noProof/>
                <w:sz w:val="18"/>
                <w:szCs w:val="18"/>
              </w:rPr>
            </w:pPr>
          </w:p>
        </w:tc>
        <w:tc>
          <w:tcPr>
            <w:tcW w:w="1248" w:type="dxa"/>
            <w:tcBorders>
              <w:top w:val="single" w:sz="4" w:space="0" w:color="auto"/>
              <w:left w:val="nil"/>
              <w:bottom w:val="single" w:sz="4" w:space="0" w:color="auto"/>
              <w:right w:val="single" w:sz="4" w:space="0" w:color="auto"/>
            </w:tcBorders>
            <w:shd w:val="clear" w:color="auto" w:fill="B8CCE4"/>
            <w:noWrap/>
            <w:vAlign w:val="center"/>
          </w:tcPr>
          <w:p w14:paraId="6F8DC7E9"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94" w:type="dxa"/>
            <w:tcBorders>
              <w:top w:val="single" w:sz="4" w:space="0" w:color="auto"/>
              <w:left w:val="nil"/>
              <w:bottom w:val="single" w:sz="4" w:space="0" w:color="auto"/>
              <w:right w:val="single" w:sz="4" w:space="0" w:color="auto"/>
            </w:tcBorders>
            <w:shd w:val="clear" w:color="auto" w:fill="B8CCE4"/>
            <w:vAlign w:val="center"/>
          </w:tcPr>
          <w:p w14:paraId="2D3B207E" w14:textId="77777777" w:rsidR="00CB0FCB" w:rsidRDefault="009D2B11">
            <w:pPr>
              <w:pStyle w:val="P68B1DB1-Normal7"/>
              <w:spacing w:after="0" w:line="240" w:lineRule="auto"/>
              <w:jc w:val="center"/>
              <w:rPr>
                <w:rFonts w:eastAsia="Times New Roman" w:cs="Times New Roman"/>
                <w:bCs/>
                <w:noProof/>
                <w:szCs w:val="18"/>
              </w:rPr>
            </w:pPr>
            <w:r>
              <w:rPr>
                <w:noProof/>
              </w:rPr>
              <w:t>Pamatscenārijs</w:t>
            </w:r>
          </w:p>
        </w:tc>
        <w:tc>
          <w:tcPr>
            <w:tcW w:w="648" w:type="dxa"/>
            <w:tcBorders>
              <w:top w:val="single" w:sz="4" w:space="0" w:color="auto"/>
              <w:left w:val="nil"/>
              <w:bottom w:val="single" w:sz="4" w:space="0" w:color="auto"/>
              <w:right w:val="single" w:sz="4" w:space="0" w:color="auto"/>
            </w:tcBorders>
            <w:shd w:val="clear" w:color="auto" w:fill="B8CCE4"/>
            <w:vAlign w:val="center"/>
          </w:tcPr>
          <w:p w14:paraId="505A5C83" w14:textId="77777777" w:rsidR="00CB0FCB" w:rsidRDefault="009D2B11">
            <w:pPr>
              <w:pStyle w:val="P68B1DB1-Normal7"/>
              <w:spacing w:after="0" w:line="240" w:lineRule="auto"/>
              <w:jc w:val="center"/>
              <w:rPr>
                <w:rFonts w:eastAsia="Times New Roman" w:cs="Times New Roman"/>
                <w:bCs/>
                <w:noProof/>
                <w:szCs w:val="18"/>
              </w:rPr>
            </w:pPr>
            <w:r>
              <w:rPr>
                <w:noProof/>
              </w:rPr>
              <w:t>Mērķis</w:t>
            </w:r>
          </w:p>
        </w:tc>
        <w:tc>
          <w:tcPr>
            <w:tcW w:w="956" w:type="dxa"/>
            <w:tcBorders>
              <w:top w:val="single" w:sz="4" w:space="0" w:color="auto"/>
              <w:left w:val="nil"/>
              <w:bottom w:val="single" w:sz="4" w:space="0" w:color="auto"/>
              <w:right w:val="single" w:sz="4" w:space="0" w:color="auto"/>
            </w:tcBorders>
            <w:shd w:val="clear" w:color="auto" w:fill="B8CCE4"/>
            <w:noWrap/>
            <w:vAlign w:val="center"/>
          </w:tcPr>
          <w:p w14:paraId="359BE628"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956" w:type="dxa"/>
            <w:tcBorders>
              <w:top w:val="single" w:sz="4" w:space="0" w:color="auto"/>
              <w:left w:val="nil"/>
              <w:bottom w:val="single" w:sz="4" w:space="0" w:color="auto"/>
              <w:right w:val="single" w:sz="4" w:space="0" w:color="auto"/>
            </w:tcBorders>
            <w:shd w:val="clear" w:color="auto" w:fill="B8CCE4"/>
            <w:vAlign w:val="center"/>
          </w:tcPr>
          <w:p w14:paraId="38D95AD5"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278" w:type="dxa"/>
            <w:vMerge/>
            <w:tcBorders>
              <w:top w:val="single" w:sz="4" w:space="0" w:color="auto"/>
              <w:left w:val="nil"/>
              <w:bottom w:val="single" w:sz="4" w:space="0" w:color="auto"/>
              <w:right w:val="single" w:sz="4" w:space="0" w:color="auto"/>
            </w:tcBorders>
            <w:shd w:val="clear" w:color="auto" w:fill="B8CCE4"/>
            <w:noWrap/>
          </w:tcPr>
          <w:p w14:paraId="057E701B"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FB5E2FA" w14:textId="77777777">
        <w:tc>
          <w:tcPr>
            <w:tcW w:w="1043" w:type="dxa"/>
            <w:tcBorders>
              <w:top w:val="single" w:sz="4" w:space="0" w:color="auto"/>
              <w:left w:val="single" w:sz="4" w:space="0" w:color="auto"/>
              <w:bottom w:val="single" w:sz="4" w:space="0" w:color="auto"/>
              <w:right w:val="single" w:sz="4" w:space="0" w:color="auto"/>
            </w:tcBorders>
            <w:shd w:val="clear" w:color="auto" w:fill="C6EFCE"/>
            <w:noWrap/>
          </w:tcPr>
          <w:p w14:paraId="22CB343B" w14:textId="77777777" w:rsidR="00CB0FCB" w:rsidRDefault="009D2B11">
            <w:pPr>
              <w:pStyle w:val="P68B1DB1-Normal9"/>
              <w:spacing w:after="0" w:line="240" w:lineRule="auto"/>
              <w:rPr>
                <w:rFonts w:eastAsia="Times New Roman" w:cs="Calibri"/>
                <w:noProof/>
                <w:szCs w:val="18"/>
              </w:rPr>
            </w:pPr>
            <w:r>
              <w:rPr>
                <w:noProof/>
              </w:rPr>
              <w:t>4</w:t>
            </w:r>
          </w:p>
        </w:tc>
        <w:tc>
          <w:tcPr>
            <w:tcW w:w="1952" w:type="dxa"/>
            <w:tcBorders>
              <w:top w:val="single" w:sz="4" w:space="0" w:color="auto"/>
              <w:left w:val="nil"/>
              <w:bottom w:val="single" w:sz="4" w:space="0" w:color="auto"/>
              <w:right w:val="single" w:sz="4" w:space="0" w:color="auto"/>
            </w:tcBorders>
            <w:shd w:val="clear" w:color="auto" w:fill="C6EFCE"/>
            <w:noWrap/>
          </w:tcPr>
          <w:p w14:paraId="689F8C6E" w14:textId="77777777" w:rsidR="00CB0FCB" w:rsidRDefault="009D2B11">
            <w:pPr>
              <w:pStyle w:val="P68B1DB1-Normal9"/>
              <w:spacing w:after="0" w:line="240" w:lineRule="auto"/>
              <w:rPr>
                <w:rFonts w:eastAsia="Times New Roman" w:cs="Calibri"/>
                <w:noProof/>
                <w:szCs w:val="18"/>
              </w:rPr>
            </w:pPr>
            <w:r>
              <w:rPr>
                <w:noProof/>
              </w:rPr>
              <w:t>1–1.1. Elektroenerģijas palielināšana — 16865_AER CHP konta ieņēmumu pārstrukturēšana un uzlabošana</w:t>
            </w:r>
          </w:p>
        </w:tc>
        <w:tc>
          <w:tcPr>
            <w:tcW w:w="1142" w:type="dxa"/>
            <w:tcBorders>
              <w:top w:val="single" w:sz="4" w:space="0" w:color="auto"/>
              <w:left w:val="nil"/>
              <w:bottom w:val="single" w:sz="4" w:space="0" w:color="auto"/>
              <w:right w:val="single" w:sz="4" w:space="0" w:color="auto"/>
            </w:tcBorders>
            <w:shd w:val="clear" w:color="auto" w:fill="C6EFCE"/>
            <w:noWrap/>
          </w:tcPr>
          <w:p w14:paraId="4BDB3F5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34" w:type="dxa"/>
            <w:tcBorders>
              <w:top w:val="single" w:sz="4" w:space="0" w:color="auto"/>
              <w:left w:val="nil"/>
              <w:bottom w:val="single" w:sz="4" w:space="0" w:color="auto"/>
              <w:right w:val="single" w:sz="4" w:space="0" w:color="auto"/>
            </w:tcBorders>
            <w:shd w:val="clear" w:color="auto" w:fill="C6EFCE"/>
            <w:noWrap/>
          </w:tcPr>
          <w:p w14:paraId="351A9FBD" w14:textId="77777777" w:rsidR="00CB0FCB" w:rsidRDefault="009D2B11">
            <w:pPr>
              <w:pStyle w:val="P68B1DB1-Normal9"/>
              <w:spacing w:after="0" w:line="240" w:lineRule="auto"/>
              <w:rPr>
                <w:rFonts w:eastAsia="Times New Roman" w:cs="Calibri"/>
                <w:noProof/>
                <w:szCs w:val="18"/>
              </w:rPr>
            </w:pPr>
            <w:r>
              <w:rPr>
                <w:noProof/>
              </w:rPr>
              <w:t>AER konts — tiesību akti L. 4001/2011 grozīšanai; stājas spēkā visi attiecīgie lēmumi, tostarp kodeksi, ko pieņēmušas ministrijas, valsts regulatīvā iestāde (RAE) un Atjaunojamo energoresursu un izcelsmes apliecinājumu administrators (DAPEEP).</w:t>
            </w:r>
          </w:p>
        </w:tc>
        <w:tc>
          <w:tcPr>
            <w:tcW w:w="1286" w:type="dxa"/>
            <w:tcBorders>
              <w:top w:val="single" w:sz="4" w:space="0" w:color="auto"/>
              <w:left w:val="nil"/>
              <w:bottom w:val="single" w:sz="4" w:space="0" w:color="auto"/>
              <w:right w:val="single" w:sz="4" w:space="0" w:color="auto"/>
            </w:tcBorders>
            <w:shd w:val="clear" w:color="auto" w:fill="C6EFCE"/>
            <w:noWrap/>
          </w:tcPr>
          <w:p w14:paraId="596EDE0A" w14:textId="77777777" w:rsidR="00CB0FCB" w:rsidRDefault="009D2B11">
            <w:pPr>
              <w:pStyle w:val="P68B1DB1-Normal9"/>
              <w:spacing w:after="0" w:line="240" w:lineRule="auto"/>
              <w:rPr>
                <w:rFonts w:eastAsia="Times New Roman" w:cs="Calibri"/>
                <w:noProof/>
                <w:szCs w:val="18"/>
              </w:rPr>
            </w:pPr>
            <w:r>
              <w:rPr>
                <w:noProof/>
              </w:rPr>
              <w:t>Tiesību aktu un attiecīgo izpildes lēmumu stāšanās spēkā.</w:t>
            </w:r>
          </w:p>
        </w:tc>
        <w:tc>
          <w:tcPr>
            <w:tcW w:w="1248" w:type="dxa"/>
            <w:tcBorders>
              <w:top w:val="single" w:sz="4" w:space="0" w:color="auto"/>
              <w:left w:val="nil"/>
              <w:bottom w:val="single" w:sz="4" w:space="0" w:color="auto"/>
              <w:right w:val="single" w:sz="4" w:space="0" w:color="auto"/>
            </w:tcBorders>
            <w:shd w:val="clear" w:color="auto" w:fill="C6EFCE"/>
            <w:noWrap/>
          </w:tcPr>
          <w:p w14:paraId="0D49114F" w14:textId="77777777" w:rsidR="00CB0FCB" w:rsidRDefault="00CB0FCB">
            <w:pPr>
              <w:spacing w:after="0" w:line="240" w:lineRule="auto"/>
              <w:rPr>
                <w:rFonts w:eastAsia="Times New Roman" w:cs="Calibri"/>
                <w:noProof/>
                <w:color w:val="006100"/>
                <w:sz w:val="18"/>
                <w:szCs w:val="18"/>
              </w:rPr>
            </w:pPr>
          </w:p>
        </w:tc>
        <w:tc>
          <w:tcPr>
            <w:tcW w:w="994" w:type="dxa"/>
            <w:tcBorders>
              <w:top w:val="single" w:sz="4" w:space="0" w:color="auto"/>
              <w:left w:val="nil"/>
              <w:bottom w:val="single" w:sz="4" w:space="0" w:color="auto"/>
              <w:right w:val="single" w:sz="4" w:space="0" w:color="auto"/>
            </w:tcBorders>
            <w:shd w:val="clear" w:color="auto" w:fill="C6EFCE"/>
            <w:noWrap/>
          </w:tcPr>
          <w:p w14:paraId="4729B7D9" w14:textId="77777777" w:rsidR="00CB0FCB" w:rsidRDefault="00CB0FCB">
            <w:pPr>
              <w:spacing w:after="0" w:line="240" w:lineRule="auto"/>
              <w:rPr>
                <w:rFonts w:eastAsia="Times New Roman" w:cs="Calibri"/>
                <w:noProof/>
                <w:color w:val="006100"/>
                <w:sz w:val="18"/>
                <w:szCs w:val="18"/>
              </w:rPr>
            </w:pPr>
          </w:p>
        </w:tc>
        <w:tc>
          <w:tcPr>
            <w:tcW w:w="648" w:type="dxa"/>
            <w:tcBorders>
              <w:top w:val="single" w:sz="4" w:space="0" w:color="auto"/>
              <w:left w:val="nil"/>
              <w:bottom w:val="single" w:sz="4" w:space="0" w:color="auto"/>
              <w:right w:val="single" w:sz="4" w:space="0" w:color="auto"/>
            </w:tcBorders>
            <w:shd w:val="clear" w:color="auto" w:fill="C6EFCE"/>
            <w:noWrap/>
          </w:tcPr>
          <w:p w14:paraId="267EE9DC" w14:textId="77777777" w:rsidR="00CB0FCB" w:rsidRDefault="00CB0FCB">
            <w:pPr>
              <w:spacing w:after="0" w:line="240" w:lineRule="auto"/>
              <w:rPr>
                <w:rFonts w:eastAsia="Times New Roman" w:cs="Calibri"/>
                <w:noProof/>
                <w:color w:val="006100"/>
                <w:sz w:val="18"/>
                <w:szCs w:val="18"/>
              </w:rPr>
            </w:pPr>
          </w:p>
        </w:tc>
        <w:tc>
          <w:tcPr>
            <w:tcW w:w="956" w:type="dxa"/>
            <w:tcBorders>
              <w:top w:val="single" w:sz="4" w:space="0" w:color="auto"/>
              <w:left w:val="nil"/>
              <w:bottom w:val="single" w:sz="4" w:space="0" w:color="auto"/>
              <w:right w:val="single" w:sz="4" w:space="0" w:color="auto"/>
            </w:tcBorders>
            <w:shd w:val="clear" w:color="auto" w:fill="C6EFCE"/>
            <w:noWrap/>
          </w:tcPr>
          <w:p w14:paraId="6DDE5138" w14:textId="77777777" w:rsidR="00CB0FCB" w:rsidRDefault="009D2B11">
            <w:pPr>
              <w:pStyle w:val="P68B1DB1-Normal9"/>
              <w:spacing w:after="0" w:line="240" w:lineRule="auto"/>
              <w:rPr>
                <w:rFonts w:eastAsia="Times New Roman" w:cs="Calibri"/>
                <w:noProof/>
                <w:szCs w:val="18"/>
              </w:rPr>
            </w:pPr>
            <w:r>
              <w:rPr>
                <w:noProof/>
              </w:rPr>
              <w:t>2. CET.</w:t>
            </w:r>
          </w:p>
        </w:tc>
        <w:tc>
          <w:tcPr>
            <w:tcW w:w="956" w:type="dxa"/>
            <w:tcBorders>
              <w:top w:val="single" w:sz="4" w:space="0" w:color="auto"/>
              <w:left w:val="nil"/>
              <w:bottom w:val="single" w:sz="4" w:space="0" w:color="auto"/>
              <w:right w:val="single" w:sz="4" w:space="0" w:color="auto"/>
            </w:tcBorders>
            <w:shd w:val="clear" w:color="auto" w:fill="C6EFCE"/>
            <w:noWrap/>
          </w:tcPr>
          <w:p w14:paraId="04DEC94F" w14:textId="77777777" w:rsidR="00CB0FCB" w:rsidRDefault="009D2B11">
            <w:pPr>
              <w:pStyle w:val="P68B1DB1-Normal9"/>
              <w:spacing w:after="0" w:line="240" w:lineRule="auto"/>
              <w:rPr>
                <w:rFonts w:eastAsia="Times New Roman" w:cs="Calibri"/>
                <w:noProof/>
                <w:szCs w:val="18"/>
              </w:rPr>
            </w:pPr>
            <w:r>
              <w:rPr>
                <w:noProof/>
              </w:rPr>
              <w:t>2022</w:t>
            </w:r>
          </w:p>
        </w:tc>
        <w:tc>
          <w:tcPr>
            <w:tcW w:w="3278" w:type="dxa"/>
            <w:tcBorders>
              <w:top w:val="single" w:sz="4" w:space="0" w:color="auto"/>
              <w:left w:val="nil"/>
              <w:bottom w:val="single" w:sz="4" w:space="0" w:color="auto"/>
              <w:right w:val="single" w:sz="4" w:space="0" w:color="auto"/>
            </w:tcBorders>
            <w:shd w:val="clear" w:color="auto" w:fill="C6EFCE"/>
            <w:noWrap/>
          </w:tcPr>
          <w:p w14:paraId="71DD87D4" w14:textId="77777777" w:rsidR="00CB0FCB" w:rsidRDefault="009D2B11">
            <w:pPr>
              <w:pStyle w:val="P68B1DB1-Normal9"/>
              <w:spacing w:after="0" w:line="240" w:lineRule="auto"/>
              <w:rPr>
                <w:rFonts w:eastAsia="Times New Roman" w:cs="Calibri"/>
                <w:noProof/>
                <w:szCs w:val="18"/>
              </w:rPr>
            </w:pPr>
            <w:r>
              <w:rPr>
                <w:noProof/>
              </w:rPr>
              <w:t>1) Jaunā atjaunojamo energoresursu (AER) konta izveide vienībām, kas nodotas ekspluatācijā no 2021. gada 1. janvāra, tostarp grozošie tiesību akti, ministrijas lēmumi un regulatīvie lēmumi (kodeksi). Jaunais AER konts ietvers mehānismus, lai nodrošinātu tā finansiālo dzīvotspēju, arī neparedzētas nelīdzsvarotības gadījumā.</w:t>
            </w:r>
          </w:p>
          <w:p w14:paraId="5AB0CFB1" w14:textId="77777777" w:rsidR="00CB0FCB" w:rsidRDefault="00CB0FCB">
            <w:pPr>
              <w:spacing w:after="0" w:line="240" w:lineRule="auto"/>
              <w:rPr>
                <w:rFonts w:eastAsia="Times New Roman" w:cs="Calibri"/>
                <w:noProof/>
                <w:color w:val="006100"/>
                <w:sz w:val="18"/>
                <w:szCs w:val="18"/>
              </w:rPr>
            </w:pPr>
          </w:p>
          <w:p w14:paraId="4C1CA6EC" w14:textId="77777777" w:rsidR="00CB0FCB" w:rsidRDefault="009D2B11">
            <w:pPr>
              <w:pStyle w:val="P68B1DB1-Normal9"/>
              <w:spacing w:after="0" w:line="240" w:lineRule="auto"/>
              <w:rPr>
                <w:rFonts w:eastAsia="Times New Roman" w:cs="Calibri"/>
                <w:noProof/>
                <w:szCs w:val="18"/>
              </w:rPr>
            </w:pPr>
            <w:r>
              <w:rPr>
                <w:noProof/>
              </w:rPr>
              <w:t>Stājas spēkā izcelsmes apliecinājumu tirdzniecības sistēma, kas ļauj patērētājiem brīvprātīgi atbalstīt AER elektroenerģiju.</w:t>
            </w:r>
          </w:p>
          <w:p w14:paraId="023C7B9D" w14:textId="77777777" w:rsidR="00CB0FCB" w:rsidRDefault="009D2B11">
            <w:pPr>
              <w:pStyle w:val="P68B1DB1-Normal9"/>
              <w:spacing w:after="0" w:line="240" w:lineRule="auto"/>
              <w:rPr>
                <w:rFonts w:eastAsia="Times New Roman" w:cs="Calibri"/>
                <w:noProof/>
                <w:szCs w:val="18"/>
              </w:rPr>
            </w:pPr>
            <w:r>
              <w:rPr>
                <w:noProof/>
              </w:rPr>
              <w:t xml:space="preserve">Izcelsmes apliecinājumu (GO) sistēma ietver: </w:t>
            </w:r>
          </w:p>
          <w:p w14:paraId="655EDB46" w14:textId="77777777" w:rsidR="00CB0FCB" w:rsidRDefault="009D2B11">
            <w:pPr>
              <w:pStyle w:val="P68B1DB1-Normal9"/>
              <w:numPr>
                <w:ilvl w:val="0"/>
                <w:numId w:val="29"/>
              </w:numPr>
              <w:spacing w:before="120" w:after="0" w:line="259" w:lineRule="auto"/>
              <w:contextualSpacing/>
              <w:jc w:val="both"/>
              <w:rPr>
                <w:rFonts w:eastAsia="Times New Roman" w:cs="Calibri"/>
                <w:noProof/>
                <w:szCs w:val="18"/>
              </w:rPr>
            </w:pPr>
            <w:r>
              <w:rPr>
                <w:noProof/>
              </w:rPr>
              <w:t>GO emisijas/izsoles shēmas pieņemšana attiecībā uz regulētiem AER tarifiem</w:t>
            </w:r>
          </w:p>
          <w:p w14:paraId="030EF0D7" w14:textId="77777777" w:rsidR="00CB0FCB" w:rsidRDefault="009D2B11">
            <w:pPr>
              <w:pStyle w:val="P68B1DB1-Normal9"/>
              <w:numPr>
                <w:ilvl w:val="0"/>
                <w:numId w:val="29"/>
              </w:numPr>
              <w:spacing w:before="120" w:after="0" w:line="259" w:lineRule="auto"/>
              <w:contextualSpacing/>
              <w:jc w:val="both"/>
              <w:rPr>
                <w:rFonts w:eastAsia="Times New Roman" w:cs="Calibri"/>
                <w:noProof/>
                <w:szCs w:val="18"/>
              </w:rPr>
            </w:pPr>
            <w:r>
              <w:rPr>
                <w:noProof/>
              </w:rPr>
              <w:t>“Zaļo” mazumtirdzniecības produktu akreditācija</w:t>
            </w:r>
          </w:p>
          <w:p w14:paraId="6F3A1B81" w14:textId="77777777" w:rsidR="00CB0FCB" w:rsidRDefault="009D2B11">
            <w:pPr>
              <w:pStyle w:val="P68B1DB1-Normal9"/>
              <w:numPr>
                <w:ilvl w:val="0"/>
                <w:numId w:val="29"/>
              </w:numPr>
              <w:spacing w:before="120" w:after="0" w:line="259" w:lineRule="auto"/>
              <w:contextualSpacing/>
              <w:jc w:val="both"/>
              <w:rPr>
                <w:rFonts w:eastAsia="Times New Roman" w:cs="Calibri"/>
                <w:noProof/>
                <w:szCs w:val="18"/>
              </w:rPr>
            </w:pPr>
            <w:r>
              <w:rPr>
                <w:noProof/>
              </w:rPr>
              <w:t>“Zaļās uzņēmējdarbības” standartu akreditācija.</w:t>
            </w:r>
          </w:p>
          <w:p w14:paraId="233E14EF" w14:textId="77777777" w:rsidR="00CB0FCB" w:rsidRDefault="009D2B11">
            <w:pPr>
              <w:pStyle w:val="P68B1DB1-Normal9"/>
              <w:spacing w:after="0" w:line="240" w:lineRule="auto"/>
              <w:rPr>
                <w:rFonts w:eastAsia="Times New Roman" w:cs="Calibri"/>
                <w:noProof/>
                <w:szCs w:val="18"/>
              </w:rPr>
            </w:pPr>
            <w:r>
              <w:rPr>
                <w:noProof/>
              </w:rPr>
              <w:t xml:space="preserve"> </w:t>
            </w:r>
          </w:p>
        </w:tc>
      </w:tr>
      <w:tr w:rsidR="00CB0FCB" w14:paraId="114D527E" w14:textId="77777777">
        <w:tc>
          <w:tcPr>
            <w:tcW w:w="1043" w:type="dxa"/>
            <w:tcBorders>
              <w:top w:val="nil"/>
              <w:left w:val="single" w:sz="4" w:space="0" w:color="auto"/>
              <w:bottom w:val="single" w:sz="4" w:space="0" w:color="auto"/>
              <w:right w:val="single" w:sz="4" w:space="0" w:color="auto"/>
            </w:tcBorders>
            <w:shd w:val="clear" w:color="auto" w:fill="C6EFCE"/>
            <w:noWrap/>
          </w:tcPr>
          <w:p w14:paraId="1FD1559B" w14:textId="77777777" w:rsidR="00CB0FCB" w:rsidRDefault="009D2B11">
            <w:pPr>
              <w:pStyle w:val="P68B1DB1-Normal9"/>
              <w:spacing w:after="0" w:line="240" w:lineRule="auto"/>
              <w:rPr>
                <w:rFonts w:eastAsia="Times New Roman" w:cs="Calibri"/>
                <w:noProof/>
                <w:szCs w:val="18"/>
              </w:rPr>
            </w:pPr>
            <w:r>
              <w:rPr>
                <w:noProof/>
              </w:rPr>
              <w:t>5</w:t>
            </w:r>
          </w:p>
        </w:tc>
        <w:tc>
          <w:tcPr>
            <w:tcW w:w="1952" w:type="dxa"/>
            <w:tcBorders>
              <w:top w:val="nil"/>
              <w:left w:val="nil"/>
              <w:bottom w:val="single" w:sz="4" w:space="0" w:color="auto"/>
              <w:right w:val="single" w:sz="4" w:space="0" w:color="auto"/>
            </w:tcBorders>
            <w:shd w:val="clear" w:color="auto" w:fill="C6EFCE"/>
            <w:noWrap/>
          </w:tcPr>
          <w:p w14:paraId="3CCDEB68" w14:textId="77777777" w:rsidR="00CB0FCB" w:rsidRDefault="009D2B11">
            <w:pPr>
              <w:pStyle w:val="P68B1DB1-Normal9"/>
              <w:spacing w:after="0" w:line="240" w:lineRule="auto"/>
              <w:rPr>
                <w:rFonts w:eastAsia="Times New Roman" w:cs="Calibri"/>
                <w:noProof/>
                <w:szCs w:val="18"/>
              </w:rPr>
            </w:pPr>
            <w:r>
              <w:rPr>
                <w:noProof/>
              </w:rPr>
              <w:t>1–1.1. Elektroenerģijas palielināšana — 16860_Streamline nodrošināt jaunā elektroenerģijas tirgus modeļa efektīvu darbību un jaunu AER elektrostaciju attīstību, lai sasniegtu NEKP mērķus, īstenojot uzraudzības mehānismu, iesaistot pieprasījumreakciju un plaši reformējot jaunu AER licencēšanas procedūru</w:t>
            </w:r>
          </w:p>
        </w:tc>
        <w:tc>
          <w:tcPr>
            <w:tcW w:w="1142" w:type="dxa"/>
            <w:tcBorders>
              <w:top w:val="nil"/>
              <w:left w:val="nil"/>
              <w:bottom w:val="single" w:sz="4" w:space="0" w:color="auto"/>
              <w:right w:val="single" w:sz="4" w:space="0" w:color="auto"/>
            </w:tcBorders>
            <w:shd w:val="clear" w:color="auto" w:fill="C6EFCE"/>
            <w:noWrap/>
          </w:tcPr>
          <w:p w14:paraId="42CCD54A" w14:textId="77777777" w:rsidR="00CB0FCB" w:rsidRDefault="009D2B11">
            <w:pPr>
              <w:pStyle w:val="P68B1DB1-Normal9"/>
              <w:spacing w:after="0" w:line="240" w:lineRule="auto"/>
              <w:rPr>
                <w:rFonts w:eastAsia="Times New Roman" w:cs="Calibri"/>
                <w:noProof/>
                <w:szCs w:val="18"/>
                <w:highlight w:val="yellow"/>
              </w:rPr>
            </w:pPr>
            <w:r>
              <w:rPr>
                <w:noProof/>
              </w:rPr>
              <w:t>Atskaites punkts</w:t>
            </w:r>
          </w:p>
        </w:tc>
        <w:tc>
          <w:tcPr>
            <w:tcW w:w="1234" w:type="dxa"/>
            <w:tcBorders>
              <w:top w:val="nil"/>
              <w:left w:val="nil"/>
              <w:bottom w:val="single" w:sz="4" w:space="0" w:color="auto"/>
              <w:right w:val="single" w:sz="4" w:space="0" w:color="auto"/>
            </w:tcBorders>
            <w:shd w:val="clear" w:color="auto" w:fill="C6EFCE"/>
            <w:noWrap/>
          </w:tcPr>
          <w:p w14:paraId="471F4FEC" w14:textId="77777777" w:rsidR="00CB0FCB" w:rsidRDefault="009D2B11">
            <w:pPr>
              <w:pStyle w:val="P68B1DB1-Normal9"/>
              <w:spacing w:after="0" w:line="240" w:lineRule="auto"/>
              <w:rPr>
                <w:rFonts w:eastAsia="Times New Roman" w:cs="Calibri"/>
                <w:noProof/>
                <w:szCs w:val="18"/>
              </w:rPr>
            </w:pPr>
            <w:r>
              <w:rPr>
                <w:noProof/>
              </w:rPr>
              <w:t>AER konts — tirgus reformas un licencēšanas vienkāršošana</w:t>
            </w:r>
          </w:p>
        </w:tc>
        <w:tc>
          <w:tcPr>
            <w:tcW w:w="1286" w:type="dxa"/>
            <w:tcBorders>
              <w:top w:val="nil"/>
              <w:left w:val="nil"/>
              <w:bottom w:val="single" w:sz="4" w:space="0" w:color="auto"/>
              <w:right w:val="single" w:sz="4" w:space="0" w:color="auto"/>
            </w:tcBorders>
            <w:shd w:val="clear" w:color="auto" w:fill="C6EFCE"/>
            <w:noWrap/>
          </w:tcPr>
          <w:p w14:paraId="1749FAFC" w14:textId="77777777" w:rsidR="00CB0FCB" w:rsidRDefault="009D2B11">
            <w:pPr>
              <w:pStyle w:val="P68B1DB1-Normal9"/>
              <w:spacing w:after="0" w:line="240" w:lineRule="auto"/>
              <w:rPr>
                <w:rFonts w:eastAsia="Times New Roman" w:cs="Calibri"/>
                <w:noProof/>
                <w:szCs w:val="18"/>
              </w:rPr>
            </w:pPr>
            <w:r>
              <w:rPr>
                <w:noProof/>
              </w:rPr>
              <w:t>Visu attiecīgo tiesību aktu, tostarp ministru lēmumu, un RAE un DAPEEP tiesiskā regulējuma stāšanās spēkā</w:t>
            </w:r>
          </w:p>
        </w:tc>
        <w:tc>
          <w:tcPr>
            <w:tcW w:w="1248" w:type="dxa"/>
            <w:tcBorders>
              <w:top w:val="nil"/>
              <w:left w:val="nil"/>
              <w:bottom w:val="single" w:sz="4" w:space="0" w:color="auto"/>
              <w:right w:val="single" w:sz="4" w:space="0" w:color="auto"/>
            </w:tcBorders>
            <w:shd w:val="clear" w:color="auto" w:fill="C6EFCE"/>
            <w:noWrap/>
          </w:tcPr>
          <w:p w14:paraId="0C2E5EC1" w14:textId="77777777" w:rsidR="00CB0FCB" w:rsidRDefault="00CB0FCB">
            <w:pPr>
              <w:spacing w:after="0" w:line="240" w:lineRule="auto"/>
              <w:rPr>
                <w:rFonts w:eastAsia="Times New Roman" w:cs="Calibri"/>
                <w:noProof/>
                <w:color w:val="006100"/>
                <w:sz w:val="18"/>
                <w:szCs w:val="18"/>
              </w:rPr>
            </w:pPr>
          </w:p>
        </w:tc>
        <w:tc>
          <w:tcPr>
            <w:tcW w:w="994" w:type="dxa"/>
            <w:tcBorders>
              <w:top w:val="nil"/>
              <w:left w:val="nil"/>
              <w:bottom w:val="single" w:sz="4" w:space="0" w:color="auto"/>
              <w:right w:val="single" w:sz="4" w:space="0" w:color="auto"/>
            </w:tcBorders>
            <w:shd w:val="clear" w:color="auto" w:fill="C6EFCE"/>
            <w:noWrap/>
          </w:tcPr>
          <w:p w14:paraId="69F5D758" w14:textId="77777777" w:rsidR="00CB0FCB" w:rsidRDefault="00CB0FCB">
            <w:pPr>
              <w:spacing w:after="0" w:line="240" w:lineRule="auto"/>
              <w:rPr>
                <w:rFonts w:eastAsia="Times New Roman" w:cs="Calibri"/>
                <w:noProof/>
                <w:color w:val="006100"/>
                <w:sz w:val="18"/>
                <w:szCs w:val="18"/>
              </w:rPr>
            </w:pPr>
          </w:p>
        </w:tc>
        <w:tc>
          <w:tcPr>
            <w:tcW w:w="648" w:type="dxa"/>
            <w:tcBorders>
              <w:top w:val="nil"/>
              <w:left w:val="nil"/>
              <w:bottom w:val="single" w:sz="4" w:space="0" w:color="auto"/>
              <w:right w:val="single" w:sz="4" w:space="0" w:color="auto"/>
            </w:tcBorders>
            <w:shd w:val="clear" w:color="auto" w:fill="C6EFCE"/>
            <w:noWrap/>
          </w:tcPr>
          <w:p w14:paraId="175344E1" w14:textId="77777777" w:rsidR="00CB0FCB" w:rsidRDefault="00CB0FCB">
            <w:pPr>
              <w:spacing w:after="0" w:line="240" w:lineRule="auto"/>
              <w:rPr>
                <w:rFonts w:eastAsia="Times New Roman" w:cs="Calibri"/>
                <w:noProof/>
                <w:color w:val="006100"/>
                <w:sz w:val="18"/>
                <w:szCs w:val="18"/>
              </w:rPr>
            </w:pPr>
          </w:p>
        </w:tc>
        <w:tc>
          <w:tcPr>
            <w:tcW w:w="956" w:type="dxa"/>
            <w:tcBorders>
              <w:top w:val="nil"/>
              <w:left w:val="nil"/>
              <w:bottom w:val="single" w:sz="4" w:space="0" w:color="auto"/>
              <w:right w:val="single" w:sz="4" w:space="0" w:color="auto"/>
            </w:tcBorders>
            <w:shd w:val="clear" w:color="auto" w:fill="C6EFCE"/>
            <w:noWrap/>
          </w:tcPr>
          <w:p w14:paraId="70863384" w14:textId="77777777" w:rsidR="00CB0FCB" w:rsidRDefault="009D2B11">
            <w:pPr>
              <w:pStyle w:val="P68B1DB1-Normal9"/>
              <w:spacing w:after="0" w:line="240" w:lineRule="auto"/>
              <w:rPr>
                <w:rFonts w:eastAsia="Times New Roman" w:cs="Calibri"/>
                <w:noProof/>
                <w:szCs w:val="18"/>
              </w:rPr>
            </w:pPr>
            <w:r>
              <w:rPr>
                <w:noProof/>
              </w:rPr>
              <w:t>2. CET.</w:t>
            </w:r>
          </w:p>
        </w:tc>
        <w:tc>
          <w:tcPr>
            <w:tcW w:w="956" w:type="dxa"/>
            <w:tcBorders>
              <w:top w:val="nil"/>
              <w:left w:val="nil"/>
              <w:bottom w:val="single" w:sz="4" w:space="0" w:color="auto"/>
              <w:right w:val="single" w:sz="4" w:space="0" w:color="auto"/>
            </w:tcBorders>
            <w:shd w:val="clear" w:color="auto" w:fill="C6EFCE"/>
            <w:noWrap/>
          </w:tcPr>
          <w:p w14:paraId="67734F9A" w14:textId="77777777" w:rsidR="00CB0FCB" w:rsidRDefault="009D2B11">
            <w:pPr>
              <w:pStyle w:val="P68B1DB1-Normal9"/>
              <w:spacing w:after="0" w:line="240" w:lineRule="auto"/>
              <w:rPr>
                <w:rFonts w:eastAsia="Times New Roman" w:cs="Calibri"/>
                <w:noProof/>
                <w:szCs w:val="18"/>
              </w:rPr>
            </w:pPr>
            <w:r>
              <w:rPr>
                <w:noProof/>
              </w:rPr>
              <w:t>2022</w:t>
            </w:r>
          </w:p>
        </w:tc>
        <w:tc>
          <w:tcPr>
            <w:tcW w:w="3278" w:type="dxa"/>
            <w:tcBorders>
              <w:top w:val="nil"/>
              <w:left w:val="nil"/>
              <w:bottom w:val="single" w:sz="4" w:space="0" w:color="auto"/>
              <w:right w:val="single" w:sz="4" w:space="0" w:color="auto"/>
            </w:tcBorders>
            <w:shd w:val="clear" w:color="auto" w:fill="C6EFCE"/>
            <w:noWrap/>
          </w:tcPr>
          <w:p w14:paraId="4DC1C280" w14:textId="77777777" w:rsidR="00CB0FCB" w:rsidRDefault="009D2B11">
            <w:pPr>
              <w:pStyle w:val="P68B1DB1-Normal9"/>
              <w:spacing w:after="0" w:line="240" w:lineRule="auto"/>
              <w:rPr>
                <w:rFonts w:eastAsia="Times New Roman" w:cs="Calibri"/>
                <w:noProof/>
                <w:szCs w:val="18"/>
              </w:rPr>
            </w:pPr>
            <w:r>
              <w:rPr>
                <w:noProof/>
              </w:rPr>
              <w:t>1) Tirgus uzraudzības un uzraudzības mehānisma izveide un pilnīga darbība, kā arī pilnīga pieprasījuma reakcijas dalība balansēšanas tirgū.</w:t>
            </w:r>
          </w:p>
          <w:p w14:paraId="1D4F967F" w14:textId="77777777" w:rsidR="00CB0FCB" w:rsidRDefault="009D2B11">
            <w:pPr>
              <w:pStyle w:val="P68B1DB1-Normal9"/>
              <w:spacing w:after="0" w:line="240" w:lineRule="auto"/>
              <w:rPr>
                <w:rFonts w:eastAsia="Times New Roman" w:cs="Calibri"/>
                <w:noProof/>
                <w:szCs w:val="18"/>
                <w:highlight w:val="yellow"/>
              </w:rPr>
            </w:pPr>
            <w:r>
              <w:rPr>
                <w:noProof/>
              </w:rPr>
              <w:t>2) AER licencēšanas vienkāršošanas reformas pabeigšana, tostarp procedūru vienkāršošana un digitalizācija, īss un saistošs administratīvās reaģēšanas laiks un pārskatatbildības procedūras attiecībā uz nevajadzīgu kavēšanos, nepieciešamās dokumentācijas un procedūru samazināšana, kā arī jauns īpašs satvars atkrastes AER stacijām.</w:t>
            </w:r>
          </w:p>
        </w:tc>
      </w:tr>
      <w:tr w:rsidR="00CB0FCB" w14:paraId="04E04BCC" w14:textId="77777777">
        <w:tc>
          <w:tcPr>
            <w:tcW w:w="1043" w:type="dxa"/>
            <w:tcBorders>
              <w:top w:val="nil"/>
              <w:left w:val="single" w:sz="4" w:space="0" w:color="auto"/>
              <w:bottom w:val="single" w:sz="4" w:space="0" w:color="auto"/>
              <w:right w:val="single" w:sz="4" w:space="0" w:color="auto"/>
            </w:tcBorders>
            <w:shd w:val="clear" w:color="auto" w:fill="C6EFCE"/>
            <w:noWrap/>
          </w:tcPr>
          <w:p w14:paraId="5E6262C5" w14:textId="77777777" w:rsidR="00CB0FCB" w:rsidRDefault="009D2B11">
            <w:pPr>
              <w:pStyle w:val="P68B1DB1-Normal9"/>
              <w:spacing w:after="0" w:line="240" w:lineRule="auto"/>
              <w:rPr>
                <w:rFonts w:eastAsia="Times New Roman" w:cs="Calibri"/>
                <w:noProof/>
                <w:szCs w:val="18"/>
              </w:rPr>
            </w:pPr>
            <w:r>
              <w:rPr>
                <w:noProof/>
              </w:rPr>
              <w:t>6</w:t>
            </w:r>
          </w:p>
        </w:tc>
        <w:tc>
          <w:tcPr>
            <w:tcW w:w="1952" w:type="dxa"/>
            <w:tcBorders>
              <w:top w:val="nil"/>
              <w:left w:val="nil"/>
              <w:bottom w:val="single" w:sz="4" w:space="0" w:color="auto"/>
              <w:right w:val="single" w:sz="4" w:space="0" w:color="auto"/>
            </w:tcBorders>
            <w:shd w:val="clear" w:color="auto" w:fill="C6EFCE"/>
            <w:noWrap/>
          </w:tcPr>
          <w:p w14:paraId="7F7405D7" w14:textId="77777777" w:rsidR="00CB0FCB" w:rsidRDefault="009D2B11">
            <w:pPr>
              <w:pStyle w:val="P68B1DB1-Normal9"/>
              <w:spacing w:after="0" w:line="240" w:lineRule="auto"/>
              <w:rPr>
                <w:rFonts w:eastAsia="Times New Roman" w:cs="Calibri"/>
                <w:noProof/>
                <w:szCs w:val="18"/>
              </w:rPr>
            </w:pPr>
            <w:r>
              <w:rPr>
                <w:noProof/>
              </w:rPr>
              <w:t>1–1.1. Elektroenerģijas palielināšana — 16865_AER CHP konta ieņēmumu pārstrukturēšana un uzlabošana</w:t>
            </w:r>
          </w:p>
        </w:tc>
        <w:tc>
          <w:tcPr>
            <w:tcW w:w="1142" w:type="dxa"/>
            <w:tcBorders>
              <w:top w:val="nil"/>
              <w:left w:val="nil"/>
              <w:bottom w:val="single" w:sz="4" w:space="0" w:color="auto"/>
              <w:right w:val="single" w:sz="4" w:space="0" w:color="auto"/>
            </w:tcBorders>
            <w:shd w:val="clear" w:color="auto" w:fill="C6EFCE"/>
            <w:noWrap/>
          </w:tcPr>
          <w:p w14:paraId="211106FD" w14:textId="77777777" w:rsidR="00CB0FCB" w:rsidRDefault="009D2B11">
            <w:pPr>
              <w:pStyle w:val="P68B1DB1-Normal9"/>
              <w:spacing w:after="0" w:line="240" w:lineRule="auto"/>
              <w:rPr>
                <w:rFonts w:eastAsia="Times New Roman" w:cs="Calibri"/>
                <w:noProof/>
                <w:szCs w:val="18"/>
              </w:rPr>
            </w:pPr>
            <w:r>
              <w:rPr>
                <w:noProof/>
              </w:rPr>
              <w:t>Mērķa</w:t>
            </w:r>
          </w:p>
        </w:tc>
        <w:tc>
          <w:tcPr>
            <w:tcW w:w="1234" w:type="dxa"/>
            <w:tcBorders>
              <w:top w:val="nil"/>
              <w:left w:val="nil"/>
              <w:bottom w:val="single" w:sz="4" w:space="0" w:color="auto"/>
              <w:right w:val="single" w:sz="4" w:space="0" w:color="auto"/>
            </w:tcBorders>
            <w:shd w:val="clear" w:color="auto" w:fill="C6EFCE"/>
            <w:noWrap/>
          </w:tcPr>
          <w:p w14:paraId="2545D162" w14:textId="77777777" w:rsidR="00CB0FCB" w:rsidRDefault="009D2B11">
            <w:pPr>
              <w:pStyle w:val="P68B1DB1-Normal9"/>
              <w:spacing w:after="0" w:line="240" w:lineRule="auto"/>
              <w:rPr>
                <w:rFonts w:eastAsia="Times New Roman" w:cs="Calibri"/>
                <w:noProof/>
                <w:szCs w:val="18"/>
              </w:rPr>
            </w:pPr>
            <w:r>
              <w:rPr>
                <w:noProof/>
              </w:rPr>
              <w:t>AER konts — jaudas palielināšanas mērķis Nr. 1</w:t>
            </w:r>
          </w:p>
        </w:tc>
        <w:tc>
          <w:tcPr>
            <w:tcW w:w="1286" w:type="dxa"/>
            <w:tcBorders>
              <w:top w:val="nil"/>
              <w:left w:val="nil"/>
              <w:bottom w:val="single" w:sz="4" w:space="0" w:color="auto"/>
              <w:right w:val="single" w:sz="4" w:space="0" w:color="auto"/>
            </w:tcBorders>
            <w:shd w:val="clear" w:color="auto" w:fill="C6EFCE"/>
            <w:noWrap/>
          </w:tcPr>
          <w:p w14:paraId="027E5C4B" w14:textId="77777777" w:rsidR="00CB0FCB" w:rsidRDefault="00CB0FCB">
            <w:pPr>
              <w:spacing w:after="0" w:line="240" w:lineRule="auto"/>
              <w:rPr>
                <w:rFonts w:eastAsia="Times New Roman" w:cs="Calibri"/>
                <w:noProof/>
                <w:color w:val="006100"/>
                <w:sz w:val="18"/>
                <w:szCs w:val="18"/>
              </w:rPr>
            </w:pPr>
          </w:p>
        </w:tc>
        <w:tc>
          <w:tcPr>
            <w:tcW w:w="1248" w:type="dxa"/>
            <w:tcBorders>
              <w:top w:val="nil"/>
              <w:left w:val="nil"/>
              <w:bottom w:val="single" w:sz="4" w:space="0" w:color="auto"/>
              <w:right w:val="single" w:sz="4" w:space="0" w:color="auto"/>
            </w:tcBorders>
            <w:shd w:val="clear" w:color="auto" w:fill="C6EFCE"/>
            <w:noWrap/>
          </w:tcPr>
          <w:p w14:paraId="44A76BDB" w14:textId="77777777" w:rsidR="00CB0FCB" w:rsidRDefault="009D2B11">
            <w:pPr>
              <w:pStyle w:val="P68B1DB1-Normal9"/>
              <w:spacing w:after="0" w:line="240" w:lineRule="auto"/>
              <w:rPr>
                <w:rFonts w:eastAsia="Times New Roman" w:cs="Calibri"/>
                <w:noProof/>
                <w:szCs w:val="18"/>
              </w:rPr>
            </w:pPr>
            <w:r>
              <w:rPr>
                <w:noProof/>
              </w:rPr>
              <w:t>Ekspluatācijā nodoto atjaunojamo energoresursu jaunā jauda (GW)</w:t>
            </w:r>
          </w:p>
        </w:tc>
        <w:tc>
          <w:tcPr>
            <w:tcW w:w="994" w:type="dxa"/>
            <w:tcBorders>
              <w:top w:val="nil"/>
              <w:left w:val="nil"/>
              <w:bottom w:val="single" w:sz="4" w:space="0" w:color="auto"/>
              <w:right w:val="single" w:sz="4" w:space="0" w:color="auto"/>
            </w:tcBorders>
            <w:shd w:val="clear" w:color="auto" w:fill="C6EFCE"/>
            <w:noWrap/>
          </w:tcPr>
          <w:p w14:paraId="65E19CC1" w14:textId="77777777" w:rsidR="00CB0FCB" w:rsidRDefault="009D2B11">
            <w:pPr>
              <w:pStyle w:val="P68B1DB1-Normal9"/>
              <w:spacing w:after="0" w:line="240" w:lineRule="auto"/>
              <w:rPr>
                <w:rFonts w:eastAsia="Times New Roman" w:cs="Calibri"/>
                <w:noProof/>
                <w:szCs w:val="18"/>
              </w:rPr>
            </w:pPr>
            <w:r>
              <w:rPr>
                <w:noProof/>
              </w:rPr>
              <w:t>0</w:t>
            </w:r>
          </w:p>
        </w:tc>
        <w:tc>
          <w:tcPr>
            <w:tcW w:w="648" w:type="dxa"/>
            <w:tcBorders>
              <w:top w:val="nil"/>
              <w:left w:val="nil"/>
              <w:bottom w:val="single" w:sz="4" w:space="0" w:color="auto"/>
              <w:right w:val="single" w:sz="4" w:space="0" w:color="auto"/>
            </w:tcBorders>
            <w:shd w:val="clear" w:color="auto" w:fill="C6EFCE"/>
            <w:noWrap/>
          </w:tcPr>
          <w:p w14:paraId="1B47940C" w14:textId="77777777" w:rsidR="00CB0FCB" w:rsidRDefault="009D2B11">
            <w:pPr>
              <w:pStyle w:val="P68B1DB1-Normal9"/>
              <w:spacing w:after="0" w:line="240" w:lineRule="auto"/>
              <w:rPr>
                <w:rFonts w:eastAsia="Times New Roman" w:cs="Calibri"/>
                <w:noProof/>
                <w:szCs w:val="18"/>
              </w:rPr>
            </w:pPr>
            <w:r>
              <w:rPr>
                <w:noProof/>
              </w:rPr>
              <w:t>1</w:t>
            </w:r>
          </w:p>
        </w:tc>
        <w:tc>
          <w:tcPr>
            <w:tcW w:w="956" w:type="dxa"/>
            <w:tcBorders>
              <w:top w:val="nil"/>
              <w:left w:val="nil"/>
              <w:bottom w:val="single" w:sz="4" w:space="0" w:color="auto"/>
              <w:right w:val="single" w:sz="4" w:space="0" w:color="auto"/>
            </w:tcBorders>
            <w:shd w:val="clear" w:color="auto" w:fill="C6EFCE"/>
            <w:noWrap/>
          </w:tcPr>
          <w:p w14:paraId="24075479" w14:textId="77777777" w:rsidR="00CB0FCB" w:rsidRDefault="009D2B11">
            <w:pPr>
              <w:pStyle w:val="P68B1DB1-Normal9"/>
              <w:spacing w:after="0" w:line="240" w:lineRule="auto"/>
              <w:rPr>
                <w:rFonts w:eastAsia="Times New Roman" w:cs="Calibri"/>
                <w:noProof/>
                <w:szCs w:val="18"/>
              </w:rPr>
            </w:pPr>
            <w:r>
              <w:rPr>
                <w:noProof/>
              </w:rPr>
              <w:t>2. CET.</w:t>
            </w:r>
          </w:p>
        </w:tc>
        <w:tc>
          <w:tcPr>
            <w:tcW w:w="956" w:type="dxa"/>
            <w:tcBorders>
              <w:top w:val="nil"/>
              <w:left w:val="nil"/>
              <w:bottom w:val="single" w:sz="4" w:space="0" w:color="auto"/>
              <w:right w:val="single" w:sz="4" w:space="0" w:color="auto"/>
            </w:tcBorders>
            <w:shd w:val="clear" w:color="auto" w:fill="C6EFCE"/>
            <w:noWrap/>
          </w:tcPr>
          <w:p w14:paraId="48405DB4" w14:textId="77777777" w:rsidR="00CB0FCB" w:rsidRDefault="009D2B11">
            <w:pPr>
              <w:pStyle w:val="P68B1DB1-Normal9"/>
              <w:spacing w:after="0" w:line="240" w:lineRule="auto"/>
              <w:rPr>
                <w:rFonts w:eastAsia="Times New Roman" w:cs="Calibri"/>
                <w:noProof/>
                <w:szCs w:val="18"/>
              </w:rPr>
            </w:pPr>
            <w:r>
              <w:rPr>
                <w:noProof/>
              </w:rPr>
              <w:t>2023</w:t>
            </w:r>
          </w:p>
        </w:tc>
        <w:tc>
          <w:tcPr>
            <w:tcW w:w="3278" w:type="dxa"/>
            <w:tcBorders>
              <w:top w:val="nil"/>
              <w:left w:val="nil"/>
              <w:bottom w:val="single" w:sz="4" w:space="0" w:color="auto"/>
              <w:right w:val="single" w:sz="4" w:space="0" w:color="auto"/>
            </w:tcBorders>
            <w:shd w:val="clear" w:color="auto" w:fill="C6EFCE"/>
            <w:noWrap/>
          </w:tcPr>
          <w:p w14:paraId="6857A19F" w14:textId="77777777" w:rsidR="00CB0FCB" w:rsidRDefault="009D2B11">
            <w:pPr>
              <w:pStyle w:val="P68B1DB1-Normal9"/>
              <w:spacing w:after="0" w:line="240" w:lineRule="auto"/>
              <w:rPr>
                <w:rFonts w:eastAsia="Times New Roman" w:cs="Calibri"/>
                <w:noProof/>
                <w:szCs w:val="18"/>
              </w:rPr>
            </w:pPr>
            <w:r>
              <w:rPr>
                <w:noProof/>
              </w:rPr>
              <w:t>Uzstādītā un darbspējīgā jaunā AER jauda</w:t>
            </w:r>
          </w:p>
        </w:tc>
      </w:tr>
      <w:tr w:rsidR="00CB0FCB" w14:paraId="49D38A46" w14:textId="77777777">
        <w:tc>
          <w:tcPr>
            <w:tcW w:w="1043" w:type="dxa"/>
            <w:tcBorders>
              <w:top w:val="nil"/>
              <w:left w:val="single" w:sz="4" w:space="0" w:color="auto"/>
              <w:bottom w:val="single" w:sz="4" w:space="0" w:color="auto"/>
              <w:right w:val="single" w:sz="4" w:space="0" w:color="auto"/>
            </w:tcBorders>
            <w:shd w:val="clear" w:color="auto" w:fill="C6EFCE"/>
            <w:noWrap/>
            <w:hideMark/>
          </w:tcPr>
          <w:p w14:paraId="2BC88E54" w14:textId="77777777" w:rsidR="00CB0FCB" w:rsidRDefault="009D2B11">
            <w:pPr>
              <w:pStyle w:val="P68B1DB1-Normal9"/>
              <w:spacing w:after="0" w:line="240" w:lineRule="auto"/>
              <w:rPr>
                <w:rFonts w:eastAsia="Times New Roman" w:cs="Calibri"/>
                <w:noProof/>
                <w:szCs w:val="18"/>
              </w:rPr>
            </w:pPr>
            <w:r>
              <w:rPr>
                <w:noProof/>
              </w:rPr>
              <w:t> 7</w:t>
            </w:r>
          </w:p>
        </w:tc>
        <w:tc>
          <w:tcPr>
            <w:tcW w:w="1952" w:type="dxa"/>
            <w:tcBorders>
              <w:top w:val="nil"/>
              <w:left w:val="nil"/>
              <w:bottom w:val="single" w:sz="4" w:space="0" w:color="auto"/>
              <w:right w:val="single" w:sz="4" w:space="0" w:color="auto"/>
            </w:tcBorders>
            <w:shd w:val="clear" w:color="auto" w:fill="C6EFCE"/>
            <w:noWrap/>
          </w:tcPr>
          <w:p w14:paraId="4808EF5A" w14:textId="77777777" w:rsidR="00CB0FCB" w:rsidRDefault="009D2B11">
            <w:pPr>
              <w:pStyle w:val="P68B1DB1-Normal9"/>
              <w:spacing w:after="0" w:line="240" w:lineRule="auto"/>
              <w:rPr>
                <w:rFonts w:eastAsia="Times New Roman" w:cs="Calibri"/>
                <w:noProof/>
                <w:szCs w:val="18"/>
              </w:rPr>
            </w:pPr>
            <w:r>
              <w:rPr>
                <w:noProof/>
              </w:rPr>
              <w:t>1–1.1. Elektroenerģijas palielināšana — 16865_AER CHP konta ieņēmumu pārstrukturēšana un uzlabošana</w:t>
            </w:r>
          </w:p>
        </w:tc>
        <w:tc>
          <w:tcPr>
            <w:tcW w:w="1142" w:type="dxa"/>
            <w:tcBorders>
              <w:top w:val="nil"/>
              <w:left w:val="nil"/>
              <w:bottom w:val="single" w:sz="4" w:space="0" w:color="auto"/>
              <w:right w:val="single" w:sz="4" w:space="0" w:color="auto"/>
            </w:tcBorders>
            <w:shd w:val="clear" w:color="auto" w:fill="C6EFCE"/>
            <w:noWrap/>
            <w:hideMark/>
          </w:tcPr>
          <w:p w14:paraId="19D32A70" w14:textId="77777777" w:rsidR="00CB0FCB" w:rsidRDefault="009D2B11">
            <w:pPr>
              <w:pStyle w:val="P68B1DB1-Normal9"/>
              <w:spacing w:after="0" w:line="240" w:lineRule="auto"/>
              <w:rPr>
                <w:rFonts w:eastAsia="Times New Roman" w:cs="Calibri"/>
                <w:noProof/>
                <w:szCs w:val="18"/>
              </w:rPr>
            </w:pPr>
            <w:r>
              <w:rPr>
                <w:noProof/>
              </w:rPr>
              <w:t> Mērķa</w:t>
            </w:r>
          </w:p>
        </w:tc>
        <w:tc>
          <w:tcPr>
            <w:tcW w:w="1234" w:type="dxa"/>
            <w:tcBorders>
              <w:top w:val="nil"/>
              <w:left w:val="nil"/>
              <w:bottom w:val="single" w:sz="4" w:space="0" w:color="auto"/>
              <w:right w:val="single" w:sz="4" w:space="0" w:color="auto"/>
            </w:tcBorders>
            <w:shd w:val="clear" w:color="auto" w:fill="C6EFCE"/>
            <w:noWrap/>
            <w:hideMark/>
          </w:tcPr>
          <w:p w14:paraId="550FBCE3" w14:textId="77777777" w:rsidR="00CB0FCB" w:rsidRDefault="009D2B11">
            <w:pPr>
              <w:pStyle w:val="P68B1DB1-Normal9"/>
              <w:spacing w:after="0" w:line="240" w:lineRule="auto"/>
              <w:rPr>
                <w:rFonts w:eastAsia="Times New Roman" w:cs="Calibri"/>
                <w:noProof/>
                <w:szCs w:val="18"/>
              </w:rPr>
            </w:pPr>
            <w:r>
              <w:rPr>
                <w:noProof/>
              </w:rPr>
              <w:t>AER konts — jaudas palielināšanas 2. mērķis</w:t>
            </w:r>
          </w:p>
        </w:tc>
        <w:tc>
          <w:tcPr>
            <w:tcW w:w="1286" w:type="dxa"/>
            <w:tcBorders>
              <w:top w:val="nil"/>
              <w:left w:val="nil"/>
              <w:bottom w:val="single" w:sz="4" w:space="0" w:color="auto"/>
              <w:right w:val="single" w:sz="4" w:space="0" w:color="auto"/>
            </w:tcBorders>
            <w:shd w:val="clear" w:color="auto" w:fill="C6EFCE"/>
            <w:noWrap/>
            <w:hideMark/>
          </w:tcPr>
          <w:p w14:paraId="57CE4521"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1248" w:type="dxa"/>
            <w:tcBorders>
              <w:top w:val="nil"/>
              <w:left w:val="nil"/>
              <w:bottom w:val="single" w:sz="4" w:space="0" w:color="auto"/>
              <w:right w:val="single" w:sz="4" w:space="0" w:color="auto"/>
            </w:tcBorders>
            <w:shd w:val="clear" w:color="auto" w:fill="C6EFCE"/>
            <w:noWrap/>
            <w:hideMark/>
          </w:tcPr>
          <w:p w14:paraId="1F3ED5B6" w14:textId="77777777" w:rsidR="00CB0FCB" w:rsidRDefault="009D2B11">
            <w:pPr>
              <w:pStyle w:val="P68B1DB1-Normal9"/>
              <w:spacing w:after="0" w:line="240" w:lineRule="auto"/>
              <w:rPr>
                <w:rFonts w:eastAsia="Times New Roman" w:cs="Calibri"/>
                <w:noProof/>
                <w:szCs w:val="18"/>
              </w:rPr>
            </w:pPr>
            <w:r>
              <w:rPr>
                <w:noProof/>
              </w:rPr>
              <w:t>Ekspluatācijā nodoto atjaunojamo energoresursu jaunā jauda (GW)</w:t>
            </w:r>
          </w:p>
        </w:tc>
        <w:tc>
          <w:tcPr>
            <w:tcW w:w="994" w:type="dxa"/>
            <w:tcBorders>
              <w:top w:val="nil"/>
              <w:left w:val="nil"/>
              <w:bottom w:val="single" w:sz="4" w:space="0" w:color="auto"/>
              <w:right w:val="single" w:sz="4" w:space="0" w:color="auto"/>
            </w:tcBorders>
            <w:shd w:val="clear" w:color="auto" w:fill="C6EFCE"/>
            <w:noWrap/>
            <w:hideMark/>
          </w:tcPr>
          <w:p w14:paraId="48996EF9" w14:textId="77777777" w:rsidR="00CB0FCB" w:rsidRDefault="009D2B11">
            <w:pPr>
              <w:pStyle w:val="P68B1DB1-Normal9"/>
              <w:spacing w:after="0" w:line="240" w:lineRule="auto"/>
              <w:rPr>
                <w:rFonts w:eastAsia="Times New Roman" w:cs="Calibri"/>
                <w:noProof/>
                <w:szCs w:val="18"/>
              </w:rPr>
            </w:pPr>
            <w:r>
              <w:rPr>
                <w:noProof/>
              </w:rPr>
              <w:t> 1</w:t>
            </w:r>
          </w:p>
        </w:tc>
        <w:tc>
          <w:tcPr>
            <w:tcW w:w="648" w:type="dxa"/>
            <w:tcBorders>
              <w:top w:val="nil"/>
              <w:left w:val="nil"/>
              <w:bottom w:val="single" w:sz="4" w:space="0" w:color="auto"/>
              <w:right w:val="single" w:sz="4" w:space="0" w:color="auto"/>
            </w:tcBorders>
            <w:shd w:val="clear" w:color="auto" w:fill="C6EFCE"/>
            <w:noWrap/>
            <w:hideMark/>
          </w:tcPr>
          <w:p w14:paraId="414327B7" w14:textId="77777777" w:rsidR="00CB0FCB" w:rsidRDefault="009D2B11">
            <w:pPr>
              <w:pStyle w:val="P68B1DB1-Normal9"/>
              <w:spacing w:after="0" w:line="240" w:lineRule="auto"/>
              <w:rPr>
                <w:rFonts w:eastAsia="Times New Roman" w:cs="Calibri"/>
                <w:noProof/>
                <w:szCs w:val="18"/>
              </w:rPr>
            </w:pPr>
            <w:r>
              <w:rPr>
                <w:noProof/>
              </w:rPr>
              <w:t> 2</w:t>
            </w:r>
          </w:p>
        </w:tc>
        <w:tc>
          <w:tcPr>
            <w:tcW w:w="956" w:type="dxa"/>
            <w:tcBorders>
              <w:top w:val="nil"/>
              <w:left w:val="nil"/>
              <w:bottom w:val="single" w:sz="4" w:space="0" w:color="auto"/>
              <w:right w:val="single" w:sz="4" w:space="0" w:color="auto"/>
            </w:tcBorders>
            <w:shd w:val="clear" w:color="auto" w:fill="C6EFCE"/>
            <w:noWrap/>
            <w:hideMark/>
          </w:tcPr>
          <w:p w14:paraId="4857687A" w14:textId="77777777" w:rsidR="00CB0FCB" w:rsidRDefault="009D2B11">
            <w:pPr>
              <w:pStyle w:val="P68B1DB1-Normal9"/>
              <w:spacing w:after="0" w:line="240" w:lineRule="auto"/>
              <w:rPr>
                <w:rFonts w:eastAsia="Times New Roman" w:cs="Calibri"/>
                <w:noProof/>
                <w:szCs w:val="18"/>
              </w:rPr>
            </w:pPr>
            <w:r>
              <w:rPr>
                <w:noProof/>
              </w:rPr>
              <w:t>2. CET.</w:t>
            </w:r>
          </w:p>
        </w:tc>
        <w:tc>
          <w:tcPr>
            <w:tcW w:w="956" w:type="dxa"/>
            <w:tcBorders>
              <w:top w:val="nil"/>
              <w:left w:val="nil"/>
              <w:bottom w:val="single" w:sz="4" w:space="0" w:color="auto"/>
              <w:right w:val="single" w:sz="4" w:space="0" w:color="auto"/>
            </w:tcBorders>
            <w:shd w:val="clear" w:color="auto" w:fill="C6EFCE"/>
            <w:noWrap/>
            <w:hideMark/>
          </w:tcPr>
          <w:p w14:paraId="5C4FF7B8" w14:textId="77777777" w:rsidR="00CB0FCB" w:rsidRDefault="009D2B11">
            <w:pPr>
              <w:pStyle w:val="P68B1DB1-Normal9"/>
              <w:spacing w:after="0" w:line="240" w:lineRule="auto"/>
              <w:rPr>
                <w:rFonts w:eastAsia="Times New Roman" w:cs="Calibri"/>
                <w:noProof/>
                <w:szCs w:val="18"/>
              </w:rPr>
            </w:pPr>
            <w:r>
              <w:rPr>
                <w:noProof/>
              </w:rPr>
              <w:t>2024</w:t>
            </w:r>
          </w:p>
        </w:tc>
        <w:tc>
          <w:tcPr>
            <w:tcW w:w="3278" w:type="dxa"/>
            <w:tcBorders>
              <w:top w:val="nil"/>
              <w:left w:val="nil"/>
              <w:bottom w:val="single" w:sz="4" w:space="0" w:color="auto"/>
              <w:right w:val="single" w:sz="4" w:space="0" w:color="auto"/>
            </w:tcBorders>
            <w:shd w:val="clear" w:color="auto" w:fill="C6EFCE"/>
            <w:noWrap/>
            <w:hideMark/>
          </w:tcPr>
          <w:p w14:paraId="02DF412A" w14:textId="77777777" w:rsidR="00CB0FCB" w:rsidRDefault="009D2B11">
            <w:pPr>
              <w:pStyle w:val="P68B1DB1-Normal9"/>
              <w:spacing w:after="0" w:line="240" w:lineRule="auto"/>
              <w:rPr>
                <w:rFonts w:eastAsia="Times New Roman" w:cs="Calibri"/>
                <w:noProof/>
                <w:szCs w:val="18"/>
              </w:rPr>
            </w:pPr>
            <w:r>
              <w:rPr>
                <w:noProof/>
              </w:rPr>
              <w:t>Uzstādītā un darbspējīgā jaunā AER jauda</w:t>
            </w:r>
          </w:p>
        </w:tc>
      </w:tr>
      <w:tr w:rsidR="00CB0FCB" w14:paraId="0960AE76" w14:textId="77777777">
        <w:trPr>
          <w:trHeight w:val="1362"/>
        </w:trPr>
        <w:tc>
          <w:tcPr>
            <w:tcW w:w="1043" w:type="dxa"/>
            <w:tcBorders>
              <w:top w:val="nil"/>
              <w:left w:val="single" w:sz="4" w:space="0" w:color="auto"/>
              <w:bottom w:val="single" w:sz="4" w:space="0" w:color="auto"/>
              <w:right w:val="single" w:sz="4" w:space="0" w:color="auto"/>
            </w:tcBorders>
            <w:shd w:val="clear" w:color="auto" w:fill="C6EFCE"/>
            <w:noWrap/>
            <w:hideMark/>
          </w:tcPr>
          <w:p w14:paraId="536C8B1A" w14:textId="77777777" w:rsidR="00CB0FCB" w:rsidRDefault="009D2B11">
            <w:pPr>
              <w:pStyle w:val="P68B1DB1-Normal9"/>
              <w:spacing w:after="0" w:line="240" w:lineRule="auto"/>
              <w:rPr>
                <w:rFonts w:eastAsia="Times New Roman" w:cs="Calibri"/>
                <w:noProof/>
                <w:szCs w:val="18"/>
              </w:rPr>
            </w:pPr>
            <w:r>
              <w:rPr>
                <w:noProof/>
              </w:rPr>
              <w:t> 8</w:t>
            </w:r>
          </w:p>
        </w:tc>
        <w:tc>
          <w:tcPr>
            <w:tcW w:w="1952" w:type="dxa"/>
            <w:tcBorders>
              <w:top w:val="nil"/>
              <w:left w:val="nil"/>
              <w:bottom w:val="single" w:sz="4" w:space="0" w:color="auto"/>
              <w:right w:val="single" w:sz="4" w:space="0" w:color="auto"/>
            </w:tcBorders>
            <w:shd w:val="clear" w:color="auto" w:fill="C6EFCE"/>
            <w:noWrap/>
          </w:tcPr>
          <w:p w14:paraId="062155F7" w14:textId="77777777" w:rsidR="00CB0FCB" w:rsidRDefault="009D2B11">
            <w:pPr>
              <w:pStyle w:val="P68B1DB1-Normal9"/>
              <w:spacing w:after="0" w:line="240" w:lineRule="auto"/>
              <w:rPr>
                <w:rFonts w:eastAsia="Times New Roman" w:cs="Calibri"/>
                <w:noProof/>
                <w:szCs w:val="18"/>
              </w:rPr>
            </w:pPr>
            <w:r>
              <w:rPr>
                <w:noProof/>
              </w:rPr>
              <w:t>1–1.1. Elektroenerģijas palielināšana — 16865_AER CHP konta ieņēmumu pārstrukturēšana un uzlabošana</w:t>
            </w:r>
          </w:p>
        </w:tc>
        <w:tc>
          <w:tcPr>
            <w:tcW w:w="1142" w:type="dxa"/>
            <w:tcBorders>
              <w:top w:val="nil"/>
              <w:left w:val="nil"/>
              <w:bottom w:val="single" w:sz="4" w:space="0" w:color="auto"/>
              <w:right w:val="single" w:sz="4" w:space="0" w:color="auto"/>
            </w:tcBorders>
            <w:shd w:val="clear" w:color="auto" w:fill="C6EFCE"/>
            <w:noWrap/>
            <w:hideMark/>
          </w:tcPr>
          <w:p w14:paraId="47EB9F53" w14:textId="77777777" w:rsidR="00CB0FCB" w:rsidRDefault="009D2B11">
            <w:pPr>
              <w:pStyle w:val="P68B1DB1-Normal9"/>
              <w:spacing w:after="0" w:line="240" w:lineRule="auto"/>
              <w:rPr>
                <w:rFonts w:eastAsia="Times New Roman" w:cs="Calibri"/>
                <w:noProof/>
                <w:szCs w:val="18"/>
              </w:rPr>
            </w:pPr>
            <w:r>
              <w:rPr>
                <w:noProof/>
              </w:rPr>
              <w:t> Mērķa</w:t>
            </w:r>
          </w:p>
        </w:tc>
        <w:tc>
          <w:tcPr>
            <w:tcW w:w="1234" w:type="dxa"/>
            <w:tcBorders>
              <w:top w:val="nil"/>
              <w:left w:val="nil"/>
              <w:bottom w:val="single" w:sz="4" w:space="0" w:color="auto"/>
              <w:right w:val="single" w:sz="4" w:space="0" w:color="auto"/>
            </w:tcBorders>
            <w:shd w:val="clear" w:color="auto" w:fill="C6EFCE"/>
            <w:noWrap/>
            <w:hideMark/>
          </w:tcPr>
          <w:p w14:paraId="354C0EA4" w14:textId="77777777" w:rsidR="00CB0FCB" w:rsidRDefault="009D2B11">
            <w:pPr>
              <w:pStyle w:val="P68B1DB1-Normal9"/>
              <w:spacing w:after="0" w:line="240" w:lineRule="auto"/>
              <w:rPr>
                <w:rFonts w:eastAsia="Times New Roman" w:cs="Calibri"/>
                <w:noProof/>
                <w:szCs w:val="18"/>
              </w:rPr>
            </w:pPr>
            <w:r>
              <w:rPr>
                <w:noProof/>
              </w:rPr>
              <w:t>AER konts — jaudas palielināšanas mērķis Nr. 3 </w:t>
            </w:r>
          </w:p>
        </w:tc>
        <w:tc>
          <w:tcPr>
            <w:tcW w:w="1286" w:type="dxa"/>
            <w:tcBorders>
              <w:top w:val="nil"/>
              <w:left w:val="nil"/>
              <w:bottom w:val="single" w:sz="4" w:space="0" w:color="auto"/>
              <w:right w:val="single" w:sz="4" w:space="0" w:color="auto"/>
            </w:tcBorders>
            <w:shd w:val="clear" w:color="auto" w:fill="C6EFCE"/>
            <w:noWrap/>
            <w:hideMark/>
          </w:tcPr>
          <w:p w14:paraId="41DA7B1A"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1248" w:type="dxa"/>
            <w:tcBorders>
              <w:top w:val="nil"/>
              <w:left w:val="nil"/>
              <w:bottom w:val="single" w:sz="4" w:space="0" w:color="auto"/>
              <w:right w:val="single" w:sz="4" w:space="0" w:color="auto"/>
            </w:tcBorders>
            <w:shd w:val="clear" w:color="auto" w:fill="C6EFCE"/>
            <w:noWrap/>
            <w:hideMark/>
          </w:tcPr>
          <w:p w14:paraId="75B15FE5" w14:textId="77777777" w:rsidR="00CB0FCB" w:rsidRDefault="009D2B11">
            <w:pPr>
              <w:pStyle w:val="P68B1DB1-Normal9"/>
              <w:spacing w:after="0" w:line="240" w:lineRule="auto"/>
              <w:rPr>
                <w:rFonts w:eastAsia="Times New Roman" w:cs="Calibri"/>
                <w:noProof/>
                <w:szCs w:val="18"/>
              </w:rPr>
            </w:pPr>
            <w:r>
              <w:rPr>
                <w:noProof/>
              </w:rPr>
              <w:t>Ekspluatācijā nodoto atjaunojamo energoresursu jaunā jauda (GW)</w:t>
            </w:r>
          </w:p>
        </w:tc>
        <w:tc>
          <w:tcPr>
            <w:tcW w:w="994" w:type="dxa"/>
            <w:tcBorders>
              <w:top w:val="nil"/>
              <w:left w:val="nil"/>
              <w:bottom w:val="single" w:sz="4" w:space="0" w:color="auto"/>
              <w:right w:val="single" w:sz="4" w:space="0" w:color="auto"/>
            </w:tcBorders>
            <w:shd w:val="clear" w:color="auto" w:fill="C6EFCE"/>
            <w:noWrap/>
            <w:hideMark/>
          </w:tcPr>
          <w:p w14:paraId="30B8D106" w14:textId="77777777" w:rsidR="00CB0FCB" w:rsidRDefault="009D2B11">
            <w:pPr>
              <w:pStyle w:val="P68B1DB1-Normal9"/>
              <w:spacing w:after="0" w:line="240" w:lineRule="auto"/>
              <w:rPr>
                <w:rFonts w:eastAsia="Times New Roman" w:cs="Calibri"/>
                <w:noProof/>
                <w:szCs w:val="18"/>
              </w:rPr>
            </w:pPr>
            <w:r>
              <w:rPr>
                <w:noProof/>
              </w:rPr>
              <w:t> 2</w:t>
            </w:r>
          </w:p>
        </w:tc>
        <w:tc>
          <w:tcPr>
            <w:tcW w:w="648" w:type="dxa"/>
            <w:tcBorders>
              <w:top w:val="nil"/>
              <w:left w:val="nil"/>
              <w:bottom w:val="single" w:sz="4" w:space="0" w:color="auto"/>
              <w:right w:val="single" w:sz="4" w:space="0" w:color="auto"/>
            </w:tcBorders>
            <w:shd w:val="clear" w:color="auto" w:fill="C6EFCE"/>
            <w:noWrap/>
            <w:hideMark/>
          </w:tcPr>
          <w:p w14:paraId="3D379E55" w14:textId="77777777" w:rsidR="00CB0FCB" w:rsidRDefault="009D2B11">
            <w:pPr>
              <w:pStyle w:val="P68B1DB1-Normal9"/>
              <w:spacing w:after="0" w:line="240" w:lineRule="auto"/>
              <w:rPr>
                <w:rFonts w:eastAsia="Times New Roman" w:cs="Calibri"/>
                <w:noProof/>
                <w:szCs w:val="18"/>
              </w:rPr>
            </w:pPr>
            <w:r>
              <w:rPr>
                <w:noProof/>
              </w:rPr>
              <w:t> 3</w:t>
            </w:r>
          </w:p>
        </w:tc>
        <w:tc>
          <w:tcPr>
            <w:tcW w:w="956" w:type="dxa"/>
            <w:tcBorders>
              <w:top w:val="nil"/>
              <w:left w:val="nil"/>
              <w:bottom w:val="single" w:sz="4" w:space="0" w:color="auto"/>
              <w:right w:val="single" w:sz="4" w:space="0" w:color="auto"/>
            </w:tcBorders>
            <w:shd w:val="clear" w:color="auto" w:fill="C6EFCE"/>
            <w:noWrap/>
            <w:hideMark/>
          </w:tcPr>
          <w:p w14:paraId="19C203D7" w14:textId="77777777" w:rsidR="00CB0FCB" w:rsidRDefault="009D2B11">
            <w:pPr>
              <w:pStyle w:val="P68B1DB1-Normal9"/>
              <w:spacing w:after="0" w:line="240" w:lineRule="auto"/>
              <w:rPr>
                <w:rFonts w:eastAsia="Times New Roman" w:cs="Calibri"/>
                <w:noProof/>
                <w:szCs w:val="18"/>
              </w:rPr>
            </w:pPr>
            <w:r>
              <w:rPr>
                <w:noProof/>
              </w:rPr>
              <w:t>2. CET.</w:t>
            </w:r>
          </w:p>
        </w:tc>
        <w:tc>
          <w:tcPr>
            <w:tcW w:w="956" w:type="dxa"/>
            <w:tcBorders>
              <w:top w:val="nil"/>
              <w:left w:val="nil"/>
              <w:bottom w:val="single" w:sz="4" w:space="0" w:color="auto"/>
              <w:right w:val="single" w:sz="4" w:space="0" w:color="auto"/>
            </w:tcBorders>
            <w:shd w:val="clear" w:color="auto" w:fill="C6EFCE"/>
            <w:noWrap/>
            <w:hideMark/>
          </w:tcPr>
          <w:p w14:paraId="431A043B" w14:textId="3142F475" w:rsidR="00CB0FCB" w:rsidRDefault="009D2B11">
            <w:pPr>
              <w:pStyle w:val="P68B1DB1-Normal9"/>
              <w:spacing w:after="0" w:line="240" w:lineRule="auto"/>
              <w:rPr>
                <w:rFonts w:eastAsia="Times New Roman" w:cs="Calibri"/>
                <w:noProof/>
                <w:szCs w:val="18"/>
              </w:rPr>
            </w:pPr>
            <w:r>
              <w:rPr>
                <w:noProof/>
              </w:rPr>
              <w:t>2024</w:t>
            </w:r>
          </w:p>
        </w:tc>
        <w:tc>
          <w:tcPr>
            <w:tcW w:w="3278" w:type="dxa"/>
            <w:tcBorders>
              <w:top w:val="nil"/>
              <w:left w:val="nil"/>
              <w:bottom w:val="single" w:sz="4" w:space="0" w:color="auto"/>
              <w:right w:val="single" w:sz="4" w:space="0" w:color="auto"/>
            </w:tcBorders>
            <w:shd w:val="clear" w:color="auto" w:fill="C6EFCE"/>
            <w:noWrap/>
            <w:hideMark/>
          </w:tcPr>
          <w:p w14:paraId="58211CF4" w14:textId="77777777" w:rsidR="00CB0FCB" w:rsidRDefault="009D2B11">
            <w:pPr>
              <w:pStyle w:val="P68B1DB1-Normal9"/>
              <w:spacing w:after="0" w:line="240" w:lineRule="auto"/>
              <w:rPr>
                <w:rFonts w:eastAsia="Times New Roman" w:cs="Calibri"/>
                <w:noProof/>
                <w:szCs w:val="18"/>
              </w:rPr>
            </w:pPr>
            <w:r>
              <w:rPr>
                <w:noProof/>
              </w:rPr>
              <w:t>Uzstādītā un darbspējīgā jaunā AER jauda</w:t>
            </w:r>
          </w:p>
        </w:tc>
      </w:tr>
    </w:tbl>
    <w:p w14:paraId="5D1194F8" w14:textId="77777777" w:rsidR="00CB0FCB" w:rsidRDefault="00CB0FCB">
      <w:pPr>
        <w:rPr>
          <w:rFonts w:ascii="Cambria" w:hAnsi="Cambria"/>
          <w:noProof/>
          <w:color w:val="365F91"/>
          <w:sz w:val="24"/>
        </w:rPr>
      </w:pPr>
    </w:p>
    <w:p w14:paraId="068CDF77" w14:textId="77777777" w:rsidR="00CB0FCB" w:rsidRDefault="009D2B11">
      <w:pPr>
        <w:pStyle w:val="P68B1DB1-Normal6"/>
        <w:keepNext/>
        <w:keepLines/>
        <w:spacing w:before="40" w:after="0" w:line="240" w:lineRule="auto"/>
        <w:jc w:val="both"/>
        <w:outlineLvl w:val="4"/>
        <w:rPr>
          <w:rFonts w:eastAsia="Times New Roman"/>
          <w:noProof/>
        </w:rPr>
      </w:pPr>
      <w:r>
        <w:rPr>
          <w:noProof/>
        </w:rPr>
        <w:t>Pirmā grupa: Jaudas palielināšana</w:t>
      </w:r>
    </w:p>
    <w:p w14:paraId="656584E3" w14:textId="77777777" w:rsidR="00CB0FCB" w:rsidRDefault="009D2B11">
      <w:pPr>
        <w:pStyle w:val="P68B1DB1-Normal4"/>
        <w:spacing w:before="120" w:after="120" w:line="240" w:lineRule="auto"/>
        <w:rPr>
          <w:rFonts w:cs="Times New Roman"/>
          <w:noProof/>
        </w:rPr>
      </w:pPr>
      <w:r>
        <w:rPr>
          <w:noProof/>
        </w:rPr>
        <w:t>Šajā grupā ietilpst šādi pasākumi:</w:t>
      </w:r>
    </w:p>
    <w:p w14:paraId="02A7DC33"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Atbalsts uzglabāšanas sistēmu uzstādīšanai, lai veicinātu AER izplatību (ID: 16926)</w:t>
      </w:r>
    </w:p>
    <w:p w14:paraId="7CB73AEF"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Visvairāk skarto teritoriju (taisnīgas pārkārtošanās teritoriju) revitalizācijas darbības (ID: 16871)</w:t>
      </w:r>
    </w:p>
    <w:p w14:paraId="1C5CDBB0"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HEDNO tīkla modernizācija, kuras mērķis ir uzlabot noturību un aizsargāt vidi (ID: 16901)</w:t>
      </w:r>
    </w:p>
    <w:p w14:paraId="3164B8E5"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HEDNO gaisvadu tīkla modernizācija meža teritorijās (ID: 16900)</w:t>
      </w:r>
    </w:p>
    <w:p w14:paraId="0015E763"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Uzstādītās jaudas palielināšana Grieķijas elektroenerģijas sadales tīkla operatora (HEDNO) HV/MV apakšstacijās jaunam AER pieslēgumam (ID: 16899)</w:t>
      </w:r>
    </w:p>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845"/>
        <w:gridCol w:w="1807"/>
        <w:gridCol w:w="1348"/>
        <w:gridCol w:w="1553"/>
        <w:gridCol w:w="1338"/>
        <w:gridCol w:w="1396"/>
        <w:gridCol w:w="805"/>
        <w:gridCol w:w="1027"/>
        <w:gridCol w:w="720"/>
        <w:gridCol w:w="3331"/>
      </w:tblGrid>
      <w:tr w:rsidR="00CB0FCB" w14:paraId="4AF45036" w14:textId="77777777">
        <w:trPr>
          <w:trHeight w:val="927"/>
          <w:tblHeader/>
          <w:jc w:val="center"/>
        </w:trPr>
        <w:tc>
          <w:tcPr>
            <w:tcW w:w="1120" w:type="dxa"/>
            <w:vMerge w:val="restart"/>
            <w:shd w:val="clear" w:color="auto" w:fill="BDD7EE"/>
            <w:vAlign w:val="center"/>
            <w:hideMark/>
          </w:tcPr>
          <w:p w14:paraId="635A6B4C"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50" w:type="dxa"/>
            <w:vMerge w:val="restart"/>
            <w:shd w:val="clear" w:color="auto" w:fill="BDD7EE"/>
            <w:vAlign w:val="center"/>
            <w:hideMark/>
          </w:tcPr>
          <w:p w14:paraId="1ED33481"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94" w:type="dxa"/>
            <w:vMerge w:val="restart"/>
            <w:shd w:val="clear" w:color="auto" w:fill="BDD7EE"/>
            <w:vAlign w:val="center"/>
            <w:hideMark/>
          </w:tcPr>
          <w:p w14:paraId="2791FD93"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206" w:type="dxa"/>
            <w:vMerge w:val="restart"/>
            <w:shd w:val="clear" w:color="auto" w:fill="BDD7EE"/>
            <w:vAlign w:val="center"/>
            <w:hideMark/>
          </w:tcPr>
          <w:p w14:paraId="26B9B989"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53" w:type="dxa"/>
            <w:vMerge w:val="restart"/>
            <w:shd w:val="clear" w:color="auto" w:fill="BDD7EE"/>
            <w:vAlign w:val="center"/>
            <w:hideMark/>
          </w:tcPr>
          <w:p w14:paraId="3E0F7B09"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070" w:type="dxa"/>
            <w:gridSpan w:val="3"/>
            <w:shd w:val="clear" w:color="auto" w:fill="BDD7EE"/>
            <w:vAlign w:val="center"/>
            <w:hideMark/>
          </w:tcPr>
          <w:p w14:paraId="72EFDFEF"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642" w:type="dxa"/>
            <w:gridSpan w:val="2"/>
            <w:shd w:val="clear" w:color="auto" w:fill="BDD7EE"/>
            <w:vAlign w:val="center"/>
            <w:hideMark/>
          </w:tcPr>
          <w:p w14:paraId="776EC197"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331" w:type="dxa"/>
            <w:vMerge w:val="restart"/>
            <w:shd w:val="clear" w:color="auto" w:fill="BDD7EE"/>
            <w:vAlign w:val="center"/>
            <w:hideMark/>
          </w:tcPr>
          <w:p w14:paraId="6F05C21A"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7EF62856" w14:textId="77777777">
        <w:trPr>
          <w:trHeight w:val="1013"/>
          <w:jc w:val="center"/>
        </w:trPr>
        <w:tc>
          <w:tcPr>
            <w:tcW w:w="1120" w:type="dxa"/>
            <w:vMerge/>
            <w:vAlign w:val="center"/>
            <w:hideMark/>
          </w:tcPr>
          <w:p w14:paraId="19B60FB2" w14:textId="77777777" w:rsidR="00CB0FCB" w:rsidRDefault="00CB0FCB">
            <w:pPr>
              <w:spacing w:after="0" w:line="240" w:lineRule="auto"/>
              <w:rPr>
                <w:rFonts w:ascii="Times New Roman" w:eastAsia="Times New Roman" w:hAnsi="Times New Roman" w:cs="Times New Roman"/>
                <w:b/>
                <w:bCs/>
                <w:noProof/>
                <w:sz w:val="18"/>
                <w:szCs w:val="18"/>
              </w:rPr>
            </w:pPr>
          </w:p>
        </w:tc>
        <w:tc>
          <w:tcPr>
            <w:tcW w:w="1750" w:type="dxa"/>
            <w:vMerge/>
            <w:vAlign w:val="center"/>
            <w:hideMark/>
          </w:tcPr>
          <w:p w14:paraId="7884DE9A" w14:textId="77777777" w:rsidR="00CB0FCB" w:rsidRDefault="00CB0FCB">
            <w:pPr>
              <w:spacing w:after="0" w:line="240" w:lineRule="auto"/>
              <w:rPr>
                <w:rFonts w:ascii="Times New Roman" w:eastAsia="Times New Roman" w:hAnsi="Times New Roman" w:cs="Times New Roman"/>
                <w:b/>
                <w:bCs/>
                <w:noProof/>
                <w:sz w:val="18"/>
                <w:szCs w:val="18"/>
              </w:rPr>
            </w:pPr>
          </w:p>
        </w:tc>
        <w:tc>
          <w:tcPr>
            <w:tcW w:w="1094" w:type="dxa"/>
            <w:vMerge/>
            <w:vAlign w:val="center"/>
            <w:hideMark/>
          </w:tcPr>
          <w:p w14:paraId="1C5CA9F7" w14:textId="77777777" w:rsidR="00CB0FCB" w:rsidRDefault="00CB0FCB">
            <w:pPr>
              <w:spacing w:after="0" w:line="240" w:lineRule="auto"/>
              <w:rPr>
                <w:rFonts w:ascii="Times New Roman" w:eastAsia="Times New Roman" w:hAnsi="Times New Roman" w:cs="Times New Roman"/>
                <w:b/>
                <w:bCs/>
                <w:noProof/>
                <w:sz w:val="18"/>
                <w:szCs w:val="18"/>
              </w:rPr>
            </w:pPr>
          </w:p>
        </w:tc>
        <w:tc>
          <w:tcPr>
            <w:tcW w:w="1206" w:type="dxa"/>
            <w:vMerge/>
            <w:vAlign w:val="center"/>
            <w:hideMark/>
          </w:tcPr>
          <w:p w14:paraId="29F1317D" w14:textId="77777777" w:rsidR="00CB0FCB" w:rsidRDefault="00CB0FCB">
            <w:pPr>
              <w:spacing w:after="0" w:line="240" w:lineRule="auto"/>
              <w:rPr>
                <w:rFonts w:ascii="Times New Roman" w:eastAsia="Times New Roman" w:hAnsi="Times New Roman" w:cs="Times New Roman"/>
                <w:b/>
                <w:bCs/>
                <w:noProof/>
                <w:sz w:val="18"/>
                <w:szCs w:val="18"/>
              </w:rPr>
            </w:pPr>
          </w:p>
        </w:tc>
        <w:tc>
          <w:tcPr>
            <w:tcW w:w="1553" w:type="dxa"/>
            <w:vMerge/>
            <w:vAlign w:val="center"/>
            <w:hideMark/>
          </w:tcPr>
          <w:p w14:paraId="25044A33" w14:textId="77777777" w:rsidR="00CB0FCB" w:rsidRDefault="00CB0FCB">
            <w:pPr>
              <w:spacing w:after="0" w:line="240" w:lineRule="auto"/>
              <w:rPr>
                <w:rFonts w:ascii="Times New Roman" w:eastAsia="Times New Roman" w:hAnsi="Times New Roman" w:cs="Times New Roman"/>
                <w:b/>
                <w:bCs/>
                <w:noProof/>
                <w:sz w:val="18"/>
                <w:szCs w:val="18"/>
              </w:rPr>
            </w:pPr>
          </w:p>
        </w:tc>
        <w:tc>
          <w:tcPr>
            <w:tcW w:w="1338" w:type="dxa"/>
            <w:shd w:val="clear" w:color="auto" w:fill="BDD7EE"/>
            <w:vAlign w:val="center"/>
            <w:hideMark/>
          </w:tcPr>
          <w:p w14:paraId="309F4C70"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27" w:type="dxa"/>
            <w:shd w:val="clear" w:color="auto" w:fill="BDD7EE"/>
            <w:vAlign w:val="center"/>
            <w:hideMark/>
          </w:tcPr>
          <w:p w14:paraId="6A442A38"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05" w:type="dxa"/>
            <w:shd w:val="clear" w:color="auto" w:fill="BDD7EE"/>
            <w:vAlign w:val="center"/>
            <w:hideMark/>
          </w:tcPr>
          <w:p w14:paraId="541495C3"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22" w:type="dxa"/>
            <w:shd w:val="clear" w:color="auto" w:fill="BDD7EE"/>
            <w:vAlign w:val="center"/>
            <w:hideMark/>
          </w:tcPr>
          <w:p w14:paraId="34C23780"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20" w:type="dxa"/>
            <w:shd w:val="clear" w:color="auto" w:fill="BDD7EE"/>
            <w:vAlign w:val="center"/>
            <w:hideMark/>
          </w:tcPr>
          <w:p w14:paraId="19D8054A"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331" w:type="dxa"/>
            <w:vMerge/>
            <w:vAlign w:val="center"/>
            <w:hideMark/>
          </w:tcPr>
          <w:p w14:paraId="0F4FAEEB"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5E231E9" w14:textId="77777777">
        <w:trPr>
          <w:jc w:val="center"/>
        </w:trPr>
        <w:tc>
          <w:tcPr>
            <w:tcW w:w="1120" w:type="dxa"/>
            <w:shd w:val="clear" w:color="auto" w:fill="C6EFCE"/>
            <w:noWrap/>
          </w:tcPr>
          <w:p w14:paraId="44766992" w14:textId="77777777" w:rsidR="00CB0FCB" w:rsidRDefault="009D2B11">
            <w:pPr>
              <w:pStyle w:val="P68B1DB1-Normal9"/>
              <w:spacing w:after="0" w:line="240" w:lineRule="auto"/>
              <w:rPr>
                <w:rFonts w:eastAsia="Times New Roman" w:cs="Calibri"/>
                <w:noProof/>
                <w:szCs w:val="18"/>
              </w:rPr>
            </w:pPr>
            <w:r>
              <w:rPr>
                <w:noProof/>
              </w:rPr>
              <w:t>9</w:t>
            </w:r>
          </w:p>
        </w:tc>
        <w:tc>
          <w:tcPr>
            <w:tcW w:w="1750" w:type="dxa"/>
            <w:shd w:val="clear" w:color="auto" w:fill="C6EFCE"/>
            <w:noWrap/>
          </w:tcPr>
          <w:p w14:paraId="0DBCE979" w14:textId="77777777" w:rsidR="00CB0FCB" w:rsidRDefault="009D2B11">
            <w:pPr>
              <w:pStyle w:val="P68B1DB1-Normal9"/>
              <w:spacing w:after="0" w:line="240" w:lineRule="auto"/>
              <w:rPr>
                <w:rFonts w:eastAsia="Times New Roman" w:cs="Calibri"/>
                <w:noProof/>
                <w:szCs w:val="18"/>
              </w:rPr>
            </w:pPr>
            <w:r>
              <w:rPr>
                <w:noProof/>
              </w:rPr>
              <w:t>1–1.1. Power up — 16871_Atdzīvināšanas darbības visvairāk skartajās teritorijās (taisnīgas pārkārtošanās teritorijas)</w:t>
            </w:r>
          </w:p>
        </w:tc>
        <w:tc>
          <w:tcPr>
            <w:tcW w:w="1094" w:type="dxa"/>
            <w:shd w:val="clear" w:color="auto" w:fill="C6EFCE"/>
            <w:noWrap/>
          </w:tcPr>
          <w:p w14:paraId="23557BD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217D638B" w14:textId="77777777" w:rsidR="00CB0FCB" w:rsidRDefault="009D2B11">
            <w:pPr>
              <w:pStyle w:val="P68B1DB1-Normal9"/>
              <w:spacing w:after="0" w:line="240" w:lineRule="auto"/>
              <w:rPr>
                <w:rFonts w:eastAsia="Times New Roman" w:cs="Calibri"/>
                <w:noProof/>
                <w:szCs w:val="18"/>
              </w:rPr>
            </w:pPr>
            <w:r>
              <w:rPr>
                <w:noProof/>
              </w:rPr>
              <w:t>Zemes rehabilitācija — ietvarlikums</w:t>
            </w:r>
          </w:p>
        </w:tc>
        <w:tc>
          <w:tcPr>
            <w:tcW w:w="1553" w:type="dxa"/>
            <w:shd w:val="clear" w:color="auto" w:fill="C6EFCE"/>
            <w:noWrap/>
          </w:tcPr>
          <w:p w14:paraId="62607CF2" w14:textId="77777777" w:rsidR="00CB0FCB" w:rsidRDefault="009D2B11">
            <w:pPr>
              <w:pStyle w:val="P68B1DB1-Normal9"/>
              <w:spacing w:after="0" w:line="240" w:lineRule="auto"/>
              <w:rPr>
                <w:rFonts w:eastAsia="Times New Roman" w:cs="Calibri"/>
                <w:noProof/>
                <w:szCs w:val="18"/>
              </w:rPr>
            </w:pPr>
            <w:r>
              <w:rPr>
                <w:noProof/>
              </w:rPr>
              <w:t>Stāšanās spēkā</w:t>
            </w:r>
          </w:p>
        </w:tc>
        <w:tc>
          <w:tcPr>
            <w:tcW w:w="1338" w:type="dxa"/>
            <w:shd w:val="clear" w:color="auto" w:fill="C6EFCE"/>
            <w:noWrap/>
          </w:tcPr>
          <w:p w14:paraId="2AA64B9F"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48AFE854"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1F70C8FE"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44DB7005" w14:textId="77777777" w:rsidR="00CB0FCB" w:rsidRDefault="009D2B11">
            <w:pPr>
              <w:pStyle w:val="P68B1DB1-Normal9"/>
              <w:spacing w:after="0" w:line="240" w:lineRule="auto"/>
              <w:rPr>
                <w:rFonts w:eastAsia="Times New Roman" w:cs="Calibri"/>
                <w:noProof/>
                <w:szCs w:val="18"/>
              </w:rPr>
            </w:pPr>
            <w:r>
              <w:rPr>
                <w:noProof/>
              </w:rPr>
              <w:t>Q1</w:t>
            </w:r>
          </w:p>
        </w:tc>
        <w:tc>
          <w:tcPr>
            <w:tcW w:w="720" w:type="dxa"/>
            <w:shd w:val="clear" w:color="auto" w:fill="C6EFCE"/>
            <w:noWrap/>
          </w:tcPr>
          <w:p w14:paraId="31654F0D" w14:textId="77777777" w:rsidR="00CB0FCB" w:rsidRDefault="009D2B11">
            <w:pPr>
              <w:pStyle w:val="P68B1DB1-Normal9"/>
              <w:spacing w:after="0" w:line="240" w:lineRule="auto"/>
              <w:rPr>
                <w:rFonts w:eastAsia="Times New Roman" w:cs="Calibri"/>
                <w:noProof/>
                <w:szCs w:val="18"/>
              </w:rPr>
            </w:pPr>
            <w:r>
              <w:rPr>
                <w:noProof/>
              </w:rPr>
              <w:t>2022</w:t>
            </w:r>
          </w:p>
        </w:tc>
        <w:tc>
          <w:tcPr>
            <w:tcW w:w="3331" w:type="dxa"/>
            <w:shd w:val="clear" w:color="auto" w:fill="C6EFCE"/>
            <w:noWrap/>
          </w:tcPr>
          <w:p w14:paraId="16967A65" w14:textId="77777777" w:rsidR="00CB0FCB" w:rsidRDefault="009D2B11">
            <w:pPr>
              <w:pStyle w:val="P68B1DB1-Normal9"/>
              <w:spacing w:after="0" w:line="240" w:lineRule="auto"/>
              <w:rPr>
                <w:rFonts w:eastAsia="Times New Roman" w:cs="Calibri"/>
                <w:noProof/>
                <w:szCs w:val="18"/>
              </w:rPr>
            </w:pPr>
            <w:r>
              <w:rPr>
                <w:noProof/>
              </w:rPr>
              <w:t>Apstiprināt un stāties spēkā Pamatprogrammas līgumlikumam, ar ko nosaka ģeogrāfiskos apgabalus, kurus Valsts elektroenerģijas korporācija nodod valstij, projektu pētījumu saturu, atbildības sadalījumu starp visām iesaistītajām pusēm, pārvaldības kārtību, īstenošanas grafiku un budžetu.</w:t>
            </w:r>
          </w:p>
        </w:tc>
      </w:tr>
      <w:tr w:rsidR="00CB0FCB" w14:paraId="342971C3" w14:textId="77777777">
        <w:trPr>
          <w:jc w:val="center"/>
        </w:trPr>
        <w:tc>
          <w:tcPr>
            <w:tcW w:w="1120" w:type="dxa"/>
            <w:shd w:val="clear" w:color="auto" w:fill="C6EFCE"/>
            <w:noWrap/>
          </w:tcPr>
          <w:p w14:paraId="71A17A7A" w14:textId="77777777" w:rsidR="00CB0FCB" w:rsidRDefault="009D2B11">
            <w:pPr>
              <w:pStyle w:val="P68B1DB1-Normal9"/>
              <w:spacing w:after="0" w:line="240" w:lineRule="auto"/>
              <w:rPr>
                <w:rFonts w:eastAsia="Times New Roman" w:cs="Calibri"/>
                <w:noProof/>
                <w:szCs w:val="18"/>
              </w:rPr>
            </w:pPr>
            <w:r>
              <w:rPr>
                <w:noProof/>
              </w:rPr>
              <w:t>10</w:t>
            </w:r>
          </w:p>
        </w:tc>
        <w:tc>
          <w:tcPr>
            <w:tcW w:w="1750" w:type="dxa"/>
            <w:shd w:val="clear" w:color="auto" w:fill="C6EFCE"/>
            <w:noWrap/>
          </w:tcPr>
          <w:p w14:paraId="548679BA" w14:textId="77777777" w:rsidR="00CB0FCB" w:rsidRDefault="009D2B11">
            <w:pPr>
              <w:pStyle w:val="P68B1DB1-Normal9"/>
              <w:spacing w:after="0" w:line="240" w:lineRule="auto"/>
              <w:rPr>
                <w:noProof/>
              </w:rPr>
            </w:pPr>
            <w:r>
              <w:rPr>
                <w:noProof/>
              </w:rPr>
              <w:t>1–1.1. Power up — 16871_Atdzīvināšanas darbības visvairāk skartajās teritorijās (taisnīga pārkārtošanās)</w:t>
            </w:r>
          </w:p>
          <w:p w14:paraId="6F1CD144" w14:textId="77777777" w:rsidR="00CB0FCB" w:rsidRDefault="00CB0FCB">
            <w:pPr>
              <w:spacing w:after="0" w:line="240" w:lineRule="auto"/>
              <w:rPr>
                <w:noProof/>
                <w:color w:val="006100"/>
                <w:sz w:val="18"/>
              </w:rPr>
            </w:pPr>
          </w:p>
          <w:p w14:paraId="5AE49B6C" w14:textId="45F8A69E" w:rsidR="00CB0FCB" w:rsidRDefault="009D2B11">
            <w:pPr>
              <w:pStyle w:val="P68B1DB1-Normal9"/>
              <w:spacing w:after="0" w:line="240" w:lineRule="auto"/>
              <w:rPr>
                <w:rFonts w:eastAsia="Times New Roman" w:cs="Calibri"/>
                <w:noProof/>
                <w:szCs w:val="18"/>
              </w:rPr>
            </w:pPr>
            <w:r>
              <w:rPr>
                <w:noProof/>
              </w:rPr>
              <w:t xml:space="preserve"> teritorijas)</w:t>
            </w:r>
          </w:p>
        </w:tc>
        <w:tc>
          <w:tcPr>
            <w:tcW w:w="1094" w:type="dxa"/>
            <w:shd w:val="clear" w:color="auto" w:fill="C6EFCE"/>
            <w:noWrap/>
          </w:tcPr>
          <w:p w14:paraId="0F2B56E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0CB0A4A6" w14:textId="77777777" w:rsidR="00CB0FCB" w:rsidRDefault="009D2B11">
            <w:pPr>
              <w:pStyle w:val="P68B1DB1-Normal9"/>
              <w:spacing w:after="0" w:line="240" w:lineRule="auto"/>
              <w:rPr>
                <w:rFonts w:eastAsia="Times New Roman" w:cs="Calibri"/>
                <w:noProof/>
                <w:szCs w:val="18"/>
              </w:rPr>
            </w:pPr>
            <w:r>
              <w:rPr>
                <w:noProof/>
              </w:rPr>
              <w:t>Zemes rehabilitācija — pilsētplānojumi</w:t>
            </w:r>
          </w:p>
        </w:tc>
        <w:tc>
          <w:tcPr>
            <w:tcW w:w="1553" w:type="dxa"/>
            <w:shd w:val="clear" w:color="auto" w:fill="C6EFCE"/>
            <w:noWrap/>
          </w:tcPr>
          <w:p w14:paraId="6FA91C8A" w14:textId="1C90D03C" w:rsidR="00CB0FCB" w:rsidRDefault="009D2B11">
            <w:pPr>
              <w:pStyle w:val="P68B1DB1-Normal9"/>
              <w:spacing w:after="0" w:line="240" w:lineRule="auto"/>
              <w:rPr>
                <w:rFonts w:eastAsia="Times New Roman" w:cs="Calibri"/>
                <w:noProof/>
                <w:szCs w:val="18"/>
              </w:rPr>
            </w:pPr>
            <w:r>
              <w:rPr>
                <w:noProof/>
              </w:rPr>
              <w:t xml:space="preserve">Pilsētas plānošanas </w:t>
            </w:r>
            <w:r>
              <w:rPr>
                <w:noProof/>
                <w:szCs w:val="18"/>
              </w:rPr>
              <w:t>jautājumu un strīdu centrālā padome apstiprina īpašos pilsētplānošanas plānus</w:t>
            </w:r>
            <w:r>
              <w:rPr>
                <w:noProof/>
              </w:rPr>
              <w:t>;</w:t>
            </w:r>
          </w:p>
          <w:p w14:paraId="45B8C8BA" w14:textId="7A9143AB" w:rsidR="00CB0FCB" w:rsidRDefault="009D2B11">
            <w:pPr>
              <w:spacing w:after="0" w:line="240" w:lineRule="auto"/>
              <w:rPr>
                <w:rFonts w:eastAsia="Times New Roman" w:cs="Calibri"/>
                <w:noProof/>
                <w:color w:val="006100"/>
                <w:sz w:val="18"/>
                <w:szCs w:val="18"/>
              </w:rPr>
            </w:pPr>
            <w:r>
              <w:rPr>
                <w:noProof/>
              </w:rPr>
              <w:t xml:space="preserve"> </w:t>
            </w:r>
            <w:r>
              <w:rPr>
                <w:noProof/>
                <w:color w:val="006100"/>
                <w:sz w:val="18"/>
              </w:rPr>
              <w:t>Land rehabilitation (ha) completed and certified by the Independent Certifier</w:t>
            </w:r>
          </w:p>
        </w:tc>
        <w:tc>
          <w:tcPr>
            <w:tcW w:w="1338" w:type="dxa"/>
            <w:shd w:val="clear" w:color="auto" w:fill="C6EFCE"/>
            <w:noWrap/>
          </w:tcPr>
          <w:p w14:paraId="5CF9654E"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66B04417"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13310FA2"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5C317532" w14:textId="77777777" w:rsidR="00CB0FCB" w:rsidRDefault="009D2B11">
            <w:pPr>
              <w:pStyle w:val="P68B1DB1-Normal9"/>
              <w:spacing w:after="0" w:line="240" w:lineRule="auto"/>
              <w:rPr>
                <w:rFonts w:eastAsia="Times New Roman" w:cs="Calibri"/>
                <w:noProof/>
                <w:szCs w:val="18"/>
              </w:rPr>
            </w:pPr>
            <w:r>
              <w:rPr>
                <w:noProof/>
              </w:rPr>
              <w:t>Q1</w:t>
            </w:r>
          </w:p>
        </w:tc>
        <w:tc>
          <w:tcPr>
            <w:tcW w:w="720" w:type="dxa"/>
            <w:shd w:val="clear" w:color="auto" w:fill="C6EFCE"/>
            <w:noWrap/>
          </w:tcPr>
          <w:p w14:paraId="7069D39B" w14:textId="77777777" w:rsidR="00CB0FCB" w:rsidRDefault="009D2B11">
            <w:pPr>
              <w:pStyle w:val="P68B1DB1-Normal9"/>
              <w:spacing w:after="0" w:line="240" w:lineRule="auto"/>
              <w:rPr>
                <w:rFonts w:eastAsia="Times New Roman" w:cs="Calibri"/>
                <w:noProof/>
                <w:szCs w:val="18"/>
              </w:rPr>
            </w:pPr>
            <w:r>
              <w:rPr>
                <w:noProof/>
              </w:rPr>
              <w:t>2024</w:t>
            </w:r>
          </w:p>
        </w:tc>
        <w:tc>
          <w:tcPr>
            <w:tcW w:w="3331" w:type="dxa"/>
            <w:shd w:val="clear" w:color="auto" w:fill="C6EFCE"/>
            <w:noWrap/>
          </w:tcPr>
          <w:p w14:paraId="26E7D659" w14:textId="31DDE7F7" w:rsidR="00CB0FCB" w:rsidRDefault="009D2B11">
            <w:pPr>
              <w:pStyle w:val="P68B1DB1-Normal10"/>
              <w:spacing w:after="0" w:line="240" w:lineRule="auto"/>
              <w:rPr>
                <w:rFonts w:eastAsia="Times New Roman" w:cs="Calibri"/>
                <w:noProof/>
              </w:rPr>
            </w:pPr>
            <w:r>
              <w:rPr>
                <w:noProof/>
              </w:rPr>
              <w:t>1) Pilsētu plānošanas jautājumu un strīdu centrālā padome apstiprina īpašos pilsētplānošanas plānus. Īpašajos pilsētu plānos nosaka atļauto zemes izmantojumu, vispārējos būvniecības nosacījumus un ierobežojumus, kā arī visus citus nepieciešamos pasākumus, terminus vai ierobežojumus.</w:t>
            </w:r>
          </w:p>
          <w:p w14:paraId="2716E3AF" w14:textId="38B9C839" w:rsidR="00CB0FCB" w:rsidRDefault="009D2B11">
            <w:pPr>
              <w:pStyle w:val="P68B1DB1-Normal10"/>
              <w:spacing w:after="0" w:line="240" w:lineRule="auto"/>
              <w:rPr>
                <w:rFonts w:eastAsia="Times New Roman" w:cs="Calibri"/>
                <w:noProof/>
              </w:rPr>
            </w:pPr>
            <w:r>
              <w:rPr>
                <w:noProof/>
              </w:rPr>
              <w:t xml:space="preserve">2) PPC SA aicinājums (saskaņā ar Pamatnolīguma 6.5.3. punktu, kas ratificēts ar Likumu 4956/2022) līgumslēdzējām pusēm pieņemt 5 438 ha atjaunotas vai netraucētas zemes, kam seko neatkarīgā sertificētāja veikta sertifikācija. </w:t>
            </w:r>
          </w:p>
        </w:tc>
      </w:tr>
      <w:tr w:rsidR="00CB0FCB" w14:paraId="7FF4CDD4" w14:textId="77777777">
        <w:trPr>
          <w:jc w:val="center"/>
        </w:trPr>
        <w:tc>
          <w:tcPr>
            <w:tcW w:w="1120" w:type="dxa"/>
            <w:shd w:val="clear" w:color="auto" w:fill="C6EFCE"/>
            <w:noWrap/>
          </w:tcPr>
          <w:p w14:paraId="34FE20BB" w14:textId="77777777" w:rsidR="00CB0FCB" w:rsidRDefault="009D2B11">
            <w:pPr>
              <w:pStyle w:val="P68B1DB1-Normal9"/>
              <w:spacing w:after="0" w:line="240" w:lineRule="auto"/>
              <w:rPr>
                <w:rFonts w:eastAsia="Times New Roman" w:cs="Calibri"/>
                <w:noProof/>
                <w:szCs w:val="18"/>
              </w:rPr>
            </w:pPr>
            <w:r>
              <w:rPr>
                <w:noProof/>
              </w:rPr>
              <w:t>11</w:t>
            </w:r>
          </w:p>
        </w:tc>
        <w:tc>
          <w:tcPr>
            <w:tcW w:w="1750" w:type="dxa"/>
            <w:shd w:val="clear" w:color="auto" w:fill="C6EFCE"/>
            <w:noWrap/>
          </w:tcPr>
          <w:p w14:paraId="143A6613" w14:textId="77777777" w:rsidR="00CB0FCB" w:rsidRDefault="009D2B11">
            <w:pPr>
              <w:pStyle w:val="P68B1DB1-Normal9"/>
              <w:spacing w:after="0" w:line="240" w:lineRule="auto"/>
              <w:rPr>
                <w:rFonts w:eastAsia="Times New Roman" w:cs="Calibri"/>
                <w:noProof/>
                <w:szCs w:val="18"/>
              </w:rPr>
            </w:pPr>
            <w:r>
              <w:rPr>
                <w:noProof/>
              </w:rPr>
              <w:t>1–1.1. Jaudas palielināšana — 16926_Atbalsts uzglabāšanas sistēmu uzstādīšanai, lai veicinātu AER iekļūšanu</w:t>
            </w:r>
          </w:p>
        </w:tc>
        <w:tc>
          <w:tcPr>
            <w:tcW w:w="1094" w:type="dxa"/>
            <w:shd w:val="clear" w:color="auto" w:fill="C6EFCE"/>
            <w:noWrap/>
          </w:tcPr>
          <w:p w14:paraId="1F6AACF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5A7A2CD6" w14:textId="77777777" w:rsidR="00CB0FCB" w:rsidRDefault="009D2B11">
            <w:pPr>
              <w:pStyle w:val="P68B1DB1-Normal9"/>
              <w:spacing w:after="0" w:line="240" w:lineRule="auto"/>
              <w:rPr>
                <w:rFonts w:eastAsia="Times New Roman" w:cs="Calibri"/>
                <w:noProof/>
                <w:szCs w:val="18"/>
              </w:rPr>
            </w:pPr>
            <w:r>
              <w:rPr>
                <w:noProof/>
              </w:rPr>
              <w:t>Uzglabāšana — līgumi</w:t>
            </w:r>
          </w:p>
        </w:tc>
        <w:tc>
          <w:tcPr>
            <w:tcW w:w="1553" w:type="dxa"/>
            <w:shd w:val="clear" w:color="auto" w:fill="C6EFCE"/>
            <w:noWrap/>
          </w:tcPr>
          <w:p w14:paraId="1C16F4EC" w14:textId="77777777" w:rsidR="00CB0FCB" w:rsidRDefault="009D2B11">
            <w:pPr>
              <w:pStyle w:val="P68B1DB1-Normal9"/>
              <w:spacing w:after="0" w:line="240" w:lineRule="auto"/>
              <w:rPr>
                <w:rFonts w:eastAsia="Times New Roman" w:cs="Calibri"/>
                <w:noProof/>
                <w:szCs w:val="18"/>
              </w:rPr>
            </w:pPr>
            <w:r>
              <w:rPr>
                <w:noProof/>
              </w:rPr>
              <w:t>Paziņojums par visu līgumu slēgšanas tiesību piešķiršanu</w:t>
            </w:r>
          </w:p>
        </w:tc>
        <w:tc>
          <w:tcPr>
            <w:tcW w:w="1338" w:type="dxa"/>
            <w:shd w:val="clear" w:color="auto" w:fill="C6EFCE"/>
            <w:noWrap/>
          </w:tcPr>
          <w:p w14:paraId="37BEB9C8"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2AEA0267"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6E6AED9A"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172A1207" w14:textId="77777777" w:rsidR="00CB0FCB" w:rsidRDefault="009D2B11">
            <w:pPr>
              <w:pStyle w:val="P68B1DB1-Normal9"/>
              <w:spacing w:after="0" w:line="240" w:lineRule="auto"/>
              <w:rPr>
                <w:rFonts w:eastAsia="Times New Roman" w:cs="Calibri"/>
                <w:noProof/>
                <w:szCs w:val="18"/>
              </w:rPr>
            </w:pPr>
            <w:r>
              <w:rPr>
                <w:noProof/>
              </w:rPr>
              <w:t>2. CET.</w:t>
            </w:r>
          </w:p>
        </w:tc>
        <w:tc>
          <w:tcPr>
            <w:tcW w:w="720" w:type="dxa"/>
            <w:shd w:val="clear" w:color="auto" w:fill="C6EFCE"/>
            <w:noWrap/>
          </w:tcPr>
          <w:p w14:paraId="44024B5E" w14:textId="77777777" w:rsidR="00CB0FCB" w:rsidRDefault="009D2B11">
            <w:pPr>
              <w:pStyle w:val="P68B1DB1-Normal9"/>
              <w:spacing w:after="0" w:line="240" w:lineRule="auto"/>
              <w:rPr>
                <w:rFonts w:eastAsia="Times New Roman" w:cs="Calibri"/>
                <w:noProof/>
                <w:szCs w:val="18"/>
              </w:rPr>
            </w:pPr>
            <w:r>
              <w:rPr>
                <w:noProof/>
              </w:rPr>
              <w:t>2023</w:t>
            </w:r>
          </w:p>
        </w:tc>
        <w:tc>
          <w:tcPr>
            <w:tcW w:w="3331" w:type="dxa"/>
            <w:shd w:val="clear" w:color="auto" w:fill="C6EFCE"/>
            <w:noWrap/>
          </w:tcPr>
          <w:p w14:paraId="2712312A" w14:textId="77777777" w:rsidR="00CB0FCB" w:rsidRDefault="009D2B11">
            <w:pPr>
              <w:pStyle w:val="P68B1DB1-Normal9"/>
              <w:spacing w:after="0" w:line="240" w:lineRule="auto"/>
              <w:rPr>
                <w:rFonts w:eastAsia="Times New Roman" w:cs="Calibri"/>
                <w:noProof/>
                <w:szCs w:val="18"/>
                <w:highlight w:val="yellow"/>
              </w:rPr>
            </w:pPr>
            <w:r>
              <w:rPr>
                <w:noProof/>
              </w:rPr>
              <w:t>Paziņojums par visu atlasīto projektu (t. i., papildus Amfilochia Pumped Hydro Storage, kas atlasīta individuālā procesā) līgumu slēgšanas tiesību piešķiršanu par kopējo jaudu līdz 700 MW (un minimālo jaudu 500 MW).</w:t>
            </w:r>
          </w:p>
        </w:tc>
      </w:tr>
      <w:tr w:rsidR="00CB0FCB" w14:paraId="4F427C33" w14:textId="77777777">
        <w:trPr>
          <w:jc w:val="center"/>
        </w:trPr>
        <w:tc>
          <w:tcPr>
            <w:tcW w:w="1120" w:type="dxa"/>
            <w:shd w:val="clear" w:color="auto" w:fill="C6EFCE"/>
            <w:noWrap/>
          </w:tcPr>
          <w:p w14:paraId="6D893958" w14:textId="77777777" w:rsidR="00CB0FCB" w:rsidRDefault="009D2B11">
            <w:pPr>
              <w:pStyle w:val="P68B1DB1-Normal10"/>
              <w:spacing w:after="0" w:line="240" w:lineRule="auto"/>
              <w:rPr>
                <w:rFonts w:eastAsia="Times New Roman" w:cs="Calibri"/>
                <w:noProof/>
              </w:rPr>
            </w:pPr>
            <w:r>
              <w:rPr>
                <w:noProof/>
              </w:rPr>
              <w:t>12</w:t>
            </w:r>
          </w:p>
        </w:tc>
        <w:tc>
          <w:tcPr>
            <w:tcW w:w="1750" w:type="dxa"/>
            <w:shd w:val="clear" w:color="auto" w:fill="C6EFCE"/>
            <w:noWrap/>
          </w:tcPr>
          <w:p w14:paraId="4469E492" w14:textId="77777777" w:rsidR="00CB0FCB" w:rsidRDefault="009D2B11">
            <w:pPr>
              <w:pStyle w:val="P68B1DB1-Normal9"/>
              <w:spacing w:after="0" w:line="240" w:lineRule="auto"/>
              <w:rPr>
                <w:rFonts w:eastAsia="Times New Roman" w:cs="Calibri"/>
                <w:noProof/>
                <w:szCs w:val="18"/>
              </w:rPr>
            </w:pPr>
            <w:r>
              <w:rPr>
                <w:noProof/>
              </w:rPr>
              <w:t>1–1.1. Jaudas palielināšana — 16901_HEDNO tīkla modernizācija, kuras mērķis ir uzlabot noturību un aizsargāt vidi</w:t>
            </w:r>
          </w:p>
        </w:tc>
        <w:tc>
          <w:tcPr>
            <w:tcW w:w="1094" w:type="dxa"/>
            <w:shd w:val="clear" w:color="auto" w:fill="C6EFCE"/>
            <w:noWrap/>
          </w:tcPr>
          <w:p w14:paraId="2D729BC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20CE892B" w14:textId="77777777" w:rsidR="00CB0FCB" w:rsidRDefault="009D2B11">
            <w:pPr>
              <w:pStyle w:val="P68B1DB1-Normal9"/>
              <w:spacing w:after="0" w:line="240" w:lineRule="auto"/>
              <w:rPr>
                <w:rFonts w:eastAsia="Times New Roman" w:cs="Calibri"/>
                <w:noProof/>
                <w:szCs w:val="18"/>
              </w:rPr>
            </w:pPr>
            <w:r>
              <w:rPr>
                <w:noProof/>
              </w:rPr>
              <w:t>HEDNO — līgumi 1</w:t>
            </w:r>
          </w:p>
        </w:tc>
        <w:tc>
          <w:tcPr>
            <w:tcW w:w="1553" w:type="dxa"/>
            <w:shd w:val="clear" w:color="auto" w:fill="C6EFCE"/>
            <w:noWrap/>
          </w:tcPr>
          <w:p w14:paraId="2E70FDBB" w14:textId="77777777" w:rsidR="00CB0FCB" w:rsidRDefault="009D2B11">
            <w:pPr>
              <w:pStyle w:val="P68B1DB1-Normal9"/>
              <w:spacing w:after="0" w:line="240" w:lineRule="auto"/>
              <w:rPr>
                <w:rFonts w:eastAsia="Times New Roman" w:cs="Calibri"/>
                <w:noProof/>
                <w:szCs w:val="18"/>
              </w:rPr>
            </w:pPr>
            <w:r>
              <w:rPr>
                <w:noProof/>
              </w:rPr>
              <w:t>Paziņojums par visu līgumu slēgšanas tiesību piešķiršanu</w:t>
            </w:r>
          </w:p>
        </w:tc>
        <w:tc>
          <w:tcPr>
            <w:tcW w:w="1338" w:type="dxa"/>
            <w:shd w:val="clear" w:color="auto" w:fill="C6EFCE"/>
            <w:noWrap/>
          </w:tcPr>
          <w:p w14:paraId="3FC2B0DF"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2B082EDC"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73FA6B36"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68EFE6C8"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shd w:val="clear" w:color="auto" w:fill="C6EFCE"/>
            <w:noWrap/>
          </w:tcPr>
          <w:p w14:paraId="567583B6" w14:textId="77777777" w:rsidR="00CB0FCB" w:rsidRDefault="009D2B11">
            <w:pPr>
              <w:pStyle w:val="P68B1DB1-Normal9"/>
              <w:spacing w:after="0" w:line="240" w:lineRule="auto"/>
              <w:rPr>
                <w:rFonts w:eastAsia="Times New Roman" w:cs="Calibri"/>
                <w:noProof/>
                <w:szCs w:val="18"/>
              </w:rPr>
            </w:pPr>
            <w:r>
              <w:rPr>
                <w:noProof/>
              </w:rPr>
              <w:t>2023</w:t>
            </w:r>
          </w:p>
        </w:tc>
        <w:tc>
          <w:tcPr>
            <w:tcW w:w="3331" w:type="dxa"/>
            <w:shd w:val="clear" w:color="auto" w:fill="C6EFCE"/>
            <w:noWrap/>
          </w:tcPr>
          <w:p w14:paraId="754ABD06" w14:textId="5D1115EA" w:rsidR="00CB0FCB" w:rsidRDefault="009D2B11">
            <w:pPr>
              <w:pStyle w:val="P68B1DB1-Normal10"/>
              <w:spacing w:after="0" w:line="240" w:lineRule="auto"/>
              <w:rPr>
                <w:rFonts w:eastAsia="Times New Roman" w:cs="Calibri"/>
                <w:noProof/>
              </w:rPr>
            </w:pPr>
            <w:r>
              <w:rPr>
                <w:noProof/>
              </w:rPr>
              <w:t>Paziņojums par visu to līgumu slēgšanas tiesību piešķiršanu, kas saistīti ar Grieķijas elektroenerģijas sadales tīkla operatora (HEDNO) projektiem par noturības un vides uzlabojumiem), kura mērķis ir veicināt atjaunīgās enerģijas plašāku izplatību un uzlabot tīkla uzticamību un noturību, vienlaikus aizsargājot vidi.</w:t>
            </w:r>
          </w:p>
        </w:tc>
      </w:tr>
      <w:tr w:rsidR="00CB0FCB" w14:paraId="2F30EFE5" w14:textId="77777777">
        <w:trPr>
          <w:jc w:val="center"/>
        </w:trPr>
        <w:tc>
          <w:tcPr>
            <w:tcW w:w="1120" w:type="dxa"/>
            <w:shd w:val="clear" w:color="auto" w:fill="C6EFCE"/>
            <w:noWrap/>
          </w:tcPr>
          <w:p w14:paraId="44A39575" w14:textId="77777777" w:rsidR="00CB0FCB" w:rsidRDefault="009D2B11">
            <w:pPr>
              <w:pStyle w:val="P68B1DB1-Normal10"/>
              <w:spacing w:after="0" w:line="240" w:lineRule="auto"/>
              <w:rPr>
                <w:rFonts w:eastAsia="Times New Roman" w:cs="Calibri"/>
                <w:noProof/>
              </w:rPr>
            </w:pPr>
            <w:r>
              <w:rPr>
                <w:noProof/>
              </w:rPr>
              <w:t>13</w:t>
            </w:r>
          </w:p>
        </w:tc>
        <w:tc>
          <w:tcPr>
            <w:tcW w:w="1750" w:type="dxa"/>
            <w:shd w:val="clear" w:color="auto" w:fill="C6EFCE"/>
            <w:noWrap/>
          </w:tcPr>
          <w:p w14:paraId="52A976AE" w14:textId="77777777" w:rsidR="00CB0FCB" w:rsidRDefault="009D2B11">
            <w:pPr>
              <w:pStyle w:val="P68B1DB1-Normal9"/>
              <w:spacing w:after="0" w:line="240" w:lineRule="auto"/>
              <w:rPr>
                <w:rFonts w:eastAsia="Times New Roman" w:cs="Calibri"/>
                <w:noProof/>
                <w:szCs w:val="18"/>
              </w:rPr>
            </w:pPr>
            <w:r>
              <w:rPr>
                <w:noProof/>
              </w:rPr>
              <w:t>1–1.1. Jaudas palielināšana — 16900_HEDNO gaisvadu tīkla modernizācija meža teritorijās</w:t>
            </w:r>
          </w:p>
        </w:tc>
        <w:tc>
          <w:tcPr>
            <w:tcW w:w="1094" w:type="dxa"/>
            <w:shd w:val="clear" w:color="auto" w:fill="C6EFCE"/>
            <w:noWrap/>
          </w:tcPr>
          <w:p w14:paraId="4A3ACE7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4D10BD72" w14:textId="77777777" w:rsidR="00CB0FCB" w:rsidRDefault="009D2B11">
            <w:pPr>
              <w:pStyle w:val="P68B1DB1-Normal9"/>
              <w:spacing w:after="0" w:line="240" w:lineRule="auto"/>
              <w:rPr>
                <w:rFonts w:eastAsia="Times New Roman" w:cs="Calibri"/>
                <w:noProof/>
                <w:szCs w:val="18"/>
              </w:rPr>
            </w:pPr>
            <w:r>
              <w:rPr>
                <w:noProof/>
              </w:rPr>
              <w:t>HEDNO — līgumi 2</w:t>
            </w:r>
          </w:p>
        </w:tc>
        <w:tc>
          <w:tcPr>
            <w:tcW w:w="1553" w:type="dxa"/>
            <w:shd w:val="clear" w:color="auto" w:fill="C6EFCE"/>
            <w:noWrap/>
          </w:tcPr>
          <w:p w14:paraId="16409A0E" w14:textId="77777777" w:rsidR="00CB0FCB" w:rsidRDefault="009D2B11">
            <w:pPr>
              <w:pStyle w:val="P68B1DB1-Normal9"/>
              <w:spacing w:after="0" w:line="240" w:lineRule="auto"/>
              <w:rPr>
                <w:rFonts w:eastAsia="Times New Roman" w:cs="Calibri"/>
                <w:noProof/>
                <w:szCs w:val="18"/>
              </w:rPr>
            </w:pPr>
            <w:r>
              <w:rPr>
                <w:noProof/>
              </w:rPr>
              <w:t>Paziņojums par visu līgumu slēgšanas tiesību piešķiršanu</w:t>
            </w:r>
          </w:p>
        </w:tc>
        <w:tc>
          <w:tcPr>
            <w:tcW w:w="1338" w:type="dxa"/>
            <w:shd w:val="clear" w:color="auto" w:fill="C6EFCE"/>
            <w:noWrap/>
          </w:tcPr>
          <w:p w14:paraId="4762C42E"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330D0249"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151D81BD"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2806F39F"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shd w:val="clear" w:color="auto" w:fill="C6EFCE"/>
            <w:noWrap/>
          </w:tcPr>
          <w:p w14:paraId="2DBCEAF0" w14:textId="77777777" w:rsidR="00CB0FCB" w:rsidRDefault="009D2B11">
            <w:pPr>
              <w:pStyle w:val="P68B1DB1-Normal9"/>
              <w:spacing w:after="0" w:line="240" w:lineRule="auto"/>
              <w:rPr>
                <w:rFonts w:eastAsia="Times New Roman" w:cs="Calibri"/>
                <w:noProof/>
                <w:szCs w:val="18"/>
              </w:rPr>
            </w:pPr>
            <w:r>
              <w:rPr>
                <w:noProof/>
              </w:rPr>
              <w:t>2023</w:t>
            </w:r>
          </w:p>
        </w:tc>
        <w:tc>
          <w:tcPr>
            <w:tcW w:w="3331" w:type="dxa"/>
            <w:shd w:val="clear" w:color="auto" w:fill="C6EFCE"/>
            <w:noWrap/>
          </w:tcPr>
          <w:p w14:paraId="438DBA4D" w14:textId="7382973C" w:rsidR="00CB0FCB" w:rsidRDefault="009D2B11">
            <w:pPr>
              <w:pStyle w:val="P68B1DB1-Normal10"/>
              <w:spacing w:after="0" w:line="240" w:lineRule="auto"/>
              <w:rPr>
                <w:rFonts w:eastAsia="Times New Roman" w:cs="Calibri"/>
                <w:noProof/>
              </w:rPr>
            </w:pPr>
            <w:r>
              <w:rPr>
                <w:noProof/>
              </w:rPr>
              <w:t>Paziņojums par visu tādu līgumu slēgšanas tiesību piešķiršanu, kas saistīti ar HEDNO projektiem gaisvadu tīklos meža teritorijās, kuru mērķis ir veicināt atjaunīgās enerģijas plašāku izmantošanu un uzlabot tīkla uzticamību un noturību, vienlaikus aizsargājot vidi.</w:t>
            </w:r>
          </w:p>
        </w:tc>
      </w:tr>
      <w:tr w:rsidR="00CB0FCB" w14:paraId="411F7792" w14:textId="77777777">
        <w:trPr>
          <w:jc w:val="center"/>
        </w:trPr>
        <w:tc>
          <w:tcPr>
            <w:tcW w:w="1120" w:type="dxa"/>
            <w:shd w:val="clear" w:color="auto" w:fill="C6EFCE"/>
            <w:noWrap/>
          </w:tcPr>
          <w:p w14:paraId="036FE875" w14:textId="77777777" w:rsidR="00CB0FCB" w:rsidRDefault="009D2B11">
            <w:pPr>
              <w:pStyle w:val="P68B1DB1-Normal10"/>
              <w:spacing w:after="0" w:line="240" w:lineRule="auto"/>
              <w:rPr>
                <w:rFonts w:eastAsia="Times New Roman" w:cs="Calibri"/>
                <w:noProof/>
              </w:rPr>
            </w:pPr>
            <w:r>
              <w:rPr>
                <w:noProof/>
              </w:rPr>
              <w:t>14</w:t>
            </w:r>
          </w:p>
        </w:tc>
        <w:tc>
          <w:tcPr>
            <w:tcW w:w="1750" w:type="dxa"/>
            <w:shd w:val="clear" w:color="auto" w:fill="C6EFCE"/>
            <w:noWrap/>
          </w:tcPr>
          <w:p w14:paraId="77356FD2" w14:textId="77777777" w:rsidR="00CB0FCB" w:rsidRDefault="009D2B11">
            <w:pPr>
              <w:pStyle w:val="P68B1DB1-Normal9"/>
              <w:spacing w:after="0" w:line="240" w:lineRule="auto"/>
              <w:rPr>
                <w:rFonts w:eastAsia="Times New Roman" w:cs="Calibri"/>
                <w:noProof/>
                <w:szCs w:val="18"/>
              </w:rPr>
            </w:pPr>
            <w:r>
              <w:rPr>
                <w:noProof/>
              </w:rPr>
              <w:t>1–1.1. Elektroenerģijas ražošana — 16899_uzstādītais jaudas palielinājums Grieķijas elektroenerģijas sadales tīkla operatora (HEDNO) HV/MV apakšstacijās jaunam AER pieslēgumam</w:t>
            </w:r>
          </w:p>
        </w:tc>
        <w:tc>
          <w:tcPr>
            <w:tcW w:w="1094" w:type="dxa"/>
            <w:shd w:val="clear" w:color="auto" w:fill="C6EFCE"/>
            <w:noWrap/>
          </w:tcPr>
          <w:p w14:paraId="580FC8A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7091376F" w14:textId="77777777" w:rsidR="00CB0FCB" w:rsidRDefault="009D2B11">
            <w:pPr>
              <w:pStyle w:val="P68B1DB1-Normal9"/>
              <w:spacing w:after="0" w:line="240" w:lineRule="auto"/>
              <w:rPr>
                <w:rFonts w:eastAsia="Times New Roman" w:cs="Calibri"/>
                <w:noProof/>
                <w:szCs w:val="18"/>
              </w:rPr>
            </w:pPr>
            <w:r>
              <w:rPr>
                <w:noProof/>
              </w:rPr>
              <w:t>HEDNO — līgumi 3</w:t>
            </w:r>
          </w:p>
        </w:tc>
        <w:tc>
          <w:tcPr>
            <w:tcW w:w="1553" w:type="dxa"/>
            <w:shd w:val="clear" w:color="auto" w:fill="C6EFCE"/>
            <w:noWrap/>
          </w:tcPr>
          <w:p w14:paraId="0E0880D5" w14:textId="77777777" w:rsidR="00CB0FCB" w:rsidRDefault="009D2B11">
            <w:pPr>
              <w:pStyle w:val="P68B1DB1-Normal9"/>
              <w:spacing w:after="0" w:line="240" w:lineRule="auto"/>
              <w:rPr>
                <w:rFonts w:eastAsia="Times New Roman" w:cs="Calibri"/>
                <w:noProof/>
                <w:szCs w:val="18"/>
              </w:rPr>
            </w:pPr>
            <w:r>
              <w:rPr>
                <w:noProof/>
              </w:rPr>
              <w:t>Paziņojums par visu līgumu slēgšanas tiesību piešķiršanu</w:t>
            </w:r>
          </w:p>
        </w:tc>
        <w:tc>
          <w:tcPr>
            <w:tcW w:w="1338" w:type="dxa"/>
            <w:shd w:val="clear" w:color="auto" w:fill="C6EFCE"/>
            <w:noWrap/>
          </w:tcPr>
          <w:p w14:paraId="7743273E"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66457ABE"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1282C9BB"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3E81C454"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shd w:val="clear" w:color="auto" w:fill="C6EFCE"/>
            <w:noWrap/>
          </w:tcPr>
          <w:p w14:paraId="1355A99A" w14:textId="77777777" w:rsidR="00CB0FCB" w:rsidRDefault="009D2B11">
            <w:pPr>
              <w:pStyle w:val="P68B1DB1-Normal9"/>
              <w:spacing w:after="0" w:line="240" w:lineRule="auto"/>
              <w:rPr>
                <w:rFonts w:eastAsia="Times New Roman" w:cs="Calibri"/>
                <w:noProof/>
                <w:szCs w:val="18"/>
              </w:rPr>
            </w:pPr>
            <w:r>
              <w:rPr>
                <w:noProof/>
              </w:rPr>
              <w:t>2023</w:t>
            </w:r>
          </w:p>
        </w:tc>
        <w:tc>
          <w:tcPr>
            <w:tcW w:w="3331" w:type="dxa"/>
            <w:shd w:val="clear" w:color="auto" w:fill="C6EFCE"/>
            <w:noWrap/>
          </w:tcPr>
          <w:p w14:paraId="58583FAD" w14:textId="48DADD86" w:rsidR="00CB0FCB" w:rsidRDefault="009D2B11">
            <w:pPr>
              <w:pStyle w:val="P68B1DB1-Normal10"/>
              <w:spacing w:after="0" w:line="240" w:lineRule="auto"/>
              <w:rPr>
                <w:rFonts w:eastAsia="Times New Roman" w:cs="Calibri"/>
                <w:noProof/>
              </w:rPr>
            </w:pPr>
            <w:r>
              <w:rPr>
                <w:noProof/>
              </w:rPr>
              <w:t>Paziņojums par visu to līgumu slēgšanas tiesību piešķiršanu, kas saistīti ar HEDNO projektiem par augstsprieguma/vidēja sprieguma apakšstaciju jaudas palielināšanu, lai veicinātu atjaunīgās enerģijas plašāku izmantošanu un uzlabotu tīkla uzticamību un noturību, vienlaikus aizsargājot vidi.</w:t>
            </w:r>
          </w:p>
          <w:p w14:paraId="4C8FBBAB" w14:textId="77777777" w:rsidR="00CB0FCB" w:rsidRDefault="00CB0FCB">
            <w:pPr>
              <w:spacing w:after="0" w:line="240" w:lineRule="auto"/>
              <w:rPr>
                <w:rFonts w:eastAsia="Times New Roman" w:cs="Calibri"/>
                <w:noProof/>
                <w:color w:val="006100"/>
                <w:sz w:val="18"/>
                <w:szCs w:val="18"/>
              </w:rPr>
            </w:pPr>
          </w:p>
        </w:tc>
      </w:tr>
      <w:tr w:rsidR="00CB0FCB" w14:paraId="0D5E3D08" w14:textId="77777777">
        <w:trPr>
          <w:jc w:val="center"/>
        </w:trPr>
        <w:tc>
          <w:tcPr>
            <w:tcW w:w="1120" w:type="dxa"/>
            <w:shd w:val="clear" w:color="auto" w:fill="C6EFCE"/>
            <w:noWrap/>
          </w:tcPr>
          <w:p w14:paraId="6F3AFDD1" w14:textId="77777777" w:rsidR="00CB0FCB" w:rsidRDefault="009D2B11">
            <w:pPr>
              <w:pStyle w:val="P68B1DB1-Normal9"/>
              <w:spacing w:after="0" w:line="240" w:lineRule="auto"/>
              <w:rPr>
                <w:rFonts w:eastAsia="Times New Roman" w:cs="Calibri"/>
                <w:noProof/>
                <w:szCs w:val="18"/>
              </w:rPr>
            </w:pPr>
            <w:r>
              <w:rPr>
                <w:noProof/>
              </w:rPr>
              <w:t>15</w:t>
            </w:r>
          </w:p>
        </w:tc>
        <w:tc>
          <w:tcPr>
            <w:tcW w:w="1750" w:type="dxa"/>
            <w:shd w:val="clear" w:color="auto" w:fill="C6EFCE"/>
            <w:noWrap/>
          </w:tcPr>
          <w:p w14:paraId="45283CB4" w14:textId="77777777" w:rsidR="00CB0FCB" w:rsidRDefault="009D2B11">
            <w:pPr>
              <w:pStyle w:val="P68B1DB1-Normal9"/>
              <w:spacing w:after="0" w:line="240" w:lineRule="auto"/>
              <w:rPr>
                <w:rFonts w:eastAsia="Times New Roman" w:cs="Calibri"/>
                <w:noProof/>
                <w:szCs w:val="18"/>
              </w:rPr>
            </w:pPr>
            <w:r>
              <w:rPr>
                <w:noProof/>
              </w:rPr>
              <w:t>1–1.1. Power up — 16871_Atdzīvināšanas darbības visvairāk skartajās teritorijās (taisnīgas pārkārtošanās teritorijas)</w:t>
            </w:r>
          </w:p>
        </w:tc>
        <w:tc>
          <w:tcPr>
            <w:tcW w:w="1094" w:type="dxa"/>
            <w:shd w:val="clear" w:color="auto" w:fill="C6EFCE"/>
            <w:noWrap/>
          </w:tcPr>
          <w:p w14:paraId="33AD8FF2" w14:textId="77777777" w:rsidR="00CB0FCB" w:rsidRDefault="009D2B11">
            <w:pPr>
              <w:pStyle w:val="P68B1DB1-Normal9"/>
              <w:spacing w:after="0" w:line="240" w:lineRule="auto"/>
              <w:rPr>
                <w:rFonts w:eastAsia="Times New Roman" w:cs="Calibri"/>
                <w:noProof/>
                <w:szCs w:val="18"/>
              </w:rPr>
            </w:pPr>
            <w:r>
              <w:rPr>
                <w:noProof/>
              </w:rPr>
              <w:t>Mērķa</w:t>
            </w:r>
          </w:p>
          <w:p w14:paraId="2478067D" w14:textId="77777777" w:rsidR="00CB0FCB" w:rsidRDefault="00CB0FCB">
            <w:pPr>
              <w:spacing w:after="0" w:line="240" w:lineRule="auto"/>
              <w:rPr>
                <w:rFonts w:eastAsia="Times New Roman" w:cs="Calibri"/>
                <w:noProof/>
                <w:color w:val="006100"/>
                <w:sz w:val="18"/>
                <w:szCs w:val="18"/>
              </w:rPr>
            </w:pPr>
          </w:p>
          <w:p w14:paraId="2B9DBF81" w14:textId="77777777" w:rsidR="00CB0FCB" w:rsidRDefault="00CB0FCB">
            <w:pPr>
              <w:spacing w:after="0" w:line="240" w:lineRule="auto"/>
              <w:rPr>
                <w:rFonts w:eastAsia="Times New Roman" w:cs="Calibri"/>
                <w:noProof/>
                <w:color w:val="006100"/>
                <w:sz w:val="18"/>
                <w:szCs w:val="18"/>
              </w:rPr>
            </w:pPr>
          </w:p>
        </w:tc>
        <w:tc>
          <w:tcPr>
            <w:tcW w:w="1206" w:type="dxa"/>
            <w:shd w:val="clear" w:color="auto" w:fill="C6EFCE"/>
            <w:noWrap/>
          </w:tcPr>
          <w:p w14:paraId="5DC88663" w14:textId="77777777" w:rsidR="00CB0FCB" w:rsidRDefault="009D2B11">
            <w:pPr>
              <w:pStyle w:val="P68B1DB1-Normal9"/>
              <w:spacing w:after="0" w:line="240" w:lineRule="auto"/>
              <w:rPr>
                <w:rFonts w:eastAsia="Times New Roman" w:cs="Calibri"/>
                <w:noProof/>
                <w:szCs w:val="18"/>
              </w:rPr>
            </w:pPr>
            <w:r>
              <w:rPr>
                <w:noProof/>
              </w:rPr>
              <w:t>Zemes atjaunošana — pabeigšana</w:t>
            </w:r>
          </w:p>
        </w:tc>
        <w:tc>
          <w:tcPr>
            <w:tcW w:w="1553" w:type="dxa"/>
            <w:shd w:val="clear" w:color="auto" w:fill="C6EFCE"/>
            <w:noWrap/>
          </w:tcPr>
          <w:p w14:paraId="70D86B97" w14:textId="41485F01" w:rsidR="00CB0FCB" w:rsidRDefault="00CB0FCB">
            <w:pPr>
              <w:spacing w:before="120" w:after="0" w:line="240" w:lineRule="auto"/>
              <w:jc w:val="both"/>
              <w:rPr>
                <w:rFonts w:eastAsia="Times New Roman" w:cs="Calibri"/>
                <w:noProof/>
                <w:color w:val="006100"/>
                <w:sz w:val="18"/>
                <w:szCs w:val="18"/>
              </w:rPr>
            </w:pPr>
          </w:p>
        </w:tc>
        <w:tc>
          <w:tcPr>
            <w:tcW w:w="1338" w:type="dxa"/>
            <w:shd w:val="clear" w:color="auto" w:fill="C6EFCE"/>
            <w:noWrap/>
          </w:tcPr>
          <w:p w14:paraId="39A461B6" w14:textId="4A42FBC3" w:rsidR="00CB0FCB" w:rsidRDefault="009D2B11">
            <w:pPr>
              <w:pStyle w:val="P68B1DB1-Normal9"/>
              <w:spacing w:after="0" w:line="240" w:lineRule="auto"/>
              <w:rPr>
                <w:rFonts w:eastAsia="Times New Roman" w:cs="Calibri"/>
                <w:noProof/>
                <w:szCs w:val="18"/>
              </w:rPr>
            </w:pPr>
            <w:r>
              <w:rPr>
                <w:noProof/>
              </w:rPr>
              <w:t>Zemes rehabilitācija (ha), ko pabeidzis un apstiprinājis neatkarīgais sertificētājs</w:t>
            </w:r>
          </w:p>
        </w:tc>
        <w:tc>
          <w:tcPr>
            <w:tcW w:w="927" w:type="dxa"/>
            <w:shd w:val="clear" w:color="auto" w:fill="C6EFCE"/>
            <w:noWrap/>
          </w:tcPr>
          <w:p w14:paraId="724565A5" w14:textId="06C14581" w:rsidR="00CB0FCB" w:rsidRDefault="009D2B11">
            <w:pPr>
              <w:pStyle w:val="P68B1DB1-Normal9"/>
              <w:spacing w:after="0" w:line="240" w:lineRule="auto"/>
              <w:rPr>
                <w:rFonts w:eastAsia="Times New Roman" w:cs="Calibri"/>
                <w:noProof/>
                <w:szCs w:val="18"/>
              </w:rPr>
            </w:pPr>
            <w:r>
              <w:rPr>
                <w:noProof/>
              </w:rPr>
              <w:t>5 438</w:t>
            </w:r>
          </w:p>
        </w:tc>
        <w:tc>
          <w:tcPr>
            <w:tcW w:w="805" w:type="dxa"/>
            <w:shd w:val="clear" w:color="auto" w:fill="C6EFCE"/>
            <w:noWrap/>
          </w:tcPr>
          <w:p w14:paraId="265A51B2" w14:textId="3F941B4A" w:rsidR="00CB0FCB" w:rsidRDefault="00CB0FCB">
            <w:pPr>
              <w:spacing w:after="0" w:line="240" w:lineRule="auto"/>
              <w:rPr>
                <w:noProof/>
                <w:color w:val="006100"/>
                <w:sz w:val="18"/>
              </w:rPr>
            </w:pPr>
          </w:p>
          <w:p w14:paraId="6B5965AC" w14:textId="1608B888" w:rsidR="00CB0FCB" w:rsidRDefault="009D2B11">
            <w:pPr>
              <w:pStyle w:val="P68B1DB1-Normal9"/>
              <w:spacing w:after="0" w:line="240" w:lineRule="auto"/>
              <w:rPr>
                <w:rFonts w:eastAsia="Times New Roman" w:cs="Calibri"/>
                <w:noProof/>
                <w:szCs w:val="18"/>
              </w:rPr>
            </w:pPr>
            <w:r>
              <w:rPr>
                <w:noProof/>
              </w:rPr>
              <w:t>8 102</w:t>
            </w:r>
          </w:p>
        </w:tc>
        <w:tc>
          <w:tcPr>
            <w:tcW w:w="922" w:type="dxa"/>
            <w:shd w:val="clear" w:color="auto" w:fill="C6EFCE"/>
            <w:noWrap/>
          </w:tcPr>
          <w:p w14:paraId="5F9E65B4"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shd w:val="clear" w:color="auto" w:fill="C6EFCE"/>
            <w:noWrap/>
          </w:tcPr>
          <w:p w14:paraId="5AB08BB9" w14:textId="77777777" w:rsidR="00CB0FCB" w:rsidRDefault="009D2B11">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41ED102C" w14:textId="26981A1E" w:rsidR="00CB0FCB" w:rsidRDefault="009D2B11">
            <w:pPr>
              <w:pStyle w:val="P68B1DB1-Normal10"/>
              <w:spacing w:after="0" w:line="240" w:lineRule="auto"/>
              <w:rPr>
                <w:rFonts w:eastAsia="Times New Roman" w:cs="Calibri"/>
                <w:noProof/>
              </w:rPr>
            </w:pPr>
            <w:r>
              <w:rPr>
                <w:noProof/>
              </w:rPr>
              <w:t>PPC SA aicinājums (saskaņā ar Pamatnolīguma 6.5.3. punktu, kas ratificēts ar Likumu Nr. 4956/2022) līgumslēdzējām pusēm pieņemt 2 664 ha atjaunotu vai netraucētu zemi, kam seko neatkarīgā sertificētāja veikta sertifikācija.</w:t>
            </w:r>
          </w:p>
          <w:p w14:paraId="3E924B44" w14:textId="77777777" w:rsidR="00CB0FCB" w:rsidRDefault="00CB0FCB">
            <w:pPr>
              <w:spacing w:after="0" w:line="240" w:lineRule="auto"/>
              <w:rPr>
                <w:rFonts w:eastAsia="Times New Roman" w:cs="Calibri"/>
                <w:noProof/>
                <w:color w:val="006100"/>
                <w:sz w:val="18"/>
                <w:szCs w:val="18"/>
              </w:rPr>
            </w:pPr>
          </w:p>
        </w:tc>
      </w:tr>
      <w:tr w:rsidR="00CB0FCB" w14:paraId="42E859AC" w14:textId="77777777">
        <w:trPr>
          <w:jc w:val="center"/>
        </w:trPr>
        <w:tc>
          <w:tcPr>
            <w:tcW w:w="1120" w:type="dxa"/>
            <w:shd w:val="clear" w:color="auto" w:fill="C6EFCE"/>
            <w:noWrap/>
          </w:tcPr>
          <w:p w14:paraId="735820C3" w14:textId="77777777" w:rsidR="00CB0FCB" w:rsidRDefault="009D2B11">
            <w:pPr>
              <w:pStyle w:val="P68B1DB1-Normal9"/>
              <w:spacing w:after="0" w:line="240" w:lineRule="auto"/>
              <w:rPr>
                <w:rFonts w:eastAsia="Times New Roman" w:cs="Calibri"/>
                <w:noProof/>
                <w:szCs w:val="18"/>
              </w:rPr>
            </w:pPr>
            <w:r>
              <w:rPr>
                <w:noProof/>
              </w:rPr>
              <w:t>16</w:t>
            </w:r>
          </w:p>
        </w:tc>
        <w:tc>
          <w:tcPr>
            <w:tcW w:w="1750" w:type="dxa"/>
            <w:shd w:val="clear" w:color="auto" w:fill="C6EFCE"/>
            <w:noWrap/>
          </w:tcPr>
          <w:p w14:paraId="16EDD646" w14:textId="77777777" w:rsidR="00CB0FCB" w:rsidRDefault="009D2B11">
            <w:pPr>
              <w:pStyle w:val="P68B1DB1-Normal9"/>
              <w:spacing w:after="0" w:line="240" w:lineRule="auto"/>
              <w:rPr>
                <w:rFonts w:eastAsia="Times New Roman" w:cs="Calibri"/>
                <w:noProof/>
                <w:szCs w:val="18"/>
              </w:rPr>
            </w:pPr>
            <w:r>
              <w:rPr>
                <w:noProof/>
              </w:rPr>
              <w:t>1–1.1. Jaudas palielināšana — 16926_Atbalsts uzglabāšanas sistēmu uzstādīšanai, lai veicinātu AER iekļūšanu</w:t>
            </w:r>
          </w:p>
        </w:tc>
        <w:tc>
          <w:tcPr>
            <w:tcW w:w="1094" w:type="dxa"/>
            <w:shd w:val="clear" w:color="auto" w:fill="C6EFCE"/>
            <w:noWrap/>
          </w:tcPr>
          <w:p w14:paraId="3D41F19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25DE874D" w14:textId="77777777" w:rsidR="00CB0FCB" w:rsidRDefault="009D2B11">
            <w:pPr>
              <w:pStyle w:val="P68B1DB1-Normal9"/>
              <w:spacing w:after="0" w:line="240" w:lineRule="auto"/>
              <w:rPr>
                <w:rFonts w:eastAsia="Times New Roman" w:cs="Calibri"/>
                <w:noProof/>
                <w:szCs w:val="18"/>
              </w:rPr>
            </w:pPr>
            <w:r>
              <w:rPr>
                <w:noProof/>
              </w:rPr>
              <w:t>Enerģijas uzkrāšana — pabeigšana</w:t>
            </w:r>
          </w:p>
        </w:tc>
        <w:tc>
          <w:tcPr>
            <w:tcW w:w="1553" w:type="dxa"/>
            <w:shd w:val="clear" w:color="auto" w:fill="C6EFCE"/>
            <w:noWrap/>
          </w:tcPr>
          <w:p w14:paraId="64F94D18" w14:textId="7EFFAA8A" w:rsidR="00CB0FCB" w:rsidRDefault="009D2B11">
            <w:pPr>
              <w:pStyle w:val="P68B1DB1-Normal9"/>
              <w:spacing w:after="0" w:line="240" w:lineRule="auto"/>
              <w:rPr>
                <w:rFonts w:eastAsia="Times New Roman" w:cs="Calibri"/>
                <w:noProof/>
                <w:szCs w:val="18"/>
              </w:rPr>
            </w:pPr>
            <w:r>
              <w:rPr>
                <w:noProof/>
              </w:rPr>
              <w:t>700 MW enerģijas uzkrāšanas projektu uzstādīšanas pabeigšana. Amfilochia Pumped Hydro Storage stacijas inženiertehnisko būvdarbu pabeigšana.</w:t>
            </w:r>
          </w:p>
        </w:tc>
        <w:tc>
          <w:tcPr>
            <w:tcW w:w="1338" w:type="dxa"/>
            <w:shd w:val="clear" w:color="auto" w:fill="C6EFCE"/>
            <w:noWrap/>
          </w:tcPr>
          <w:p w14:paraId="4B0F6D6E"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29E5FB64"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76E9EA6A"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06D2E277"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shd w:val="clear" w:color="auto" w:fill="C6EFCE"/>
            <w:noWrap/>
          </w:tcPr>
          <w:p w14:paraId="6346AFBE" w14:textId="77777777" w:rsidR="00CB0FCB" w:rsidRDefault="009D2B11">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29D0F4ED" w14:textId="313E72E2" w:rsidR="00CB0FCB" w:rsidRDefault="009D2B11">
            <w:pPr>
              <w:spacing w:after="0" w:line="240" w:lineRule="auto"/>
              <w:rPr>
                <w:rFonts w:eastAsia="Times New Roman" w:cs="Calibri"/>
                <w:noProof/>
                <w:color w:val="006100"/>
                <w:sz w:val="18"/>
                <w:szCs w:val="18"/>
              </w:rPr>
            </w:pPr>
            <w:r>
              <w:rPr>
                <w:noProof/>
                <w:color w:val="006100"/>
                <w:sz w:val="18"/>
              </w:rPr>
              <w:t>“Atsevišķu” enerģijas uzkrāšanas projektu uzstādīšana 700 MW</w:t>
            </w:r>
            <w:r>
              <w:rPr>
                <w:noProof/>
              </w:rPr>
              <w:t xml:space="preserve"> </w:t>
            </w:r>
            <w:r>
              <w:rPr>
                <w:noProof/>
                <w:color w:val="006100"/>
                <w:sz w:val="18"/>
              </w:rPr>
              <w:t xml:space="preserve">apmērā un Amfilochia sūkņu hidroakumulācijas stacijas inženiertehnisko būvdarbu pabeigšana. </w:t>
            </w:r>
          </w:p>
          <w:p w14:paraId="5050E6F6" w14:textId="77777777" w:rsidR="00CB0FCB" w:rsidRDefault="00CB0FCB">
            <w:pPr>
              <w:spacing w:after="0" w:line="240" w:lineRule="auto"/>
              <w:rPr>
                <w:rFonts w:eastAsia="Times New Roman" w:cs="Calibri"/>
                <w:noProof/>
                <w:color w:val="006100"/>
                <w:sz w:val="18"/>
                <w:szCs w:val="18"/>
              </w:rPr>
            </w:pPr>
          </w:p>
          <w:p w14:paraId="4AB9546B" w14:textId="77777777" w:rsidR="00CB0FCB" w:rsidRDefault="00CB0FCB">
            <w:pPr>
              <w:spacing w:after="0" w:line="240" w:lineRule="auto"/>
              <w:rPr>
                <w:rFonts w:eastAsia="Times New Roman" w:cs="Calibri"/>
                <w:noProof/>
                <w:color w:val="006100"/>
                <w:sz w:val="18"/>
                <w:szCs w:val="18"/>
              </w:rPr>
            </w:pPr>
          </w:p>
        </w:tc>
      </w:tr>
      <w:tr w:rsidR="00CB0FCB" w14:paraId="5DA84821" w14:textId="77777777">
        <w:trPr>
          <w:jc w:val="center"/>
        </w:trPr>
        <w:tc>
          <w:tcPr>
            <w:tcW w:w="1120" w:type="dxa"/>
            <w:shd w:val="clear" w:color="auto" w:fill="C6EFCE"/>
            <w:noWrap/>
          </w:tcPr>
          <w:p w14:paraId="66C4FC4A" w14:textId="77777777" w:rsidR="00CB0FCB" w:rsidRDefault="009D2B11">
            <w:pPr>
              <w:pStyle w:val="P68B1DB1-Normal9"/>
              <w:spacing w:after="0" w:line="240" w:lineRule="auto"/>
              <w:rPr>
                <w:rFonts w:eastAsia="Times New Roman" w:cs="Calibri"/>
                <w:noProof/>
                <w:szCs w:val="18"/>
              </w:rPr>
            </w:pPr>
            <w:r>
              <w:rPr>
                <w:noProof/>
              </w:rPr>
              <w:t>17</w:t>
            </w:r>
          </w:p>
        </w:tc>
        <w:tc>
          <w:tcPr>
            <w:tcW w:w="1750" w:type="dxa"/>
            <w:shd w:val="clear" w:color="auto" w:fill="C6EFCE"/>
            <w:noWrap/>
          </w:tcPr>
          <w:p w14:paraId="2E0F96CC" w14:textId="77777777" w:rsidR="00CB0FCB" w:rsidRDefault="009D2B11">
            <w:pPr>
              <w:pStyle w:val="P68B1DB1-Normal9"/>
              <w:spacing w:after="0" w:line="240" w:lineRule="auto"/>
              <w:rPr>
                <w:rFonts w:eastAsia="Times New Roman" w:cs="Calibri"/>
                <w:noProof/>
                <w:szCs w:val="18"/>
              </w:rPr>
            </w:pPr>
            <w:r>
              <w:rPr>
                <w:noProof/>
              </w:rPr>
              <w:t>1–1.1. Jaudas palielināšana — 16901_HEDNO tīkla modernizācija, kuras mērķis ir uzlabot noturību un aizsargāt vidi</w:t>
            </w:r>
          </w:p>
        </w:tc>
        <w:tc>
          <w:tcPr>
            <w:tcW w:w="1094" w:type="dxa"/>
            <w:shd w:val="clear" w:color="auto" w:fill="C6EFCE"/>
            <w:noWrap/>
          </w:tcPr>
          <w:p w14:paraId="2718E9E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01D10115" w14:textId="77777777" w:rsidR="00CB0FCB" w:rsidRDefault="009D2B11">
            <w:pPr>
              <w:pStyle w:val="P68B1DB1-Normal9"/>
              <w:spacing w:after="0" w:line="240" w:lineRule="auto"/>
              <w:rPr>
                <w:rFonts w:eastAsia="Times New Roman" w:cs="Calibri"/>
                <w:noProof/>
                <w:szCs w:val="18"/>
              </w:rPr>
            </w:pPr>
            <w:r>
              <w:rPr>
                <w:noProof/>
              </w:rPr>
              <w:t>HEDNO — pabeigšana 1</w:t>
            </w:r>
          </w:p>
        </w:tc>
        <w:tc>
          <w:tcPr>
            <w:tcW w:w="1553" w:type="dxa"/>
            <w:shd w:val="clear" w:color="auto" w:fill="C6EFCE"/>
            <w:noWrap/>
          </w:tcPr>
          <w:p w14:paraId="4A2339C7" w14:textId="77777777" w:rsidR="00CB0FCB" w:rsidRDefault="009D2B11">
            <w:pPr>
              <w:pStyle w:val="P68B1DB1-Normal9"/>
              <w:spacing w:after="0" w:line="240" w:lineRule="auto"/>
              <w:rPr>
                <w:rFonts w:eastAsia="Times New Roman" w:cs="Calibri"/>
                <w:noProof/>
                <w:szCs w:val="18"/>
              </w:rPr>
            </w:pPr>
            <w:r>
              <w:rPr>
                <w:noProof/>
              </w:rPr>
              <w:t>HEDNO sniedz pierādījumus par projekta pabeigšanu attiecībā uz visām intervencēm, kas saistītas ar noturības un vides uzlabojumiem, un par ekspluatācijas sākšanas sertifikātiem</w:t>
            </w:r>
          </w:p>
        </w:tc>
        <w:tc>
          <w:tcPr>
            <w:tcW w:w="1338" w:type="dxa"/>
            <w:shd w:val="clear" w:color="auto" w:fill="C6EFCE"/>
            <w:noWrap/>
          </w:tcPr>
          <w:p w14:paraId="446C5525"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0B0B52B9"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4C71345C"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2DF28D42"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shd w:val="clear" w:color="auto" w:fill="C6EFCE"/>
            <w:noWrap/>
          </w:tcPr>
          <w:p w14:paraId="4D21DCAA" w14:textId="77777777" w:rsidR="00CB0FCB" w:rsidRDefault="009D2B11">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271B4EBC" w14:textId="77777777" w:rsidR="00CB0FCB" w:rsidRDefault="009D2B11">
            <w:pPr>
              <w:pStyle w:val="P68B1DB1-Normal9"/>
              <w:spacing w:after="0" w:line="240" w:lineRule="auto"/>
              <w:rPr>
                <w:rFonts w:eastAsia="Times New Roman" w:cs="Calibri"/>
                <w:noProof/>
                <w:szCs w:val="18"/>
              </w:rPr>
            </w:pPr>
            <w:r>
              <w:rPr>
                <w:noProof/>
              </w:rPr>
              <w:t xml:space="preserve">Pabeigti un ekspluatācijā esoši pasākumi, kas saistīti ar tīkla modernizāciju izturētspējas un vides jomā. </w:t>
            </w:r>
          </w:p>
        </w:tc>
      </w:tr>
      <w:tr w:rsidR="00CB0FCB" w14:paraId="6B696750" w14:textId="77777777">
        <w:trPr>
          <w:jc w:val="center"/>
        </w:trPr>
        <w:tc>
          <w:tcPr>
            <w:tcW w:w="1120" w:type="dxa"/>
            <w:shd w:val="clear" w:color="auto" w:fill="C6EFCE"/>
            <w:noWrap/>
          </w:tcPr>
          <w:p w14:paraId="1BE3FEEB" w14:textId="77777777" w:rsidR="00CB0FCB" w:rsidRDefault="009D2B11">
            <w:pPr>
              <w:pStyle w:val="P68B1DB1-Normal9"/>
              <w:spacing w:after="0" w:line="240" w:lineRule="auto"/>
              <w:rPr>
                <w:rFonts w:eastAsia="Times New Roman" w:cs="Calibri"/>
                <w:noProof/>
                <w:szCs w:val="18"/>
              </w:rPr>
            </w:pPr>
            <w:r>
              <w:rPr>
                <w:noProof/>
              </w:rPr>
              <w:t>18</w:t>
            </w:r>
          </w:p>
        </w:tc>
        <w:tc>
          <w:tcPr>
            <w:tcW w:w="1750" w:type="dxa"/>
            <w:shd w:val="clear" w:color="auto" w:fill="C6EFCE"/>
            <w:noWrap/>
          </w:tcPr>
          <w:p w14:paraId="14B74A8D" w14:textId="77777777" w:rsidR="00CB0FCB" w:rsidRDefault="009D2B11">
            <w:pPr>
              <w:pStyle w:val="P68B1DB1-Normal9"/>
              <w:spacing w:after="0" w:line="240" w:lineRule="auto"/>
              <w:rPr>
                <w:rFonts w:eastAsia="Times New Roman" w:cs="Calibri"/>
                <w:noProof/>
                <w:szCs w:val="18"/>
              </w:rPr>
            </w:pPr>
            <w:r>
              <w:rPr>
                <w:noProof/>
              </w:rPr>
              <w:t>1–1.1. Jaudas palielināšana — 16900_HEDNO gaisvadu tīkla modernizācija meža teritorijās</w:t>
            </w:r>
          </w:p>
        </w:tc>
        <w:tc>
          <w:tcPr>
            <w:tcW w:w="1094" w:type="dxa"/>
            <w:shd w:val="clear" w:color="auto" w:fill="C6EFCE"/>
            <w:noWrap/>
          </w:tcPr>
          <w:p w14:paraId="56B3BA2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47F8FCC0" w14:textId="77777777" w:rsidR="00CB0FCB" w:rsidRDefault="009D2B11">
            <w:pPr>
              <w:pStyle w:val="P68B1DB1-Normal9"/>
              <w:spacing w:after="0" w:line="240" w:lineRule="auto"/>
              <w:rPr>
                <w:rFonts w:eastAsia="Times New Roman" w:cs="Calibri"/>
                <w:noProof/>
                <w:szCs w:val="18"/>
              </w:rPr>
            </w:pPr>
            <w:r>
              <w:rPr>
                <w:noProof/>
              </w:rPr>
              <w:t>HEDNO — pabeigšana 2</w:t>
            </w:r>
          </w:p>
        </w:tc>
        <w:tc>
          <w:tcPr>
            <w:tcW w:w="1553" w:type="dxa"/>
            <w:shd w:val="clear" w:color="auto" w:fill="C6EFCE"/>
            <w:noWrap/>
          </w:tcPr>
          <w:p w14:paraId="36052D63" w14:textId="77777777" w:rsidR="00CB0FCB" w:rsidRDefault="009D2B11">
            <w:pPr>
              <w:pStyle w:val="P68B1DB1-Normal9"/>
              <w:spacing w:after="0" w:line="240" w:lineRule="auto"/>
              <w:rPr>
                <w:rFonts w:eastAsia="Times New Roman" w:cs="Calibri"/>
                <w:noProof/>
                <w:szCs w:val="18"/>
              </w:rPr>
            </w:pPr>
            <w:r>
              <w:rPr>
                <w:noProof/>
              </w:rPr>
              <w:t>HEDNO sniedz pierādījumus par projekta pabeigšanu attiecībā uz visām intervencēm, kas saistītas ar gaisvadu tīkla modernizāciju meža teritorijās, un sertifikātus par ekspluatācijas uzsākšanu</w:t>
            </w:r>
          </w:p>
        </w:tc>
        <w:tc>
          <w:tcPr>
            <w:tcW w:w="1338" w:type="dxa"/>
            <w:shd w:val="clear" w:color="auto" w:fill="C6EFCE"/>
            <w:noWrap/>
          </w:tcPr>
          <w:p w14:paraId="7FAB0E6C"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60552ECF"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3EF1927E"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548DB6B3"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shd w:val="clear" w:color="auto" w:fill="C6EFCE"/>
            <w:noWrap/>
          </w:tcPr>
          <w:p w14:paraId="5BA6E371" w14:textId="77777777" w:rsidR="00CB0FCB" w:rsidRDefault="009D2B11">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2C704DE7" w14:textId="77777777" w:rsidR="00CB0FCB" w:rsidRDefault="009D2B11">
            <w:pPr>
              <w:pStyle w:val="P68B1DB1-Normal9"/>
              <w:spacing w:after="0" w:line="240" w:lineRule="auto"/>
              <w:rPr>
                <w:rFonts w:eastAsia="Times New Roman" w:cs="Calibri"/>
                <w:noProof/>
                <w:szCs w:val="18"/>
              </w:rPr>
            </w:pPr>
            <w:r>
              <w:rPr>
                <w:noProof/>
              </w:rPr>
              <w:t>Pabeigti un ekspluatācijā esoši intervences pasākumi, kas saistīti ar gaisvadu tīkla modernizāciju meža teritorijās.</w:t>
            </w:r>
          </w:p>
        </w:tc>
      </w:tr>
      <w:tr w:rsidR="00CB0FCB" w14:paraId="298944D9" w14:textId="77777777">
        <w:trPr>
          <w:jc w:val="center"/>
        </w:trPr>
        <w:tc>
          <w:tcPr>
            <w:tcW w:w="1120" w:type="dxa"/>
            <w:shd w:val="clear" w:color="auto" w:fill="C6EFCE"/>
            <w:noWrap/>
          </w:tcPr>
          <w:p w14:paraId="45AD6472" w14:textId="77777777" w:rsidR="00CB0FCB" w:rsidRDefault="009D2B11">
            <w:pPr>
              <w:pStyle w:val="P68B1DB1-Normal9"/>
              <w:spacing w:after="0" w:line="240" w:lineRule="auto"/>
              <w:rPr>
                <w:rFonts w:eastAsia="Times New Roman" w:cs="Calibri"/>
                <w:noProof/>
                <w:szCs w:val="18"/>
              </w:rPr>
            </w:pPr>
            <w:r>
              <w:rPr>
                <w:noProof/>
              </w:rPr>
              <w:t>19</w:t>
            </w:r>
          </w:p>
        </w:tc>
        <w:tc>
          <w:tcPr>
            <w:tcW w:w="1750" w:type="dxa"/>
            <w:shd w:val="clear" w:color="auto" w:fill="C6EFCE"/>
            <w:noWrap/>
          </w:tcPr>
          <w:p w14:paraId="27F330F9" w14:textId="77777777" w:rsidR="00CB0FCB" w:rsidRDefault="009D2B11">
            <w:pPr>
              <w:pStyle w:val="P68B1DB1-Normal9"/>
              <w:spacing w:after="0" w:line="240" w:lineRule="auto"/>
              <w:rPr>
                <w:rFonts w:eastAsia="Times New Roman" w:cs="Calibri"/>
                <w:noProof/>
                <w:szCs w:val="18"/>
              </w:rPr>
            </w:pPr>
            <w:r>
              <w:rPr>
                <w:noProof/>
              </w:rPr>
              <w:t>1–1.1. Elektroenerģijas ražošana — 16899_uzstādītais jaudas palielinājums Grieķijas elektroenerģijas sadales tīkla operatora (HEDNO) HV/MV apakšstacijās jaunam AER pieslēgumam</w:t>
            </w:r>
          </w:p>
        </w:tc>
        <w:tc>
          <w:tcPr>
            <w:tcW w:w="1094" w:type="dxa"/>
            <w:shd w:val="clear" w:color="auto" w:fill="C6EFCE"/>
            <w:noWrap/>
          </w:tcPr>
          <w:p w14:paraId="37AA85D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6" w:type="dxa"/>
            <w:shd w:val="clear" w:color="auto" w:fill="C6EFCE"/>
            <w:noWrap/>
          </w:tcPr>
          <w:p w14:paraId="23DD6A97" w14:textId="77777777" w:rsidR="00CB0FCB" w:rsidRDefault="009D2B11">
            <w:pPr>
              <w:pStyle w:val="P68B1DB1-Normal9"/>
              <w:spacing w:after="0" w:line="240" w:lineRule="auto"/>
              <w:rPr>
                <w:rFonts w:eastAsia="Times New Roman" w:cs="Calibri"/>
                <w:noProof/>
                <w:szCs w:val="18"/>
              </w:rPr>
            </w:pPr>
            <w:r>
              <w:rPr>
                <w:noProof/>
              </w:rPr>
              <w:t>HEDNO — pabeigšana 3</w:t>
            </w:r>
          </w:p>
        </w:tc>
        <w:tc>
          <w:tcPr>
            <w:tcW w:w="1553" w:type="dxa"/>
            <w:shd w:val="clear" w:color="auto" w:fill="C6EFCE"/>
            <w:noWrap/>
          </w:tcPr>
          <w:p w14:paraId="004EE266" w14:textId="77777777" w:rsidR="00CB0FCB" w:rsidRDefault="009D2B11">
            <w:pPr>
              <w:pStyle w:val="P68B1DB1-Normal9"/>
              <w:spacing w:after="0" w:line="240" w:lineRule="auto"/>
              <w:rPr>
                <w:rFonts w:eastAsia="Times New Roman" w:cs="Calibri"/>
                <w:noProof/>
                <w:szCs w:val="18"/>
              </w:rPr>
            </w:pPr>
            <w:r>
              <w:rPr>
                <w:noProof/>
              </w:rPr>
              <w:t>HEDNO sniedz pierādījumus par projekta pabeigšanu attiecībā uz visām intervencēm, kas saistītas ar HV/MV apakšstaciju jaudas palielināšanu un ekspluatācijas sākšanas sertifikātiem</w:t>
            </w:r>
          </w:p>
        </w:tc>
        <w:tc>
          <w:tcPr>
            <w:tcW w:w="1338" w:type="dxa"/>
            <w:shd w:val="clear" w:color="auto" w:fill="C6EFCE"/>
            <w:noWrap/>
          </w:tcPr>
          <w:p w14:paraId="6D5017BA" w14:textId="77777777" w:rsidR="00CB0FCB" w:rsidRDefault="00CB0FCB">
            <w:pPr>
              <w:spacing w:after="0" w:line="240" w:lineRule="auto"/>
              <w:rPr>
                <w:rFonts w:eastAsia="Times New Roman" w:cs="Calibri"/>
                <w:noProof/>
                <w:color w:val="006100"/>
                <w:sz w:val="18"/>
                <w:szCs w:val="18"/>
              </w:rPr>
            </w:pPr>
          </w:p>
        </w:tc>
        <w:tc>
          <w:tcPr>
            <w:tcW w:w="927" w:type="dxa"/>
            <w:shd w:val="clear" w:color="auto" w:fill="C6EFCE"/>
            <w:noWrap/>
          </w:tcPr>
          <w:p w14:paraId="34AB2F03" w14:textId="77777777" w:rsidR="00CB0FCB" w:rsidRDefault="00CB0FCB">
            <w:pPr>
              <w:spacing w:after="0" w:line="240" w:lineRule="auto"/>
              <w:rPr>
                <w:rFonts w:eastAsia="Times New Roman" w:cs="Calibri"/>
                <w:noProof/>
                <w:color w:val="006100"/>
                <w:sz w:val="18"/>
                <w:szCs w:val="18"/>
              </w:rPr>
            </w:pPr>
          </w:p>
        </w:tc>
        <w:tc>
          <w:tcPr>
            <w:tcW w:w="805" w:type="dxa"/>
            <w:shd w:val="clear" w:color="auto" w:fill="C6EFCE"/>
            <w:noWrap/>
          </w:tcPr>
          <w:p w14:paraId="2637524B" w14:textId="77777777" w:rsidR="00CB0FCB" w:rsidRDefault="00CB0FCB">
            <w:pPr>
              <w:spacing w:after="0" w:line="240" w:lineRule="auto"/>
              <w:rPr>
                <w:rFonts w:eastAsia="Times New Roman" w:cs="Calibri"/>
                <w:noProof/>
                <w:color w:val="006100"/>
                <w:sz w:val="18"/>
                <w:szCs w:val="18"/>
              </w:rPr>
            </w:pPr>
          </w:p>
        </w:tc>
        <w:tc>
          <w:tcPr>
            <w:tcW w:w="922" w:type="dxa"/>
            <w:shd w:val="clear" w:color="auto" w:fill="C6EFCE"/>
            <w:noWrap/>
          </w:tcPr>
          <w:p w14:paraId="335CD6AC"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shd w:val="clear" w:color="auto" w:fill="C6EFCE"/>
            <w:noWrap/>
          </w:tcPr>
          <w:p w14:paraId="0BA44CA5" w14:textId="77777777" w:rsidR="00CB0FCB" w:rsidRDefault="009D2B11">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391D0659" w14:textId="77777777" w:rsidR="00CB0FCB" w:rsidRDefault="009D2B11">
            <w:pPr>
              <w:pStyle w:val="P68B1DB1-Normal9"/>
              <w:spacing w:after="0" w:line="240" w:lineRule="auto"/>
              <w:rPr>
                <w:rFonts w:eastAsia="Times New Roman" w:cs="Calibri"/>
                <w:noProof/>
                <w:szCs w:val="18"/>
              </w:rPr>
            </w:pPr>
            <w:r>
              <w:rPr>
                <w:noProof/>
              </w:rPr>
              <w:t>Pabeigti un ekspluatācijā esoši pasākumi, kas saistīti ar HV/MV apakšstaciju jaudas palielināšanu.</w:t>
            </w:r>
          </w:p>
        </w:tc>
      </w:tr>
    </w:tbl>
    <w:p w14:paraId="396D45C0" w14:textId="77777777" w:rsidR="00CB0FCB" w:rsidRDefault="00CB0FCB">
      <w:pPr>
        <w:spacing w:before="120" w:after="120" w:line="240" w:lineRule="auto"/>
        <w:rPr>
          <w:rFonts w:ascii="Times New Roman" w:hAnsi="Times New Roman" w:cs="Times New Roman"/>
          <w:noProof/>
          <w:sz w:val="24"/>
        </w:rPr>
        <w:sectPr w:rsidR="00CB0FCB" w:rsidSect="00271D33">
          <w:headerReference w:type="even" r:id="rId25"/>
          <w:headerReference w:type="default" r:id="rId26"/>
          <w:footerReference w:type="even" r:id="rId27"/>
          <w:footerReference w:type="default" r:id="rId28"/>
          <w:headerReference w:type="first" r:id="rId29"/>
          <w:footerReference w:type="first" r:id="rId30"/>
          <w:pgSz w:w="16839" w:h="11907" w:orient="landscape"/>
          <w:pgMar w:top="1134" w:right="1134" w:bottom="1134" w:left="1134" w:header="567" w:footer="567" w:gutter="0"/>
          <w:cols w:space="720"/>
          <w:docGrid w:linePitch="360"/>
        </w:sectPr>
      </w:pPr>
    </w:p>
    <w:p w14:paraId="3019A607" w14:textId="77777777" w:rsidR="00CB0FCB" w:rsidRDefault="009D2B11">
      <w:pPr>
        <w:pStyle w:val="P68B1DB1-Normal2"/>
        <w:spacing w:before="120" w:after="120" w:line="240" w:lineRule="auto"/>
        <w:ind w:firstLine="6"/>
        <w:jc w:val="both"/>
        <w:outlineLvl w:val="3"/>
        <w:rPr>
          <w:rFonts w:cs="Times New Roman"/>
          <w:bCs/>
          <w:noProof/>
        </w:rPr>
      </w:pPr>
      <w:r>
        <w:rPr>
          <w:noProof/>
        </w:rPr>
        <w:t>B. 1.2. KOMPONENTS: RENOVĒT</w:t>
      </w:r>
    </w:p>
    <w:p w14:paraId="630314C3" w14:textId="77777777" w:rsidR="00CB0FCB" w:rsidRDefault="009D2B11">
      <w:pPr>
        <w:pStyle w:val="P68B1DB1-Normal4"/>
        <w:spacing w:before="120" w:after="120" w:line="240" w:lineRule="auto"/>
        <w:jc w:val="both"/>
        <w:rPr>
          <w:rFonts w:cs="Times New Roman"/>
          <w:noProof/>
        </w:rPr>
      </w:pPr>
      <w:r>
        <w:rPr>
          <w:noProof/>
        </w:rPr>
        <w:t>Grieķijas atveseļošanas un noturības plāna renovācijas komponents zaļā pīlāra ietvaros palielina energoefektivitāti, veicina ekonomikas izaugsmi, rada nodarbinātības iespējas un veicina sociālo noturību. Tas ietver mērķtiecīgas reformas un investīcijas CO</w:t>
      </w:r>
      <w:r>
        <w:rPr>
          <w:noProof/>
          <w:vertAlign w:val="subscript"/>
        </w:rPr>
        <w:t>2</w:t>
      </w:r>
      <w:r>
        <w:rPr>
          <w:noProof/>
        </w:rPr>
        <w:t xml:space="preserve"> emisiju samazināšanai, atbalstu pilsētu teritoriju klimatneitralitātes sasniegšanai un pilsētu un to ēku fonda klimatnoturības uzlabošanu. Komponents nodrošina stimulus ēku renovācijai un energomodernizācijai, kam ir būtiska nozīme pilsētu teritoriju atjaunošanā un enerģētiskās nabadzības mazināšanā un kas palīdz sasniegt Grieķijas nacionālajā enerģētikas un klimata plānā (NEKP) noteiktos mērķrādītājus. Komponents palīdz īstenot 2020. gada konkrētai valstij adresēto ieteikumu Nr. 3 un 2019. gada konkrētai valstij adresēto ieteikumu Nr. 2 par publiskajām un privātajām investīcijām.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08405BDA"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B.1. </w:t>
      </w:r>
      <w:r>
        <w:rPr>
          <w:noProof/>
        </w:rPr>
        <w:t xml:space="preserve"> </w:t>
      </w:r>
      <w:r>
        <w:rPr>
          <w:rFonts w:ascii="Times New Roman" w:hAnsi="Times New Roman"/>
          <w:b/>
          <w:noProof/>
          <w:sz w:val="24"/>
          <w:u w:val="single"/>
        </w:rPr>
        <w:t>Reformu un investīciju apraksts neatmaksājamam finansiālajam atbalstam</w:t>
      </w:r>
    </w:p>
    <w:p w14:paraId="281079F6"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Enerģētiskās nabadzības rīcības plāns (pasākuma ID: 16920)</w:t>
      </w:r>
    </w:p>
    <w:p w14:paraId="1B239BF3" w14:textId="77777777" w:rsidR="00CB0FCB" w:rsidRDefault="009D2B11">
      <w:pPr>
        <w:pStyle w:val="P68B1DB1-Normal4"/>
        <w:spacing w:before="120" w:after="120" w:line="240" w:lineRule="auto"/>
        <w:jc w:val="both"/>
        <w:rPr>
          <w:rFonts w:cs="Times New Roman"/>
          <w:noProof/>
        </w:rPr>
      </w:pPr>
      <w:r>
        <w:rPr>
          <w:noProof/>
        </w:rPr>
        <w:t>Reforma ietver rīcības plāna pieņemšanu enerģētiskās nabadzības problēmas risināšanai. Tiek ziņots, ka 2019. gadā aptuveni 18 % no visiem iedzīvotājiem nespēja apsildīt mājokli salīdzinājumā ar aptuveni 34 % ekonomiski neaizsargāto iedzīvotāju apakšgrupā (Eurostat, EU-SILC apsekojums). Stratēģijā izklāsta mērķorientētus rīcībpolitikas pasākumus, kuru mērķis ir uzlabot dzīvojamo ēku energoefektivitāti ekonomiski neaizsargāto mājsaimniecību vidū. Reformas īstenošanu pabeidz līdz 2021. gada 30. septembrim.</w:t>
      </w:r>
    </w:p>
    <w:p w14:paraId="40227AFD"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Dzīvojamo ēku energorenovācija (pasākums ID: 16872)</w:t>
      </w:r>
    </w:p>
    <w:p w14:paraId="05D52138" w14:textId="7A2BDD79" w:rsidR="00CB0FCB" w:rsidRDefault="009D2B11">
      <w:pPr>
        <w:pStyle w:val="P68B1DB1-Normal5"/>
        <w:spacing w:before="120" w:after="120" w:line="240" w:lineRule="auto"/>
        <w:jc w:val="both"/>
        <w:rPr>
          <w:rFonts w:cs="Times New Roman"/>
          <w:noProof/>
        </w:rPr>
      </w:pPr>
      <w:r>
        <w:rPr>
          <w:noProof/>
        </w:rPr>
        <w:t>Investīcija uzlabo dzīvojamo ēku energoefektivitāti. Tas ietver renovāciju, kas dod ievērojamus primārās enerģijas ietaupījumus, tādējādi veicinot attiecīgo NEKP mērķrādītāju sasniegšanu. Intervences pasākumu piemēri ir enerģijas galapatēriņa digitalizācijas uzlabošana, izmantojot energopārvaldības sistēmas, un e-mobilitātes infrastruktūras, piemēram, elektrotransportlīdzekļu uzlādes staciju, izvēršanas veicināšana. Tā arī nodrošina iezīmētus līdzekļus enerģētiski nabadzīgām rezidencēm, tādējādi izveidojot saikni ar reformu, kuras mērķis ir sagatavot enerģētiskās nabadzības rīcības plānu.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5C6804A2"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Intervences dzīvojamās zonās un ēku fondā (pasākums ID: 16873)</w:t>
      </w:r>
    </w:p>
    <w:p w14:paraId="029DB7BB" w14:textId="43CA2098" w:rsidR="00CB0FCB" w:rsidRDefault="009D2B11">
      <w:pPr>
        <w:pStyle w:val="P68B1DB1-Normal4"/>
        <w:spacing w:before="120" w:after="120" w:line="240" w:lineRule="auto"/>
        <w:jc w:val="both"/>
        <w:rPr>
          <w:noProof/>
        </w:rPr>
      </w:pPr>
      <w:r>
        <w:rPr>
          <w:noProof/>
        </w:rPr>
        <w:t xml:space="preserve">Šajā ieguldījumā ietilpst: 1) klimatadaptācijas un klimata pārmaiņu mazināšanas intervences 19 pilsētu un piekrastes teritorijās, piemēram, īpaši svarīgu pilsētu teritoriju aizsardzība un pilsētu klimatneitralitātes veicināšana; </w:t>
      </w:r>
      <w:r>
        <w:rPr>
          <w:noProof/>
        </w:rPr>
        <w:br w:type="page"/>
      </w:r>
    </w:p>
    <w:p w14:paraId="1D86A9E6" w14:textId="7F2B5154" w:rsidR="00CB0FCB" w:rsidRDefault="009D2B11">
      <w:pPr>
        <w:pStyle w:val="P68B1DB1-Normal4"/>
        <w:spacing w:before="120" w:after="120" w:line="240" w:lineRule="auto"/>
        <w:jc w:val="both"/>
        <w:rPr>
          <w:rFonts w:cs="Times New Roman"/>
          <w:noProof/>
        </w:rPr>
      </w:pPr>
      <w:r>
        <w:rPr>
          <w:noProof/>
        </w:rPr>
        <w:t>Votanikos/Elaionas bijušās rūpniecības zonas atjaunošana Atēnu centrā; 3) jūras frontes modernizācija, lai tā būtu pieejama riteņbraucējiem un gājējiem Atēnu piekrastē (Atēnas Riviera — no Kalithejas līdz Vari — Voula — Vouliagmeni); un 4) citas stratēģiskas intervences, kas izraudzītas atklātā uzaicinājumā pašvaldībām un kas veicina pielāgošanos klimata pārmaiņām un palīdz ietaupīt primāro enerģiju un samazināt CO2 emisijas.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5230975F" w14:textId="77777777" w:rsidR="00CB0FCB" w:rsidRDefault="009D2B11">
      <w:pPr>
        <w:pStyle w:val="P68B1DB1-Normal5"/>
        <w:spacing w:before="120" w:after="120" w:line="240" w:lineRule="auto"/>
        <w:jc w:val="both"/>
        <w:rPr>
          <w:rFonts w:cs="Times New Roman"/>
          <w:noProof/>
        </w:rPr>
      </w:pPr>
      <w:r>
        <w:rPr>
          <w:b/>
          <w:noProof/>
        </w:rPr>
        <w:t>Ieguldījumi</w:t>
      </w:r>
      <w:r>
        <w:rPr>
          <w:noProof/>
        </w:rPr>
        <w:t>: Enerģētika un uzņēmējdarbība (pasākuma ID: 16874)</w:t>
      </w:r>
    </w:p>
    <w:p w14:paraId="2D2C07E8" w14:textId="649F40AA" w:rsidR="00CB0FCB" w:rsidRDefault="009D2B11">
      <w:pPr>
        <w:pStyle w:val="P68B1DB1-Normal4"/>
        <w:spacing w:before="120" w:after="120" w:line="240" w:lineRule="auto"/>
        <w:jc w:val="both"/>
        <w:rPr>
          <w:rFonts w:cs="Times New Roman"/>
          <w:noProof/>
        </w:rPr>
      </w:pPr>
      <w:r>
        <w:rPr>
          <w:noProof/>
        </w:rPr>
        <w:t xml:space="preserve">Investīcija sniedz finansiālu atbalstu privātiem uzņēmumiem to ēku un procesu energoefektīvai renovācijai. Tas ietver divas apakšprogrammas: a) energoefektivitātes renovācija ļoti maziem, maziem, vidējiem un lieliem uzņēmumiem un b) energoefektīva aprīkojuma uzstādīšana ļoti mazos, mazos, vidējos un lielos uzņēmumos. Uzstādot energoefektīvas iekārtas un sistēmas energotaupībai produktu ražošanā, uzglabāšanā, izplatīšanā un uzņēmumu darbībā, šis pasākums palīdz palielināt ēku, procesu un/vai atsevišķa aprīkojuma energoefektivitāti saskaņā ar NEKP noteiktajiem mērķiem un samazināt siltumnīcefekta gāzu emisijas. </w:t>
      </w:r>
    </w:p>
    <w:p w14:paraId="1AF694DF" w14:textId="00B9EE1B" w:rsidR="00CB0FCB" w:rsidRDefault="009D2B11">
      <w:pPr>
        <w:pStyle w:val="P68B1DB1-Normal4"/>
        <w:spacing w:before="120" w:after="120" w:line="240" w:lineRule="auto"/>
        <w:jc w:val="both"/>
        <w:rPr>
          <w:noProof/>
        </w:rPr>
      </w:pPr>
      <w:r>
        <w:rPr>
          <w:noProof/>
        </w:rPr>
        <w:t>Lai nodrošinātu, ka pasākums atbilst Tehniskajiem norādījumiem “nenodari būtisku kaitējumu” (2021/C58/01), uzaicinājumos iesniegt projektus noteiktajos atbilstības kritērijos neiekļauj šādu darbību sarakstu:</w:t>
      </w:r>
      <w:r>
        <w:rPr>
          <w:noProof/>
          <w:color w:val="FF0000"/>
        </w:rPr>
        <w:t xml:space="preserve"> </w:t>
      </w:r>
      <w:r>
        <w:rPr>
          <w:noProof/>
        </w:rPr>
        <w:t>I) darbības, kas saistītas ar fosilo kurināmo, tostarp pakārtotu izmantošanu</w:t>
      </w:r>
      <w:r>
        <w:rPr>
          <w:noProof/>
        </w:rPr>
        <w:footnoteReference w:id="2"/>
      </w:r>
      <w:r>
        <w:rPr>
          <w:noProof/>
        </w:rPr>
        <w:t>; II) darbības saskaņā ar ES emisijas kvotu tirdzniecības sistēmu (ETS), kuru prognozētās siltumnīcefekta gāzu emisijas nav zemākas par attiecīgajām līmeņatzīmēm</w:t>
      </w:r>
      <w:r>
        <w:rPr>
          <w:noProof/>
        </w:rPr>
        <w:footnoteReference w:id="3"/>
      </w:r>
      <w:r>
        <w:rPr>
          <w:noProof/>
        </w:rPr>
        <w:t>; III) darbības, kas saistītas ar atkritumu poligoniem, sadedzināšanas iekārtām</w:t>
      </w:r>
      <w:r>
        <w:rPr>
          <w:noProof/>
        </w:rPr>
        <w:footnoteReference w:id="4"/>
      </w:r>
      <w:r>
        <w:rPr>
          <w:noProof/>
        </w:rPr>
        <w:t xml:space="preserve"> un mehāniski bioloģiskās apstrādes iekārtām</w:t>
      </w:r>
      <w:r>
        <w:rPr>
          <w:noProof/>
        </w:rPr>
        <w:footnoteReference w:id="5"/>
      </w:r>
      <w:r>
        <w:rPr>
          <w:noProof/>
        </w:rPr>
        <w:t xml:space="preserve">; un iv) darbības, kurās atkritumu ilgtermiņa apglabāšana var radīt kaitējumu videi. </w:t>
      </w:r>
      <w:r>
        <w:rPr>
          <w:noProof/>
        </w:rPr>
        <w:br w:type="page"/>
      </w:r>
    </w:p>
    <w:p w14:paraId="0D381472" w14:textId="1ABB3540" w:rsidR="00CB0FCB" w:rsidRDefault="009D2B11">
      <w:pPr>
        <w:pStyle w:val="P68B1DB1-Normal4"/>
        <w:spacing w:before="120" w:after="120" w:line="240" w:lineRule="auto"/>
        <w:jc w:val="both"/>
        <w:rPr>
          <w:rFonts w:cs="Times New Roman"/>
          <w:noProof/>
        </w:rPr>
      </w:pPr>
      <w:r>
        <w:rPr>
          <w:noProof/>
        </w:rPr>
        <w:t>Darba uzdevumā papildus nosaka, ka var atlasīt tikai tās darbības, kas atbilst attiecīgajiem ES un valsts tiesību aktiem vides jomā. Investīcija atbilst arī Tehniskajiem norādījumiem “nenodarīt būtisku kaitējumu” attiecībā uz aprites ekonomikas principiem par būvniecības atkritumu pārstrādi un saskaņā ar Ēku energoefektivitātes direktīvu (2010/31/ES). Investīciju īstenošanu pabeidz līdz 2025. gada 31. decembrim.</w:t>
      </w:r>
    </w:p>
    <w:p w14:paraId="767411CA"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Publiskā sektora ēku energoefektivitātes uzlabošana (pasākums ID: 16876)</w:t>
      </w:r>
    </w:p>
    <w:p w14:paraId="5DDB6EEA" w14:textId="77777777" w:rsidR="00CB0FCB" w:rsidRDefault="009D2B11">
      <w:pPr>
        <w:pStyle w:val="P68B1DB1-Normal5"/>
        <w:spacing w:before="120" w:after="120" w:line="240" w:lineRule="auto"/>
        <w:jc w:val="both"/>
        <w:rPr>
          <w:rFonts w:cs="Times New Roman"/>
          <w:noProof/>
        </w:rPr>
      </w:pPr>
      <w:r>
        <w:rPr>
          <w:noProof/>
        </w:rPr>
        <w:t>Šīs investīcijas ietver publiskā sektora ēku renovāciju, lai palielinātu to energoefektivitāti, iesaistot energotaupības uzņēmumus (ESCO). Investīcija ietver arī ielu apgaismojuma infrastruktūras energoefektivitātes uzlabošanu. Šīs investīcijas mērķis ir palīdzēt sasniegt NEKP pieņemtos energoefektivitātes mērķus un samazināt CO2 emisijas.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463ADCA7"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Infrastruktūras attīstība un ēku atjaunošana bijušā karaļa īpašumā Tatoi (ID: 16875)</w:t>
      </w:r>
    </w:p>
    <w:p w14:paraId="5B2FBDBF" w14:textId="4B5EAE58" w:rsidR="00CB0FCB" w:rsidRDefault="009D2B11">
      <w:pPr>
        <w:pStyle w:val="P68B1DB1-Normal4"/>
        <w:spacing w:before="120" w:after="120" w:line="240" w:lineRule="auto"/>
        <w:jc w:val="both"/>
        <w:rPr>
          <w:rFonts w:cs="Times New Roman"/>
          <w:noProof/>
        </w:rPr>
      </w:pPr>
      <w:r>
        <w:rPr>
          <w:noProof/>
        </w:rPr>
        <w:t>Investīcija ietver ēku renovāciju un to energoefektivitātes un infrastruktūras tīklu modernizāciju Tatoi teritorijā, kā arī gājēju ceļu izveidi tā tuvumā. Projekts nodrošina Atikas iedzīvotājiem zaļu, renovētu un brīvi pieejamu teritoriju atpūtai, kā arī jaunu vēsturisku vietu tūristiem apmeklētājiem.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54E2C712" w14:textId="77777777" w:rsidR="00CB0FCB" w:rsidRDefault="009D2B11">
      <w:pPr>
        <w:pStyle w:val="P68B1DB1-Normal4"/>
        <w:rPr>
          <w:b/>
          <w:noProof/>
        </w:rPr>
      </w:pPr>
      <w:r>
        <w:rPr>
          <w:noProof/>
        </w:rPr>
        <w:br w:type="page"/>
      </w:r>
    </w:p>
    <w:p w14:paraId="518F2260" w14:textId="77F03309" w:rsidR="00CB0FCB" w:rsidRDefault="009D2B11">
      <w:pPr>
        <w:pStyle w:val="P68B1DB1-Normal4"/>
        <w:spacing w:before="120" w:after="120" w:line="240" w:lineRule="auto"/>
        <w:jc w:val="both"/>
        <w:rPr>
          <w:rFonts w:cs="Times New Roman"/>
          <w:noProof/>
        </w:rPr>
      </w:pPr>
      <w:r>
        <w:rPr>
          <w:b/>
          <w:noProof/>
        </w:rPr>
        <w:t>Ieguldījums:</w:t>
      </w:r>
      <w:r>
        <w:rPr>
          <w:noProof/>
        </w:rPr>
        <w:t xml:space="preserve"> Atēnu Olimpiskais vieglatlētikas centrs (pasākums ID: 16932)</w:t>
      </w:r>
    </w:p>
    <w:p w14:paraId="7B269C7B" w14:textId="0A5334CC" w:rsidR="00CB0FCB" w:rsidRDefault="009D2B11">
      <w:pPr>
        <w:pStyle w:val="P68B1DB1-Normal5"/>
        <w:spacing w:before="120" w:after="120" w:line="240" w:lineRule="auto"/>
        <w:jc w:val="both"/>
        <w:rPr>
          <w:rFonts w:cs="Times New Roman"/>
          <w:noProof/>
        </w:rPr>
      </w:pPr>
      <w:r>
        <w:rPr>
          <w:noProof/>
        </w:rPr>
        <w:t>Šā ieguldījuma Atēnu Olimpiskajā vieglatlētikas centrā mērķis ir pagarināt tā lietošanas laiku, atjaunot tā tēlu, samazināt ekspluatācijas/enerģijas izmaksas un nodrošināt tā finansiālo ilgtspēju, pārveidojot to par modernu un aktīvu pilsētas vieglatlētikas un atpūtas galamērķi.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134E1233"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Pilsētplānojumu sagatavošana pilsētpolitikas reformas īstenošanai (pasākuma ID: 16879)</w:t>
      </w:r>
    </w:p>
    <w:p w14:paraId="351CD737" w14:textId="3F6D1CC1" w:rsidR="00CB0FCB" w:rsidRDefault="009D2B11">
      <w:pPr>
        <w:pStyle w:val="P68B1DB1-Normal5"/>
        <w:spacing w:before="120" w:after="120" w:line="240" w:lineRule="auto"/>
        <w:jc w:val="both"/>
        <w:rPr>
          <w:rFonts w:cs="Times New Roman"/>
          <w:noProof/>
        </w:rPr>
      </w:pPr>
      <w:r>
        <w:rPr>
          <w:noProof/>
        </w:rPr>
        <w:t xml:space="preserve">Šī reforma sastāv no piecām darbībām: vietējo pilsētplānojumu (kas aptver pašvaldības vai pašvaldības vienības) sagatavošana, b) īpašu pilsētplānojumu (plānu, kas var aptvert teritorijas, kas pieder vairāk nekā vienai pašvaldībai) sagatavošana, c) attīstības tiesību nodošanas zonu noteikšana, d) apmetņu robežu noteikšanas pabeigšana, e) zemes izmantošanas jautājumu risināšana saistībā ar (pašvaldības) ceļu piekļuves atzīšanu. Reformas mērķis ir novērst trūkumus un nepilnības zonēšanā un zemes izmantošanā, lai veicinātu ilgtspējīgu saimniecisko darbību un aizsargātu vidi. Vietējos pilsētu plānos iekļauj īpašu nodaļu par klimata pārmaiņu pasākumiem un ar klimatu saistīto risku novēršanu un pārvaldību. Kopumā vietējos pilsētplānojumus izstrādā 405 pašvaldībām vai pašvaldību vienībām; Izstrādā īpašus pilsētplānojumus, attīstības tiesību nodošanas zonas nosaka 50 pašvaldību vienībās, apdzīvotās vietas nosaka 36 pašvaldību vienībās un pašvaldības ceļus nosaka 149 pašvaldību vienībās. </w:t>
      </w:r>
    </w:p>
    <w:p w14:paraId="2E7924A9" w14:textId="77777777" w:rsidR="00CB0FCB" w:rsidRDefault="009D2B11">
      <w:pPr>
        <w:pStyle w:val="P68B1DB1-Normal4"/>
        <w:spacing w:before="120" w:after="120" w:line="240" w:lineRule="auto"/>
        <w:jc w:val="both"/>
        <w:rPr>
          <w:rFonts w:cs="Times New Roman"/>
          <w:noProof/>
        </w:rPr>
      </w:pPr>
      <w:r>
        <w:rPr>
          <w:noProof/>
        </w:rPr>
        <w:t>Reformas īstenošanu pabeidz līdz 2025. gada 31. decembrim.</w:t>
      </w:r>
    </w:p>
    <w:p w14:paraId="78802C66"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Jaunas jūras telpiskās plānošanas izveide (pasākuma ID: 16891).</w:t>
      </w:r>
    </w:p>
    <w:p w14:paraId="6834506B" w14:textId="77777777" w:rsidR="00CB0FCB" w:rsidRDefault="009D2B11">
      <w:pPr>
        <w:pStyle w:val="P68B1DB1-Normal4"/>
        <w:spacing w:before="120" w:after="120" w:line="240" w:lineRule="auto"/>
        <w:jc w:val="both"/>
        <w:rPr>
          <w:rFonts w:cs="Times New Roman"/>
          <w:noProof/>
          <w:szCs w:val="24"/>
        </w:rPr>
      </w:pPr>
      <w:r>
        <w:rPr>
          <w:noProof/>
        </w:rPr>
        <w:t>Reforma attiecas uz jūras vides valsts telpiskās stratēģijas izveidi. Reforma attiecas uz jūras teritoriju un piekrastes zonu ilgtspējīgu attīstību, vienlaikus aizsargājot jūras vidi un bioloģisko daudzveidību. Reformas īstenošanu pabeidz līdz 2025. gada 31. decembrim.</w:t>
      </w:r>
    </w:p>
    <w:p w14:paraId="39FE1361" w14:textId="6CDB9953" w:rsidR="00CB0FCB" w:rsidRDefault="009D2B11">
      <w:pPr>
        <w:pStyle w:val="P68B1DB1-Normal4"/>
        <w:spacing w:before="120" w:after="120" w:line="240" w:lineRule="auto"/>
        <w:jc w:val="both"/>
        <w:rPr>
          <w:rFonts w:cs="Times New Roman"/>
          <w:noProof/>
        </w:rPr>
      </w:pPr>
      <w:r>
        <w:rPr>
          <w:b/>
          <w:noProof/>
        </w:rPr>
        <w:t>Reforma:</w:t>
      </w:r>
      <w:r>
        <w:rPr>
          <w:noProof/>
        </w:rPr>
        <w:t xml:space="preserve"> Jauna īpaša telpiskās plānošanas satvara izveide atjaunojamo energoresursu enerģijai, rūpniecībai un tūrismam (pasākums ID: 16894). </w:t>
      </w:r>
    </w:p>
    <w:p w14:paraId="5E538CC7" w14:textId="3F95FADD" w:rsidR="00CB0FCB" w:rsidRDefault="009D2B11">
      <w:pPr>
        <w:pStyle w:val="P68B1DB1-Normal5"/>
        <w:spacing w:before="120" w:after="120" w:line="240" w:lineRule="auto"/>
        <w:jc w:val="both"/>
        <w:rPr>
          <w:rFonts w:cs="Times New Roman"/>
          <w:noProof/>
        </w:rPr>
      </w:pPr>
      <w:r>
        <w:rPr>
          <w:noProof/>
        </w:rPr>
        <w:t>Reforma izveido jaunus īpašus telpiskos satvarus atjaunojamo energoresursu enerģijai, rūpniecībai un tūrismam, lai veicinātu klimata pārmaiņu mazināšanu un pielāgošanos tām, bioloģiskās daudzveidības aizsardzību, ekonomikas izaugsmi un darbvietu radīšanu.</w:t>
      </w:r>
    </w:p>
    <w:p w14:paraId="633A4967" w14:textId="464C95B2" w:rsidR="00CB0FCB" w:rsidRDefault="00CB0FCB">
      <w:pPr>
        <w:spacing w:before="120" w:after="120" w:line="240" w:lineRule="auto"/>
        <w:jc w:val="both"/>
        <w:rPr>
          <w:rFonts w:ascii="Times New Roman" w:hAnsi="Times New Roman" w:cs="Times New Roman"/>
          <w:noProof/>
          <w:sz w:val="24"/>
        </w:rPr>
      </w:pPr>
    </w:p>
    <w:p w14:paraId="4E1ED41A" w14:textId="77777777" w:rsidR="00CB0FCB" w:rsidRDefault="00CB0FCB">
      <w:pPr>
        <w:spacing w:before="120" w:after="120" w:line="240" w:lineRule="auto"/>
        <w:ind w:left="709"/>
        <w:jc w:val="both"/>
        <w:rPr>
          <w:rFonts w:ascii="Times New Roman" w:hAnsi="Times New Roman" w:cs="Times New Roman"/>
          <w:b/>
          <w:bCs/>
          <w:noProof/>
          <w:sz w:val="24"/>
          <w:u w:val="single"/>
        </w:rPr>
      </w:pPr>
    </w:p>
    <w:p w14:paraId="34649841"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31"/>
          <w:headerReference w:type="default" r:id="rId32"/>
          <w:footerReference w:type="even" r:id="rId33"/>
          <w:footerReference w:type="default" r:id="rId34"/>
          <w:headerReference w:type="first" r:id="rId35"/>
          <w:footerReference w:type="first" r:id="rId36"/>
          <w:pgSz w:w="11907" w:h="16839"/>
          <w:pgMar w:top="1134" w:right="1134" w:bottom="1134" w:left="1134" w:header="567" w:footer="567" w:gutter="0"/>
          <w:cols w:space="720"/>
          <w:docGrid w:linePitch="360"/>
        </w:sectPr>
      </w:pPr>
    </w:p>
    <w:p w14:paraId="1231B3E2" w14:textId="4A88E5FF" w:rsidR="00CB0FCB" w:rsidRDefault="009D2B11">
      <w:pPr>
        <w:pStyle w:val="P68B1DB1-Normal11"/>
        <w:keepNext/>
        <w:keepLines/>
        <w:spacing w:before="40" w:after="0" w:line="240" w:lineRule="auto"/>
        <w:jc w:val="both"/>
        <w:outlineLvl w:val="4"/>
        <w:rPr>
          <w:rFonts w:ascii="Cambria" w:eastAsia="Times New Roman" w:hAnsi="Cambria"/>
          <w:noProof/>
          <w:color w:val="365F91"/>
        </w:rPr>
      </w:pPr>
      <w:r>
        <w:rPr>
          <w:rFonts w:ascii="Times New Roman" w:hAnsi="Times New Roman"/>
          <w:b/>
          <w:noProof/>
          <w:u w:val="single"/>
        </w:rPr>
        <w:t>B.2. Starpposma mērķi, mērķrādītāji, rādītāji un neatmaksājama finansiālā atbalsta uzraudzības un īstenošanas grafiks</w:t>
      </w:r>
      <w:r>
        <w:rPr>
          <w:rFonts w:ascii="Cambria" w:hAnsi="Cambria"/>
          <w:noProof/>
          <w:color w:val="365F91"/>
        </w:rPr>
        <w:t xml:space="preserve"> </w:t>
      </w:r>
    </w:p>
    <w:p w14:paraId="17CE9668" w14:textId="77777777" w:rsidR="00CB0FCB" w:rsidRDefault="00CB0FCB">
      <w:pPr>
        <w:rPr>
          <w:noProof/>
        </w:rPr>
      </w:pPr>
    </w:p>
    <w:p w14:paraId="6B6CDB30" w14:textId="77777777" w:rsidR="00CB0FCB" w:rsidRDefault="009D2B11">
      <w:pPr>
        <w:pStyle w:val="P68B1DB1-Normal6"/>
        <w:keepNext/>
        <w:keepLines/>
        <w:spacing w:before="40" w:after="0" w:line="240" w:lineRule="auto"/>
        <w:jc w:val="both"/>
        <w:outlineLvl w:val="4"/>
        <w:rPr>
          <w:rFonts w:eastAsia="Times New Roman"/>
          <w:noProof/>
          <w:szCs w:val="24"/>
        </w:rPr>
      </w:pPr>
      <w:r>
        <w:rPr>
          <w:noProof/>
        </w:rPr>
        <w:t>Lielākā investīcija Nr. 2: Dzīvojamo ēku energorenovācija</w:t>
      </w:r>
    </w:p>
    <w:tbl>
      <w:tblPr>
        <w:tblW w:w="151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514"/>
        <w:gridCol w:w="1807"/>
        <w:gridCol w:w="1499"/>
        <w:gridCol w:w="2311"/>
        <w:gridCol w:w="1278"/>
        <w:gridCol w:w="1396"/>
        <w:gridCol w:w="820"/>
        <w:gridCol w:w="1027"/>
        <w:gridCol w:w="709"/>
        <w:gridCol w:w="3997"/>
      </w:tblGrid>
      <w:tr w:rsidR="00CB0FCB" w14:paraId="2E434670" w14:textId="77777777">
        <w:trPr>
          <w:trHeight w:val="927"/>
          <w:tblHeader/>
        </w:trPr>
        <w:tc>
          <w:tcPr>
            <w:tcW w:w="1027" w:type="dxa"/>
            <w:vMerge w:val="restart"/>
            <w:shd w:val="clear" w:color="auto" w:fill="BDD7EE"/>
            <w:vAlign w:val="center"/>
            <w:hideMark/>
          </w:tcPr>
          <w:p w14:paraId="4A219E3F"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263" w:type="dxa"/>
            <w:vMerge w:val="restart"/>
            <w:shd w:val="clear" w:color="auto" w:fill="BDD7EE"/>
            <w:vAlign w:val="center"/>
            <w:hideMark/>
          </w:tcPr>
          <w:p w14:paraId="06C0C09D"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shd w:val="clear" w:color="auto" w:fill="BDD7EE"/>
            <w:vAlign w:val="center"/>
            <w:hideMark/>
          </w:tcPr>
          <w:p w14:paraId="2BAA05D4"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056" w:type="dxa"/>
            <w:vMerge w:val="restart"/>
            <w:shd w:val="clear" w:color="auto" w:fill="BDD7EE"/>
            <w:vAlign w:val="center"/>
            <w:hideMark/>
          </w:tcPr>
          <w:p w14:paraId="34AE51BC"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2311" w:type="dxa"/>
            <w:vMerge w:val="restart"/>
            <w:shd w:val="clear" w:color="auto" w:fill="BDD7EE"/>
            <w:vAlign w:val="center"/>
            <w:hideMark/>
          </w:tcPr>
          <w:p w14:paraId="1E826A39"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011" w:type="dxa"/>
            <w:gridSpan w:val="3"/>
            <w:shd w:val="clear" w:color="auto" w:fill="BDD7EE"/>
            <w:vAlign w:val="center"/>
            <w:hideMark/>
          </w:tcPr>
          <w:p w14:paraId="0C31C6C8"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560" w:type="dxa"/>
            <w:gridSpan w:val="2"/>
            <w:shd w:val="clear" w:color="auto" w:fill="BDD7EE"/>
            <w:vAlign w:val="center"/>
            <w:hideMark/>
          </w:tcPr>
          <w:p w14:paraId="6CA3915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997" w:type="dxa"/>
            <w:vMerge w:val="restart"/>
            <w:shd w:val="clear" w:color="auto" w:fill="BDD7EE"/>
            <w:vAlign w:val="center"/>
            <w:hideMark/>
          </w:tcPr>
          <w:p w14:paraId="5A0C8B27"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60AF2A2E" w14:textId="77777777">
        <w:trPr>
          <w:trHeight w:val="1013"/>
          <w:tblHeader/>
        </w:trPr>
        <w:tc>
          <w:tcPr>
            <w:tcW w:w="1027" w:type="dxa"/>
            <w:vMerge/>
            <w:vAlign w:val="center"/>
            <w:hideMark/>
          </w:tcPr>
          <w:p w14:paraId="65F20669" w14:textId="77777777" w:rsidR="00CB0FCB" w:rsidRDefault="00CB0FCB">
            <w:pPr>
              <w:spacing w:after="0" w:line="240" w:lineRule="auto"/>
              <w:rPr>
                <w:rFonts w:ascii="Times New Roman" w:eastAsia="Times New Roman" w:hAnsi="Times New Roman" w:cs="Times New Roman"/>
                <w:b/>
                <w:bCs/>
                <w:noProof/>
                <w:sz w:val="18"/>
                <w:szCs w:val="18"/>
              </w:rPr>
            </w:pPr>
          </w:p>
        </w:tc>
        <w:tc>
          <w:tcPr>
            <w:tcW w:w="1263" w:type="dxa"/>
            <w:vMerge/>
            <w:vAlign w:val="center"/>
            <w:hideMark/>
          </w:tcPr>
          <w:p w14:paraId="10ECCE2D"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vAlign w:val="center"/>
            <w:hideMark/>
          </w:tcPr>
          <w:p w14:paraId="67AE5AA1" w14:textId="77777777" w:rsidR="00CB0FCB" w:rsidRDefault="00CB0FCB">
            <w:pPr>
              <w:spacing w:after="0" w:line="240" w:lineRule="auto"/>
              <w:rPr>
                <w:rFonts w:ascii="Times New Roman" w:eastAsia="Times New Roman" w:hAnsi="Times New Roman" w:cs="Times New Roman"/>
                <w:b/>
                <w:bCs/>
                <w:noProof/>
                <w:sz w:val="18"/>
                <w:szCs w:val="18"/>
              </w:rPr>
            </w:pPr>
          </w:p>
        </w:tc>
        <w:tc>
          <w:tcPr>
            <w:tcW w:w="1056" w:type="dxa"/>
            <w:vMerge/>
            <w:vAlign w:val="center"/>
            <w:hideMark/>
          </w:tcPr>
          <w:p w14:paraId="26D7BADE" w14:textId="77777777" w:rsidR="00CB0FCB" w:rsidRDefault="00CB0FCB">
            <w:pPr>
              <w:spacing w:after="0" w:line="240" w:lineRule="auto"/>
              <w:rPr>
                <w:rFonts w:ascii="Times New Roman" w:eastAsia="Times New Roman" w:hAnsi="Times New Roman" w:cs="Times New Roman"/>
                <w:b/>
                <w:bCs/>
                <w:noProof/>
                <w:sz w:val="18"/>
                <w:szCs w:val="18"/>
              </w:rPr>
            </w:pPr>
          </w:p>
        </w:tc>
        <w:tc>
          <w:tcPr>
            <w:tcW w:w="2311" w:type="dxa"/>
            <w:vMerge/>
            <w:vAlign w:val="center"/>
            <w:hideMark/>
          </w:tcPr>
          <w:p w14:paraId="3D288B19" w14:textId="77777777" w:rsidR="00CB0FCB" w:rsidRDefault="00CB0FCB">
            <w:pPr>
              <w:spacing w:after="0" w:line="240" w:lineRule="auto"/>
              <w:rPr>
                <w:rFonts w:ascii="Times New Roman" w:eastAsia="Times New Roman" w:hAnsi="Times New Roman" w:cs="Times New Roman"/>
                <w:b/>
                <w:bCs/>
                <w:noProof/>
                <w:sz w:val="18"/>
                <w:szCs w:val="18"/>
              </w:rPr>
            </w:pPr>
          </w:p>
        </w:tc>
        <w:tc>
          <w:tcPr>
            <w:tcW w:w="1192" w:type="dxa"/>
            <w:shd w:val="clear" w:color="auto" w:fill="BDD7EE"/>
            <w:vAlign w:val="center"/>
            <w:hideMark/>
          </w:tcPr>
          <w:p w14:paraId="576D1D9D"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99" w:type="dxa"/>
            <w:shd w:val="clear" w:color="auto" w:fill="BDD7EE"/>
            <w:vAlign w:val="center"/>
            <w:hideMark/>
          </w:tcPr>
          <w:p w14:paraId="10160095"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20" w:type="dxa"/>
            <w:shd w:val="clear" w:color="auto" w:fill="BDD7EE"/>
            <w:vAlign w:val="center"/>
            <w:hideMark/>
          </w:tcPr>
          <w:p w14:paraId="372100D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51" w:type="dxa"/>
            <w:shd w:val="clear" w:color="auto" w:fill="BDD7EE"/>
            <w:vAlign w:val="center"/>
            <w:hideMark/>
          </w:tcPr>
          <w:p w14:paraId="082AE2A0"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shd w:val="clear" w:color="auto" w:fill="BDD7EE"/>
            <w:vAlign w:val="center"/>
            <w:hideMark/>
          </w:tcPr>
          <w:p w14:paraId="7044BA69"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997" w:type="dxa"/>
            <w:vMerge/>
            <w:vAlign w:val="center"/>
            <w:hideMark/>
          </w:tcPr>
          <w:p w14:paraId="17B04762"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214F64F" w14:textId="77777777">
        <w:trPr>
          <w:trHeight w:val="309"/>
        </w:trPr>
        <w:tc>
          <w:tcPr>
            <w:tcW w:w="1027" w:type="dxa"/>
            <w:shd w:val="clear" w:color="auto" w:fill="C6EFCE"/>
            <w:noWrap/>
            <w:hideMark/>
          </w:tcPr>
          <w:p w14:paraId="3AF20DAA" w14:textId="77777777" w:rsidR="00CB0FCB" w:rsidRDefault="009D2B11">
            <w:pPr>
              <w:pStyle w:val="P68B1DB1-Normal9"/>
              <w:spacing w:after="0" w:line="240" w:lineRule="auto"/>
              <w:rPr>
                <w:rFonts w:eastAsia="Times New Roman" w:cs="Calibri"/>
                <w:noProof/>
                <w:szCs w:val="18"/>
              </w:rPr>
            </w:pPr>
            <w:r>
              <w:rPr>
                <w:noProof/>
              </w:rPr>
              <w:t>20</w:t>
            </w:r>
          </w:p>
        </w:tc>
        <w:tc>
          <w:tcPr>
            <w:tcW w:w="1263" w:type="dxa"/>
            <w:shd w:val="clear" w:color="auto" w:fill="C6EFCE"/>
            <w:noWrap/>
            <w:hideMark/>
          </w:tcPr>
          <w:p w14:paraId="7302FC42" w14:textId="77777777" w:rsidR="00CB0FCB" w:rsidRDefault="009D2B11">
            <w:pPr>
              <w:pStyle w:val="P68B1DB1-Normal9"/>
              <w:spacing w:after="0" w:line="240" w:lineRule="auto"/>
              <w:rPr>
                <w:rFonts w:eastAsia="Times New Roman" w:cs="Calibri"/>
                <w:noProof/>
                <w:szCs w:val="18"/>
              </w:rPr>
            </w:pPr>
            <w:r>
              <w:rPr>
                <w:noProof/>
              </w:rPr>
              <w:t>2–1.2. Renovācija — 16872_dzīvojamo ēku energorenovācija</w:t>
            </w:r>
          </w:p>
        </w:tc>
        <w:tc>
          <w:tcPr>
            <w:tcW w:w="966" w:type="dxa"/>
            <w:shd w:val="clear" w:color="auto" w:fill="C6EFCE"/>
            <w:noWrap/>
            <w:hideMark/>
          </w:tcPr>
          <w:p w14:paraId="5494777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056" w:type="dxa"/>
            <w:shd w:val="clear" w:color="auto" w:fill="C6EFCE"/>
            <w:noWrap/>
            <w:hideMark/>
          </w:tcPr>
          <w:p w14:paraId="5EB739D6" w14:textId="77777777" w:rsidR="00CB0FCB" w:rsidRDefault="009D2B11">
            <w:pPr>
              <w:pStyle w:val="P68B1DB1-Normal9"/>
              <w:spacing w:after="0" w:line="240" w:lineRule="auto"/>
              <w:rPr>
                <w:rFonts w:eastAsia="Times New Roman" w:cs="Calibri"/>
                <w:noProof/>
                <w:szCs w:val="18"/>
              </w:rPr>
            </w:pPr>
            <w:r>
              <w:rPr>
                <w:noProof/>
              </w:rPr>
              <w:t>Dzīvojamo ēku renovācija — darbības</w:t>
            </w:r>
            <w:r>
              <w:rPr>
                <w:noProof/>
                <w:vertAlign w:val="superscript"/>
              </w:rPr>
              <w:t>uzsākšana</w:t>
            </w:r>
            <w:r>
              <w:rPr>
                <w:noProof/>
              </w:rPr>
              <w:t xml:space="preserve"> vienu reizi</w:t>
            </w:r>
          </w:p>
        </w:tc>
        <w:tc>
          <w:tcPr>
            <w:tcW w:w="2311" w:type="dxa"/>
            <w:shd w:val="clear" w:color="auto" w:fill="C6EFCE"/>
            <w:noWrap/>
            <w:hideMark/>
          </w:tcPr>
          <w:p w14:paraId="3632B663" w14:textId="77777777" w:rsidR="00CB0FCB" w:rsidRDefault="009D2B11">
            <w:pPr>
              <w:pStyle w:val="P68B1DB1-Normal9"/>
              <w:spacing w:after="0" w:line="240" w:lineRule="auto"/>
              <w:rPr>
                <w:rFonts w:eastAsia="Times New Roman" w:cs="Calibri"/>
                <w:noProof/>
                <w:szCs w:val="18"/>
              </w:rPr>
            </w:pPr>
            <w:r>
              <w:rPr>
                <w:noProof/>
              </w:rPr>
              <w:t xml:space="preserve">Ministru kopīgā lēmuma stāšanās spēkā </w:t>
            </w:r>
          </w:p>
        </w:tc>
        <w:tc>
          <w:tcPr>
            <w:tcW w:w="1192" w:type="dxa"/>
            <w:shd w:val="clear" w:color="auto" w:fill="C6EFCE"/>
            <w:noWrap/>
            <w:hideMark/>
          </w:tcPr>
          <w:p w14:paraId="528BC02B" w14:textId="77777777" w:rsidR="00CB0FCB" w:rsidRDefault="00CB0FCB">
            <w:pPr>
              <w:spacing w:after="0" w:line="240" w:lineRule="auto"/>
              <w:rPr>
                <w:rFonts w:eastAsia="Times New Roman" w:cs="Calibri"/>
                <w:noProof/>
                <w:color w:val="006100"/>
                <w:sz w:val="18"/>
                <w:szCs w:val="18"/>
              </w:rPr>
            </w:pPr>
          </w:p>
        </w:tc>
        <w:tc>
          <w:tcPr>
            <w:tcW w:w="999" w:type="dxa"/>
            <w:shd w:val="clear" w:color="auto" w:fill="C6EFCE"/>
            <w:noWrap/>
            <w:hideMark/>
          </w:tcPr>
          <w:p w14:paraId="5658010B" w14:textId="77777777" w:rsidR="00CB0FCB" w:rsidRDefault="00CB0FCB">
            <w:pPr>
              <w:spacing w:after="0" w:line="240" w:lineRule="auto"/>
              <w:rPr>
                <w:rFonts w:eastAsia="Times New Roman" w:cs="Calibri"/>
                <w:noProof/>
                <w:color w:val="006100"/>
                <w:sz w:val="18"/>
                <w:szCs w:val="18"/>
              </w:rPr>
            </w:pPr>
          </w:p>
        </w:tc>
        <w:tc>
          <w:tcPr>
            <w:tcW w:w="820" w:type="dxa"/>
            <w:shd w:val="clear" w:color="auto" w:fill="C6EFCE"/>
            <w:noWrap/>
            <w:hideMark/>
          </w:tcPr>
          <w:p w14:paraId="092CF185"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hideMark/>
          </w:tcPr>
          <w:p w14:paraId="1C3A2BB9"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hideMark/>
          </w:tcPr>
          <w:p w14:paraId="7EAC18B7" w14:textId="77777777" w:rsidR="00CB0FCB" w:rsidRDefault="009D2B11">
            <w:pPr>
              <w:pStyle w:val="P68B1DB1-Normal9"/>
              <w:spacing w:after="0" w:line="240" w:lineRule="auto"/>
              <w:rPr>
                <w:rFonts w:eastAsia="Times New Roman" w:cs="Calibri"/>
                <w:noProof/>
                <w:szCs w:val="18"/>
              </w:rPr>
            </w:pPr>
            <w:r>
              <w:rPr>
                <w:noProof/>
              </w:rPr>
              <w:t>2020</w:t>
            </w:r>
          </w:p>
        </w:tc>
        <w:tc>
          <w:tcPr>
            <w:tcW w:w="3997" w:type="dxa"/>
            <w:shd w:val="clear" w:color="auto" w:fill="C6EFCE"/>
            <w:noWrap/>
            <w:hideMark/>
          </w:tcPr>
          <w:p w14:paraId="2B3D33BF" w14:textId="77777777" w:rsidR="00CB0FCB" w:rsidRDefault="009D2B11">
            <w:pPr>
              <w:pStyle w:val="P68B1DB1-Normal9"/>
              <w:spacing w:after="0" w:line="240" w:lineRule="auto"/>
              <w:rPr>
                <w:rFonts w:eastAsia="Times New Roman" w:cs="Calibri"/>
                <w:noProof/>
                <w:szCs w:val="18"/>
              </w:rPr>
            </w:pPr>
            <w:r>
              <w:rPr>
                <w:noProof/>
              </w:rPr>
              <w:t>Stājas spēkā kopīgs ministru lēmums sākt pirmās kārtas renovācijas programmu, tostarp izveidot atlases procesu, lai nodrošinātu, ka dzīvojamo ēku primārās enerģijas patēriņš tiek samazināts vismaz par 30 % salīdzinājumā ar rezidences sākotnējo sniegumu, kas aprēķināts kWh/</w:t>
            </w:r>
            <w:r>
              <w:rPr>
                <w:noProof/>
                <w:vertAlign w:val="superscript"/>
              </w:rPr>
              <w:t>m²</w:t>
            </w:r>
            <w:r>
              <w:rPr>
                <w:noProof/>
              </w:rPr>
              <w:t xml:space="preserve">. </w:t>
            </w:r>
          </w:p>
          <w:p w14:paraId="65F6E540" w14:textId="77777777" w:rsidR="00CB0FCB" w:rsidRDefault="00CB0FCB">
            <w:pPr>
              <w:spacing w:after="0" w:line="240" w:lineRule="auto"/>
              <w:rPr>
                <w:rFonts w:eastAsia="Times New Roman" w:cs="Calibri"/>
                <w:noProof/>
                <w:color w:val="006100"/>
                <w:sz w:val="18"/>
                <w:szCs w:val="18"/>
              </w:rPr>
            </w:pPr>
          </w:p>
          <w:p w14:paraId="4BC5B14D" w14:textId="77777777" w:rsidR="00CB0FCB" w:rsidRDefault="009D2B11">
            <w:pPr>
              <w:pStyle w:val="P68B1DB1-Normal9"/>
              <w:spacing w:after="0" w:line="240" w:lineRule="auto"/>
              <w:rPr>
                <w:rFonts w:eastAsia="Times New Roman" w:cs="Calibri"/>
                <w:noProof/>
                <w:szCs w:val="18"/>
              </w:rPr>
            </w:pPr>
            <w:r>
              <w:rPr>
                <w:noProof/>
              </w:rPr>
              <w:t>Ministru kopīgajā lēmumā nosaka:</w:t>
            </w:r>
          </w:p>
          <w:p w14:paraId="7A2FA3C5" w14:textId="77777777" w:rsidR="00CB0FCB" w:rsidRDefault="009D2B11">
            <w:pPr>
              <w:pStyle w:val="P68B1DB1-Normal9"/>
              <w:spacing w:after="0" w:line="240" w:lineRule="auto"/>
              <w:rPr>
                <w:rFonts w:eastAsia="Times New Roman" w:cs="Calibri"/>
                <w:noProof/>
                <w:szCs w:val="18"/>
              </w:rPr>
            </w:pPr>
            <w:r>
              <w:rPr>
                <w:noProof/>
              </w:rPr>
              <w:t>— Īstenošanas mehānisms;</w:t>
            </w:r>
          </w:p>
          <w:p w14:paraId="10AAC3BE" w14:textId="77777777" w:rsidR="00CB0FCB" w:rsidRDefault="009D2B11">
            <w:pPr>
              <w:pStyle w:val="P68B1DB1-Normal9"/>
              <w:spacing w:after="0" w:line="240" w:lineRule="auto"/>
              <w:rPr>
                <w:rFonts w:eastAsia="Times New Roman" w:cs="Calibri"/>
                <w:noProof/>
                <w:szCs w:val="18"/>
              </w:rPr>
            </w:pPr>
            <w:r>
              <w:rPr>
                <w:noProof/>
              </w:rPr>
              <w:t>— Atlases process, lai sasniegtu noteikto primārās enerģijas ietaupījuma mērķi;</w:t>
            </w:r>
          </w:p>
          <w:p w14:paraId="0223F737" w14:textId="77777777" w:rsidR="00CB0FCB" w:rsidRDefault="009D2B11">
            <w:pPr>
              <w:pStyle w:val="P68B1DB1-Normal9"/>
              <w:spacing w:after="0" w:line="240" w:lineRule="auto"/>
              <w:rPr>
                <w:rFonts w:eastAsia="Times New Roman" w:cs="Calibri"/>
                <w:noProof/>
                <w:szCs w:val="18"/>
              </w:rPr>
            </w:pPr>
            <w:r>
              <w:rPr>
                <w:noProof/>
              </w:rPr>
              <w:t>— Sertifikācijas mehānisms sasniegto faktisko primārās enerģijas ietaupījumu validēšanai (tostarp sīka informācija par iespējamiem korektīviem pasākumiem, lai nodrošinātu primārās enerģijas ietaupījuma mērķa sasniegšanu); un</w:t>
            </w:r>
          </w:p>
          <w:p w14:paraId="38CFAC62" w14:textId="77777777" w:rsidR="00CB0FCB" w:rsidRDefault="009D2B11">
            <w:pPr>
              <w:pStyle w:val="P68B1DB1-Normal9"/>
              <w:spacing w:after="0" w:line="240" w:lineRule="auto"/>
              <w:rPr>
                <w:rFonts w:eastAsia="Times New Roman" w:cs="Calibri"/>
                <w:noProof/>
                <w:szCs w:val="18"/>
              </w:rPr>
            </w:pPr>
            <w:r>
              <w:rPr>
                <w:noProof/>
              </w:rPr>
              <w:t>Hronoloģisks pārskats.</w:t>
            </w:r>
          </w:p>
        </w:tc>
      </w:tr>
      <w:tr w:rsidR="00CB0FCB" w14:paraId="05077BE3" w14:textId="77777777">
        <w:trPr>
          <w:trHeight w:val="309"/>
        </w:trPr>
        <w:tc>
          <w:tcPr>
            <w:tcW w:w="1027" w:type="dxa"/>
            <w:shd w:val="clear" w:color="auto" w:fill="C6EFCE"/>
            <w:noWrap/>
            <w:hideMark/>
          </w:tcPr>
          <w:p w14:paraId="493A02D9" w14:textId="77777777" w:rsidR="00CB0FCB" w:rsidRDefault="009D2B11">
            <w:pPr>
              <w:pStyle w:val="P68B1DB1-Normal9"/>
              <w:spacing w:after="0" w:line="240" w:lineRule="auto"/>
              <w:rPr>
                <w:rFonts w:eastAsia="Times New Roman" w:cs="Calibri"/>
                <w:noProof/>
                <w:szCs w:val="18"/>
              </w:rPr>
            </w:pPr>
            <w:r>
              <w:rPr>
                <w:noProof/>
              </w:rPr>
              <w:t>21</w:t>
            </w:r>
          </w:p>
        </w:tc>
        <w:tc>
          <w:tcPr>
            <w:tcW w:w="1263" w:type="dxa"/>
            <w:shd w:val="clear" w:color="auto" w:fill="C6EFCE"/>
            <w:noWrap/>
            <w:hideMark/>
          </w:tcPr>
          <w:p w14:paraId="518C29FB" w14:textId="77777777" w:rsidR="00CB0FCB" w:rsidRDefault="009D2B11">
            <w:pPr>
              <w:pStyle w:val="P68B1DB1-Normal9"/>
              <w:spacing w:after="0" w:line="240" w:lineRule="auto"/>
              <w:rPr>
                <w:rFonts w:eastAsia="Times New Roman" w:cs="Calibri"/>
                <w:noProof/>
                <w:szCs w:val="18"/>
              </w:rPr>
            </w:pPr>
            <w:r>
              <w:rPr>
                <w:noProof/>
              </w:rPr>
              <w:t>2–1.2. Renovācija — 16872_dzīvojamo ēku energorenovācija</w:t>
            </w:r>
          </w:p>
        </w:tc>
        <w:tc>
          <w:tcPr>
            <w:tcW w:w="966" w:type="dxa"/>
            <w:shd w:val="clear" w:color="auto" w:fill="C6EFCE"/>
            <w:noWrap/>
          </w:tcPr>
          <w:p w14:paraId="09335249" w14:textId="77777777" w:rsidR="00CB0FCB" w:rsidRDefault="009D2B11">
            <w:pPr>
              <w:pStyle w:val="P68B1DB1-Normal9"/>
              <w:spacing w:after="0" w:line="240" w:lineRule="auto"/>
              <w:rPr>
                <w:noProof/>
              </w:rPr>
            </w:pPr>
            <w:r>
              <w:rPr>
                <w:noProof/>
              </w:rPr>
              <w:t>Atskaites punkts</w:t>
            </w:r>
          </w:p>
          <w:p w14:paraId="10E874AB" w14:textId="77777777" w:rsidR="00CB0FCB" w:rsidRDefault="00CB0FCB">
            <w:pPr>
              <w:rPr>
                <w:rFonts w:eastAsia="Times New Roman" w:cs="Calibri"/>
                <w:noProof/>
                <w:sz w:val="18"/>
                <w:szCs w:val="18"/>
              </w:rPr>
            </w:pPr>
          </w:p>
          <w:p w14:paraId="40D075CD" w14:textId="77777777" w:rsidR="00CB0FCB" w:rsidRDefault="00CB0FCB">
            <w:pPr>
              <w:rPr>
                <w:rFonts w:eastAsia="Times New Roman" w:cs="Calibri"/>
                <w:noProof/>
                <w:sz w:val="18"/>
                <w:szCs w:val="18"/>
              </w:rPr>
            </w:pPr>
          </w:p>
          <w:p w14:paraId="1843FD5C" w14:textId="77777777" w:rsidR="00CB0FCB" w:rsidRDefault="00CB0FCB">
            <w:pPr>
              <w:rPr>
                <w:rFonts w:eastAsia="Times New Roman" w:cs="Calibri"/>
                <w:noProof/>
                <w:sz w:val="18"/>
                <w:szCs w:val="18"/>
              </w:rPr>
            </w:pPr>
          </w:p>
          <w:p w14:paraId="035B7BA1" w14:textId="77777777" w:rsidR="00CB0FCB" w:rsidRDefault="00CB0FCB">
            <w:pPr>
              <w:rPr>
                <w:rFonts w:eastAsia="Times New Roman" w:cs="Calibri"/>
                <w:noProof/>
                <w:sz w:val="18"/>
                <w:szCs w:val="18"/>
              </w:rPr>
            </w:pPr>
          </w:p>
          <w:p w14:paraId="67A294B8" w14:textId="77777777" w:rsidR="00CB0FCB" w:rsidRDefault="00CB0FCB">
            <w:pPr>
              <w:rPr>
                <w:rFonts w:eastAsia="Times New Roman" w:cs="Calibri"/>
                <w:noProof/>
                <w:sz w:val="18"/>
                <w:szCs w:val="18"/>
              </w:rPr>
            </w:pPr>
          </w:p>
          <w:p w14:paraId="633050C0" w14:textId="77777777" w:rsidR="00CB0FCB" w:rsidRDefault="00CB0FCB">
            <w:pPr>
              <w:rPr>
                <w:rFonts w:eastAsia="Times New Roman" w:cs="Calibri"/>
                <w:noProof/>
                <w:sz w:val="18"/>
                <w:szCs w:val="18"/>
              </w:rPr>
            </w:pPr>
          </w:p>
          <w:p w14:paraId="4F96C3E5" w14:textId="77777777" w:rsidR="00CB0FCB" w:rsidRDefault="00CB0FCB">
            <w:pPr>
              <w:rPr>
                <w:rFonts w:eastAsia="Times New Roman" w:cs="Calibri"/>
                <w:noProof/>
                <w:sz w:val="18"/>
                <w:szCs w:val="18"/>
              </w:rPr>
            </w:pPr>
          </w:p>
        </w:tc>
        <w:tc>
          <w:tcPr>
            <w:tcW w:w="1056" w:type="dxa"/>
            <w:shd w:val="clear" w:color="auto" w:fill="C6EFCE"/>
            <w:noWrap/>
          </w:tcPr>
          <w:p w14:paraId="65E6027A" w14:textId="77777777" w:rsidR="00CB0FCB" w:rsidRDefault="009D2B11">
            <w:pPr>
              <w:pStyle w:val="P68B1DB1-Normal9"/>
              <w:spacing w:after="0" w:line="240" w:lineRule="auto"/>
              <w:rPr>
                <w:rFonts w:eastAsia="Times New Roman" w:cs="Calibri"/>
                <w:noProof/>
                <w:szCs w:val="18"/>
              </w:rPr>
            </w:pPr>
            <w:r>
              <w:rPr>
                <w:noProof/>
              </w:rPr>
              <w:t>Dzīvojamo ēku renovācija —</w:t>
            </w:r>
            <w:r>
              <w:rPr>
                <w:noProof/>
                <w:vertAlign w:val="superscript"/>
              </w:rPr>
              <w:t>2.</w:t>
            </w:r>
            <w:r>
              <w:rPr>
                <w:noProof/>
              </w:rPr>
              <w:t xml:space="preserve"> kārtas uzsākšana, tostarp enerģētiski nabadzīgas mājsaimniecības</w:t>
            </w:r>
          </w:p>
        </w:tc>
        <w:tc>
          <w:tcPr>
            <w:tcW w:w="2311" w:type="dxa"/>
            <w:shd w:val="clear" w:color="auto" w:fill="C6EFCE"/>
            <w:noWrap/>
          </w:tcPr>
          <w:p w14:paraId="43F9FDCD" w14:textId="77777777" w:rsidR="00CB0FCB" w:rsidRDefault="009D2B11">
            <w:pPr>
              <w:pStyle w:val="P68B1DB1-Normal9"/>
              <w:spacing w:after="0" w:line="240" w:lineRule="auto"/>
              <w:rPr>
                <w:rFonts w:eastAsia="Times New Roman" w:cs="Calibri"/>
                <w:noProof/>
                <w:szCs w:val="18"/>
              </w:rPr>
            </w:pPr>
            <w:r>
              <w:rPr>
                <w:noProof/>
              </w:rPr>
              <w:t xml:space="preserve">Ministru kopīgā lēmuma stāšanās spēkā </w:t>
            </w:r>
          </w:p>
        </w:tc>
        <w:tc>
          <w:tcPr>
            <w:tcW w:w="1192" w:type="dxa"/>
            <w:shd w:val="clear" w:color="auto" w:fill="C6EFCE"/>
            <w:noWrap/>
          </w:tcPr>
          <w:p w14:paraId="688A887F" w14:textId="77777777" w:rsidR="00CB0FCB" w:rsidRDefault="00CB0FCB">
            <w:pPr>
              <w:spacing w:after="0" w:line="240" w:lineRule="auto"/>
              <w:rPr>
                <w:rFonts w:eastAsia="Times New Roman" w:cs="Calibri"/>
                <w:noProof/>
                <w:color w:val="006100"/>
                <w:sz w:val="18"/>
                <w:szCs w:val="18"/>
              </w:rPr>
            </w:pPr>
          </w:p>
        </w:tc>
        <w:tc>
          <w:tcPr>
            <w:tcW w:w="999" w:type="dxa"/>
            <w:shd w:val="clear" w:color="auto" w:fill="C6EFCE"/>
            <w:noWrap/>
          </w:tcPr>
          <w:p w14:paraId="25A366FA" w14:textId="77777777" w:rsidR="00CB0FCB" w:rsidRDefault="00CB0FCB">
            <w:pPr>
              <w:spacing w:after="0" w:line="240" w:lineRule="auto"/>
              <w:rPr>
                <w:rFonts w:eastAsia="Times New Roman" w:cs="Calibri"/>
                <w:noProof/>
                <w:color w:val="006100"/>
                <w:sz w:val="18"/>
                <w:szCs w:val="18"/>
              </w:rPr>
            </w:pPr>
          </w:p>
        </w:tc>
        <w:tc>
          <w:tcPr>
            <w:tcW w:w="820" w:type="dxa"/>
            <w:shd w:val="clear" w:color="auto" w:fill="C6EFCE"/>
            <w:noWrap/>
          </w:tcPr>
          <w:p w14:paraId="08B23B72"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389F47DA" w14:textId="77777777" w:rsidR="00CB0FCB" w:rsidRDefault="009D2B11">
            <w:pPr>
              <w:pStyle w:val="P68B1DB1-Normal9"/>
              <w:spacing w:after="0" w:line="240" w:lineRule="auto"/>
              <w:rPr>
                <w:rFonts w:eastAsia="Times New Roman" w:cs="Calibri"/>
                <w:noProof/>
                <w:szCs w:val="18"/>
              </w:rPr>
            </w:pPr>
            <w:r>
              <w:rPr>
                <w:noProof/>
              </w:rPr>
              <w:t>CET.</w:t>
            </w:r>
          </w:p>
        </w:tc>
        <w:tc>
          <w:tcPr>
            <w:tcW w:w="709" w:type="dxa"/>
            <w:shd w:val="clear" w:color="auto" w:fill="C6EFCE"/>
            <w:noWrap/>
          </w:tcPr>
          <w:p w14:paraId="51943BF4" w14:textId="77777777" w:rsidR="00CB0FCB" w:rsidRDefault="009D2B11">
            <w:pPr>
              <w:pStyle w:val="P68B1DB1-Normal9"/>
              <w:spacing w:after="0" w:line="240" w:lineRule="auto"/>
              <w:rPr>
                <w:rFonts w:eastAsia="Times New Roman" w:cs="Calibri"/>
                <w:noProof/>
                <w:szCs w:val="18"/>
              </w:rPr>
            </w:pPr>
            <w:r>
              <w:rPr>
                <w:noProof/>
              </w:rPr>
              <w:t>2022</w:t>
            </w:r>
          </w:p>
        </w:tc>
        <w:tc>
          <w:tcPr>
            <w:tcW w:w="3997" w:type="dxa"/>
            <w:shd w:val="clear" w:color="auto" w:fill="C6EFCE"/>
            <w:noWrap/>
          </w:tcPr>
          <w:p w14:paraId="3ECCDD9A" w14:textId="77777777" w:rsidR="00CB0FCB" w:rsidRDefault="009D2B11">
            <w:pPr>
              <w:pStyle w:val="P68B1DB1-Normal9"/>
              <w:spacing w:after="0" w:line="240" w:lineRule="auto"/>
              <w:rPr>
                <w:rFonts w:eastAsia="Times New Roman" w:cs="Calibri"/>
                <w:noProof/>
                <w:szCs w:val="18"/>
              </w:rPr>
            </w:pPr>
            <w:r>
              <w:rPr>
                <w:noProof/>
              </w:rPr>
              <w:t>Stājas spēkā kopīgs ministru lēmums sākt otrās kārtas renovācijas programmu un sākt programmu enerģētiski nabadzīgām rezidencēm, tostarp izveidot atlases procesu, lai nodrošinātu, ka primārās enerģijas patēriņš rezidencēs tiek samazināts vismaz par 30 % salīdzinājumā ar rezidences sākotnējo sniegumu, kas aprēķināts kWh/</w:t>
            </w:r>
            <w:r>
              <w:rPr>
                <w:noProof/>
                <w:vertAlign w:val="superscript"/>
              </w:rPr>
              <w:t>m².</w:t>
            </w:r>
            <w:r>
              <w:rPr>
                <w:noProof/>
              </w:rPr>
              <w:t xml:space="preserve"> </w:t>
            </w:r>
          </w:p>
          <w:p w14:paraId="545E2E3E" w14:textId="77777777" w:rsidR="00CB0FCB" w:rsidRDefault="00CB0FCB">
            <w:pPr>
              <w:spacing w:after="0" w:line="240" w:lineRule="auto"/>
              <w:rPr>
                <w:rFonts w:eastAsia="Times New Roman" w:cs="Calibri"/>
                <w:noProof/>
                <w:color w:val="006100"/>
                <w:sz w:val="18"/>
                <w:szCs w:val="18"/>
              </w:rPr>
            </w:pPr>
          </w:p>
          <w:p w14:paraId="3C20DD6F" w14:textId="77777777" w:rsidR="00CB0FCB" w:rsidRDefault="009D2B11">
            <w:pPr>
              <w:pStyle w:val="P68B1DB1-Normal9"/>
              <w:spacing w:after="0" w:line="240" w:lineRule="auto"/>
              <w:rPr>
                <w:rFonts w:eastAsia="Times New Roman" w:cs="Calibri"/>
                <w:noProof/>
                <w:szCs w:val="18"/>
              </w:rPr>
            </w:pPr>
            <w:r>
              <w:rPr>
                <w:noProof/>
              </w:rPr>
              <w:t>Ministru kopīgajā lēmumā nosaka:</w:t>
            </w:r>
          </w:p>
          <w:p w14:paraId="53DBCE27" w14:textId="77777777" w:rsidR="00CB0FCB" w:rsidRDefault="009D2B11">
            <w:pPr>
              <w:pStyle w:val="P68B1DB1-Normal9"/>
              <w:spacing w:after="0" w:line="240" w:lineRule="auto"/>
              <w:rPr>
                <w:rFonts w:eastAsia="Times New Roman" w:cs="Calibri"/>
                <w:noProof/>
                <w:szCs w:val="18"/>
              </w:rPr>
            </w:pPr>
            <w:r>
              <w:rPr>
                <w:noProof/>
              </w:rPr>
              <w:t>— Īstenošanas mehānisms;</w:t>
            </w:r>
          </w:p>
          <w:p w14:paraId="32809E69" w14:textId="77777777" w:rsidR="00CB0FCB" w:rsidRDefault="009D2B11">
            <w:pPr>
              <w:pStyle w:val="P68B1DB1-Normal9"/>
              <w:spacing w:after="0" w:line="240" w:lineRule="auto"/>
              <w:rPr>
                <w:rFonts w:eastAsia="Times New Roman" w:cs="Calibri"/>
                <w:noProof/>
                <w:szCs w:val="18"/>
              </w:rPr>
            </w:pPr>
            <w:r>
              <w:rPr>
                <w:noProof/>
              </w:rPr>
              <w:t>— Atlases process, lai sasniegtu noteikto primārās enerģijas ietaupījuma mērķi;</w:t>
            </w:r>
          </w:p>
          <w:p w14:paraId="0B49FFBC" w14:textId="77777777" w:rsidR="00CB0FCB" w:rsidRDefault="009D2B11">
            <w:pPr>
              <w:pStyle w:val="P68B1DB1-Normal9"/>
              <w:spacing w:after="0" w:line="240" w:lineRule="auto"/>
              <w:rPr>
                <w:rFonts w:eastAsia="Times New Roman" w:cs="Calibri"/>
                <w:noProof/>
                <w:szCs w:val="18"/>
              </w:rPr>
            </w:pPr>
            <w:r>
              <w:rPr>
                <w:noProof/>
              </w:rPr>
              <w:t>— Noteikumi par enerģētiski nabadzīgām rezidencēm saskaņā ar kritērijiem, kas izklāstīti pieņemtajā enerģētiskās nabadzības rīcības plāna sertifikācijas mehānismā, lai apstiprinātu faktiskos panāktos primārās enerģijas ietaupījumus (tostarp detalizētu informāciju par iespējamiem korektīviem pasākumiem, lai nodrošinātu primārās enerģijas ietaupījuma mērķa sasniegšanu); un</w:t>
            </w:r>
          </w:p>
          <w:p w14:paraId="30E47DC1" w14:textId="77777777" w:rsidR="00CB0FCB" w:rsidRDefault="009D2B11">
            <w:pPr>
              <w:pStyle w:val="P68B1DB1-Normal9"/>
              <w:spacing w:after="0" w:line="240" w:lineRule="auto"/>
              <w:rPr>
                <w:rFonts w:eastAsia="Times New Roman" w:cs="Calibri"/>
                <w:noProof/>
                <w:szCs w:val="18"/>
              </w:rPr>
            </w:pPr>
            <w:r>
              <w:rPr>
                <w:noProof/>
              </w:rPr>
              <w:t>Hronoloģisks pārskats.</w:t>
            </w:r>
          </w:p>
          <w:p w14:paraId="48B92044" w14:textId="77777777" w:rsidR="00CB0FCB" w:rsidRDefault="00CB0FCB">
            <w:pPr>
              <w:spacing w:after="0" w:line="240" w:lineRule="auto"/>
              <w:rPr>
                <w:rFonts w:eastAsia="Times New Roman" w:cs="Calibri"/>
                <w:noProof/>
                <w:color w:val="006100"/>
                <w:sz w:val="18"/>
                <w:szCs w:val="18"/>
              </w:rPr>
            </w:pPr>
          </w:p>
          <w:p w14:paraId="0117B1AA" w14:textId="77777777" w:rsidR="00CB0FCB" w:rsidRDefault="009D2B11">
            <w:pPr>
              <w:pStyle w:val="P68B1DB1-Normal9"/>
              <w:spacing w:after="0" w:line="240" w:lineRule="auto"/>
              <w:rPr>
                <w:rFonts w:eastAsia="Times New Roman" w:cs="Calibri"/>
                <w:noProof/>
                <w:szCs w:val="18"/>
              </w:rPr>
            </w:pPr>
            <w:r>
              <w:rPr>
                <w:noProof/>
              </w:rPr>
              <w:t xml:space="preserve">Īpašs noteikums par īpašiem līdzekļiem, kas paredzēti enerģētiski nabadzīgām rezidencēm, kā noteikts enerģētiskās nabadzības rīcības plāna kritērijos. </w:t>
            </w:r>
          </w:p>
        </w:tc>
      </w:tr>
      <w:tr w:rsidR="00CB0FCB" w14:paraId="180A7629" w14:textId="77777777">
        <w:trPr>
          <w:trHeight w:val="309"/>
        </w:trPr>
        <w:tc>
          <w:tcPr>
            <w:tcW w:w="1027" w:type="dxa"/>
            <w:shd w:val="clear" w:color="auto" w:fill="C6EFCE"/>
            <w:noWrap/>
            <w:hideMark/>
          </w:tcPr>
          <w:p w14:paraId="0B285EA1" w14:textId="77777777" w:rsidR="00CB0FCB" w:rsidRDefault="009D2B11">
            <w:pPr>
              <w:pStyle w:val="P68B1DB1-Normal9"/>
              <w:spacing w:after="0" w:line="240" w:lineRule="auto"/>
              <w:rPr>
                <w:rFonts w:eastAsia="Times New Roman" w:cs="Calibri"/>
                <w:noProof/>
                <w:szCs w:val="18"/>
              </w:rPr>
            </w:pPr>
            <w:r>
              <w:rPr>
                <w:noProof/>
              </w:rPr>
              <w:t>22</w:t>
            </w:r>
          </w:p>
        </w:tc>
        <w:tc>
          <w:tcPr>
            <w:tcW w:w="1263" w:type="dxa"/>
            <w:shd w:val="clear" w:color="auto" w:fill="C6EFCE"/>
            <w:noWrap/>
            <w:hideMark/>
          </w:tcPr>
          <w:p w14:paraId="26C2F714" w14:textId="77777777" w:rsidR="00CB0FCB" w:rsidRDefault="009D2B11">
            <w:pPr>
              <w:pStyle w:val="P68B1DB1-Normal9"/>
              <w:spacing w:after="0" w:line="240" w:lineRule="auto"/>
              <w:rPr>
                <w:rFonts w:eastAsia="Times New Roman" w:cs="Calibri"/>
                <w:noProof/>
                <w:szCs w:val="18"/>
              </w:rPr>
            </w:pPr>
            <w:r>
              <w:rPr>
                <w:noProof/>
              </w:rPr>
              <w:t>2–1.2. Renovācija — 16872_dzīvojamo ēku energorenovācija</w:t>
            </w:r>
          </w:p>
        </w:tc>
        <w:tc>
          <w:tcPr>
            <w:tcW w:w="966" w:type="dxa"/>
            <w:shd w:val="clear" w:color="auto" w:fill="C6EFCE"/>
            <w:noWrap/>
            <w:hideMark/>
          </w:tcPr>
          <w:p w14:paraId="208D716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056" w:type="dxa"/>
            <w:shd w:val="clear" w:color="auto" w:fill="C6EFCE"/>
            <w:noWrap/>
            <w:hideMark/>
          </w:tcPr>
          <w:p w14:paraId="6D440568" w14:textId="77777777" w:rsidR="00CB0FCB" w:rsidRDefault="009D2B11">
            <w:pPr>
              <w:pStyle w:val="P68B1DB1-Normal9"/>
              <w:spacing w:after="0" w:line="240" w:lineRule="auto"/>
              <w:rPr>
                <w:rFonts w:eastAsia="Times New Roman" w:cs="Calibri"/>
                <w:noProof/>
                <w:szCs w:val="18"/>
              </w:rPr>
            </w:pPr>
            <w:r>
              <w:rPr>
                <w:noProof/>
              </w:rPr>
              <w:t>Mājokļu renovācija — 3.</w:t>
            </w:r>
            <w:r>
              <w:rPr>
                <w:noProof/>
                <w:vertAlign w:val="superscript"/>
              </w:rPr>
              <w:t>kārtas</w:t>
            </w:r>
            <w:r>
              <w:rPr>
                <w:noProof/>
              </w:rPr>
              <w:t xml:space="preserve"> uzsākšana, tostarp enerģētiski nabadzīgas mājsaimniecības</w:t>
            </w:r>
          </w:p>
        </w:tc>
        <w:tc>
          <w:tcPr>
            <w:tcW w:w="2311" w:type="dxa"/>
            <w:shd w:val="clear" w:color="auto" w:fill="C6EFCE"/>
            <w:noWrap/>
            <w:hideMark/>
          </w:tcPr>
          <w:p w14:paraId="65905F30" w14:textId="77777777" w:rsidR="00CB0FCB" w:rsidRDefault="009D2B11">
            <w:pPr>
              <w:pStyle w:val="P68B1DB1-Normal9"/>
              <w:spacing w:after="0" w:line="240" w:lineRule="auto"/>
              <w:rPr>
                <w:rFonts w:eastAsia="Times New Roman" w:cs="Calibri"/>
                <w:noProof/>
                <w:szCs w:val="18"/>
              </w:rPr>
            </w:pPr>
            <w:r>
              <w:rPr>
                <w:noProof/>
              </w:rPr>
              <w:t>Ministru kopīgā lēmuma stāšanās spēkā</w:t>
            </w:r>
          </w:p>
        </w:tc>
        <w:tc>
          <w:tcPr>
            <w:tcW w:w="1192" w:type="dxa"/>
            <w:shd w:val="clear" w:color="auto" w:fill="C6EFCE"/>
            <w:noWrap/>
            <w:hideMark/>
          </w:tcPr>
          <w:p w14:paraId="6EA0B0BE" w14:textId="77777777" w:rsidR="00CB0FCB" w:rsidRDefault="00CB0FCB">
            <w:pPr>
              <w:spacing w:after="0" w:line="240" w:lineRule="auto"/>
              <w:rPr>
                <w:rFonts w:eastAsia="Times New Roman" w:cs="Calibri"/>
                <w:noProof/>
                <w:color w:val="006100"/>
                <w:sz w:val="18"/>
                <w:szCs w:val="18"/>
              </w:rPr>
            </w:pPr>
          </w:p>
        </w:tc>
        <w:tc>
          <w:tcPr>
            <w:tcW w:w="999" w:type="dxa"/>
            <w:shd w:val="clear" w:color="auto" w:fill="C6EFCE"/>
            <w:noWrap/>
            <w:hideMark/>
          </w:tcPr>
          <w:p w14:paraId="25A94FFA" w14:textId="77777777" w:rsidR="00CB0FCB" w:rsidRDefault="00CB0FCB">
            <w:pPr>
              <w:spacing w:after="0" w:line="240" w:lineRule="auto"/>
              <w:rPr>
                <w:rFonts w:eastAsia="Times New Roman" w:cs="Calibri"/>
                <w:noProof/>
                <w:color w:val="006100"/>
                <w:sz w:val="18"/>
                <w:szCs w:val="18"/>
              </w:rPr>
            </w:pPr>
          </w:p>
        </w:tc>
        <w:tc>
          <w:tcPr>
            <w:tcW w:w="820" w:type="dxa"/>
            <w:shd w:val="clear" w:color="auto" w:fill="C6EFCE"/>
            <w:noWrap/>
            <w:hideMark/>
          </w:tcPr>
          <w:p w14:paraId="6B6DF379"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hideMark/>
          </w:tcPr>
          <w:p w14:paraId="742257FF"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hideMark/>
          </w:tcPr>
          <w:p w14:paraId="6496D954" w14:textId="77777777" w:rsidR="00CB0FCB" w:rsidRDefault="009D2B11">
            <w:pPr>
              <w:pStyle w:val="P68B1DB1-Normal9"/>
              <w:spacing w:after="0" w:line="240" w:lineRule="auto"/>
              <w:rPr>
                <w:rFonts w:eastAsia="Times New Roman" w:cs="Calibri"/>
                <w:noProof/>
                <w:szCs w:val="18"/>
              </w:rPr>
            </w:pPr>
            <w:r>
              <w:rPr>
                <w:noProof/>
              </w:rPr>
              <w:t>2022</w:t>
            </w:r>
          </w:p>
        </w:tc>
        <w:tc>
          <w:tcPr>
            <w:tcW w:w="3997" w:type="dxa"/>
            <w:shd w:val="clear" w:color="auto" w:fill="C6EFCE"/>
            <w:noWrap/>
            <w:hideMark/>
          </w:tcPr>
          <w:p w14:paraId="0A1C69EC" w14:textId="77777777" w:rsidR="00CB0FCB" w:rsidRDefault="009D2B11">
            <w:pPr>
              <w:pStyle w:val="P68B1DB1-Normal9"/>
              <w:spacing w:after="0" w:line="240" w:lineRule="auto"/>
              <w:rPr>
                <w:rFonts w:eastAsia="Times New Roman" w:cs="Calibri"/>
                <w:noProof/>
                <w:szCs w:val="18"/>
              </w:rPr>
            </w:pPr>
            <w:r>
              <w:rPr>
                <w:noProof/>
              </w:rPr>
              <w:t>Stājas spēkā kopīgs ministru lēmums sākt trešās kārtas renovācijas programmu, tostarp izveidot atlases procesu, lai nodrošinātu, ka dzīvojamo ēku primārās enerģijas patēriņš tiek samazināts vismaz par 30 % salīdzinājumā ar rezidences sākotnējo sniegumu, kas aprēķināts kWh/</w:t>
            </w:r>
            <w:r>
              <w:rPr>
                <w:noProof/>
                <w:vertAlign w:val="superscript"/>
              </w:rPr>
              <w:t>m².</w:t>
            </w:r>
          </w:p>
          <w:p w14:paraId="7F18469E" w14:textId="77777777" w:rsidR="00CB0FCB" w:rsidRDefault="00CB0FCB">
            <w:pPr>
              <w:spacing w:after="0" w:line="240" w:lineRule="auto"/>
              <w:rPr>
                <w:rFonts w:eastAsia="Times New Roman" w:cs="Calibri"/>
                <w:noProof/>
                <w:color w:val="006100"/>
                <w:sz w:val="18"/>
                <w:szCs w:val="18"/>
              </w:rPr>
            </w:pPr>
          </w:p>
          <w:p w14:paraId="615A0AF7" w14:textId="77777777" w:rsidR="00CB0FCB" w:rsidRDefault="009D2B11">
            <w:pPr>
              <w:pStyle w:val="P68B1DB1-Normal9"/>
              <w:spacing w:after="0" w:line="240" w:lineRule="auto"/>
              <w:rPr>
                <w:rFonts w:eastAsia="Times New Roman" w:cs="Calibri"/>
                <w:noProof/>
                <w:szCs w:val="18"/>
              </w:rPr>
            </w:pPr>
            <w:r>
              <w:rPr>
                <w:noProof/>
              </w:rPr>
              <w:t>Ministru kopīgajā lēmumā nosaka:</w:t>
            </w:r>
          </w:p>
          <w:p w14:paraId="56639167" w14:textId="77777777" w:rsidR="00CB0FCB" w:rsidRDefault="009D2B11">
            <w:pPr>
              <w:pStyle w:val="P68B1DB1-Normal9"/>
              <w:spacing w:after="0" w:line="240" w:lineRule="auto"/>
              <w:rPr>
                <w:rFonts w:eastAsia="Times New Roman" w:cs="Calibri"/>
                <w:noProof/>
                <w:szCs w:val="18"/>
              </w:rPr>
            </w:pPr>
            <w:r>
              <w:rPr>
                <w:noProof/>
              </w:rPr>
              <w:t>— Īstenošanas mehānisms;</w:t>
            </w:r>
          </w:p>
          <w:p w14:paraId="44CDF6EE" w14:textId="77777777" w:rsidR="00CB0FCB" w:rsidRDefault="009D2B11">
            <w:pPr>
              <w:pStyle w:val="P68B1DB1-Normal9"/>
              <w:spacing w:after="0" w:line="240" w:lineRule="auto"/>
              <w:rPr>
                <w:rFonts w:eastAsia="Times New Roman" w:cs="Calibri"/>
                <w:noProof/>
                <w:szCs w:val="18"/>
              </w:rPr>
            </w:pPr>
            <w:r>
              <w:rPr>
                <w:noProof/>
              </w:rPr>
              <w:t xml:space="preserve">— Atlases process, lai sasniegtu noteikto primārās enerģijas ietaupījuma mērķi; </w:t>
            </w:r>
          </w:p>
          <w:p w14:paraId="2C86F27C" w14:textId="77777777" w:rsidR="00CB0FCB" w:rsidRDefault="009D2B11">
            <w:pPr>
              <w:pStyle w:val="P68B1DB1-Normal9"/>
              <w:spacing w:after="0" w:line="240" w:lineRule="auto"/>
              <w:rPr>
                <w:rFonts w:eastAsia="Times New Roman" w:cs="Calibri"/>
                <w:noProof/>
                <w:szCs w:val="18"/>
              </w:rPr>
            </w:pPr>
            <w:r>
              <w:rPr>
                <w:noProof/>
              </w:rPr>
              <w:t>— Noteikumi attiecībā uz enerģētiski nabadzīgām dzīvesvietām saskaņā ar kritērijiem, kas noteikti pieņemtajā enerģētiskās nabadzības rīcības plānā;</w:t>
            </w:r>
          </w:p>
          <w:p w14:paraId="501159B6" w14:textId="77777777" w:rsidR="00CB0FCB" w:rsidRDefault="009D2B11">
            <w:pPr>
              <w:pStyle w:val="P68B1DB1-Normal9"/>
              <w:spacing w:after="0" w:line="240" w:lineRule="auto"/>
              <w:rPr>
                <w:rFonts w:eastAsia="Times New Roman" w:cs="Calibri"/>
                <w:noProof/>
                <w:szCs w:val="18"/>
              </w:rPr>
            </w:pPr>
            <w:r>
              <w:rPr>
                <w:noProof/>
              </w:rPr>
              <w:t>— Sertifikācijas mehānisms sasniegto faktisko primārās enerģijas ietaupījumu validēšanai (tostarp sīka informācija par iespējamiem korektīviem pasākumiem, lai nodrošinātu primārās enerģijas ietaupījuma mērķa sasniegšanu); un</w:t>
            </w:r>
          </w:p>
          <w:p w14:paraId="44AB6CB7" w14:textId="77777777" w:rsidR="00CB0FCB" w:rsidRDefault="009D2B11">
            <w:pPr>
              <w:pStyle w:val="P68B1DB1-Normal9"/>
              <w:spacing w:after="0" w:line="240" w:lineRule="auto"/>
              <w:rPr>
                <w:rFonts w:eastAsia="Times New Roman" w:cs="Calibri"/>
                <w:noProof/>
                <w:szCs w:val="18"/>
              </w:rPr>
            </w:pPr>
            <w:r>
              <w:rPr>
                <w:noProof/>
              </w:rPr>
              <w:t>Hronoloģisks pārskats.</w:t>
            </w:r>
          </w:p>
          <w:p w14:paraId="7F767AE6" w14:textId="77777777" w:rsidR="00CB0FCB" w:rsidRDefault="00CB0FCB">
            <w:pPr>
              <w:spacing w:after="0" w:line="240" w:lineRule="auto"/>
              <w:rPr>
                <w:rFonts w:eastAsia="Times New Roman" w:cs="Calibri"/>
                <w:noProof/>
                <w:color w:val="006100"/>
                <w:sz w:val="18"/>
                <w:szCs w:val="18"/>
              </w:rPr>
            </w:pPr>
          </w:p>
          <w:p w14:paraId="7F55C243" w14:textId="77777777" w:rsidR="00CB0FCB" w:rsidRDefault="009D2B11">
            <w:pPr>
              <w:pStyle w:val="P68B1DB1-Normal9"/>
              <w:spacing w:after="0" w:line="240" w:lineRule="auto"/>
              <w:rPr>
                <w:rFonts w:eastAsia="Times New Roman" w:cs="Calibri"/>
                <w:noProof/>
                <w:szCs w:val="18"/>
              </w:rPr>
            </w:pPr>
            <w:r>
              <w:rPr>
                <w:noProof/>
              </w:rPr>
              <w:t>Īpašs noteikums par īpašiem līdzekļiem, kas paredzēti enerģētiski nabadzīgām rezidencēm, kā noteikts enerģētiskās nabadzības rīcības plāna kritērijos.</w:t>
            </w:r>
          </w:p>
        </w:tc>
      </w:tr>
      <w:tr w:rsidR="00CB0FCB" w14:paraId="6FCCD7EE" w14:textId="77777777">
        <w:trPr>
          <w:trHeight w:val="309"/>
        </w:trPr>
        <w:tc>
          <w:tcPr>
            <w:tcW w:w="1027" w:type="dxa"/>
            <w:shd w:val="clear" w:color="auto" w:fill="C6EFCE"/>
            <w:noWrap/>
            <w:hideMark/>
          </w:tcPr>
          <w:p w14:paraId="6463B312" w14:textId="77777777" w:rsidR="00CB0FCB" w:rsidRDefault="009D2B11">
            <w:pPr>
              <w:pStyle w:val="P68B1DB1-Normal9"/>
              <w:spacing w:after="0" w:line="240" w:lineRule="auto"/>
              <w:rPr>
                <w:rFonts w:eastAsia="Times New Roman" w:cs="Calibri"/>
                <w:noProof/>
                <w:szCs w:val="18"/>
              </w:rPr>
            </w:pPr>
            <w:r>
              <w:rPr>
                <w:noProof/>
              </w:rPr>
              <w:t>23</w:t>
            </w:r>
          </w:p>
        </w:tc>
        <w:tc>
          <w:tcPr>
            <w:tcW w:w="1263" w:type="dxa"/>
            <w:shd w:val="clear" w:color="auto" w:fill="C6EFCE"/>
            <w:noWrap/>
            <w:hideMark/>
          </w:tcPr>
          <w:p w14:paraId="5FD9B1DF" w14:textId="77777777" w:rsidR="00CB0FCB" w:rsidRDefault="009D2B11">
            <w:pPr>
              <w:pStyle w:val="P68B1DB1-Normal9"/>
              <w:spacing w:after="0" w:line="240" w:lineRule="auto"/>
              <w:rPr>
                <w:rFonts w:eastAsia="Times New Roman" w:cs="Calibri"/>
                <w:noProof/>
                <w:szCs w:val="18"/>
              </w:rPr>
            </w:pPr>
            <w:r>
              <w:rPr>
                <w:noProof/>
              </w:rPr>
              <w:t>2–1.2. Renovācija — 16872_dzīvojamo ēku energorenovācija</w:t>
            </w:r>
          </w:p>
        </w:tc>
        <w:tc>
          <w:tcPr>
            <w:tcW w:w="966" w:type="dxa"/>
            <w:shd w:val="clear" w:color="auto" w:fill="C6EFCE"/>
            <w:noWrap/>
            <w:hideMark/>
          </w:tcPr>
          <w:p w14:paraId="3D89AD46" w14:textId="77777777" w:rsidR="00CB0FCB" w:rsidRDefault="009D2B11">
            <w:pPr>
              <w:pStyle w:val="P68B1DB1-Normal9"/>
              <w:spacing w:after="0" w:line="240" w:lineRule="auto"/>
              <w:rPr>
                <w:rFonts w:eastAsia="Times New Roman" w:cs="Calibri"/>
                <w:noProof/>
                <w:szCs w:val="18"/>
              </w:rPr>
            </w:pPr>
            <w:r>
              <w:rPr>
                <w:noProof/>
              </w:rPr>
              <w:t>Mērķa</w:t>
            </w:r>
          </w:p>
        </w:tc>
        <w:tc>
          <w:tcPr>
            <w:tcW w:w="1056" w:type="dxa"/>
            <w:shd w:val="clear" w:color="auto" w:fill="C6EFCE"/>
            <w:noWrap/>
          </w:tcPr>
          <w:p w14:paraId="65C93A88" w14:textId="77777777" w:rsidR="00CB0FCB" w:rsidRDefault="009D2B11">
            <w:pPr>
              <w:pStyle w:val="P68B1DB1-Normal9"/>
              <w:spacing w:after="0" w:line="240" w:lineRule="auto"/>
              <w:rPr>
                <w:rFonts w:eastAsia="Times New Roman" w:cs="Calibri"/>
                <w:noProof/>
                <w:szCs w:val="18"/>
              </w:rPr>
            </w:pPr>
            <w:r>
              <w:rPr>
                <w:noProof/>
              </w:rPr>
              <w:t>Dzīvojamo ēku renovācija — mājokļu renovācija #1</w:t>
            </w:r>
          </w:p>
        </w:tc>
        <w:tc>
          <w:tcPr>
            <w:tcW w:w="2311" w:type="dxa"/>
            <w:shd w:val="clear" w:color="auto" w:fill="C6EFCE"/>
            <w:noWrap/>
          </w:tcPr>
          <w:p w14:paraId="73D76705" w14:textId="77777777" w:rsidR="00CB0FCB" w:rsidRDefault="00CB0FCB">
            <w:pPr>
              <w:spacing w:after="0" w:line="240" w:lineRule="auto"/>
              <w:rPr>
                <w:rFonts w:eastAsia="Times New Roman" w:cs="Calibri"/>
                <w:noProof/>
                <w:color w:val="006100"/>
                <w:sz w:val="18"/>
                <w:szCs w:val="18"/>
              </w:rPr>
            </w:pPr>
          </w:p>
        </w:tc>
        <w:tc>
          <w:tcPr>
            <w:tcW w:w="1192" w:type="dxa"/>
            <w:shd w:val="clear" w:color="auto" w:fill="C6EFCE"/>
            <w:noWrap/>
            <w:hideMark/>
          </w:tcPr>
          <w:p w14:paraId="29980F12" w14:textId="77777777" w:rsidR="00CB0FCB" w:rsidRDefault="009D2B11">
            <w:pPr>
              <w:pStyle w:val="P68B1DB1-Normal9"/>
              <w:spacing w:after="0" w:line="240" w:lineRule="auto"/>
              <w:rPr>
                <w:rFonts w:eastAsia="Times New Roman" w:cs="Calibri"/>
                <w:noProof/>
                <w:szCs w:val="18"/>
              </w:rPr>
            </w:pPr>
            <w:r>
              <w:rPr>
                <w:noProof/>
              </w:rPr>
              <w:t xml:space="preserve">Pabeigto sertificēto renovāciju skaits </w:t>
            </w:r>
          </w:p>
        </w:tc>
        <w:tc>
          <w:tcPr>
            <w:tcW w:w="999" w:type="dxa"/>
            <w:shd w:val="clear" w:color="auto" w:fill="C6EFCE"/>
            <w:noWrap/>
            <w:hideMark/>
          </w:tcPr>
          <w:p w14:paraId="498700E0" w14:textId="77777777" w:rsidR="00CB0FCB" w:rsidRDefault="009D2B11">
            <w:pPr>
              <w:pStyle w:val="P68B1DB1-Normal9"/>
              <w:spacing w:after="0" w:line="240" w:lineRule="auto"/>
              <w:rPr>
                <w:rFonts w:eastAsia="Times New Roman" w:cs="Calibri"/>
                <w:noProof/>
                <w:szCs w:val="18"/>
              </w:rPr>
            </w:pPr>
            <w:r>
              <w:rPr>
                <w:noProof/>
              </w:rPr>
              <w:t>0</w:t>
            </w:r>
          </w:p>
        </w:tc>
        <w:tc>
          <w:tcPr>
            <w:tcW w:w="820" w:type="dxa"/>
            <w:shd w:val="clear" w:color="auto" w:fill="C6EFCE"/>
            <w:noWrap/>
            <w:hideMark/>
          </w:tcPr>
          <w:p w14:paraId="5B397B53" w14:textId="45495AF7" w:rsidR="00CB0FCB" w:rsidRDefault="009D2B11">
            <w:pPr>
              <w:pStyle w:val="P68B1DB1-Normal9"/>
              <w:spacing w:after="0" w:line="240" w:lineRule="auto"/>
              <w:rPr>
                <w:rFonts w:eastAsia="Times New Roman" w:cs="Calibri"/>
                <w:noProof/>
                <w:szCs w:val="18"/>
              </w:rPr>
            </w:pPr>
            <w:r>
              <w:rPr>
                <w:noProof/>
              </w:rPr>
              <w:t>8 000</w:t>
            </w:r>
          </w:p>
        </w:tc>
        <w:tc>
          <w:tcPr>
            <w:tcW w:w="851" w:type="dxa"/>
            <w:shd w:val="clear" w:color="auto" w:fill="C6EFCE"/>
            <w:noWrap/>
            <w:hideMark/>
          </w:tcPr>
          <w:p w14:paraId="473CF2D9"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hideMark/>
          </w:tcPr>
          <w:p w14:paraId="083D448E" w14:textId="77777777" w:rsidR="00CB0FCB" w:rsidRDefault="009D2B11">
            <w:pPr>
              <w:pStyle w:val="P68B1DB1-Normal9"/>
              <w:spacing w:after="0" w:line="240" w:lineRule="auto"/>
              <w:rPr>
                <w:rFonts w:eastAsia="Times New Roman" w:cs="Calibri"/>
                <w:noProof/>
                <w:szCs w:val="18"/>
              </w:rPr>
            </w:pPr>
            <w:r>
              <w:rPr>
                <w:noProof/>
              </w:rPr>
              <w:t>2023</w:t>
            </w:r>
          </w:p>
        </w:tc>
        <w:tc>
          <w:tcPr>
            <w:tcW w:w="3997" w:type="dxa"/>
            <w:shd w:val="clear" w:color="auto" w:fill="C6EFCE"/>
            <w:noWrap/>
            <w:hideMark/>
          </w:tcPr>
          <w:p w14:paraId="317BA745" w14:textId="48D56F9F" w:rsidR="00CB0FCB" w:rsidRDefault="009D2B11">
            <w:pPr>
              <w:pStyle w:val="P68B1DB1-Normal10"/>
              <w:spacing w:after="0" w:line="240" w:lineRule="auto"/>
              <w:rPr>
                <w:noProof/>
              </w:rPr>
            </w:pPr>
            <w:r>
              <w:rPr>
                <w:noProof/>
              </w:rPr>
              <w:t xml:space="preserve">Renovācija, kuras mērķis ir uzlabot mājokļu skaitu un kura, pamatojoties uz iesniegtajiem energosnieguma sertifikātiem, ir līdzvērtīga enerģijas samazinājumam par 16 ktoe gadā un kuras primārās enerģijas ietaupījums vidēji ir vismaz 30 %. Pārvaldības struktūras izdotais pabeigšanas lēmums apliecina intervenču pabeigšanu. </w:t>
            </w:r>
          </w:p>
        </w:tc>
      </w:tr>
      <w:tr w:rsidR="00CB0FCB" w14:paraId="7B68DAA3" w14:textId="77777777">
        <w:trPr>
          <w:trHeight w:val="309"/>
        </w:trPr>
        <w:tc>
          <w:tcPr>
            <w:tcW w:w="1027" w:type="dxa"/>
            <w:shd w:val="clear" w:color="auto" w:fill="C6EFCE"/>
            <w:noWrap/>
          </w:tcPr>
          <w:p w14:paraId="7989CBB4" w14:textId="77777777" w:rsidR="00CB0FCB" w:rsidRDefault="009D2B11">
            <w:pPr>
              <w:pStyle w:val="P68B1DB1-Normal9"/>
              <w:spacing w:after="0" w:line="240" w:lineRule="auto"/>
              <w:rPr>
                <w:rFonts w:eastAsia="Times New Roman" w:cs="Calibri"/>
                <w:noProof/>
                <w:szCs w:val="18"/>
              </w:rPr>
            </w:pPr>
            <w:r>
              <w:rPr>
                <w:noProof/>
              </w:rPr>
              <w:t>25</w:t>
            </w:r>
          </w:p>
        </w:tc>
        <w:tc>
          <w:tcPr>
            <w:tcW w:w="1263" w:type="dxa"/>
            <w:shd w:val="clear" w:color="auto" w:fill="C6EFCE"/>
            <w:noWrap/>
          </w:tcPr>
          <w:p w14:paraId="3658A0C4" w14:textId="77777777" w:rsidR="00CB0FCB" w:rsidRDefault="009D2B11">
            <w:pPr>
              <w:pStyle w:val="P68B1DB1-Normal9"/>
              <w:spacing w:after="0" w:line="240" w:lineRule="auto"/>
              <w:rPr>
                <w:rFonts w:eastAsia="Times New Roman" w:cs="Calibri"/>
                <w:noProof/>
                <w:szCs w:val="18"/>
              </w:rPr>
            </w:pPr>
            <w:r>
              <w:rPr>
                <w:noProof/>
              </w:rPr>
              <w:t>2–1.2. Renovācija — 16872_dzīvojamo ēku energorenovācija</w:t>
            </w:r>
          </w:p>
        </w:tc>
        <w:tc>
          <w:tcPr>
            <w:tcW w:w="966" w:type="dxa"/>
            <w:shd w:val="clear" w:color="auto" w:fill="C6EFCE"/>
            <w:noWrap/>
          </w:tcPr>
          <w:p w14:paraId="011C5A18" w14:textId="77777777" w:rsidR="00CB0FCB" w:rsidRDefault="009D2B11">
            <w:pPr>
              <w:pStyle w:val="P68B1DB1-Normal9"/>
              <w:spacing w:after="0" w:line="240" w:lineRule="auto"/>
              <w:rPr>
                <w:rFonts w:eastAsia="Times New Roman" w:cs="Calibri"/>
                <w:noProof/>
                <w:szCs w:val="18"/>
              </w:rPr>
            </w:pPr>
            <w:r>
              <w:rPr>
                <w:noProof/>
              </w:rPr>
              <w:t>Mērķa</w:t>
            </w:r>
          </w:p>
        </w:tc>
        <w:tc>
          <w:tcPr>
            <w:tcW w:w="1056" w:type="dxa"/>
            <w:shd w:val="clear" w:color="auto" w:fill="C6EFCE"/>
            <w:noWrap/>
          </w:tcPr>
          <w:p w14:paraId="37B90ADC" w14:textId="77777777" w:rsidR="00CB0FCB" w:rsidRDefault="009D2B11">
            <w:pPr>
              <w:pStyle w:val="P68B1DB1-Normal9"/>
              <w:spacing w:after="0" w:line="240" w:lineRule="auto"/>
              <w:rPr>
                <w:rFonts w:eastAsia="Times New Roman" w:cs="Calibri"/>
                <w:noProof/>
                <w:szCs w:val="18"/>
              </w:rPr>
            </w:pPr>
            <w:r>
              <w:rPr>
                <w:noProof/>
              </w:rPr>
              <w:t>Dzīvojamo ēku renovācija — zaļā enerģija, kas saražota enerģētiski nabadzīgām mājsaimniecībām</w:t>
            </w:r>
          </w:p>
        </w:tc>
        <w:tc>
          <w:tcPr>
            <w:tcW w:w="2311" w:type="dxa"/>
            <w:shd w:val="clear" w:color="auto" w:fill="C6EFCE"/>
            <w:noWrap/>
          </w:tcPr>
          <w:p w14:paraId="50E25FFB" w14:textId="77777777" w:rsidR="00CB0FCB" w:rsidRDefault="00CB0FCB">
            <w:pPr>
              <w:spacing w:after="0" w:line="240" w:lineRule="auto"/>
              <w:rPr>
                <w:rFonts w:eastAsia="Times New Roman" w:cs="Calibri"/>
                <w:noProof/>
                <w:color w:val="006100"/>
                <w:sz w:val="18"/>
                <w:szCs w:val="18"/>
              </w:rPr>
            </w:pPr>
          </w:p>
        </w:tc>
        <w:tc>
          <w:tcPr>
            <w:tcW w:w="1192" w:type="dxa"/>
            <w:shd w:val="clear" w:color="auto" w:fill="C6EFCE"/>
            <w:noWrap/>
          </w:tcPr>
          <w:p w14:paraId="1788FF1F" w14:textId="76A3D36B" w:rsidR="00CB0FCB" w:rsidRDefault="009D2B11">
            <w:pPr>
              <w:pStyle w:val="P68B1DB1-Normal9"/>
              <w:spacing w:after="0" w:line="240" w:lineRule="auto"/>
              <w:rPr>
                <w:rFonts w:eastAsia="Times New Roman" w:cs="Calibri"/>
                <w:noProof/>
                <w:szCs w:val="18"/>
              </w:rPr>
            </w:pPr>
            <w:r>
              <w:rPr>
                <w:noProof/>
              </w:rPr>
              <w:t xml:space="preserve">Uzstādāmo atjaunojamo energoresursu jauna jauda (MW) </w:t>
            </w:r>
          </w:p>
        </w:tc>
        <w:tc>
          <w:tcPr>
            <w:tcW w:w="999" w:type="dxa"/>
            <w:shd w:val="clear" w:color="auto" w:fill="C6EFCE"/>
            <w:noWrap/>
          </w:tcPr>
          <w:p w14:paraId="7DB0010E" w14:textId="77777777" w:rsidR="00CB0FCB" w:rsidRDefault="009D2B11">
            <w:pPr>
              <w:pStyle w:val="P68B1DB1-Normal9"/>
              <w:spacing w:after="0" w:line="240" w:lineRule="auto"/>
              <w:rPr>
                <w:rFonts w:eastAsia="Times New Roman" w:cs="Calibri"/>
                <w:noProof/>
                <w:szCs w:val="18"/>
              </w:rPr>
            </w:pPr>
            <w:r>
              <w:rPr>
                <w:noProof/>
              </w:rPr>
              <w:t>0</w:t>
            </w:r>
          </w:p>
        </w:tc>
        <w:tc>
          <w:tcPr>
            <w:tcW w:w="820" w:type="dxa"/>
            <w:shd w:val="clear" w:color="auto" w:fill="C6EFCE"/>
            <w:noWrap/>
          </w:tcPr>
          <w:p w14:paraId="64256A26" w14:textId="77777777" w:rsidR="00CB0FCB" w:rsidRDefault="009D2B11">
            <w:pPr>
              <w:pStyle w:val="P68B1DB1-Normal9"/>
              <w:spacing w:after="0" w:line="240" w:lineRule="auto"/>
              <w:rPr>
                <w:rFonts w:eastAsia="Times New Roman" w:cs="Calibri"/>
                <w:noProof/>
                <w:szCs w:val="18"/>
              </w:rPr>
            </w:pPr>
            <w:r>
              <w:rPr>
                <w:noProof/>
              </w:rPr>
              <w:t>150</w:t>
            </w:r>
          </w:p>
          <w:p w14:paraId="0A661B95"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0A3CEC90"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5E4C0416" w14:textId="77777777" w:rsidR="00CB0FCB" w:rsidRDefault="009D2B11">
            <w:pPr>
              <w:pStyle w:val="P68B1DB1-Normal9"/>
              <w:spacing w:after="0" w:line="240" w:lineRule="auto"/>
              <w:rPr>
                <w:rFonts w:eastAsia="Times New Roman" w:cs="Calibri"/>
                <w:noProof/>
                <w:szCs w:val="18"/>
              </w:rPr>
            </w:pPr>
            <w:r>
              <w:rPr>
                <w:noProof/>
              </w:rPr>
              <w:t>2025</w:t>
            </w:r>
          </w:p>
        </w:tc>
        <w:tc>
          <w:tcPr>
            <w:tcW w:w="3997" w:type="dxa"/>
            <w:shd w:val="clear" w:color="auto" w:fill="C6EFCE"/>
            <w:noWrap/>
          </w:tcPr>
          <w:p w14:paraId="2545AD8A" w14:textId="72A6B758" w:rsidR="00CB0FCB" w:rsidRDefault="009D2B11">
            <w:pPr>
              <w:pStyle w:val="P68B1DB1-Normal10"/>
              <w:spacing w:after="0" w:line="240" w:lineRule="auto"/>
              <w:rPr>
                <w:rFonts w:eastAsia="Times New Roman" w:cs="Calibri"/>
                <w:noProof/>
              </w:rPr>
            </w:pPr>
            <w:r>
              <w:rPr>
                <w:noProof/>
              </w:rPr>
              <w:t>Tāda aprīkojuma uzstādīšana, kura jaunu atjaunīgo energoresursu jauda ir vismaz 150 MW un kura saistīta ar energokopienām, ko ekspluatē pašvaldības.  30000 enerģētiski nabadzīgu mājsaimniecību, kas gūst labumu no Apollo programmas.</w:t>
            </w:r>
          </w:p>
          <w:p w14:paraId="7D1F5009" w14:textId="4E9606EA" w:rsidR="00CB0FCB" w:rsidRDefault="00CB0FCB">
            <w:pPr>
              <w:spacing w:after="0" w:line="240" w:lineRule="auto"/>
              <w:rPr>
                <w:rFonts w:eastAsia="Times New Roman" w:cs="Calibri"/>
                <w:noProof/>
                <w:color w:val="006100"/>
                <w:sz w:val="18"/>
                <w:szCs w:val="18"/>
              </w:rPr>
            </w:pPr>
          </w:p>
          <w:p w14:paraId="354E5F5C" w14:textId="77777777" w:rsidR="00CB0FCB" w:rsidRDefault="00CB0FCB">
            <w:pPr>
              <w:spacing w:after="0" w:line="240" w:lineRule="auto"/>
              <w:rPr>
                <w:rFonts w:eastAsia="Times New Roman" w:cs="Calibri"/>
                <w:noProof/>
                <w:color w:val="006100"/>
                <w:sz w:val="18"/>
                <w:szCs w:val="18"/>
              </w:rPr>
            </w:pPr>
          </w:p>
          <w:p w14:paraId="1AAD0A17" w14:textId="77777777" w:rsidR="00CB0FCB" w:rsidRDefault="00CB0FCB">
            <w:pPr>
              <w:spacing w:after="0" w:line="240" w:lineRule="auto"/>
              <w:rPr>
                <w:rFonts w:eastAsia="Times New Roman" w:cs="Calibri"/>
                <w:noProof/>
                <w:color w:val="006100"/>
                <w:sz w:val="18"/>
                <w:szCs w:val="18"/>
              </w:rPr>
            </w:pPr>
          </w:p>
        </w:tc>
      </w:tr>
      <w:tr w:rsidR="00CB0FCB" w14:paraId="25ECC123" w14:textId="77777777">
        <w:trPr>
          <w:trHeight w:val="3914"/>
        </w:trPr>
        <w:tc>
          <w:tcPr>
            <w:tcW w:w="1027" w:type="dxa"/>
            <w:shd w:val="clear" w:color="auto" w:fill="C6EFCE"/>
            <w:noWrap/>
          </w:tcPr>
          <w:p w14:paraId="00988798" w14:textId="77777777" w:rsidR="00CB0FCB" w:rsidRDefault="009D2B11">
            <w:pPr>
              <w:pStyle w:val="P68B1DB1-Normal9"/>
              <w:spacing w:after="0" w:line="240" w:lineRule="auto"/>
              <w:rPr>
                <w:rFonts w:eastAsia="Times New Roman" w:cs="Calibri"/>
                <w:noProof/>
                <w:szCs w:val="18"/>
              </w:rPr>
            </w:pPr>
            <w:r>
              <w:rPr>
                <w:noProof/>
              </w:rPr>
              <w:t>26</w:t>
            </w:r>
          </w:p>
        </w:tc>
        <w:tc>
          <w:tcPr>
            <w:tcW w:w="1263" w:type="dxa"/>
            <w:shd w:val="clear" w:color="auto" w:fill="C6EFCE"/>
            <w:noWrap/>
          </w:tcPr>
          <w:p w14:paraId="769686BE" w14:textId="77777777" w:rsidR="00CB0FCB" w:rsidRDefault="009D2B11">
            <w:pPr>
              <w:pStyle w:val="P68B1DB1-Normal9"/>
              <w:spacing w:after="0" w:line="240" w:lineRule="auto"/>
              <w:rPr>
                <w:rFonts w:eastAsia="Times New Roman" w:cs="Calibri"/>
                <w:noProof/>
                <w:szCs w:val="18"/>
              </w:rPr>
            </w:pPr>
            <w:r>
              <w:rPr>
                <w:noProof/>
              </w:rPr>
              <w:t>2–1.2. Renovācija — 16872_dzīvojamo ēku energorenovācija</w:t>
            </w:r>
          </w:p>
        </w:tc>
        <w:tc>
          <w:tcPr>
            <w:tcW w:w="966" w:type="dxa"/>
            <w:shd w:val="clear" w:color="auto" w:fill="C6EFCE"/>
            <w:noWrap/>
          </w:tcPr>
          <w:p w14:paraId="07BC0D88" w14:textId="77777777" w:rsidR="00CB0FCB" w:rsidRDefault="009D2B11">
            <w:pPr>
              <w:pStyle w:val="P68B1DB1-Normal9"/>
              <w:spacing w:after="0" w:line="240" w:lineRule="auto"/>
              <w:rPr>
                <w:rFonts w:eastAsia="Times New Roman" w:cs="Calibri"/>
                <w:noProof/>
                <w:szCs w:val="18"/>
              </w:rPr>
            </w:pPr>
            <w:r>
              <w:rPr>
                <w:noProof/>
              </w:rPr>
              <w:t>Mērķa</w:t>
            </w:r>
          </w:p>
        </w:tc>
        <w:tc>
          <w:tcPr>
            <w:tcW w:w="1056" w:type="dxa"/>
            <w:shd w:val="clear" w:color="auto" w:fill="C6EFCE"/>
            <w:noWrap/>
          </w:tcPr>
          <w:p w14:paraId="545FC5A4" w14:textId="77777777" w:rsidR="00CB0FCB" w:rsidRDefault="009D2B11">
            <w:pPr>
              <w:pStyle w:val="P68B1DB1-Normal9"/>
              <w:spacing w:after="0" w:line="240" w:lineRule="auto"/>
              <w:rPr>
                <w:rFonts w:eastAsia="Times New Roman" w:cs="Calibri"/>
                <w:noProof/>
                <w:szCs w:val="18"/>
              </w:rPr>
            </w:pPr>
            <w:r>
              <w:rPr>
                <w:noProof/>
              </w:rPr>
              <w:t>Dzīvojamo ēku renovācija — mājokļu renovācija #3</w:t>
            </w:r>
          </w:p>
        </w:tc>
        <w:tc>
          <w:tcPr>
            <w:tcW w:w="2311" w:type="dxa"/>
            <w:shd w:val="clear" w:color="auto" w:fill="C6EFCE"/>
            <w:noWrap/>
          </w:tcPr>
          <w:p w14:paraId="792DF6FF" w14:textId="77777777" w:rsidR="00CB0FCB" w:rsidRDefault="00CB0FCB">
            <w:pPr>
              <w:spacing w:after="0" w:line="240" w:lineRule="auto"/>
              <w:rPr>
                <w:rFonts w:eastAsia="Times New Roman" w:cs="Calibri"/>
                <w:noProof/>
                <w:color w:val="006100"/>
                <w:sz w:val="18"/>
                <w:szCs w:val="18"/>
              </w:rPr>
            </w:pPr>
          </w:p>
        </w:tc>
        <w:tc>
          <w:tcPr>
            <w:tcW w:w="1192" w:type="dxa"/>
            <w:shd w:val="clear" w:color="auto" w:fill="C6EFCE"/>
            <w:noWrap/>
          </w:tcPr>
          <w:p w14:paraId="73698D58" w14:textId="77777777" w:rsidR="00CB0FCB" w:rsidRDefault="009D2B11">
            <w:pPr>
              <w:pStyle w:val="P68B1DB1-Normal9"/>
              <w:spacing w:after="0" w:line="240" w:lineRule="auto"/>
              <w:rPr>
                <w:rFonts w:eastAsia="Times New Roman" w:cs="Calibri"/>
                <w:noProof/>
                <w:szCs w:val="18"/>
              </w:rPr>
            </w:pPr>
            <w:r>
              <w:rPr>
                <w:noProof/>
              </w:rPr>
              <w:t>Pabeigto sertificēto renovāciju skaits</w:t>
            </w:r>
          </w:p>
        </w:tc>
        <w:tc>
          <w:tcPr>
            <w:tcW w:w="999" w:type="dxa"/>
            <w:shd w:val="clear" w:color="auto" w:fill="C6EFCE"/>
            <w:noWrap/>
          </w:tcPr>
          <w:p w14:paraId="33605AC9" w14:textId="76986CAE" w:rsidR="00CB0FCB" w:rsidRDefault="009D2B11">
            <w:pPr>
              <w:pStyle w:val="P68B1DB1-Normal9"/>
              <w:spacing w:after="0" w:line="240" w:lineRule="auto"/>
              <w:rPr>
                <w:rFonts w:eastAsia="Times New Roman" w:cs="Calibri"/>
                <w:noProof/>
                <w:szCs w:val="18"/>
              </w:rPr>
            </w:pPr>
            <w:r>
              <w:rPr>
                <w:noProof/>
              </w:rPr>
              <w:t>8 000</w:t>
            </w:r>
          </w:p>
        </w:tc>
        <w:tc>
          <w:tcPr>
            <w:tcW w:w="820" w:type="dxa"/>
            <w:shd w:val="clear" w:color="auto" w:fill="C6EFCE"/>
            <w:noWrap/>
          </w:tcPr>
          <w:p w14:paraId="1287A791" w14:textId="1126A9B9" w:rsidR="00CB0FCB" w:rsidRDefault="009D2B11">
            <w:pPr>
              <w:pStyle w:val="P68B1DB1-Normal9"/>
              <w:spacing w:after="0" w:line="240" w:lineRule="auto"/>
              <w:rPr>
                <w:rFonts w:eastAsia="Times New Roman" w:cs="Calibri"/>
                <w:noProof/>
                <w:szCs w:val="18"/>
              </w:rPr>
            </w:pPr>
            <w:r>
              <w:rPr>
                <w:noProof/>
              </w:rPr>
              <w:t>105 000</w:t>
            </w:r>
          </w:p>
        </w:tc>
        <w:tc>
          <w:tcPr>
            <w:tcW w:w="851" w:type="dxa"/>
            <w:shd w:val="clear" w:color="auto" w:fill="C6EFCE"/>
            <w:noWrap/>
          </w:tcPr>
          <w:p w14:paraId="79341148"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5D87EC6B" w14:textId="77777777" w:rsidR="00CB0FCB" w:rsidRDefault="009D2B11">
            <w:pPr>
              <w:pStyle w:val="P68B1DB1-Normal9"/>
              <w:spacing w:after="0" w:line="240" w:lineRule="auto"/>
              <w:rPr>
                <w:rFonts w:eastAsia="Times New Roman" w:cs="Calibri"/>
                <w:noProof/>
                <w:szCs w:val="18"/>
              </w:rPr>
            </w:pPr>
            <w:r>
              <w:rPr>
                <w:noProof/>
              </w:rPr>
              <w:t>2025</w:t>
            </w:r>
          </w:p>
        </w:tc>
        <w:tc>
          <w:tcPr>
            <w:tcW w:w="3997" w:type="dxa"/>
            <w:shd w:val="clear" w:color="auto" w:fill="C6EFCE"/>
            <w:noWrap/>
          </w:tcPr>
          <w:p w14:paraId="20A99CB0" w14:textId="508E50B0" w:rsidR="00CB0FCB" w:rsidRDefault="009D2B11">
            <w:pPr>
              <w:pStyle w:val="P68B1DB1-Normal10"/>
              <w:spacing w:after="0" w:line="240" w:lineRule="auto"/>
              <w:rPr>
                <w:noProof/>
              </w:rPr>
            </w:pPr>
            <w:r>
              <w:rPr>
                <w:noProof/>
              </w:rPr>
              <w:t xml:space="preserve">Renovācijas pabeigšana, lai uzlabotu energoefektivitāti, pabeigta 105000 dzīvesvietu, no kurām vismaz 20000 ir enerģētiski nabadzīgas mājsaimniecības. Enerģijas samazinājums ir līdzvērtīgs 213 ktoe gadā, un primārās enerģijas ietaupījums vidēji ir vismaz 30 %, pamatojoties uz iesniegtajiem energosnieguma sertifikātiem. </w:t>
            </w:r>
          </w:p>
        </w:tc>
      </w:tr>
    </w:tbl>
    <w:p w14:paraId="06BA3435" w14:textId="77777777" w:rsidR="00CB0FCB" w:rsidRDefault="00CB0FCB">
      <w:pPr>
        <w:spacing w:before="120" w:after="120" w:line="240" w:lineRule="auto"/>
        <w:ind w:left="709"/>
        <w:jc w:val="both"/>
        <w:rPr>
          <w:rFonts w:ascii="Times New Roman" w:hAnsi="Times New Roman" w:cs="Times New Roman"/>
          <w:noProof/>
          <w:sz w:val="24"/>
          <w:szCs w:val="24"/>
        </w:rPr>
      </w:pPr>
    </w:p>
    <w:p w14:paraId="4797370A" w14:textId="77777777" w:rsidR="00CB0FCB" w:rsidRDefault="00CB0FCB">
      <w:pPr>
        <w:keepNext/>
        <w:keepLines/>
        <w:spacing w:before="40" w:after="0" w:line="240" w:lineRule="auto"/>
        <w:jc w:val="both"/>
        <w:outlineLvl w:val="4"/>
        <w:rPr>
          <w:rFonts w:ascii="Cambria" w:hAnsi="Cambria"/>
          <w:noProof/>
          <w:color w:val="365F91"/>
          <w:sz w:val="24"/>
        </w:rPr>
        <w:sectPr w:rsidR="00CB0FCB" w:rsidSect="00271D33">
          <w:headerReference w:type="even" r:id="rId37"/>
          <w:headerReference w:type="default" r:id="rId38"/>
          <w:footerReference w:type="even" r:id="rId39"/>
          <w:footerReference w:type="default" r:id="rId40"/>
          <w:headerReference w:type="first" r:id="rId41"/>
          <w:footerReference w:type="first" r:id="rId42"/>
          <w:pgSz w:w="16839" w:h="11907" w:orient="landscape"/>
          <w:pgMar w:top="1134" w:right="1134" w:bottom="1134" w:left="1134" w:header="567" w:footer="567" w:gutter="0"/>
          <w:cols w:space="720"/>
          <w:docGrid w:linePitch="360"/>
        </w:sectPr>
      </w:pPr>
    </w:p>
    <w:p w14:paraId="0F275CB8" w14:textId="77777777" w:rsidR="00CB0FCB" w:rsidRDefault="009D2B11">
      <w:pPr>
        <w:pStyle w:val="P68B1DB1-Normal6"/>
        <w:keepNext/>
        <w:keepLines/>
        <w:spacing w:before="40" w:after="0" w:line="240" w:lineRule="auto"/>
        <w:jc w:val="both"/>
        <w:outlineLvl w:val="4"/>
        <w:rPr>
          <w:noProof/>
        </w:rPr>
      </w:pPr>
      <w:r>
        <w:rPr>
          <w:noProof/>
        </w:rPr>
        <w:t>Galvenā reforma Nr. 2: Pilsētplānojumi</w:t>
      </w:r>
    </w:p>
    <w:p w14:paraId="741CA966"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W w:w="1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917"/>
        <w:gridCol w:w="1807"/>
        <w:gridCol w:w="1120"/>
        <w:gridCol w:w="1440"/>
        <w:gridCol w:w="1125"/>
        <w:gridCol w:w="1396"/>
        <w:gridCol w:w="766"/>
        <w:gridCol w:w="1027"/>
        <w:gridCol w:w="709"/>
        <w:gridCol w:w="4450"/>
      </w:tblGrid>
      <w:tr w:rsidR="00CB0FCB" w14:paraId="32EBB711" w14:textId="77777777">
        <w:trPr>
          <w:trHeight w:val="844"/>
          <w:jc w:val="center"/>
        </w:trPr>
        <w:tc>
          <w:tcPr>
            <w:tcW w:w="1027" w:type="dxa"/>
            <w:vMerge w:val="restart"/>
            <w:shd w:val="clear" w:color="auto" w:fill="BDD7EE"/>
            <w:vAlign w:val="center"/>
            <w:hideMark/>
          </w:tcPr>
          <w:p w14:paraId="0A9BB4DB"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917" w:type="dxa"/>
            <w:vMerge w:val="restart"/>
            <w:shd w:val="clear" w:color="auto" w:fill="BDD7EE"/>
            <w:vAlign w:val="center"/>
            <w:hideMark/>
          </w:tcPr>
          <w:p w14:paraId="1275E059"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93" w:type="dxa"/>
            <w:vMerge w:val="restart"/>
            <w:shd w:val="clear" w:color="auto" w:fill="BDD7EE"/>
            <w:vAlign w:val="center"/>
            <w:hideMark/>
          </w:tcPr>
          <w:p w14:paraId="4F2C5EF1"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120" w:type="dxa"/>
            <w:vMerge w:val="restart"/>
            <w:shd w:val="clear" w:color="auto" w:fill="BDD7EE"/>
            <w:vAlign w:val="center"/>
            <w:hideMark/>
          </w:tcPr>
          <w:p w14:paraId="74432E9F"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440" w:type="dxa"/>
            <w:vMerge w:val="restart"/>
            <w:shd w:val="clear" w:color="auto" w:fill="BDD7EE"/>
            <w:vAlign w:val="center"/>
            <w:hideMark/>
          </w:tcPr>
          <w:p w14:paraId="50607941"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111" w:type="dxa"/>
            <w:gridSpan w:val="3"/>
            <w:shd w:val="clear" w:color="auto" w:fill="BDD7EE"/>
            <w:vAlign w:val="center"/>
            <w:hideMark/>
          </w:tcPr>
          <w:p w14:paraId="2018973F"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558" w:type="dxa"/>
            <w:gridSpan w:val="2"/>
            <w:shd w:val="clear" w:color="auto" w:fill="BDD7EE"/>
            <w:vAlign w:val="center"/>
            <w:hideMark/>
          </w:tcPr>
          <w:p w14:paraId="6A6EFD30"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450" w:type="dxa"/>
            <w:vMerge w:val="restart"/>
            <w:shd w:val="clear" w:color="auto" w:fill="BDD7EE"/>
            <w:vAlign w:val="center"/>
            <w:hideMark/>
          </w:tcPr>
          <w:p w14:paraId="3EF40835"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3BE219C0" w14:textId="77777777">
        <w:trPr>
          <w:trHeight w:val="601"/>
          <w:tblHeader/>
          <w:jc w:val="center"/>
        </w:trPr>
        <w:tc>
          <w:tcPr>
            <w:tcW w:w="1027" w:type="dxa"/>
            <w:vMerge/>
            <w:vAlign w:val="center"/>
            <w:hideMark/>
          </w:tcPr>
          <w:p w14:paraId="17DACA8A" w14:textId="77777777" w:rsidR="00CB0FCB" w:rsidRDefault="00CB0FCB">
            <w:pPr>
              <w:spacing w:after="0" w:line="240" w:lineRule="auto"/>
              <w:rPr>
                <w:rFonts w:ascii="Times New Roman" w:eastAsia="Times New Roman" w:hAnsi="Times New Roman" w:cs="Times New Roman"/>
                <w:b/>
                <w:bCs/>
                <w:noProof/>
                <w:sz w:val="18"/>
                <w:szCs w:val="18"/>
              </w:rPr>
            </w:pPr>
          </w:p>
        </w:tc>
        <w:tc>
          <w:tcPr>
            <w:tcW w:w="1917" w:type="dxa"/>
            <w:vMerge/>
            <w:vAlign w:val="center"/>
            <w:hideMark/>
          </w:tcPr>
          <w:p w14:paraId="3F98CEEC" w14:textId="77777777" w:rsidR="00CB0FCB" w:rsidRDefault="00CB0FCB">
            <w:pPr>
              <w:spacing w:after="0" w:line="240" w:lineRule="auto"/>
              <w:rPr>
                <w:rFonts w:ascii="Times New Roman" w:eastAsia="Times New Roman" w:hAnsi="Times New Roman" w:cs="Times New Roman"/>
                <w:b/>
                <w:bCs/>
                <w:noProof/>
                <w:sz w:val="18"/>
                <w:szCs w:val="18"/>
              </w:rPr>
            </w:pPr>
          </w:p>
        </w:tc>
        <w:tc>
          <w:tcPr>
            <w:tcW w:w="993" w:type="dxa"/>
            <w:vMerge/>
            <w:vAlign w:val="center"/>
            <w:hideMark/>
          </w:tcPr>
          <w:p w14:paraId="644715D0" w14:textId="77777777" w:rsidR="00CB0FCB" w:rsidRDefault="00CB0FCB">
            <w:pPr>
              <w:spacing w:after="0" w:line="240" w:lineRule="auto"/>
              <w:rPr>
                <w:rFonts w:ascii="Times New Roman" w:eastAsia="Times New Roman" w:hAnsi="Times New Roman" w:cs="Times New Roman"/>
                <w:b/>
                <w:bCs/>
                <w:noProof/>
                <w:sz w:val="18"/>
                <w:szCs w:val="18"/>
              </w:rPr>
            </w:pPr>
          </w:p>
        </w:tc>
        <w:tc>
          <w:tcPr>
            <w:tcW w:w="1120" w:type="dxa"/>
            <w:vMerge/>
            <w:vAlign w:val="center"/>
            <w:hideMark/>
          </w:tcPr>
          <w:p w14:paraId="161CC3DA" w14:textId="77777777" w:rsidR="00CB0FCB" w:rsidRDefault="00CB0FCB">
            <w:pPr>
              <w:spacing w:after="0" w:line="240" w:lineRule="auto"/>
              <w:rPr>
                <w:rFonts w:ascii="Times New Roman" w:eastAsia="Times New Roman" w:hAnsi="Times New Roman" w:cs="Times New Roman"/>
                <w:b/>
                <w:bCs/>
                <w:noProof/>
                <w:sz w:val="18"/>
                <w:szCs w:val="18"/>
              </w:rPr>
            </w:pPr>
          </w:p>
        </w:tc>
        <w:tc>
          <w:tcPr>
            <w:tcW w:w="1440" w:type="dxa"/>
            <w:vMerge/>
            <w:vAlign w:val="center"/>
            <w:hideMark/>
          </w:tcPr>
          <w:p w14:paraId="68923C43" w14:textId="77777777" w:rsidR="00CB0FCB" w:rsidRDefault="00CB0FCB">
            <w:pPr>
              <w:spacing w:after="0" w:line="240" w:lineRule="auto"/>
              <w:rPr>
                <w:rFonts w:ascii="Times New Roman" w:eastAsia="Times New Roman" w:hAnsi="Times New Roman" w:cs="Times New Roman"/>
                <w:b/>
                <w:bCs/>
                <w:noProof/>
                <w:sz w:val="18"/>
                <w:szCs w:val="18"/>
              </w:rPr>
            </w:pPr>
          </w:p>
        </w:tc>
        <w:tc>
          <w:tcPr>
            <w:tcW w:w="1125" w:type="dxa"/>
            <w:shd w:val="clear" w:color="auto" w:fill="BDD7EE"/>
            <w:vAlign w:val="center"/>
            <w:hideMark/>
          </w:tcPr>
          <w:p w14:paraId="4D1ECDC6"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1281" w:type="dxa"/>
            <w:shd w:val="clear" w:color="auto" w:fill="BDD7EE"/>
            <w:vAlign w:val="center"/>
            <w:hideMark/>
          </w:tcPr>
          <w:p w14:paraId="31C9134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05" w:type="dxa"/>
            <w:shd w:val="clear" w:color="auto" w:fill="BDD7EE"/>
            <w:vAlign w:val="center"/>
            <w:hideMark/>
          </w:tcPr>
          <w:p w14:paraId="09F639CE"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49" w:type="dxa"/>
            <w:shd w:val="clear" w:color="auto" w:fill="BDD7EE"/>
            <w:vAlign w:val="center"/>
            <w:hideMark/>
          </w:tcPr>
          <w:p w14:paraId="46145C97"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shd w:val="clear" w:color="auto" w:fill="BDD7EE"/>
            <w:vAlign w:val="center"/>
            <w:hideMark/>
          </w:tcPr>
          <w:p w14:paraId="1630F502"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450" w:type="dxa"/>
            <w:vMerge/>
            <w:vAlign w:val="center"/>
            <w:hideMark/>
          </w:tcPr>
          <w:p w14:paraId="6F3413A2"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63FECD43" w14:textId="77777777">
        <w:trPr>
          <w:trHeight w:val="313"/>
          <w:tblHeader/>
          <w:jc w:val="center"/>
        </w:trPr>
        <w:tc>
          <w:tcPr>
            <w:tcW w:w="1027" w:type="dxa"/>
            <w:shd w:val="clear" w:color="auto" w:fill="C6EFCE"/>
            <w:noWrap/>
          </w:tcPr>
          <w:p w14:paraId="6C02A3CD" w14:textId="77777777" w:rsidR="00CB0FCB" w:rsidRDefault="009D2B11">
            <w:pPr>
              <w:pStyle w:val="P68B1DB1-Normal9"/>
              <w:spacing w:after="0" w:line="240" w:lineRule="auto"/>
              <w:rPr>
                <w:rFonts w:eastAsia="Times New Roman" w:cs="Calibri"/>
                <w:noProof/>
                <w:szCs w:val="18"/>
              </w:rPr>
            </w:pPr>
            <w:r>
              <w:rPr>
                <w:noProof/>
              </w:rPr>
              <w:t>27</w:t>
            </w:r>
          </w:p>
        </w:tc>
        <w:tc>
          <w:tcPr>
            <w:tcW w:w="1917" w:type="dxa"/>
            <w:shd w:val="clear" w:color="auto" w:fill="C6EFCE"/>
            <w:noWrap/>
          </w:tcPr>
          <w:p w14:paraId="3C52F37F" w14:textId="77777777" w:rsidR="00CB0FCB" w:rsidRDefault="009D2B11">
            <w:pPr>
              <w:pStyle w:val="P68B1DB1-Normal9"/>
              <w:spacing w:after="0" w:line="240" w:lineRule="auto"/>
              <w:rPr>
                <w:rFonts w:eastAsia="Times New Roman" w:cs="Calibri"/>
                <w:noProof/>
                <w:szCs w:val="18"/>
              </w:rPr>
            </w:pPr>
            <w:r>
              <w:rPr>
                <w:noProof/>
              </w:rPr>
              <w:t>2–1.2. Renovācija — 16879_Pilsētvides plānu sagatavošana pilsētpolitikas reformas īstenošanai</w:t>
            </w:r>
          </w:p>
        </w:tc>
        <w:tc>
          <w:tcPr>
            <w:tcW w:w="993" w:type="dxa"/>
            <w:shd w:val="clear" w:color="auto" w:fill="C6EFCE"/>
            <w:noWrap/>
          </w:tcPr>
          <w:p w14:paraId="55542B1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20" w:type="dxa"/>
            <w:shd w:val="clear" w:color="auto" w:fill="C6EFCE"/>
            <w:noWrap/>
          </w:tcPr>
          <w:p w14:paraId="19054CE0" w14:textId="77777777" w:rsidR="00CB0FCB" w:rsidRDefault="009D2B11">
            <w:pPr>
              <w:pStyle w:val="P68B1DB1-Normal9"/>
              <w:spacing w:after="0" w:line="240" w:lineRule="auto"/>
              <w:rPr>
                <w:rFonts w:eastAsia="Times New Roman" w:cs="Calibri"/>
                <w:noProof/>
                <w:szCs w:val="18"/>
              </w:rPr>
            </w:pPr>
            <w:r>
              <w:rPr>
                <w:noProof/>
              </w:rPr>
              <w:t>Balva “Pilsētvides plāni”</w:t>
            </w:r>
          </w:p>
        </w:tc>
        <w:tc>
          <w:tcPr>
            <w:tcW w:w="1440" w:type="dxa"/>
            <w:shd w:val="clear" w:color="auto" w:fill="C6EFCE"/>
            <w:noWrap/>
          </w:tcPr>
          <w:p w14:paraId="7B62E019" w14:textId="77777777" w:rsidR="00CB0FCB" w:rsidRDefault="009D2B11">
            <w:pPr>
              <w:pStyle w:val="P68B1DB1-Normal9"/>
              <w:spacing w:after="0" w:line="240" w:lineRule="auto"/>
              <w:rPr>
                <w:rFonts w:eastAsia="Times New Roman" w:cs="Calibri"/>
                <w:noProof/>
                <w:szCs w:val="18"/>
              </w:rPr>
            </w:pPr>
            <w:r>
              <w:rPr>
                <w:noProof/>
              </w:rPr>
              <w:t>Paziņojums par līgumu slēgšanas tiesību piešķiršanu</w:t>
            </w:r>
          </w:p>
        </w:tc>
        <w:tc>
          <w:tcPr>
            <w:tcW w:w="1125" w:type="dxa"/>
            <w:shd w:val="clear" w:color="auto" w:fill="C6EFCE"/>
            <w:noWrap/>
          </w:tcPr>
          <w:p w14:paraId="1B3C1E2A" w14:textId="77777777" w:rsidR="00CB0FCB" w:rsidRDefault="00CB0FCB">
            <w:pPr>
              <w:spacing w:after="0" w:line="240" w:lineRule="auto"/>
              <w:rPr>
                <w:rFonts w:eastAsia="Times New Roman" w:cs="Calibri"/>
                <w:noProof/>
                <w:color w:val="006100"/>
                <w:sz w:val="18"/>
                <w:szCs w:val="18"/>
              </w:rPr>
            </w:pPr>
          </w:p>
        </w:tc>
        <w:tc>
          <w:tcPr>
            <w:tcW w:w="1281" w:type="dxa"/>
            <w:shd w:val="clear" w:color="auto" w:fill="C6EFCE"/>
            <w:noWrap/>
          </w:tcPr>
          <w:p w14:paraId="6C5DE721" w14:textId="77777777" w:rsidR="00CB0FCB" w:rsidRDefault="00CB0FCB">
            <w:pPr>
              <w:spacing w:after="0" w:line="240" w:lineRule="auto"/>
              <w:rPr>
                <w:rFonts w:eastAsia="Times New Roman" w:cs="Calibri"/>
                <w:noProof/>
                <w:color w:val="006100"/>
                <w:sz w:val="18"/>
                <w:szCs w:val="18"/>
              </w:rPr>
            </w:pPr>
          </w:p>
        </w:tc>
        <w:tc>
          <w:tcPr>
            <w:tcW w:w="705" w:type="dxa"/>
            <w:shd w:val="clear" w:color="auto" w:fill="C6EFCE"/>
            <w:noWrap/>
          </w:tcPr>
          <w:p w14:paraId="6978CDD4" w14:textId="77777777" w:rsidR="00CB0FCB" w:rsidRDefault="00CB0FCB">
            <w:pPr>
              <w:spacing w:after="0" w:line="240" w:lineRule="auto"/>
              <w:rPr>
                <w:rFonts w:eastAsia="Times New Roman" w:cs="Calibri"/>
                <w:noProof/>
                <w:color w:val="006100"/>
                <w:sz w:val="18"/>
                <w:szCs w:val="18"/>
              </w:rPr>
            </w:pPr>
          </w:p>
        </w:tc>
        <w:tc>
          <w:tcPr>
            <w:tcW w:w="849" w:type="dxa"/>
            <w:shd w:val="clear" w:color="auto" w:fill="C6EFCE"/>
            <w:noWrap/>
          </w:tcPr>
          <w:p w14:paraId="5A7D2D22"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0F395981" w14:textId="77777777" w:rsidR="00CB0FCB" w:rsidRDefault="009D2B11">
            <w:pPr>
              <w:pStyle w:val="P68B1DB1-Normal9"/>
              <w:spacing w:after="0" w:line="240" w:lineRule="auto"/>
              <w:rPr>
                <w:rFonts w:eastAsia="Times New Roman" w:cs="Calibri"/>
                <w:noProof/>
                <w:szCs w:val="18"/>
              </w:rPr>
            </w:pPr>
            <w:r>
              <w:rPr>
                <w:noProof/>
              </w:rPr>
              <w:t>2022</w:t>
            </w:r>
          </w:p>
        </w:tc>
        <w:tc>
          <w:tcPr>
            <w:tcW w:w="4450" w:type="dxa"/>
            <w:shd w:val="clear" w:color="auto" w:fill="C6EFCE"/>
            <w:noWrap/>
          </w:tcPr>
          <w:p w14:paraId="262B6FC6" w14:textId="77777777" w:rsidR="00CB0FCB" w:rsidRDefault="009D2B11">
            <w:pPr>
              <w:pStyle w:val="P68B1DB1-Normal10"/>
              <w:spacing w:after="0" w:line="240" w:lineRule="auto"/>
              <w:rPr>
                <w:rFonts w:eastAsia="Times New Roman" w:cs="Calibri"/>
                <w:noProof/>
              </w:rPr>
            </w:pPr>
            <w:r>
              <w:rPr>
                <w:noProof/>
              </w:rPr>
              <w:t xml:space="preserve">Paziņojums par līguma slēgšanas tiesību piešķiršanu 30 % apmērā no visiem līgumiem (attiecībā uz visām intervencēm): </w:t>
            </w:r>
          </w:p>
          <w:p w14:paraId="6B6BC476" w14:textId="77777777" w:rsidR="00CB0FCB" w:rsidRDefault="009D2B11">
            <w:pPr>
              <w:pStyle w:val="P68B1DB1-Normal9"/>
              <w:spacing w:after="0" w:line="240" w:lineRule="auto"/>
              <w:rPr>
                <w:rFonts w:eastAsia="Times New Roman" w:cs="Calibri"/>
                <w:noProof/>
                <w:szCs w:val="18"/>
              </w:rPr>
            </w:pPr>
            <w:r>
              <w:rPr>
                <w:noProof/>
              </w:rPr>
              <w:t>1) vietējo pilsētplānojumu sagatavošana;</w:t>
            </w:r>
          </w:p>
          <w:p w14:paraId="205CD24A" w14:textId="77777777" w:rsidR="00CB0FCB" w:rsidRDefault="009D2B11">
            <w:pPr>
              <w:pStyle w:val="P68B1DB1-Normal9"/>
              <w:spacing w:after="0" w:line="240" w:lineRule="auto"/>
              <w:rPr>
                <w:rFonts w:eastAsia="Times New Roman" w:cs="Calibri"/>
                <w:noProof/>
                <w:szCs w:val="18"/>
              </w:rPr>
            </w:pPr>
            <w:r>
              <w:rPr>
                <w:noProof/>
              </w:rPr>
              <w:t>2) īpašu pilsētvides plānu sagatavošana;</w:t>
            </w:r>
          </w:p>
          <w:p w14:paraId="23FC1842" w14:textId="77777777" w:rsidR="00CB0FCB" w:rsidRDefault="009D2B11">
            <w:pPr>
              <w:pStyle w:val="P68B1DB1-Normal9"/>
              <w:spacing w:after="0" w:line="240" w:lineRule="auto"/>
              <w:rPr>
                <w:rFonts w:eastAsia="Times New Roman" w:cs="Calibri"/>
                <w:noProof/>
                <w:szCs w:val="18"/>
              </w:rPr>
            </w:pPr>
            <w:r>
              <w:rPr>
                <w:noProof/>
              </w:rPr>
              <w:t>Izstrādāt neatkarīgus plānus attīstības tiesību nodošanas zonu noteikšanai;</w:t>
            </w:r>
          </w:p>
          <w:p w14:paraId="193B585F" w14:textId="77777777" w:rsidR="00CB0FCB" w:rsidRDefault="009D2B11">
            <w:pPr>
              <w:pStyle w:val="P68B1DB1-Normal9"/>
              <w:spacing w:after="0" w:line="240" w:lineRule="auto"/>
              <w:rPr>
                <w:rFonts w:eastAsia="Times New Roman" w:cs="Calibri"/>
                <w:noProof/>
                <w:szCs w:val="18"/>
              </w:rPr>
            </w:pPr>
            <w:r>
              <w:rPr>
                <w:noProof/>
              </w:rPr>
              <w:t>4. neatkarīgu norēķinu robežu noteikšanas plānu sagatavošana; un</w:t>
            </w:r>
          </w:p>
          <w:p w14:paraId="14B9F76D" w14:textId="77777777" w:rsidR="00CB0FCB" w:rsidRDefault="009D2B11">
            <w:pPr>
              <w:pStyle w:val="P68B1DB1-Normal9"/>
              <w:spacing w:after="0" w:line="240" w:lineRule="auto"/>
              <w:rPr>
                <w:rFonts w:eastAsia="Times New Roman" w:cs="Calibri"/>
                <w:noProof/>
                <w:szCs w:val="18"/>
              </w:rPr>
            </w:pPr>
            <w:r>
              <w:rPr>
                <w:noProof/>
              </w:rPr>
              <w:t>5. neatkarīgu pašvaldības ceļu raksturošanas plānu sagatavošana.</w:t>
            </w:r>
          </w:p>
          <w:p w14:paraId="3D55CBF1" w14:textId="77777777" w:rsidR="00CB0FCB" w:rsidRDefault="00CB0FCB">
            <w:pPr>
              <w:spacing w:after="0" w:line="240" w:lineRule="auto"/>
              <w:rPr>
                <w:rFonts w:eastAsia="Times New Roman" w:cs="Calibri"/>
                <w:noProof/>
                <w:color w:val="006100"/>
                <w:sz w:val="18"/>
                <w:szCs w:val="18"/>
              </w:rPr>
            </w:pPr>
          </w:p>
          <w:p w14:paraId="1F7DB0FF" w14:textId="77777777" w:rsidR="00CB0FCB" w:rsidRDefault="009D2B11">
            <w:pPr>
              <w:pStyle w:val="P68B1DB1-Normal9"/>
              <w:spacing w:after="0" w:line="240" w:lineRule="auto"/>
              <w:rPr>
                <w:rFonts w:eastAsia="Times New Roman" w:cs="Calibri"/>
                <w:noProof/>
                <w:szCs w:val="18"/>
              </w:rPr>
            </w:pPr>
            <w:r>
              <w:rPr>
                <w:noProof/>
              </w:rPr>
              <w:t>Vietējos pilsētplānos iekļaut īpašu nodaļu par klimata pārmaiņu pasākumiem un ar klimatu saistīto risku novēršanu un pārvaldību);</w:t>
            </w:r>
          </w:p>
          <w:p w14:paraId="33FBF550" w14:textId="77777777" w:rsidR="00CB0FCB" w:rsidRDefault="00CB0FCB">
            <w:pPr>
              <w:spacing w:after="0" w:line="240" w:lineRule="auto"/>
              <w:rPr>
                <w:rFonts w:eastAsia="Times New Roman" w:cs="Calibri"/>
                <w:noProof/>
                <w:color w:val="006100"/>
                <w:sz w:val="18"/>
                <w:szCs w:val="18"/>
              </w:rPr>
            </w:pPr>
          </w:p>
        </w:tc>
      </w:tr>
      <w:tr w:rsidR="00CB0FCB" w14:paraId="6B8BD066" w14:textId="77777777">
        <w:trPr>
          <w:trHeight w:val="313"/>
          <w:tblHeader/>
          <w:jc w:val="center"/>
        </w:trPr>
        <w:tc>
          <w:tcPr>
            <w:tcW w:w="1027" w:type="dxa"/>
            <w:shd w:val="clear" w:color="auto" w:fill="C6EFCE"/>
            <w:noWrap/>
          </w:tcPr>
          <w:p w14:paraId="3D82E129" w14:textId="2EA7B106" w:rsidR="00CB0FCB" w:rsidRDefault="009D2B11">
            <w:pPr>
              <w:pStyle w:val="P68B1DB1-Normal9"/>
              <w:spacing w:after="0" w:line="240" w:lineRule="auto"/>
              <w:rPr>
                <w:noProof/>
              </w:rPr>
            </w:pPr>
            <w:r>
              <w:rPr>
                <w:noProof/>
              </w:rPr>
              <w:t>28</w:t>
            </w:r>
          </w:p>
        </w:tc>
        <w:tc>
          <w:tcPr>
            <w:tcW w:w="1917" w:type="dxa"/>
            <w:shd w:val="clear" w:color="auto" w:fill="C6EFCE"/>
            <w:noWrap/>
          </w:tcPr>
          <w:p w14:paraId="6104B849" w14:textId="723EF304" w:rsidR="00CB0FCB" w:rsidRDefault="009D2B11">
            <w:pPr>
              <w:pStyle w:val="P68B1DB1-Normal9"/>
              <w:spacing w:after="0" w:line="240" w:lineRule="auto"/>
              <w:rPr>
                <w:noProof/>
              </w:rPr>
            </w:pPr>
            <w:r>
              <w:rPr>
                <w:noProof/>
              </w:rPr>
              <w:t>2–1.2. Renovācija — 16879_Pilsētvides plānu sagatavošana pilsētpolitikas reformas īstenošanai</w:t>
            </w:r>
          </w:p>
        </w:tc>
        <w:tc>
          <w:tcPr>
            <w:tcW w:w="993" w:type="dxa"/>
            <w:shd w:val="clear" w:color="auto" w:fill="C6EFCE"/>
            <w:noWrap/>
          </w:tcPr>
          <w:p w14:paraId="0D1EB2EC" w14:textId="73FDD75D" w:rsidR="00CB0FCB" w:rsidRDefault="009D2B11">
            <w:pPr>
              <w:pStyle w:val="P68B1DB1-Normal9"/>
              <w:spacing w:after="0" w:line="240" w:lineRule="auto"/>
              <w:rPr>
                <w:noProof/>
              </w:rPr>
            </w:pPr>
            <w:r>
              <w:rPr>
                <w:noProof/>
              </w:rPr>
              <w:t>Atskaites punkts</w:t>
            </w:r>
          </w:p>
        </w:tc>
        <w:tc>
          <w:tcPr>
            <w:tcW w:w="1120" w:type="dxa"/>
            <w:shd w:val="clear" w:color="auto" w:fill="C6EFCE"/>
            <w:noWrap/>
          </w:tcPr>
          <w:p w14:paraId="6DC2B883" w14:textId="6C3BEED0" w:rsidR="00CB0FCB" w:rsidRDefault="009D2B11">
            <w:pPr>
              <w:pStyle w:val="P68B1DB1-Normal9"/>
              <w:spacing w:after="0" w:line="240" w:lineRule="auto"/>
              <w:rPr>
                <w:noProof/>
              </w:rPr>
            </w:pPr>
            <w:r>
              <w:rPr>
                <w:noProof/>
              </w:rPr>
              <w:t>Balva “Pilsētvides plāni”</w:t>
            </w:r>
          </w:p>
        </w:tc>
        <w:tc>
          <w:tcPr>
            <w:tcW w:w="1440" w:type="dxa"/>
            <w:shd w:val="clear" w:color="auto" w:fill="C6EFCE"/>
            <w:noWrap/>
          </w:tcPr>
          <w:p w14:paraId="622D5CF1" w14:textId="52458E48" w:rsidR="00CB0FCB" w:rsidRDefault="009D2B11">
            <w:pPr>
              <w:pStyle w:val="P68B1DB1-Normal9"/>
              <w:spacing w:after="0" w:line="240" w:lineRule="auto"/>
              <w:rPr>
                <w:noProof/>
              </w:rPr>
            </w:pPr>
            <w:r>
              <w:rPr>
                <w:noProof/>
              </w:rPr>
              <w:t>Paziņojums par līgumu slēgšanas tiesību piešķiršanu</w:t>
            </w:r>
          </w:p>
        </w:tc>
        <w:tc>
          <w:tcPr>
            <w:tcW w:w="1125" w:type="dxa"/>
            <w:shd w:val="clear" w:color="auto" w:fill="C6EFCE"/>
            <w:noWrap/>
          </w:tcPr>
          <w:p w14:paraId="0153845D" w14:textId="77777777" w:rsidR="00CB0FCB" w:rsidRDefault="00CB0FCB">
            <w:pPr>
              <w:spacing w:after="0" w:line="240" w:lineRule="auto"/>
              <w:rPr>
                <w:rFonts w:eastAsia="Times New Roman" w:cs="Calibri"/>
                <w:noProof/>
                <w:color w:val="006100"/>
                <w:sz w:val="18"/>
                <w:szCs w:val="18"/>
              </w:rPr>
            </w:pPr>
          </w:p>
        </w:tc>
        <w:tc>
          <w:tcPr>
            <w:tcW w:w="1281" w:type="dxa"/>
            <w:shd w:val="clear" w:color="auto" w:fill="C6EFCE"/>
            <w:noWrap/>
          </w:tcPr>
          <w:p w14:paraId="7C098C18" w14:textId="77777777" w:rsidR="00CB0FCB" w:rsidRDefault="00CB0FCB">
            <w:pPr>
              <w:spacing w:after="0" w:line="240" w:lineRule="auto"/>
              <w:rPr>
                <w:rFonts w:eastAsia="Times New Roman" w:cs="Calibri"/>
                <w:noProof/>
                <w:color w:val="006100"/>
                <w:sz w:val="18"/>
                <w:szCs w:val="18"/>
              </w:rPr>
            </w:pPr>
          </w:p>
        </w:tc>
        <w:tc>
          <w:tcPr>
            <w:tcW w:w="705" w:type="dxa"/>
            <w:shd w:val="clear" w:color="auto" w:fill="C6EFCE"/>
            <w:noWrap/>
          </w:tcPr>
          <w:p w14:paraId="15506A49" w14:textId="77777777" w:rsidR="00CB0FCB" w:rsidRDefault="00CB0FCB">
            <w:pPr>
              <w:spacing w:after="0" w:line="240" w:lineRule="auto"/>
              <w:rPr>
                <w:rFonts w:eastAsia="Times New Roman" w:cs="Calibri"/>
                <w:noProof/>
                <w:color w:val="006100"/>
                <w:sz w:val="18"/>
                <w:szCs w:val="18"/>
              </w:rPr>
            </w:pPr>
          </w:p>
        </w:tc>
        <w:tc>
          <w:tcPr>
            <w:tcW w:w="849" w:type="dxa"/>
            <w:shd w:val="clear" w:color="auto" w:fill="C6EFCE"/>
            <w:noWrap/>
          </w:tcPr>
          <w:p w14:paraId="490A3162" w14:textId="51704F93" w:rsidR="00CB0FCB" w:rsidRDefault="009D2B11">
            <w:pPr>
              <w:pStyle w:val="P68B1DB1-Normal9"/>
              <w:spacing w:after="0" w:line="240" w:lineRule="auto"/>
              <w:rPr>
                <w:noProof/>
              </w:rPr>
            </w:pPr>
            <w:r>
              <w:rPr>
                <w:noProof/>
              </w:rPr>
              <w:t>4. CET.</w:t>
            </w:r>
          </w:p>
        </w:tc>
        <w:tc>
          <w:tcPr>
            <w:tcW w:w="709" w:type="dxa"/>
            <w:shd w:val="clear" w:color="auto" w:fill="C6EFCE"/>
            <w:noWrap/>
          </w:tcPr>
          <w:p w14:paraId="271565A7" w14:textId="5CA99810" w:rsidR="00CB0FCB" w:rsidRDefault="009D2B11">
            <w:pPr>
              <w:pStyle w:val="P68B1DB1-Normal9"/>
              <w:spacing w:after="0" w:line="240" w:lineRule="auto"/>
              <w:rPr>
                <w:noProof/>
              </w:rPr>
            </w:pPr>
            <w:r>
              <w:rPr>
                <w:noProof/>
              </w:rPr>
              <w:t>2023</w:t>
            </w:r>
          </w:p>
        </w:tc>
        <w:tc>
          <w:tcPr>
            <w:tcW w:w="4450" w:type="dxa"/>
            <w:shd w:val="clear" w:color="auto" w:fill="C6EFCE"/>
            <w:noWrap/>
          </w:tcPr>
          <w:p w14:paraId="713B7999" w14:textId="77777777" w:rsidR="00CB0FCB" w:rsidRDefault="009D2B11">
            <w:pPr>
              <w:pStyle w:val="P68B1DB1-Normal9"/>
              <w:spacing w:after="0" w:line="240" w:lineRule="auto"/>
              <w:rPr>
                <w:rFonts w:eastAsia="Times New Roman" w:cs="Calibri"/>
                <w:noProof/>
                <w:szCs w:val="18"/>
              </w:rPr>
            </w:pPr>
            <w:r>
              <w:rPr>
                <w:noProof/>
              </w:rPr>
              <w:t xml:space="preserve">Paziņojums par līguma slēgšanas tiesību piešķiršanu 100 % apmērā no visiem līgumiem (attiecībā uz visām intervencēm): </w:t>
            </w:r>
          </w:p>
          <w:p w14:paraId="11B4CFFB" w14:textId="77777777" w:rsidR="00CB0FCB" w:rsidRDefault="009D2B11">
            <w:pPr>
              <w:pStyle w:val="P68B1DB1-Normal9"/>
              <w:spacing w:after="0" w:line="240" w:lineRule="auto"/>
              <w:rPr>
                <w:rFonts w:eastAsia="Times New Roman" w:cs="Calibri"/>
                <w:noProof/>
                <w:szCs w:val="18"/>
              </w:rPr>
            </w:pPr>
            <w:r>
              <w:rPr>
                <w:noProof/>
              </w:rPr>
              <w:t xml:space="preserve">1) vietējo pilsētplānojumu sagatavošana; </w:t>
            </w:r>
          </w:p>
          <w:p w14:paraId="609B8B27" w14:textId="77777777" w:rsidR="00CB0FCB" w:rsidRDefault="009D2B11">
            <w:pPr>
              <w:pStyle w:val="P68B1DB1-Normal9"/>
              <w:spacing w:after="0" w:line="240" w:lineRule="auto"/>
              <w:rPr>
                <w:rFonts w:eastAsia="Times New Roman" w:cs="Calibri"/>
                <w:noProof/>
                <w:szCs w:val="18"/>
              </w:rPr>
            </w:pPr>
            <w:r>
              <w:rPr>
                <w:noProof/>
              </w:rPr>
              <w:t>2) īpašu pilsētvides plānu sagatavošana;</w:t>
            </w:r>
          </w:p>
          <w:p w14:paraId="4A362F22" w14:textId="77777777" w:rsidR="00CB0FCB" w:rsidRDefault="009D2B11">
            <w:pPr>
              <w:pStyle w:val="P68B1DB1-Normal9"/>
              <w:spacing w:after="0" w:line="240" w:lineRule="auto"/>
              <w:rPr>
                <w:rFonts w:eastAsia="Times New Roman" w:cs="Calibri"/>
                <w:noProof/>
                <w:szCs w:val="18"/>
              </w:rPr>
            </w:pPr>
            <w:r>
              <w:rPr>
                <w:noProof/>
              </w:rPr>
              <w:t>Izstrādāt neatkarīgus plānus attīstības tiesību nodošanas zonu noteikšanai;</w:t>
            </w:r>
          </w:p>
          <w:p w14:paraId="1BBB0EA2" w14:textId="77777777" w:rsidR="00CB0FCB" w:rsidRDefault="009D2B11">
            <w:pPr>
              <w:pStyle w:val="P68B1DB1-Normal9"/>
              <w:spacing w:after="0" w:line="240" w:lineRule="auto"/>
              <w:rPr>
                <w:rFonts w:eastAsia="Times New Roman" w:cs="Calibri"/>
                <w:noProof/>
                <w:szCs w:val="18"/>
              </w:rPr>
            </w:pPr>
            <w:r>
              <w:rPr>
                <w:noProof/>
              </w:rPr>
              <w:t>4. neatkarīgu norēķinu robežu noteikšanas plānu sagatavošana; un</w:t>
            </w:r>
          </w:p>
          <w:p w14:paraId="722D2A2D" w14:textId="77777777" w:rsidR="00CB0FCB" w:rsidRDefault="009D2B11">
            <w:pPr>
              <w:pStyle w:val="P68B1DB1-Normal9"/>
              <w:spacing w:after="0" w:line="240" w:lineRule="auto"/>
              <w:rPr>
                <w:rFonts w:eastAsia="Times New Roman" w:cs="Calibri"/>
                <w:noProof/>
                <w:szCs w:val="18"/>
              </w:rPr>
            </w:pPr>
            <w:r>
              <w:rPr>
                <w:noProof/>
              </w:rPr>
              <w:t>5. neatkarīgu pašvaldības ceļu raksturošanas plānu sagatavošana.</w:t>
            </w:r>
          </w:p>
          <w:p w14:paraId="7AE98477" w14:textId="77777777" w:rsidR="00CB0FCB" w:rsidRDefault="00CB0FCB">
            <w:pPr>
              <w:spacing w:after="0" w:line="240" w:lineRule="auto"/>
              <w:rPr>
                <w:noProof/>
                <w:color w:val="006100"/>
                <w:sz w:val="18"/>
                <w:szCs w:val="18"/>
              </w:rPr>
            </w:pPr>
          </w:p>
        </w:tc>
      </w:tr>
    </w:tbl>
    <w:p w14:paraId="41155CF4" w14:textId="77777777" w:rsidR="00CB0FCB" w:rsidRDefault="00CB0FCB">
      <w:pPr>
        <w:spacing w:after="0" w:line="240" w:lineRule="auto"/>
        <w:rPr>
          <w:noProof/>
          <w:color w:val="006100"/>
          <w:sz w:val="18"/>
        </w:rPr>
        <w:sectPr w:rsidR="00CB0FCB" w:rsidSect="00AF58D0">
          <w:headerReference w:type="even" r:id="rId43"/>
          <w:headerReference w:type="default" r:id="rId44"/>
          <w:footerReference w:type="even" r:id="rId45"/>
          <w:footerReference w:type="default" r:id="rId46"/>
          <w:headerReference w:type="first" r:id="rId47"/>
          <w:footerReference w:type="first" r:id="rId48"/>
          <w:pgSz w:w="16839" w:h="11907" w:orient="landscape"/>
          <w:pgMar w:top="1134" w:right="1134" w:bottom="1134" w:left="1134" w:header="567" w:footer="217" w:gutter="0"/>
          <w:cols w:space="720"/>
          <w:docGrid w:linePitch="360"/>
        </w:sectPr>
      </w:pPr>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917"/>
        <w:gridCol w:w="1807"/>
        <w:gridCol w:w="1432"/>
        <w:gridCol w:w="1477"/>
        <w:gridCol w:w="1125"/>
        <w:gridCol w:w="1396"/>
        <w:gridCol w:w="766"/>
        <w:gridCol w:w="1027"/>
        <w:gridCol w:w="709"/>
        <w:gridCol w:w="4450"/>
      </w:tblGrid>
      <w:tr w:rsidR="00CB0FCB" w14:paraId="50F03F05" w14:textId="77777777">
        <w:trPr>
          <w:trHeight w:val="443"/>
          <w:tblHeader/>
          <w:jc w:val="center"/>
        </w:trPr>
        <w:tc>
          <w:tcPr>
            <w:tcW w:w="1027" w:type="dxa"/>
            <w:vMerge w:val="restart"/>
            <w:shd w:val="clear" w:color="auto" w:fill="BDD7EE"/>
            <w:noWrap/>
            <w:vAlign w:val="center"/>
          </w:tcPr>
          <w:p w14:paraId="6B9BDFC5" w14:textId="77777777" w:rsidR="00CB0FCB" w:rsidRDefault="009D2B11">
            <w:pPr>
              <w:pStyle w:val="P68B1DB1-Normal7"/>
              <w:spacing w:after="0" w:line="240" w:lineRule="auto"/>
              <w:jc w:val="center"/>
              <w:rPr>
                <w:noProof/>
                <w:color w:val="006100"/>
              </w:rPr>
            </w:pPr>
            <w:r>
              <w:rPr>
                <w:noProof/>
              </w:rPr>
              <w:t>Kārtas numurs</w:t>
            </w:r>
          </w:p>
        </w:tc>
        <w:tc>
          <w:tcPr>
            <w:tcW w:w="1917" w:type="dxa"/>
            <w:vMerge w:val="restart"/>
            <w:shd w:val="clear" w:color="auto" w:fill="BDD7EE"/>
            <w:noWrap/>
            <w:vAlign w:val="center"/>
          </w:tcPr>
          <w:p w14:paraId="55E46E51" w14:textId="77777777" w:rsidR="00CB0FCB" w:rsidRDefault="009D2B11">
            <w:pPr>
              <w:pStyle w:val="P68B1DB1-Normal7"/>
              <w:spacing w:after="0" w:line="240" w:lineRule="auto"/>
              <w:jc w:val="center"/>
              <w:rPr>
                <w:noProof/>
                <w:color w:val="006100"/>
              </w:rPr>
            </w:pPr>
            <w:r>
              <w:rPr>
                <w:noProof/>
              </w:rPr>
              <w:t>Saistītais pasākums (reforma vai ieguldījums)</w:t>
            </w:r>
          </w:p>
        </w:tc>
        <w:tc>
          <w:tcPr>
            <w:tcW w:w="993" w:type="dxa"/>
            <w:vMerge w:val="restart"/>
            <w:shd w:val="clear" w:color="auto" w:fill="BDD7EE"/>
            <w:noWrap/>
            <w:vAlign w:val="center"/>
          </w:tcPr>
          <w:p w14:paraId="37690D0A" w14:textId="77777777" w:rsidR="00CB0FCB" w:rsidRDefault="009D2B11">
            <w:pPr>
              <w:pStyle w:val="P68B1DB1-Normal7"/>
              <w:spacing w:after="0" w:line="240" w:lineRule="auto"/>
              <w:jc w:val="center"/>
              <w:rPr>
                <w:noProof/>
                <w:color w:val="006100"/>
              </w:rPr>
            </w:pPr>
            <w:r>
              <w:rPr>
                <w:noProof/>
              </w:rPr>
              <w:t>Atskaites punkts/mērķrādītājs</w:t>
            </w:r>
          </w:p>
        </w:tc>
        <w:tc>
          <w:tcPr>
            <w:tcW w:w="1120" w:type="dxa"/>
            <w:vMerge w:val="restart"/>
            <w:shd w:val="clear" w:color="auto" w:fill="BDD7EE"/>
            <w:noWrap/>
            <w:vAlign w:val="center"/>
          </w:tcPr>
          <w:p w14:paraId="54261CE3" w14:textId="77777777" w:rsidR="00CB0FCB" w:rsidRDefault="009D2B11">
            <w:pPr>
              <w:pStyle w:val="P68B1DB1-Normal7"/>
              <w:spacing w:after="0" w:line="240" w:lineRule="auto"/>
              <w:jc w:val="center"/>
              <w:rPr>
                <w:noProof/>
                <w:color w:val="006100"/>
              </w:rPr>
            </w:pPr>
            <w:r>
              <w:rPr>
                <w:noProof/>
              </w:rPr>
              <w:t>Nosaukums</w:t>
            </w:r>
          </w:p>
        </w:tc>
        <w:tc>
          <w:tcPr>
            <w:tcW w:w="1477" w:type="dxa"/>
            <w:vMerge w:val="restart"/>
            <w:shd w:val="clear" w:color="auto" w:fill="BDD7EE"/>
            <w:noWrap/>
            <w:vAlign w:val="center"/>
          </w:tcPr>
          <w:p w14:paraId="552F0BA7" w14:textId="77777777" w:rsidR="00CB0FCB" w:rsidRDefault="009D2B11">
            <w:pPr>
              <w:pStyle w:val="P68B1DB1-Normal7"/>
              <w:spacing w:after="0" w:line="240" w:lineRule="auto"/>
              <w:jc w:val="center"/>
              <w:rPr>
                <w:noProof/>
                <w:color w:val="006100"/>
              </w:rPr>
            </w:pPr>
            <w:r>
              <w:rPr>
                <w:noProof/>
              </w:rPr>
              <w:t>Kvalitatīvie rādītāji (atskaites punktiem)</w:t>
            </w:r>
          </w:p>
        </w:tc>
        <w:tc>
          <w:tcPr>
            <w:tcW w:w="3111" w:type="dxa"/>
            <w:gridSpan w:val="3"/>
            <w:shd w:val="clear" w:color="auto" w:fill="BDD7EE"/>
            <w:noWrap/>
            <w:vAlign w:val="center"/>
          </w:tcPr>
          <w:p w14:paraId="08DEE1AF" w14:textId="77777777" w:rsidR="00CB0FCB" w:rsidRDefault="009D2B11">
            <w:pPr>
              <w:pStyle w:val="P68B1DB1-Normal7"/>
              <w:spacing w:after="0" w:line="240" w:lineRule="auto"/>
              <w:jc w:val="center"/>
              <w:rPr>
                <w:rFonts w:eastAsia="Times New Roman" w:cs="Calibri"/>
                <w:noProof/>
                <w:color w:val="006100"/>
                <w:szCs w:val="18"/>
              </w:rPr>
            </w:pPr>
            <w:r>
              <w:rPr>
                <w:noProof/>
              </w:rPr>
              <w:t>Kvantitatīvie rādītāji (mērķrādītājiem)</w:t>
            </w:r>
          </w:p>
        </w:tc>
        <w:tc>
          <w:tcPr>
            <w:tcW w:w="1560" w:type="dxa"/>
            <w:gridSpan w:val="2"/>
            <w:shd w:val="clear" w:color="auto" w:fill="BDD7EE"/>
            <w:noWrap/>
          </w:tcPr>
          <w:p w14:paraId="6984AC25" w14:textId="77777777" w:rsidR="00CB0FCB" w:rsidRDefault="009D2B11">
            <w:pPr>
              <w:pStyle w:val="P68B1DB1-Normal7"/>
              <w:spacing w:after="0" w:line="240" w:lineRule="auto"/>
              <w:jc w:val="center"/>
              <w:rPr>
                <w:noProof/>
                <w:color w:val="006100"/>
              </w:rPr>
            </w:pPr>
            <w:r>
              <w:rPr>
                <w:noProof/>
              </w:rPr>
              <w:t>Orientējošs pabeigšanas termiņš</w:t>
            </w:r>
          </w:p>
        </w:tc>
        <w:tc>
          <w:tcPr>
            <w:tcW w:w="4450" w:type="dxa"/>
            <w:vMerge w:val="restart"/>
            <w:shd w:val="clear" w:color="auto" w:fill="BDD7EE"/>
            <w:noWrap/>
            <w:vAlign w:val="center"/>
          </w:tcPr>
          <w:p w14:paraId="21CD02C7" w14:textId="77777777" w:rsidR="00CB0FCB" w:rsidRDefault="009D2B11">
            <w:pPr>
              <w:pStyle w:val="P68B1DB1-Normal7"/>
              <w:spacing w:after="0" w:line="240" w:lineRule="auto"/>
              <w:jc w:val="center"/>
              <w:rPr>
                <w:noProof/>
                <w:color w:val="006100"/>
              </w:rPr>
            </w:pPr>
            <w:r>
              <w:rPr>
                <w:noProof/>
              </w:rPr>
              <w:t>Apraksts par katru atskaites punktu un mērķrādītāju</w:t>
            </w:r>
          </w:p>
        </w:tc>
      </w:tr>
      <w:tr w:rsidR="00CB0FCB" w14:paraId="06FD4BE0" w14:textId="77777777">
        <w:trPr>
          <w:trHeight w:val="442"/>
          <w:tblHeader/>
          <w:jc w:val="center"/>
        </w:trPr>
        <w:tc>
          <w:tcPr>
            <w:tcW w:w="1027" w:type="dxa"/>
            <w:vMerge/>
            <w:noWrap/>
            <w:vAlign w:val="center"/>
          </w:tcPr>
          <w:p w14:paraId="2BAE7B88" w14:textId="77777777" w:rsidR="00CB0FCB" w:rsidRDefault="00CB0FCB">
            <w:pPr>
              <w:spacing w:after="0" w:line="240" w:lineRule="auto"/>
              <w:rPr>
                <w:rFonts w:ascii="Times New Roman" w:hAnsi="Times New Roman"/>
                <w:b/>
                <w:noProof/>
                <w:sz w:val="18"/>
              </w:rPr>
            </w:pPr>
          </w:p>
        </w:tc>
        <w:tc>
          <w:tcPr>
            <w:tcW w:w="1917" w:type="dxa"/>
            <w:vMerge/>
            <w:noWrap/>
            <w:vAlign w:val="center"/>
          </w:tcPr>
          <w:p w14:paraId="5FC5ECA4" w14:textId="77777777" w:rsidR="00CB0FCB" w:rsidRDefault="00CB0FCB">
            <w:pPr>
              <w:spacing w:after="0" w:line="240" w:lineRule="auto"/>
              <w:rPr>
                <w:rFonts w:ascii="Times New Roman" w:hAnsi="Times New Roman"/>
                <w:b/>
                <w:noProof/>
                <w:sz w:val="18"/>
              </w:rPr>
            </w:pPr>
          </w:p>
        </w:tc>
        <w:tc>
          <w:tcPr>
            <w:tcW w:w="993" w:type="dxa"/>
            <w:vMerge/>
            <w:noWrap/>
            <w:vAlign w:val="center"/>
          </w:tcPr>
          <w:p w14:paraId="4714406C" w14:textId="77777777" w:rsidR="00CB0FCB" w:rsidRDefault="00CB0FCB">
            <w:pPr>
              <w:spacing w:after="0" w:line="240" w:lineRule="auto"/>
              <w:rPr>
                <w:rFonts w:ascii="Times New Roman" w:hAnsi="Times New Roman"/>
                <w:b/>
                <w:noProof/>
                <w:sz w:val="18"/>
              </w:rPr>
            </w:pPr>
          </w:p>
        </w:tc>
        <w:tc>
          <w:tcPr>
            <w:tcW w:w="1120" w:type="dxa"/>
            <w:vMerge/>
            <w:noWrap/>
            <w:vAlign w:val="center"/>
          </w:tcPr>
          <w:p w14:paraId="6EF837D6" w14:textId="77777777" w:rsidR="00CB0FCB" w:rsidRDefault="00CB0FCB">
            <w:pPr>
              <w:spacing w:after="0" w:line="240" w:lineRule="auto"/>
              <w:rPr>
                <w:rFonts w:ascii="Times New Roman" w:hAnsi="Times New Roman"/>
                <w:b/>
                <w:noProof/>
                <w:sz w:val="18"/>
              </w:rPr>
            </w:pPr>
          </w:p>
        </w:tc>
        <w:tc>
          <w:tcPr>
            <w:tcW w:w="1477" w:type="dxa"/>
            <w:vMerge/>
            <w:noWrap/>
            <w:vAlign w:val="center"/>
          </w:tcPr>
          <w:p w14:paraId="43830D52" w14:textId="77777777" w:rsidR="00CB0FCB" w:rsidRDefault="00CB0FCB">
            <w:pPr>
              <w:spacing w:after="0" w:line="240" w:lineRule="auto"/>
              <w:rPr>
                <w:rFonts w:ascii="Times New Roman" w:hAnsi="Times New Roman"/>
                <w:b/>
                <w:noProof/>
                <w:sz w:val="18"/>
              </w:rPr>
            </w:pPr>
          </w:p>
        </w:tc>
        <w:tc>
          <w:tcPr>
            <w:tcW w:w="1125" w:type="dxa"/>
            <w:shd w:val="clear" w:color="auto" w:fill="BDD7EE"/>
            <w:noWrap/>
            <w:vAlign w:val="center"/>
          </w:tcPr>
          <w:p w14:paraId="15A2D0F1" w14:textId="77777777" w:rsidR="00CB0FCB" w:rsidRDefault="009D2B11">
            <w:pPr>
              <w:pStyle w:val="P68B1DB1-Normal7"/>
              <w:spacing w:after="0" w:line="240" w:lineRule="auto"/>
              <w:jc w:val="center"/>
              <w:rPr>
                <w:rFonts w:eastAsia="Times New Roman" w:cs="Calibri"/>
                <w:noProof/>
                <w:color w:val="006100"/>
                <w:szCs w:val="18"/>
              </w:rPr>
            </w:pPr>
            <w:r>
              <w:rPr>
                <w:noProof/>
              </w:rPr>
              <w:t>Mēra vienība</w:t>
            </w:r>
          </w:p>
        </w:tc>
        <w:tc>
          <w:tcPr>
            <w:tcW w:w="1281" w:type="dxa"/>
            <w:shd w:val="clear" w:color="auto" w:fill="BDD7EE"/>
            <w:vAlign w:val="center"/>
          </w:tcPr>
          <w:p w14:paraId="22367256" w14:textId="77777777" w:rsidR="00CB0FCB" w:rsidRDefault="009D2B11">
            <w:pPr>
              <w:pStyle w:val="P68B1DB1-Normal7"/>
              <w:spacing w:after="0" w:line="240" w:lineRule="auto"/>
              <w:jc w:val="center"/>
              <w:rPr>
                <w:rFonts w:eastAsia="Times New Roman" w:cs="Calibri"/>
                <w:noProof/>
                <w:color w:val="006100"/>
                <w:szCs w:val="18"/>
              </w:rPr>
            </w:pPr>
            <w:r>
              <w:rPr>
                <w:noProof/>
              </w:rPr>
              <w:t>Pamatscenārijs</w:t>
            </w:r>
          </w:p>
        </w:tc>
        <w:tc>
          <w:tcPr>
            <w:tcW w:w="705" w:type="dxa"/>
            <w:shd w:val="clear" w:color="auto" w:fill="BDD7EE"/>
            <w:vAlign w:val="center"/>
          </w:tcPr>
          <w:p w14:paraId="1DCD1D58" w14:textId="77777777" w:rsidR="00CB0FCB" w:rsidRDefault="009D2B11">
            <w:pPr>
              <w:pStyle w:val="P68B1DB1-Normal7"/>
              <w:spacing w:after="0" w:line="240" w:lineRule="auto"/>
              <w:jc w:val="center"/>
              <w:rPr>
                <w:rFonts w:eastAsia="Times New Roman" w:cs="Calibri"/>
                <w:noProof/>
                <w:color w:val="006100"/>
                <w:szCs w:val="18"/>
              </w:rPr>
            </w:pPr>
            <w:r>
              <w:rPr>
                <w:noProof/>
              </w:rPr>
              <w:t>Mērķis</w:t>
            </w:r>
          </w:p>
        </w:tc>
        <w:tc>
          <w:tcPr>
            <w:tcW w:w="851" w:type="dxa"/>
            <w:shd w:val="clear" w:color="auto" w:fill="BDD7EE"/>
            <w:noWrap/>
            <w:vAlign w:val="center"/>
          </w:tcPr>
          <w:p w14:paraId="60EB731D" w14:textId="77777777" w:rsidR="00CB0FCB" w:rsidRDefault="009D2B11">
            <w:pPr>
              <w:pStyle w:val="P68B1DB1-Normal7"/>
              <w:spacing w:after="0" w:line="240" w:lineRule="auto"/>
              <w:jc w:val="center"/>
              <w:rPr>
                <w:noProof/>
                <w:color w:val="006100"/>
              </w:rPr>
            </w:pPr>
            <w:r>
              <w:rPr>
                <w:noProof/>
              </w:rPr>
              <w:t>Ceturkšņa laikā</w:t>
            </w:r>
          </w:p>
        </w:tc>
        <w:tc>
          <w:tcPr>
            <w:tcW w:w="709" w:type="dxa"/>
            <w:shd w:val="clear" w:color="auto" w:fill="BDD7EE"/>
            <w:vAlign w:val="center"/>
          </w:tcPr>
          <w:p w14:paraId="43ABF793" w14:textId="77777777" w:rsidR="00CB0FCB" w:rsidRDefault="009D2B11">
            <w:pPr>
              <w:pStyle w:val="P68B1DB1-Normal7"/>
              <w:spacing w:after="0" w:line="240" w:lineRule="auto"/>
              <w:jc w:val="center"/>
              <w:rPr>
                <w:noProof/>
                <w:color w:val="006100"/>
              </w:rPr>
            </w:pPr>
            <w:r>
              <w:rPr>
                <w:noProof/>
              </w:rPr>
              <w:t>Gadu</w:t>
            </w:r>
          </w:p>
        </w:tc>
        <w:tc>
          <w:tcPr>
            <w:tcW w:w="4450" w:type="dxa"/>
            <w:vMerge/>
            <w:noWrap/>
          </w:tcPr>
          <w:p w14:paraId="3745ACA7" w14:textId="77777777" w:rsidR="00CB0FCB" w:rsidRDefault="00CB0FCB">
            <w:pPr>
              <w:spacing w:after="0" w:line="240" w:lineRule="auto"/>
              <w:rPr>
                <w:noProof/>
                <w:color w:val="006100"/>
                <w:sz w:val="18"/>
              </w:rPr>
            </w:pPr>
          </w:p>
        </w:tc>
      </w:tr>
      <w:tr w:rsidR="00CB0FCB" w14:paraId="3A2BCA32" w14:textId="77777777">
        <w:trPr>
          <w:trHeight w:val="313"/>
          <w:tblHeader/>
          <w:jc w:val="center"/>
        </w:trPr>
        <w:tc>
          <w:tcPr>
            <w:tcW w:w="1027" w:type="dxa"/>
            <w:shd w:val="clear" w:color="auto" w:fill="C6EFCE"/>
            <w:noWrap/>
          </w:tcPr>
          <w:p w14:paraId="30D02FF1" w14:textId="77777777" w:rsidR="00CB0FCB" w:rsidRDefault="009D2B11">
            <w:pPr>
              <w:pStyle w:val="P68B1DB1-Normal9"/>
              <w:spacing w:after="0" w:line="240" w:lineRule="auto"/>
              <w:rPr>
                <w:rFonts w:eastAsia="Times New Roman" w:cs="Calibri"/>
                <w:noProof/>
                <w:szCs w:val="18"/>
              </w:rPr>
            </w:pPr>
            <w:r>
              <w:rPr>
                <w:noProof/>
              </w:rPr>
              <w:t>29</w:t>
            </w:r>
          </w:p>
        </w:tc>
        <w:tc>
          <w:tcPr>
            <w:tcW w:w="1917" w:type="dxa"/>
            <w:shd w:val="clear" w:color="auto" w:fill="C6EFCE"/>
            <w:noWrap/>
          </w:tcPr>
          <w:p w14:paraId="3DCBFD21" w14:textId="77777777" w:rsidR="00CB0FCB" w:rsidRDefault="009D2B11">
            <w:pPr>
              <w:pStyle w:val="P68B1DB1-Normal9"/>
              <w:spacing w:after="0" w:line="240" w:lineRule="auto"/>
              <w:rPr>
                <w:rFonts w:eastAsia="Times New Roman" w:cs="Calibri"/>
                <w:noProof/>
                <w:szCs w:val="18"/>
              </w:rPr>
            </w:pPr>
            <w:r>
              <w:rPr>
                <w:noProof/>
              </w:rPr>
              <w:t>2–1.2. Renovācija — 16879_Pilsētvides plānu sagatavošana pilsētpolitikas reformas īstenošanai</w:t>
            </w:r>
          </w:p>
        </w:tc>
        <w:tc>
          <w:tcPr>
            <w:tcW w:w="993" w:type="dxa"/>
            <w:shd w:val="clear" w:color="auto" w:fill="C6EFCE"/>
            <w:noWrap/>
          </w:tcPr>
          <w:p w14:paraId="55BAA6E4" w14:textId="135C252B" w:rsidR="00CB0FCB" w:rsidRDefault="009D2B11">
            <w:pPr>
              <w:pStyle w:val="P68B1DB1-Normal9"/>
              <w:spacing w:after="0" w:line="240" w:lineRule="auto"/>
              <w:rPr>
                <w:rFonts w:eastAsia="Times New Roman" w:cs="Calibri"/>
                <w:noProof/>
                <w:szCs w:val="18"/>
              </w:rPr>
            </w:pPr>
            <w:r>
              <w:rPr>
                <w:noProof/>
              </w:rPr>
              <w:t>Atskaites punkts</w:t>
            </w:r>
          </w:p>
        </w:tc>
        <w:tc>
          <w:tcPr>
            <w:tcW w:w="1120" w:type="dxa"/>
            <w:shd w:val="clear" w:color="auto" w:fill="C6EFCE"/>
            <w:noWrap/>
          </w:tcPr>
          <w:p w14:paraId="74A152BD" w14:textId="77777777" w:rsidR="00CB0FCB" w:rsidRDefault="009D2B11">
            <w:pPr>
              <w:pStyle w:val="P68B1DB1-Normal9"/>
              <w:spacing w:after="0" w:line="240" w:lineRule="auto"/>
              <w:rPr>
                <w:rFonts w:eastAsia="Times New Roman" w:cs="Calibri"/>
                <w:noProof/>
                <w:szCs w:val="18"/>
              </w:rPr>
            </w:pPr>
            <w:r>
              <w:rPr>
                <w:noProof/>
              </w:rPr>
              <w:t>Pilsētplānošanas pabeigšana</w:t>
            </w:r>
          </w:p>
        </w:tc>
        <w:tc>
          <w:tcPr>
            <w:tcW w:w="1477" w:type="dxa"/>
            <w:shd w:val="clear" w:color="auto" w:fill="C6EFCE"/>
            <w:noWrap/>
          </w:tcPr>
          <w:p w14:paraId="6BF01BA9" w14:textId="23055260" w:rsidR="00CB0FCB" w:rsidRDefault="009D2B11">
            <w:pPr>
              <w:pStyle w:val="P68B1DB1-Normal10"/>
              <w:spacing w:after="0" w:line="240" w:lineRule="auto"/>
              <w:rPr>
                <w:rFonts w:eastAsia="Times New Roman" w:cs="Calibri"/>
                <w:noProof/>
              </w:rPr>
            </w:pPr>
            <w:r>
              <w:rPr>
                <w:noProof/>
              </w:rPr>
              <w:t>Vides un enerģētikas ministrijas pozitīva novērtējuma izdošana vietējo pilsētplānojumu, īpašo pilsētplānojumu un apdzīvoto vietu norobežošanas pētījumiem, kā arī tiesību nodošanas zonu attīstības pētījumu pabeigšana un pašvaldības ceļu raksturošana</w:t>
            </w:r>
          </w:p>
        </w:tc>
        <w:tc>
          <w:tcPr>
            <w:tcW w:w="1125" w:type="dxa"/>
            <w:shd w:val="clear" w:color="auto" w:fill="C6EFCE"/>
            <w:noWrap/>
          </w:tcPr>
          <w:p w14:paraId="75621E19" w14:textId="510AAE13" w:rsidR="00CB0FCB" w:rsidRDefault="00CB0FCB">
            <w:pPr>
              <w:spacing w:after="0" w:line="240" w:lineRule="auto"/>
              <w:rPr>
                <w:rFonts w:eastAsia="Times New Roman" w:cs="Calibri"/>
                <w:noProof/>
                <w:color w:val="006100"/>
                <w:sz w:val="18"/>
                <w:szCs w:val="18"/>
              </w:rPr>
            </w:pPr>
          </w:p>
        </w:tc>
        <w:tc>
          <w:tcPr>
            <w:tcW w:w="1281" w:type="dxa"/>
            <w:shd w:val="clear" w:color="auto" w:fill="C6EFCE"/>
            <w:noWrap/>
          </w:tcPr>
          <w:p w14:paraId="5029A116" w14:textId="21C4E55F" w:rsidR="00CB0FCB" w:rsidRDefault="00CB0FCB">
            <w:pPr>
              <w:spacing w:after="0" w:line="240" w:lineRule="auto"/>
              <w:rPr>
                <w:rFonts w:eastAsia="Times New Roman" w:cs="Calibri"/>
                <w:noProof/>
                <w:color w:val="006100"/>
                <w:sz w:val="18"/>
                <w:szCs w:val="18"/>
              </w:rPr>
            </w:pPr>
          </w:p>
        </w:tc>
        <w:tc>
          <w:tcPr>
            <w:tcW w:w="705" w:type="dxa"/>
            <w:shd w:val="clear" w:color="auto" w:fill="C6EFCE"/>
            <w:noWrap/>
          </w:tcPr>
          <w:p w14:paraId="6815BA82" w14:textId="19A03885"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24A0EE30"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4CDE5C90" w14:textId="77777777" w:rsidR="00CB0FCB" w:rsidRDefault="009D2B11">
            <w:pPr>
              <w:pStyle w:val="P68B1DB1-Normal9"/>
              <w:spacing w:after="0" w:line="240" w:lineRule="auto"/>
              <w:rPr>
                <w:rFonts w:eastAsia="Times New Roman" w:cs="Calibri"/>
                <w:noProof/>
                <w:szCs w:val="18"/>
              </w:rPr>
            </w:pPr>
            <w:r>
              <w:rPr>
                <w:noProof/>
              </w:rPr>
              <w:t>2025</w:t>
            </w:r>
          </w:p>
        </w:tc>
        <w:tc>
          <w:tcPr>
            <w:tcW w:w="4450" w:type="dxa"/>
            <w:shd w:val="clear" w:color="auto" w:fill="C6EFCE"/>
            <w:noWrap/>
          </w:tcPr>
          <w:p w14:paraId="1C031B4B" w14:textId="4ECFFDA8" w:rsidR="00CB0FCB" w:rsidRDefault="009D2B11">
            <w:pPr>
              <w:pStyle w:val="P68B1DB1-Normal10"/>
              <w:spacing w:after="0" w:line="240" w:lineRule="auto"/>
              <w:rPr>
                <w:noProof/>
              </w:rPr>
            </w:pPr>
            <w:r>
              <w:rPr>
                <w:noProof/>
              </w:rPr>
              <w:t>Vides un enerģētikas ministrija izdod pozitīvu novērtējumu pētījumiem par: vietējie pilsētplānojumi 405 pašvaldību vienībās, 11 īpašie pilsētplānojumi un apmetņu norobežošana 36 pašvaldību vienībās; un Vides un enerģētikas ministrijas izsniegtu sertifikātu par studiju pabeigšanu attiecībā uz: Attīstības tiesību nodošanas zonas 50 pašvaldību vienībās;  un municipālo ceļu raksturojumi 149 pašvaldību vienībās.</w:t>
            </w:r>
          </w:p>
          <w:p w14:paraId="0991D1D7" w14:textId="253E1B98" w:rsidR="00CB0FCB" w:rsidRDefault="00CB0FCB">
            <w:pPr>
              <w:jc w:val="right"/>
              <w:rPr>
                <w:rFonts w:eastAsia="Times New Roman" w:cs="Calibri"/>
                <w:noProof/>
                <w:sz w:val="18"/>
                <w:szCs w:val="18"/>
              </w:rPr>
            </w:pPr>
          </w:p>
        </w:tc>
      </w:tr>
      <w:tr w:rsidR="00CB0FCB" w14:paraId="5FCC29A6" w14:textId="77777777">
        <w:trPr>
          <w:trHeight w:val="313"/>
          <w:tblHeader/>
          <w:jc w:val="center"/>
        </w:trPr>
        <w:tc>
          <w:tcPr>
            <w:tcW w:w="1027" w:type="dxa"/>
            <w:shd w:val="clear" w:color="auto" w:fill="C6EFCE"/>
            <w:noWrap/>
          </w:tcPr>
          <w:p w14:paraId="3CF8B6A2" w14:textId="77777777" w:rsidR="00CB0FCB" w:rsidRDefault="009D2B11">
            <w:pPr>
              <w:pStyle w:val="P68B1DB1-Normal9"/>
              <w:spacing w:after="0" w:line="240" w:lineRule="auto"/>
              <w:rPr>
                <w:rFonts w:eastAsia="Times New Roman" w:cs="Calibri"/>
                <w:noProof/>
                <w:szCs w:val="18"/>
              </w:rPr>
            </w:pPr>
            <w:r>
              <w:rPr>
                <w:noProof/>
              </w:rPr>
              <w:t>30</w:t>
            </w:r>
          </w:p>
        </w:tc>
        <w:tc>
          <w:tcPr>
            <w:tcW w:w="1917" w:type="dxa"/>
            <w:shd w:val="clear" w:color="auto" w:fill="C6EFCE"/>
            <w:noWrap/>
          </w:tcPr>
          <w:p w14:paraId="2C832FDB" w14:textId="1C42EC20" w:rsidR="00CB0FCB" w:rsidRDefault="009D2B11">
            <w:pPr>
              <w:pStyle w:val="P68B1DB1-Normal9"/>
              <w:spacing w:after="0" w:line="240" w:lineRule="auto"/>
              <w:rPr>
                <w:rFonts w:eastAsia="Times New Roman" w:cs="Calibri"/>
                <w:noProof/>
                <w:szCs w:val="18"/>
              </w:rPr>
            </w:pPr>
            <w:r>
              <w:rPr>
                <w:noProof/>
              </w:rPr>
              <w:t>2–1.2. Renovācija — 16894_Jaunas īpašas AER, rūpniecības un tūrisma telpiskās plānošanas izveide</w:t>
            </w:r>
          </w:p>
        </w:tc>
        <w:tc>
          <w:tcPr>
            <w:tcW w:w="993" w:type="dxa"/>
            <w:shd w:val="clear" w:color="auto" w:fill="C6EFCE"/>
            <w:noWrap/>
          </w:tcPr>
          <w:p w14:paraId="3FCFB794" w14:textId="77777777" w:rsidR="00CB0FCB" w:rsidRDefault="009D2B11">
            <w:pPr>
              <w:pStyle w:val="P68B1DB1-Normal9"/>
              <w:spacing w:after="0" w:line="240" w:lineRule="auto"/>
              <w:rPr>
                <w:rFonts w:eastAsia="Times New Roman" w:cs="Calibri"/>
                <w:noProof/>
                <w:szCs w:val="18"/>
              </w:rPr>
            </w:pPr>
            <w:r>
              <w:rPr>
                <w:noProof/>
              </w:rPr>
              <w:t xml:space="preserve"> Atskaites punkts</w:t>
            </w:r>
          </w:p>
        </w:tc>
        <w:tc>
          <w:tcPr>
            <w:tcW w:w="1120" w:type="dxa"/>
            <w:shd w:val="clear" w:color="auto" w:fill="C6EFCE"/>
            <w:noWrap/>
          </w:tcPr>
          <w:p w14:paraId="1EC28C7F" w14:textId="77777777" w:rsidR="00CB0FCB" w:rsidRDefault="009D2B11">
            <w:pPr>
              <w:pStyle w:val="P68B1DB1-Normal9"/>
              <w:spacing w:after="0" w:line="240" w:lineRule="auto"/>
              <w:rPr>
                <w:rFonts w:eastAsia="Times New Roman" w:cs="Calibri"/>
                <w:noProof/>
                <w:szCs w:val="18"/>
              </w:rPr>
            </w:pPr>
            <w:r>
              <w:rPr>
                <w:noProof/>
              </w:rPr>
              <w:t>Īpašu teritoriālo satvaru pieņemšana</w:t>
            </w:r>
          </w:p>
        </w:tc>
        <w:tc>
          <w:tcPr>
            <w:tcW w:w="1477" w:type="dxa"/>
            <w:shd w:val="clear" w:color="auto" w:fill="C6EFCE"/>
            <w:noWrap/>
          </w:tcPr>
          <w:p w14:paraId="2894B4E9" w14:textId="3A1AD76E" w:rsidR="00CB0FCB" w:rsidRDefault="009D2B11">
            <w:pPr>
              <w:pStyle w:val="P68B1DB1-Normal9"/>
              <w:spacing w:after="0" w:line="240" w:lineRule="auto"/>
              <w:rPr>
                <w:rFonts w:eastAsia="Times New Roman" w:cs="Calibri"/>
                <w:noProof/>
                <w:szCs w:val="18"/>
              </w:rPr>
            </w:pPr>
            <w:r>
              <w:rPr>
                <w:noProof/>
              </w:rPr>
              <w:t>Trīs īpašu telpisko satvaru pieņemšana attiecībā uz atjaunojamiem energoresursiem (AER), tūrismu un rūpniecību</w:t>
            </w:r>
          </w:p>
        </w:tc>
        <w:tc>
          <w:tcPr>
            <w:tcW w:w="1125" w:type="dxa"/>
            <w:shd w:val="clear" w:color="auto" w:fill="C6EFCE"/>
            <w:noWrap/>
          </w:tcPr>
          <w:p w14:paraId="6BED2123" w14:textId="77777777" w:rsidR="00CB0FCB" w:rsidRDefault="00CB0FCB">
            <w:pPr>
              <w:spacing w:after="0" w:line="240" w:lineRule="auto"/>
              <w:rPr>
                <w:rFonts w:eastAsia="Times New Roman" w:cs="Calibri"/>
                <w:noProof/>
                <w:color w:val="006100"/>
                <w:sz w:val="18"/>
                <w:szCs w:val="18"/>
              </w:rPr>
            </w:pPr>
          </w:p>
        </w:tc>
        <w:tc>
          <w:tcPr>
            <w:tcW w:w="1281" w:type="dxa"/>
            <w:shd w:val="clear" w:color="auto" w:fill="C6EFCE"/>
            <w:noWrap/>
          </w:tcPr>
          <w:p w14:paraId="031D3B66" w14:textId="77777777" w:rsidR="00CB0FCB" w:rsidRDefault="00CB0FCB">
            <w:pPr>
              <w:spacing w:after="0" w:line="240" w:lineRule="auto"/>
              <w:rPr>
                <w:rFonts w:eastAsia="Times New Roman" w:cs="Calibri"/>
                <w:noProof/>
                <w:color w:val="006100"/>
                <w:sz w:val="18"/>
                <w:szCs w:val="18"/>
              </w:rPr>
            </w:pPr>
          </w:p>
        </w:tc>
        <w:tc>
          <w:tcPr>
            <w:tcW w:w="705" w:type="dxa"/>
            <w:shd w:val="clear" w:color="auto" w:fill="C6EFCE"/>
            <w:noWrap/>
          </w:tcPr>
          <w:p w14:paraId="137C58F4"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246D3228"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0C29E4C7" w14:textId="77777777" w:rsidR="00CB0FCB" w:rsidRDefault="009D2B11">
            <w:pPr>
              <w:pStyle w:val="P68B1DB1-Normal9"/>
              <w:spacing w:after="0" w:line="240" w:lineRule="auto"/>
              <w:rPr>
                <w:rFonts w:eastAsia="Times New Roman" w:cs="Calibri"/>
                <w:noProof/>
                <w:szCs w:val="18"/>
              </w:rPr>
            </w:pPr>
            <w:r>
              <w:rPr>
                <w:noProof/>
              </w:rPr>
              <w:t>2025</w:t>
            </w:r>
          </w:p>
        </w:tc>
        <w:tc>
          <w:tcPr>
            <w:tcW w:w="4450" w:type="dxa"/>
            <w:shd w:val="clear" w:color="auto" w:fill="C6EFCE"/>
            <w:noWrap/>
          </w:tcPr>
          <w:p w14:paraId="2FD5172F" w14:textId="2972CC4F" w:rsidR="00CB0FCB" w:rsidRDefault="009D2B11">
            <w:pPr>
              <w:pStyle w:val="P68B1DB1-Normal9"/>
              <w:spacing w:after="0" w:line="240" w:lineRule="auto"/>
              <w:rPr>
                <w:noProof/>
              </w:rPr>
            </w:pPr>
            <w:r>
              <w:rPr>
                <w:noProof/>
              </w:rPr>
              <w:t>Vides ministrija ir pieņēmusi trīs īpašus telpiskos satvarus atjaunojamiem enerģijas avotiem (AER), tūrismam un rūpniecībai.</w:t>
            </w:r>
          </w:p>
          <w:p w14:paraId="3E3A5B45" w14:textId="66402637" w:rsidR="00CB0FCB" w:rsidRDefault="00CB0FCB">
            <w:pPr>
              <w:spacing w:after="0" w:line="240" w:lineRule="auto"/>
              <w:rPr>
                <w:rFonts w:eastAsia="Times New Roman" w:cs="Calibri"/>
                <w:noProof/>
                <w:color w:val="006100"/>
                <w:sz w:val="18"/>
                <w:szCs w:val="18"/>
              </w:rPr>
            </w:pPr>
          </w:p>
        </w:tc>
      </w:tr>
      <w:tr w:rsidR="00CB0FCB" w14:paraId="52C131EB" w14:textId="77777777">
        <w:trPr>
          <w:trHeight w:val="313"/>
          <w:tblHeader/>
          <w:jc w:val="center"/>
        </w:trPr>
        <w:tc>
          <w:tcPr>
            <w:tcW w:w="1027" w:type="dxa"/>
            <w:shd w:val="clear" w:color="auto" w:fill="C6EFCE"/>
            <w:noWrap/>
          </w:tcPr>
          <w:p w14:paraId="3666BF5D" w14:textId="77777777" w:rsidR="00CB0FCB" w:rsidRDefault="009D2B11">
            <w:pPr>
              <w:pStyle w:val="P68B1DB1-Normal9"/>
              <w:spacing w:after="0" w:line="240" w:lineRule="auto"/>
              <w:rPr>
                <w:rFonts w:eastAsia="Times New Roman" w:cs="Calibri"/>
                <w:noProof/>
                <w:szCs w:val="18"/>
              </w:rPr>
            </w:pPr>
            <w:r>
              <w:rPr>
                <w:noProof/>
              </w:rPr>
              <w:t>31</w:t>
            </w:r>
          </w:p>
        </w:tc>
        <w:tc>
          <w:tcPr>
            <w:tcW w:w="1917" w:type="dxa"/>
            <w:shd w:val="clear" w:color="auto" w:fill="C6EFCE"/>
            <w:noWrap/>
          </w:tcPr>
          <w:p w14:paraId="1EC82881" w14:textId="77777777" w:rsidR="00CB0FCB" w:rsidRDefault="009D2B11">
            <w:pPr>
              <w:pStyle w:val="P68B1DB1-Normal9"/>
              <w:spacing w:after="0" w:line="240" w:lineRule="auto"/>
              <w:rPr>
                <w:rFonts w:eastAsia="Times New Roman" w:cs="Calibri"/>
                <w:noProof/>
                <w:szCs w:val="18"/>
              </w:rPr>
            </w:pPr>
            <w:r>
              <w:rPr>
                <w:noProof/>
              </w:rPr>
              <w:t>2–1.2. Renovācija — 16891_Jaunās jūras telpiskās plānošanas izveide</w:t>
            </w:r>
          </w:p>
        </w:tc>
        <w:tc>
          <w:tcPr>
            <w:tcW w:w="993" w:type="dxa"/>
            <w:shd w:val="clear" w:color="auto" w:fill="C6EFCE"/>
            <w:noWrap/>
          </w:tcPr>
          <w:p w14:paraId="7FC6AEE8" w14:textId="77777777" w:rsidR="00CB0FCB" w:rsidRDefault="009D2B11">
            <w:pPr>
              <w:pStyle w:val="P68B1DB1-Normal9"/>
              <w:spacing w:after="0" w:line="240" w:lineRule="auto"/>
              <w:rPr>
                <w:rFonts w:eastAsia="Times New Roman" w:cs="Calibri"/>
                <w:noProof/>
                <w:szCs w:val="18"/>
              </w:rPr>
            </w:pPr>
            <w:r>
              <w:rPr>
                <w:noProof/>
              </w:rPr>
              <w:t>Atskaites punkts</w:t>
            </w:r>
          </w:p>
          <w:p w14:paraId="0430F684" w14:textId="77777777" w:rsidR="00CB0FCB" w:rsidRDefault="00CB0FCB">
            <w:pPr>
              <w:spacing w:after="0" w:line="240" w:lineRule="auto"/>
              <w:rPr>
                <w:rFonts w:eastAsia="Times New Roman" w:cs="Calibri"/>
                <w:noProof/>
                <w:color w:val="006100"/>
                <w:sz w:val="18"/>
                <w:szCs w:val="18"/>
              </w:rPr>
            </w:pPr>
          </w:p>
        </w:tc>
        <w:tc>
          <w:tcPr>
            <w:tcW w:w="1120" w:type="dxa"/>
            <w:shd w:val="clear" w:color="auto" w:fill="C6EFCE"/>
            <w:noWrap/>
          </w:tcPr>
          <w:p w14:paraId="656DDFB9" w14:textId="77777777" w:rsidR="00CB0FCB" w:rsidRDefault="009D2B11">
            <w:pPr>
              <w:pStyle w:val="P68B1DB1-Normal9"/>
              <w:spacing w:after="0" w:line="240" w:lineRule="auto"/>
              <w:rPr>
                <w:rFonts w:eastAsia="Times New Roman" w:cs="Calibri"/>
                <w:noProof/>
                <w:szCs w:val="18"/>
              </w:rPr>
            </w:pPr>
            <w:r>
              <w:rPr>
                <w:noProof/>
              </w:rPr>
              <w:t>Jūrniecības stratēģijas pieņemšana</w:t>
            </w:r>
          </w:p>
        </w:tc>
        <w:tc>
          <w:tcPr>
            <w:tcW w:w="1477" w:type="dxa"/>
            <w:shd w:val="clear" w:color="auto" w:fill="C6EFCE"/>
            <w:noWrap/>
          </w:tcPr>
          <w:p w14:paraId="432C97C5" w14:textId="77777777" w:rsidR="00CB0FCB" w:rsidRDefault="009D2B11">
            <w:pPr>
              <w:pStyle w:val="P68B1DB1-Normal9"/>
              <w:spacing w:after="0" w:line="240" w:lineRule="auto"/>
              <w:rPr>
                <w:rFonts w:eastAsia="Times New Roman" w:cs="Calibri"/>
                <w:noProof/>
                <w:szCs w:val="18"/>
              </w:rPr>
            </w:pPr>
            <w:r>
              <w:rPr>
                <w:noProof/>
              </w:rPr>
              <w:t>Pieņemta jauna jūras telpiskā stratēģija</w:t>
            </w:r>
          </w:p>
        </w:tc>
        <w:tc>
          <w:tcPr>
            <w:tcW w:w="1125" w:type="dxa"/>
            <w:shd w:val="clear" w:color="auto" w:fill="C6EFCE"/>
            <w:noWrap/>
          </w:tcPr>
          <w:p w14:paraId="20C7390F" w14:textId="77777777" w:rsidR="00CB0FCB" w:rsidRDefault="00CB0FCB">
            <w:pPr>
              <w:spacing w:after="0" w:line="240" w:lineRule="auto"/>
              <w:rPr>
                <w:rFonts w:eastAsia="Times New Roman" w:cs="Calibri"/>
                <w:noProof/>
                <w:color w:val="006100"/>
                <w:sz w:val="18"/>
                <w:szCs w:val="18"/>
              </w:rPr>
            </w:pPr>
          </w:p>
        </w:tc>
        <w:tc>
          <w:tcPr>
            <w:tcW w:w="1281" w:type="dxa"/>
            <w:shd w:val="clear" w:color="auto" w:fill="C6EFCE"/>
            <w:noWrap/>
          </w:tcPr>
          <w:p w14:paraId="15E4BBC9" w14:textId="77777777" w:rsidR="00CB0FCB" w:rsidRDefault="00CB0FCB">
            <w:pPr>
              <w:spacing w:after="0" w:line="240" w:lineRule="auto"/>
              <w:rPr>
                <w:rFonts w:eastAsia="Times New Roman" w:cs="Calibri"/>
                <w:noProof/>
                <w:color w:val="006100"/>
                <w:sz w:val="18"/>
                <w:szCs w:val="18"/>
              </w:rPr>
            </w:pPr>
          </w:p>
        </w:tc>
        <w:tc>
          <w:tcPr>
            <w:tcW w:w="705" w:type="dxa"/>
            <w:shd w:val="clear" w:color="auto" w:fill="C6EFCE"/>
            <w:noWrap/>
          </w:tcPr>
          <w:p w14:paraId="0304BE81"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680CFBFB" w14:textId="3414B922" w:rsidR="00CB0FCB" w:rsidRDefault="009D2B11">
            <w:pPr>
              <w:pStyle w:val="P68B1DB1-Normal9"/>
              <w:spacing w:after="0" w:line="240" w:lineRule="auto"/>
              <w:rPr>
                <w:rFonts w:eastAsia="Times New Roman" w:cs="Calibri"/>
                <w:noProof/>
                <w:szCs w:val="18"/>
              </w:rPr>
            </w:pPr>
            <w:r>
              <w:rPr>
                <w:noProof/>
              </w:rPr>
              <w:t>2. CET.</w:t>
            </w:r>
          </w:p>
        </w:tc>
        <w:tc>
          <w:tcPr>
            <w:tcW w:w="709" w:type="dxa"/>
            <w:shd w:val="clear" w:color="auto" w:fill="C6EFCE"/>
            <w:noWrap/>
          </w:tcPr>
          <w:p w14:paraId="552BB0F7" w14:textId="1A0F1D4D" w:rsidR="00CB0FCB" w:rsidRDefault="009D2B11">
            <w:pPr>
              <w:pStyle w:val="P68B1DB1-Normal9"/>
              <w:spacing w:after="0" w:line="240" w:lineRule="auto"/>
              <w:rPr>
                <w:rFonts w:eastAsia="Times New Roman" w:cs="Calibri"/>
                <w:noProof/>
                <w:szCs w:val="18"/>
              </w:rPr>
            </w:pPr>
            <w:r>
              <w:rPr>
                <w:noProof/>
              </w:rPr>
              <w:t>2024</w:t>
            </w:r>
          </w:p>
        </w:tc>
        <w:tc>
          <w:tcPr>
            <w:tcW w:w="4450" w:type="dxa"/>
            <w:shd w:val="clear" w:color="auto" w:fill="C6EFCE"/>
            <w:noWrap/>
          </w:tcPr>
          <w:p w14:paraId="0830C9FA" w14:textId="77777777" w:rsidR="00CB0FCB" w:rsidRDefault="009D2B11">
            <w:pPr>
              <w:pStyle w:val="P68B1DB1-Normal9"/>
              <w:spacing w:after="0" w:line="240" w:lineRule="auto"/>
              <w:rPr>
                <w:rFonts w:eastAsia="Times New Roman" w:cs="Calibri"/>
                <w:noProof/>
                <w:szCs w:val="18"/>
              </w:rPr>
            </w:pPr>
            <w:r>
              <w:rPr>
                <w:noProof/>
              </w:rPr>
              <w:t xml:space="preserve">Vides un enerģētikas ministrija pieņem jūras telpisko stratēģiju. </w:t>
            </w:r>
          </w:p>
        </w:tc>
      </w:tr>
    </w:tbl>
    <w:p w14:paraId="58A4E3C1" w14:textId="77777777" w:rsidR="00CB0FCB" w:rsidRDefault="00CB0FCB">
      <w:pPr>
        <w:spacing w:before="120" w:after="120" w:line="240" w:lineRule="auto"/>
        <w:ind w:left="709"/>
        <w:rPr>
          <w:rFonts w:ascii="Times New Roman" w:hAnsi="Times New Roman" w:cs="Times New Roman"/>
          <w:noProof/>
          <w:sz w:val="24"/>
        </w:rPr>
      </w:pPr>
    </w:p>
    <w:p w14:paraId="48C245B8" w14:textId="77777777" w:rsidR="00CB0FCB" w:rsidRDefault="009D2B11">
      <w:pPr>
        <w:pStyle w:val="P68B1DB1-Normal6"/>
        <w:keepNext/>
        <w:keepLines/>
        <w:spacing w:before="40" w:after="0" w:line="240" w:lineRule="auto"/>
        <w:jc w:val="both"/>
        <w:outlineLvl w:val="4"/>
        <w:rPr>
          <w:rFonts w:eastAsia="Times New Roman"/>
          <w:noProof/>
        </w:rPr>
      </w:pPr>
      <w:r>
        <w:rPr>
          <w:noProof/>
        </w:rPr>
        <w:t>Otrā grupa: Uzņēmumu un sabiedrisko ēku energorenovācija</w:t>
      </w:r>
    </w:p>
    <w:p w14:paraId="5FF97F2E" w14:textId="77777777" w:rsidR="00CB0FCB" w:rsidRDefault="009D2B11">
      <w:pPr>
        <w:pStyle w:val="P68B1DB1-Normal4"/>
        <w:spacing w:before="120" w:after="120" w:line="240" w:lineRule="auto"/>
        <w:rPr>
          <w:rFonts w:cs="Times New Roman"/>
          <w:noProof/>
        </w:rPr>
      </w:pPr>
      <w:r>
        <w:rPr>
          <w:noProof/>
        </w:rPr>
        <w:t>Šajā grupā ietilpst šādi pasākumi:</w:t>
      </w:r>
    </w:p>
    <w:p w14:paraId="0190F1AA"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Enerģētika un uzņēmējdarbība (ID: 16874)</w:t>
      </w:r>
    </w:p>
    <w:p w14:paraId="3093B417"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Publiskā sektora ēku un publisko struktūru energoinfrastruktūras energomodernizācija (ID: 16876)</w:t>
      </w:r>
    </w:p>
    <w:p w14:paraId="2D70AC13"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Enerģētiskās nabadzības rīcības plāns (ID: 16920)</w:t>
      </w:r>
    </w:p>
    <w:tbl>
      <w:tblPr>
        <w:tblpPr w:leftFromText="180" w:rightFromText="180" w:vertAnchor="text" w:tblpXSpec="center" w:tblpY="1"/>
        <w:tblOverlap w:val="never"/>
        <w:tblW w:w="15417" w:type="dxa"/>
        <w:tblLayout w:type="fixed"/>
        <w:tblLook w:val="04A0" w:firstRow="1" w:lastRow="0" w:firstColumn="1" w:lastColumn="0" w:noHBand="0" w:noVBand="1"/>
      </w:tblPr>
      <w:tblGrid>
        <w:gridCol w:w="959"/>
        <w:gridCol w:w="1815"/>
        <w:gridCol w:w="1020"/>
        <w:gridCol w:w="1134"/>
        <w:gridCol w:w="1417"/>
        <w:gridCol w:w="1091"/>
        <w:gridCol w:w="999"/>
        <w:gridCol w:w="985"/>
        <w:gridCol w:w="894"/>
        <w:gridCol w:w="709"/>
        <w:gridCol w:w="4394"/>
      </w:tblGrid>
      <w:tr w:rsidR="00CB0FCB" w14:paraId="5B250EA5" w14:textId="77777777">
        <w:trPr>
          <w:trHeight w:val="939"/>
          <w:tblHeader/>
        </w:trPr>
        <w:tc>
          <w:tcPr>
            <w:tcW w:w="9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863273"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4A4A4A"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10FF9B"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134" w:type="dxa"/>
            <w:vMerge w:val="restart"/>
            <w:tcBorders>
              <w:top w:val="single" w:sz="4" w:space="0" w:color="auto"/>
              <w:left w:val="nil"/>
              <w:bottom w:val="single" w:sz="4" w:space="0" w:color="auto"/>
              <w:right w:val="single" w:sz="4" w:space="0" w:color="auto"/>
            </w:tcBorders>
            <w:shd w:val="clear" w:color="auto" w:fill="BDD7EE"/>
            <w:vAlign w:val="center"/>
            <w:hideMark/>
          </w:tcPr>
          <w:p w14:paraId="2D2AA790"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6B1960"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075" w:type="dxa"/>
            <w:gridSpan w:val="3"/>
            <w:tcBorders>
              <w:top w:val="single" w:sz="4" w:space="0" w:color="auto"/>
              <w:left w:val="nil"/>
              <w:bottom w:val="single" w:sz="4" w:space="0" w:color="auto"/>
              <w:right w:val="single" w:sz="4" w:space="0" w:color="auto"/>
            </w:tcBorders>
            <w:shd w:val="clear" w:color="auto" w:fill="BDD7EE"/>
            <w:vAlign w:val="center"/>
            <w:hideMark/>
          </w:tcPr>
          <w:p w14:paraId="1FB95E74"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14:paraId="2569552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F521F8"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6C09A7B2" w14:textId="77777777">
        <w:trPr>
          <w:trHeight w:val="10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7AFAAD5" w14:textId="77777777" w:rsidR="00CB0FCB" w:rsidRDefault="00CB0FCB">
            <w:pPr>
              <w:spacing w:after="0" w:line="240" w:lineRule="auto"/>
              <w:rPr>
                <w:rFonts w:ascii="Times New Roman" w:eastAsia="Times New Roman" w:hAnsi="Times New Roman" w:cs="Times New Roman"/>
                <w:b/>
                <w:bCs/>
                <w:noProof/>
                <w:sz w:val="18"/>
                <w:szCs w:val="18"/>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9396D84" w14:textId="77777777" w:rsidR="00CB0FCB" w:rsidRDefault="00CB0FCB">
            <w:pPr>
              <w:spacing w:after="0" w:line="240" w:lineRule="auto"/>
              <w:rPr>
                <w:rFonts w:ascii="Times New Roman" w:eastAsia="Times New Roman" w:hAnsi="Times New Roman" w:cs="Times New Roman"/>
                <w:b/>
                <w:bCs/>
                <w:noProof/>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B2B4D5F"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442F59" w14:textId="77777777" w:rsidR="00CB0FCB" w:rsidRDefault="00CB0FCB">
            <w:pPr>
              <w:spacing w:after="0" w:line="240" w:lineRule="auto"/>
              <w:rPr>
                <w:rFonts w:ascii="Times New Roman" w:eastAsia="Times New Roman" w:hAnsi="Times New Roman" w:cs="Times New Roman"/>
                <w:b/>
                <w:bCs/>
                <w:noProof/>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D92A24" w14:textId="77777777" w:rsidR="00CB0FCB" w:rsidRDefault="00CB0FCB">
            <w:pPr>
              <w:spacing w:after="0" w:line="240" w:lineRule="auto"/>
              <w:rPr>
                <w:rFonts w:ascii="Times New Roman" w:eastAsia="Times New Roman" w:hAnsi="Times New Roman" w:cs="Times New Roman"/>
                <w:b/>
                <w:bCs/>
                <w:noProof/>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F32ABDB"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9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5F79EF1"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98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79947B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9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61DC60"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B5029FD"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D67A3F4"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3D63A5B2" w14:textId="77777777">
        <w:trPr>
          <w:trHeight w:val="313"/>
        </w:trPr>
        <w:tc>
          <w:tcPr>
            <w:tcW w:w="959" w:type="dxa"/>
            <w:tcBorders>
              <w:top w:val="single" w:sz="4" w:space="0" w:color="auto"/>
              <w:left w:val="single" w:sz="4" w:space="0" w:color="auto"/>
              <w:bottom w:val="single" w:sz="4" w:space="0" w:color="auto"/>
              <w:right w:val="single" w:sz="4" w:space="0" w:color="auto"/>
            </w:tcBorders>
            <w:shd w:val="clear" w:color="auto" w:fill="C6EFCE"/>
            <w:noWrap/>
          </w:tcPr>
          <w:p w14:paraId="4973529F" w14:textId="77777777" w:rsidR="00CB0FCB" w:rsidRDefault="009D2B11">
            <w:pPr>
              <w:pStyle w:val="P68B1DB1-Normal9"/>
              <w:spacing w:after="0" w:line="240" w:lineRule="auto"/>
              <w:rPr>
                <w:rFonts w:eastAsia="Times New Roman" w:cs="Calibri"/>
                <w:noProof/>
                <w:szCs w:val="18"/>
              </w:rPr>
            </w:pPr>
            <w:r>
              <w:rPr>
                <w:noProof/>
              </w:rPr>
              <w:t>32</w:t>
            </w:r>
          </w:p>
        </w:tc>
        <w:tc>
          <w:tcPr>
            <w:tcW w:w="1815" w:type="dxa"/>
            <w:tcBorders>
              <w:top w:val="single" w:sz="4" w:space="0" w:color="auto"/>
              <w:left w:val="nil"/>
              <w:bottom w:val="single" w:sz="4" w:space="0" w:color="auto"/>
              <w:right w:val="single" w:sz="4" w:space="0" w:color="auto"/>
            </w:tcBorders>
            <w:shd w:val="clear" w:color="auto" w:fill="C6EFCE"/>
            <w:noWrap/>
          </w:tcPr>
          <w:p w14:paraId="68357A72" w14:textId="77777777" w:rsidR="00CB0FCB" w:rsidRDefault="009D2B11">
            <w:pPr>
              <w:pStyle w:val="P68B1DB1-Normal9"/>
              <w:spacing w:after="0" w:line="240" w:lineRule="auto"/>
              <w:rPr>
                <w:rFonts w:eastAsia="Times New Roman" w:cs="Calibri"/>
                <w:noProof/>
                <w:szCs w:val="18"/>
              </w:rPr>
            </w:pPr>
            <w:r>
              <w:rPr>
                <w:noProof/>
              </w:rPr>
              <w:t>2–1.2. Renovācija — 16920_Enerģētiskās nabadzības rīcības plāns</w:t>
            </w:r>
          </w:p>
        </w:tc>
        <w:tc>
          <w:tcPr>
            <w:tcW w:w="1020" w:type="dxa"/>
            <w:tcBorders>
              <w:top w:val="single" w:sz="4" w:space="0" w:color="auto"/>
              <w:left w:val="nil"/>
              <w:bottom w:val="single" w:sz="4" w:space="0" w:color="auto"/>
              <w:right w:val="single" w:sz="4" w:space="0" w:color="auto"/>
            </w:tcBorders>
            <w:shd w:val="clear" w:color="auto" w:fill="C6EFCE"/>
            <w:noWrap/>
          </w:tcPr>
          <w:p w14:paraId="66A75BB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4" w:type="dxa"/>
            <w:tcBorders>
              <w:top w:val="single" w:sz="4" w:space="0" w:color="auto"/>
              <w:left w:val="nil"/>
              <w:bottom w:val="single" w:sz="4" w:space="0" w:color="auto"/>
              <w:right w:val="single" w:sz="4" w:space="0" w:color="auto"/>
            </w:tcBorders>
            <w:shd w:val="clear" w:color="auto" w:fill="C6EFCE"/>
            <w:noWrap/>
          </w:tcPr>
          <w:p w14:paraId="3D75DEA2" w14:textId="77777777" w:rsidR="00CB0FCB" w:rsidRDefault="009D2B11">
            <w:pPr>
              <w:pStyle w:val="P68B1DB1-Normal9"/>
              <w:spacing w:after="0" w:line="240" w:lineRule="auto"/>
              <w:rPr>
                <w:rFonts w:eastAsia="Times New Roman" w:cs="Calibri"/>
                <w:noProof/>
                <w:szCs w:val="18"/>
              </w:rPr>
            </w:pPr>
            <w:r>
              <w:rPr>
                <w:noProof/>
              </w:rPr>
              <w:t>Enerģētiskā nabadzība — rīcības plāna pieņemšana</w:t>
            </w:r>
          </w:p>
          <w:p w14:paraId="6DEAC950" w14:textId="77777777" w:rsidR="00CB0FCB" w:rsidRDefault="00CB0FCB">
            <w:pPr>
              <w:spacing w:after="0" w:line="240" w:lineRule="auto"/>
              <w:rPr>
                <w:rFonts w:eastAsia="Times New Roman" w:cs="Calibri"/>
                <w:noProof/>
                <w:color w:val="006100"/>
                <w:sz w:val="18"/>
                <w:szCs w:val="18"/>
              </w:rPr>
            </w:pPr>
          </w:p>
        </w:tc>
        <w:tc>
          <w:tcPr>
            <w:tcW w:w="1417" w:type="dxa"/>
            <w:tcBorders>
              <w:top w:val="single" w:sz="4" w:space="0" w:color="auto"/>
              <w:left w:val="nil"/>
              <w:bottom w:val="single" w:sz="4" w:space="0" w:color="auto"/>
              <w:right w:val="single" w:sz="4" w:space="0" w:color="auto"/>
            </w:tcBorders>
            <w:shd w:val="clear" w:color="auto" w:fill="C6EFCE"/>
            <w:noWrap/>
          </w:tcPr>
          <w:p w14:paraId="6339E172" w14:textId="77777777" w:rsidR="00CB0FCB" w:rsidRDefault="009D2B11">
            <w:pPr>
              <w:pStyle w:val="P68B1DB1-Normal9"/>
              <w:spacing w:after="0" w:line="240" w:lineRule="auto"/>
              <w:rPr>
                <w:rFonts w:eastAsia="Times New Roman" w:cs="Calibri"/>
                <w:noProof/>
                <w:szCs w:val="18"/>
              </w:rPr>
            </w:pPr>
            <w:r>
              <w:rPr>
                <w:noProof/>
              </w:rPr>
              <w:t>Stājas spēkā Vides un enerģētikas ministrijas ministru lēmums.</w:t>
            </w:r>
          </w:p>
        </w:tc>
        <w:tc>
          <w:tcPr>
            <w:tcW w:w="1091" w:type="dxa"/>
            <w:tcBorders>
              <w:top w:val="single" w:sz="4" w:space="0" w:color="auto"/>
              <w:left w:val="nil"/>
              <w:bottom w:val="single" w:sz="4" w:space="0" w:color="auto"/>
              <w:right w:val="single" w:sz="4" w:space="0" w:color="auto"/>
            </w:tcBorders>
            <w:shd w:val="clear" w:color="auto" w:fill="C6EFCE"/>
            <w:noWrap/>
          </w:tcPr>
          <w:p w14:paraId="3E8AB518" w14:textId="77777777" w:rsidR="00CB0FCB" w:rsidRDefault="00CB0FCB">
            <w:pPr>
              <w:spacing w:after="0" w:line="240" w:lineRule="auto"/>
              <w:rPr>
                <w:rFonts w:eastAsia="Times New Roman" w:cs="Calibri"/>
                <w:noProof/>
                <w:color w:val="006100"/>
                <w:sz w:val="18"/>
                <w:szCs w:val="18"/>
              </w:rPr>
            </w:pPr>
          </w:p>
        </w:tc>
        <w:tc>
          <w:tcPr>
            <w:tcW w:w="999" w:type="dxa"/>
            <w:tcBorders>
              <w:top w:val="single" w:sz="4" w:space="0" w:color="auto"/>
              <w:left w:val="nil"/>
              <w:bottom w:val="single" w:sz="4" w:space="0" w:color="auto"/>
              <w:right w:val="single" w:sz="4" w:space="0" w:color="auto"/>
            </w:tcBorders>
            <w:shd w:val="clear" w:color="auto" w:fill="C6EFCE"/>
            <w:noWrap/>
          </w:tcPr>
          <w:p w14:paraId="6A523C06" w14:textId="77777777" w:rsidR="00CB0FCB" w:rsidRDefault="00CB0FCB">
            <w:pPr>
              <w:spacing w:after="0" w:line="240" w:lineRule="auto"/>
              <w:rPr>
                <w:rFonts w:eastAsia="Times New Roman" w:cs="Calibri"/>
                <w:noProof/>
                <w:color w:val="006100"/>
                <w:sz w:val="18"/>
                <w:szCs w:val="18"/>
              </w:rPr>
            </w:pPr>
          </w:p>
        </w:tc>
        <w:tc>
          <w:tcPr>
            <w:tcW w:w="985" w:type="dxa"/>
            <w:tcBorders>
              <w:top w:val="single" w:sz="4" w:space="0" w:color="auto"/>
              <w:left w:val="nil"/>
              <w:bottom w:val="single" w:sz="4" w:space="0" w:color="auto"/>
              <w:right w:val="single" w:sz="4" w:space="0" w:color="auto"/>
            </w:tcBorders>
            <w:shd w:val="clear" w:color="auto" w:fill="C6EFCE"/>
            <w:noWrap/>
          </w:tcPr>
          <w:p w14:paraId="6FD59801" w14:textId="77777777" w:rsidR="00CB0FCB" w:rsidRDefault="00CB0FCB">
            <w:pPr>
              <w:spacing w:after="0" w:line="240" w:lineRule="auto"/>
              <w:rPr>
                <w:rFonts w:eastAsia="Times New Roman" w:cs="Calibri"/>
                <w:noProof/>
                <w:color w:val="006100"/>
                <w:sz w:val="18"/>
                <w:szCs w:val="18"/>
              </w:rPr>
            </w:pPr>
          </w:p>
        </w:tc>
        <w:tc>
          <w:tcPr>
            <w:tcW w:w="894" w:type="dxa"/>
            <w:tcBorders>
              <w:top w:val="single" w:sz="4" w:space="0" w:color="auto"/>
              <w:left w:val="nil"/>
              <w:bottom w:val="single" w:sz="4" w:space="0" w:color="auto"/>
              <w:right w:val="single" w:sz="4" w:space="0" w:color="auto"/>
            </w:tcBorders>
            <w:shd w:val="clear" w:color="auto" w:fill="C6EFCE"/>
            <w:noWrap/>
          </w:tcPr>
          <w:p w14:paraId="703558CB" w14:textId="77777777" w:rsidR="00CB0FCB" w:rsidRDefault="009D2B11">
            <w:pPr>
              <w:pStyle w:val="P68B1DB1-Normal9"/>
              <w:spacing w:after="0" w:line="240" w:lineRule="auto"/>
              <w:rPr>
                <w:rFonts w:eastAsia="Times New Roman" w:cs="Calibri"/>
                <w:noProof/>
                <w:szCs w:val="18"/>
              </w:rPr>
            </w:pPr>
            <w:r>
              <w:rPr>
                <w:noProof/>
              </w:rPr>
              <w:t>CET.</w:t>
            </w:r>
          </w:p>
        </w:tc>
        <w:tc>
          <w:tcPr>
            <w:tcW w:w="709" w:type="dxa"/>
            <w:tcBorders>
              <w:top w:val="single" w:sz="4" w:space="0" w:color="auto"/>
              <w:left w:val="nil"/>
              <w:bottom w:val="single" w:sz="4" w:space="0" w:color="auto"/>
              <w:right w:val="single" w:sz="4" w:space="0" w:color="auto"/>
            </w:tcBorders>
            <w:shd w:val="clear" w:color="auto" w:fill="C6EFCE"/>
            <w:noWrap/>
          </w:tcPr>
          <w:p w14:paraId="499C5C75" w14:textId="77777777" w:rsidR="00CB0FCB" w:rsidRDefault="009D2B11">
            <w:pPr>
              <w:pStyle w:val="P68B1DB1-Normal9"/>
              <w:spacing w:after="0" w:line="240" w:lineRule="auto"/>
              <w:rPr>
                <w:rFonts w:eastAsia="Times New Roman" w:cs="Calibri"/>
                <w:noProof/>
                <w:szCs w:val="18"/>
              </w:rPr>
            </w:pPr>
            <w:r>
              <w:rPr>
                <w:noProof/>
              </w:rPr>
              <w:t>2021</w:t>
            </w:r>
          </w:p>
        </w:tc>
        <w:tc>
          <w:tcPr>
            <w:tcW w:w="4394" w:type="dxa"/>
            <w:tcBorders>
              <w:top w:val="single" w:sz="4" w:space="0" w:color="auto"/>
              <w:left w:val="nil"/>
              <w:bottom w:val="single" w:sz="4" w:space="0" w:color="auto"/>
              <w:right w:val="single" w:sz="4" w:space="0" w:color="auto"/>
            </w:tcBorders>
            <w:shd w:val="clear" w:color="auto" w:fill="C6EFCE"/>
            <w:noWrap/>
          </w:tcPr>
          <w:p w14:paraId="0E93BFF6" w14:textId="77777777" w:rsidR="00CB0FCB" w:rsidRDefault="009D2B11">
            <w:pPr>
              <w:pStyle w:val="P68B1DB1-Normal9"/>
              <w:spacing w:after="0" w:line="240" w:lineRule="auto"/>
              <w:rPr>
                <w:rFonts w:eastAsia="Times New Roman" w:cs="Calibri"/>
                <w:noProof/>
                <w:szCs w:val="18"/>
              </w:rPr>
            </w:pPr>
            <w:r>
              <w:rPr>
                <w:noProof/>
              </w:rPr>
              <w:t>Stājas spēkā Vides un enerģētikas ministrijas ministru lēmums, ar ko pieņem Enerģētiskās nabadzības rīcības plānu, plānā iekļaujot trīs politikas pasākumu kategorijas:</w:t>
            </w:r>
          </w:p>
          <w:p w14:paraId="5537F078" w14:textId="77777777" w:rsidR="00CB0FCB" w:rsidRDefault="009D2B11">
            <w:pPr>
              <w:pStyle w:val="P68B1DB1-Normal9"/>
              <w:spacing w:after="0" w:line="240" w:lineRule="auto"/>
              <w:rPr>
                <w:rFonts w:eastAsia="Times New Roman" w:cs="Calibri"/>
                <w:noProof/>
                <w:szCs w:val="18"/>
              </w:rPr>
            </w:pPr>
            <w:r>
              <w:rPr>
                <w:noProof/>
              </w:rPr>
              <w:t>— Informētības un informēšanas pasākumi;</w:t>
            </w:r>
          </w:p>
          <w:p w14:paraId="5E111CF5" w14:textId="77777777" w:rsidR="00CB0FCB" w:rsidRDefault="009D2B11">
            <w:pPr>
              <w:pStyle w:val="P68B1DB1-Normal9"/>
              <w:spacing w:after="0" w:line="240" w:lineRule="auto"/>
              <w:rPr>
                <w:rFonts w:eastAsia="Times New Roman" w:cs="Calibri"/>
                <w:noProof/>
                <w:szCs w:val="18"/>
              </w:rPr>
            </w:pPr>
            <w:r>
              <w:rPr>
                <w:noProof/>
              </w:rPr>
              <w:t>— Pasākumi enerģētiski nabadzīgo mājsaimniecību īstermiņa aizsardzībai, tostarp 1) to mājsaimniecību definīcija, kuras saskaras ar enerģētisko nabadzību, izmantojot īpašus kvantitatīvus kritērijus, un 2) īpašs process, lai uzraudzītu un novērtētu enerģētiskās nabadzības attīstību saskaņā ar mehānismu, kas ierosināts rīcības plānā, un saskaņā ar attiecīgajiem ES tiesību aktiem; un</w:t>
            </w:r>
          </w:p>
          <w:p w14:paraId="5190DC63" w14:textId="77777777" w:rsidR="00CB0FCB" w:rsidRDefault="009D2B11">
            <w:pPr>
              <w:pStyle w:val="P68B1DB1-Normal9"/>
              <w:spacing w:after="0" w:line="240" w:lineRule="auto"/>
              <w:rPr>
                <w:rFonts w:eastAsia="Times New Roman" w:cs="Calibri"/>
                <w:noProof/>
                <w:szCs w:val="18"/>
              </w:rPr>
            </w:pPr>
            <w:r>
              <w:rPr>
                <w:noProof/>
              </w:rPr>
              <w:t>— Finansēšanas pasākumi: finansēšanas mehānismu izveide tādu dzīvojamo ēku energoefektivitātes uzlabošanai, kurās dzīvo enerģētiski neaizsargātas mājsaimniecības un citas sociālās grupas ar īpašiem elektroenerģijas patēriņa modeļiem. Ar šiem finanšu pasākumiem risina enerģētiskās nabadzības problēmas Grieķijā, kā aprakstīts nacionālajā enerģētikas un klimata plānā (NEKP).</w:t>
            </w:r>
          </w:p>
        </w:tc>
      </w:tr>
      <w:tr w:rsidR="00CB0FCB" w14:paraId="714C6CE9" w14:textId="77777777">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32D86E70" w14:textId="77777777" w:rsidR="00CB0FCB" w:rsidRDefault="009D2B11">
            <w:pPr>
              <w:pStyle w:val="P68B1DB1-Normal10"/>
              <w:spacing w:after="0" w:line="240" w:lineRule="auto"/>
              <w:rPr>
                <w:rFonts w:eastAsia="Times New Roman" w:cs="Calibri"/>
                <w:noProof/>
              </w:rPr>
            </w:pPr>
            <w:r>
              <w:rPr>
                <w:noProof/>
              </w:rPr>
              <w:t>33</w:t>
            </w:r>
          </w:p>
        </w:tc>
        <w:tc>
          <w:tcPr>
            <w:tcW w:w="1815" w:type="dxa"/>
            <w:tcBorders>
              <w:top w:val="nil"/>
              <w:left w:val="nil"/>
              <w:bottom w:val="single" w:sz="4" w:space="0" w:color="auto"/>
              <w:right w:val="single" w:sz="4" w:space="0" w:color="auto"/>
            </w:tcBorders>
            <w:shd w:val="clear" w:color="auto" w:fill="C6EFCE"/>
            <w:noWrap/>
          </w:tcPr>
          <w:p w14:paraId="3411912F" w14:textId="77777777" w:rsidR="00CB0FCB" w:rsidRDefault="009D2B11">
            <w:pPr>
              <w:pStyle w:val="P68B1DB1-Normal9"/>
              <w:spacing w:after="0" w:line="240" w:lineRule="auto"/>
              <w:rPr>
                <w:rFonts w:eastAsia="Times New Roman" w:cs="Calibri"/>
                <w:noProof/>
                <w:szCs w:val="18"/>
              </w:rPr>
            </w:pPr>
            <w:r>
              <w:rPr>
                <w:noProof/>
              </w:rPr>
              <w:t>2–1.2. Renovate — 16874_Enerģētika un uzņēmējdarbība</w:t>
            </w:r>
          </w:p>
        </w:tc>
        <w:tc>
          <w:tcPr>
            <w:tcW w:w="1020" w:type="dxa"/>
            <w:tcBorders>
              <w:top w:val="nil"/>
              <w:left w:val="nil"/>
              <w:bottom w:val="single" w:sz="4" w:space="0" w:color="auto"/>
              <w:right w:val="single" w:sz="4" w:space="0" w:color="auto"/>
            </w:tcBorders>
            <w:shd w:val="clear" w:color="auto" w:fill="C6EFCE"/>
            <w:noWrap/>
          </w:tcPr>
          <w:p w14:paraId="20FB916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4" w:type="dxa"/>
            <w:tcBorders>
              <w:top w:val="nil"/>
              <w:left w:val="nil"/>
              <w:bottom w:val="single" w:sz="4" w:space="0" w:color="auto"/>
              <w:right w:val="single" w:sz="4" w:space="0" w:color="auto"/>
            </w:tcBorders>
            <w:shd w:val="clear" w:color="auto" w:fill="C6EFCE"/>
            <w:noWrap/>
          </w:tcPr>
          <w:p w14:paraId="6E057095" w14:textId="77777777" w:rsidR="00CB0FCB" w:rsidRDefault="009D2B11">
            <w:pPr>
              <w:pStyle w:val="P68B1DB1-Normal9"/>
              <w:spacing w:after="0" w:line="240" w:lineRule="auto"/>
              <w:rPr>
                <w:rFonts w:eastAsia="Times New Roman" w:cs="Calibri"/>
                <w:noProof/>
                <w:szCs w:val="18"/>
              </w:rPr>
            </w:pPr>
            <w:r>
              <w:rPr>
                <w:noProof/>
              </w:rPr>
              <w:t>Energoefektivitātes privātais sektors — apstiprinātie pieteikumi</w:t>
            </w:r>
          </w:p>
        </w:tc>
        <w:tc>
          <w:tcPr>
            <w:tcW w:w="1417" w:type="dxa"/>
            <w:tcBorders>
              <w:top w:val="nil"/>
              <w:left w:val="nil"/>
              <w:bottom w:val="single" w:sz="4" w:space="0" w:color="auto"/>
              <w:right w:val="single" w:sz="4" w:space="0" w:color="auto"/>
            </w:tcBorders>
            <w:shd w:val="clear" w:color="auto" w:fill="C6EFCE"/>
            <w:noWrap/>
          </w:tcPr>
          <w:p w14:paraId="61BCFA5D" w14:textId="77777777" w:rsidR="00CB0FCB" w:rsidRDefault="009D2B11">
            <w:pPr>
              <w:pStyle w:val="P68B1DB1-Normal9"/>
              <w:spacing w:after="0" w:line="240" w:lineRule="auto"/>
              <w:rPr>
                <w:rFonts w:eastAsia="Times New Roman" w:cs="Calibri"/>
                <w:noProof/>
                <w:szCs w:val="18"/>
              </w:rPr>
            </w:pPr>
            <w:r>
              <w:rPr>
                <w:noProof/>
              </w:rPr>
              <w:t>Vides un enerģētikas ministrijas apstiprinājums pieteikumiem, kas iesniegti atlasītām intervencēm privātā sektora struktūrās.</w:t>
            </w:r>
          </w:p>
        </w:tc>
        <w:tc>
          <w:tcPr>
            <w:tcW w:w="1091" w:type="dxa"/>
            <w:tcBorders>
              <w:top w:val="nil"/>
              <w:left w:val="nil"/>
              <w:bottom w:val="single" w:sz="4" w:space="0" w:color="auto"/>
              <w:right w:val="single" w:sz="4" w:space="0" w:color="auto"/>
            </w:tcBorders>
            <w:shd w:val="clear" w:color="auto" w:fill="C6EFCE"/>
            <w:noWrap/>
          </w:tcPr>
          <w:p w14:paraId="29DDB3E7" w14:textId="77777777" w:rsidR="00CB0FCB" w:rsidRDefault="00CB0FCB">
            <w:pPr>
              <w:spacing w:after="0" w:line="240" w:lineRule="auto"/>
              <w:rPr>
                <w:rFonts w:eastAsia="Times New Roman" w:cs="Calibri"/>
                <w:noProof/>
                <w:color w:val="006100"/>
                <w:sz w:val="18"/>
                <w:szCs w:val="18"/>
              </w:rPr>
            </w:pPr>
          </w:p>
        </w:tc>
        <w:tc>
          <w:tcPr>
            <w:tcW w:w="999" w:type="dxa"/>
            <w:tcBorders>
              <w:top w:val="nil"/>
              <w:left w:val="nil"/>
              <w:bottom w:val="single" w:sz="4" w:space="0" w:color="auto"/>
              <w:right w:val="single" w:sz="4" w:space="0" w:color="auto"/>
            </w:tcBorders>
            <w:shd w:val="clear" w:color="auto" w:fill="C6EFCE"/>
            <w:noWrap/>
          </w:tcPr>
          <w:p w14:paraId="394B70E5" w14:textId="77777777" w:rsidR="00CB0FCB" w:rsidRDefault="00CB0FCB">
            <w:pPr>
              <w:spacing w:after="0" w:line="240" w:lineRule="auto"/>
              <w:rPr>
                <w:rFonts w:eastAsia="Times New Roman" w:cs="Calibri"/>
                <w:noProof/>
                <w:color w:val="006100"/>
                <w:sz w:val="18"/>
                <w:szCs w:val="18"/>
              </w:rPr>
            </w:pPr>
          </w:p>
        </w:tc>
        <w:tc>
          <w:tcPr>
            <w:tcW w:w="985" w:type="dxa"/>
            <w:tcBorders>
              <w:top w:val="nil"/>
              <w:left w:val="nil"/>
              <w:bottom w:val="single" w:sz="4" w:space="0" w:color="auto"/>
              <w:right w:val="single" w:sz="4" w:space="0" w:color="auto"/>
            </w:tcBorders>
            <w:shd w:val="clear" w:color="auto" w:fill="C6EFCE"/>
            <w:noWrap/>
          </w:tcPr>
          <w:p w14:paraId="1E36E213" w14:textId="77777777" w:rsidR="00CB0FCB" w:rsidRDefault="00CB0FCB">
            <w:pPr>
              <w:spacing w:after="0" w:line="240" w:lineRule="auto"/>
              <w:rPr>
                <w:rFonts w:eastAsia="Times New Roman" w:cs="Calibri"/>
                <w:noProof/>
                <w:color w:val="006100"/>
                <w:sz w:val="18"/>
                <w:szCs w:val="18"/>
              </w:rPr>
            </w:pPr>
          </w:p>
        </w:tc>
        <w:tc>
          <w:tcPr>
            <w:tcW w:w="894" w:type="dxa"/>
            <w:tcBorders>
              <w:top w:val="nil"/>
              <w:left w:val="nil"/>
              <w:bottom w:val="single" w:sz="4" w:space="0" w:color="auto"/>
              <w:right w:val="single" w:sz="4" w:space="0" w:color="auto"/>
            </w:tcBorders>
            <w:shd w:val="clear" w:color="auto" w:fill="C6EFCE"/>
            <w:noWrap/>
          </w:tcPr>
          <w:p w14:paraId="3A8BC76C"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1F6E4FE1" w14:textId="77777777" w:rsidR="00CB0FCB" w:rsidRDefault="009D2B11">
            <w:pPr>
              <w:pStyle w:val="P68B1DB1-Normal9"/>
              <w:spacing w:after="0" w:line="240" w:lineRule="auto"/>
              <w:rPr>
                <w:rFonts w:eastAsia="Times New Roman" w:cs="Calibri"/>
                <w:noProof/>
                <w:szCs w:val="18"/>
              </w:rPr>
            </w:pPr>
            <w:r>
              <w:rPr>
                <w:noProof/>
              </w:rPr>
              <w:t>2023</w:t>
            </w:r>
          </w:p>
        </w:tc>
        <w:tc>
          <w:tcPr>
            <w:tcW w:w="4394" w:type="dxa"/>
            <w:tcBorders>
              <w:top w:val="nil"/>
              <w:left w:val="nil"/>
              <w:bottom w:val="single" w:sz="4" w:space="0" w:color="auto"/>
              <w:right w:val="single" w:sz="4" w:space="0" w:color="auto"/>
            </w:tcBorders>
            <w:shd w:val="clear" w:color="auto" w:fill="C6EFCE"/>
            <w:noWrap/>
          </w:tcPr>
          <w:p w14:paraId="65FB35D0" w14:textId="79D24C54" w:rsidR="00CB0FCB" w:rsidRDefault="009D2B11">
            <w:pPr>
              <w:pStyle w:val="P68B1DB1-Normal10"/>
              <w:spacing w:after="0" w:line="240" w:lineRule="auto"/>
              <w:rPr>
                <w:rFonts w:eastAsia="Times New Roman" w:cs="Calibri"/>
                <w:noProof/>
              </w:rPr>
            </w:pPr>
            <w:r>
              <w:rPr>
                <w:noProof/>
              </w:rPr>
              <w:t>Vides un enerģētikas ministrijas apstiprinājums 3500 privātā sektora struktūru pieteikumiem, kas nodrošina, ka oglekļa dioksīda (CO2) emisijastiek samazinātas vidēji vismaz par 30 % salīdzinājumā ar privātā sektora struktūru pašreizējo situāciju (t. i., tā var attiekties uz iesaistīto uzņēmumu kopumā, konkrētu iekārtu nomaiņu un/vai īpašu(-iem) procesu(-iem) nomaiņu), kā norādīts energoauditos, kas veikti pirms intervences, vai citā sertificētā informācijā. Atlasītie projekti atbilst tehniskajiem norādījumiem “nenodarīt būtisku kaitējumu” (2021/C58/01), izmantojot izslēgšanas sarakstu un prasību par atbilstību attiecīgajiem ES un valsts tiesību aktiem vides jomā.</w:t>
            </w:r>
          </w:p>
        </w:tc>
      </w:tr>
      <w:tr w:rsidR="00CB0FCB" w14:paraId="4021B5AD" w14:textId="77777777">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1BFB2C9E" w14:textId="77777777" w:rsidR="00CB0FCB" w:rsidRDefault="009D2B11">
            <w:pPr>
              <w:pStyle w:val="P68B1DB1-Normal9"/>
              <w:spacing w:after="0" w:line="240" w:lineRule="auto"/>
              <w:rPr>
                <w:rFonts w:eastAsia="Times New Roman" w:cs="Calibri"/>
                <w:noProof/>
                <w:szCs w:val="18"/>
              </w:rPr>
            </w:pPr>
            <w:r>
              <w:rPr>
                <w:noProof/>
              </w:rPr>
              <w:t>34</w:t>
            </w:r>
          </w:p>
        </w:tc>
        <w:tc>
          <w:tcPr>
            <w:tcW w:w="1815" w:type="dxa"/>
            <w:tcBorders>
              <w:top w:val="nil"/>
              <w:left w:val="nil"/>
              <w:bottom w:val="single" w:sz="4" w:space="0" w:color="auto"/>
              <w:right w:val="single" w:sz="4" w:space="0" w:color="auto"/>
            </w:tcBorders>
            <w:shd w:val="clear" w:color="auto" w:fill="C6EFCE"/>
            <w:noWrap/>
          </w:tcPr>
          <w:p w14:paraId="0DEB7A8D" w14:textId="77777777" w:rsidR="00CB0FCB" w:rsidRDefault="009D2B11">
            <w:pPr>
              <w:pStyle w:val="P68B1DB1-Normal9"/>
              <w:spacing w:after="0" w:line="240" w:lineRule="auto"/>
              <w:rPr>
                <w:rFonts w:eastAsia="Times New Roman" w:cs="Calibri"/>
                <w:noProof/>
                <w:szCs w:val="18"/>
              </w:rPr>
            </w:pPr>
            <w:r>
              <w:rPr>
                <w:noProof/>
              </w:rPr>
              <w:t xml:space="preserve">2–1.2. Renovācija — 16876_Publiskā sektora ēku energomodernizācija </w:t>
            </w:r>
          </w:p>
        </w:tc>
        <w:tc>
          <w:tcPr>
            <w:tcW w:w="1020" w:type="dxa"/>
            <w:tcBorders>
              <w:top w:val="nil"/>
              <w:left w:val="nil"/>
              <w:bottom w:val="single" w:sz="4" w:space="0" w:color="auto"/>
              <w:right w:val="single" w:sz="4" w:space="0" w:color="auto"/>
            </w:tcBorders>
            <w:shd w:val="clear" w:color="auto" w:fill="C6EFCE"/>
            <w:noWrap/>
          </w:tcPr>
          <w:p w14:paraId="1DC91BD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4" w:type="dxa"/>
            <w:tcBorders>
              <w:top w:val="nil"/>
              <w:left w:val="nil"/>
              <w:bottom w:val="single" w:sz="4" w:space="0" w:color="auto"/>
              <w:right w:val="single" w:sz="4" w:space="0" w:color="auto"/>
            </w:tcBorders>
            <w:shd w:val="clear" w:color="auto" w:fill="C6EFCE"/>
            <w:noWrap/>
          </w:tcPr>
          <w:p w14:paraId="473DA574" w14:textId="77777777" w:rsidR="00CB0FCB" w:rsidRDefault="009D2B11">
            <w:pPr>
              <w:pStyle w:val="P68B1DB1-Normal9"/>
              <w:spacing w:after="0" w:line="240" w:lineRule="auto"/>
              <w:rPr>
                <w:rFonts w:eastAsia="Times New Roman" w:cs="Calibri"/>
                <w:noProof/>
                <w:szCs w:val="18"/>
              </w:rPr>
            </w:pPr>
            <w:r>
              <w:rPr>
                <w:noProof/>
              </w:rPr>
              <w:t>Sabiedrisko ēku energoefektivitāte — apstiprinātie pieteikumi</w:t>
            </w:r>
          </w:p>
        </w:tc>
        <w:tc>
          <w:tcPr>
            <w:tcW w:w="1417" w:type="dxa"/>
            <w:tcBorders>
              <w:top w:val="nil"/>
              <w:left w:val="nil"/>
              <w:bottom w:val="single" w:sz="4" w:space="0" w:color="auto"/>
              <w:right w:val="single" w:sz="4" w:space="0" w:color="auto"/>
            </w:tcBorders>
            <w:shd w:val="clear" w:color="auto" w:fill="C6EFCE"/>
            <w:noWrap/>
          </w:tcPr>
          <w:p w14:paraId="23011C46" w14:textId="77777777" w:rsidR="00CB0FCB" w:rsidRDefault="009D2B11">
            <w:pPr>
              <w:pStyle w:val="P68B1DB1-Normal9"/>
              <w:spacing w:after="0" w:line="240" w:lineRule="auto"/>
              <w:rPr>
                <w:rFonts w:eastAsia="Times New Roman" w:cs="Calibri"/>
                <w:noProof/>
                <w:szCs w:val="18"/>
              </w:rPr>
            </w:pPr>
            <w:r>
              <w:rPr>
                <w:noProof/>
              </w:rPr>
              <w:t>Paziņojums par Vides un enerģētikas ministrijas apstiprinātajiem pieteikumiem par izraudzītām intervencēm publiskā sektora ēkās.</w:t>
            </w:r>
          </w:p>
        </w:tc>
        <w:tc>
          <w:tcPr>
            <w:tcW w:w="1091" w:type="dxa"/>
            <w:tcBorders>
              <w:top w:val="nil"/>
              <w:left w:val="nil"/>
              <w:bottom w:val="single" w:sz="4" w:space="0" w:color="auto"/>
              <w:right w:val="single" w:sz="4" w:space="0" w:color="auto"/>
            </w:tcBorders>
            <w:shd w:val="clear" w:color="auto" w:fill="C6EFCE"/>
            <w:noWrap/>
          </w:tcPr>
          <w:p w14:paraId="7CA667B1" w14:textId="77777777" w:rsidR="00CB0FCB" w:rsidRDefault="00CB0FCB">
            <w:pPr>
              <w:spacing w:after="0" w:line="240" w:lineRule="auto"/>
              <w:rPr>
                <w:rFonts w:eastAsia="Times New Roman" w:cs="Calibri"/>
                <w:noProof/>
                <w:color w:val="006100"/>
                <w:sz w:val="18"/>
                <w:szCs w:val="18"/>
              </w:rPr>
            </w:pPr>
          </w:p>
        </w:tc>
        <w:tc>
          <w:tcPr>
            <w:tcW w:w="999" w:type="dxa"/>
            <w:tcBorders>
              <w:top w:val="nil"/>
              <w:left w:val="nil"/>
              <w:bottom w:val="single" w:sz="4" w:space="0" w:color="auto"/>
              <w:right w:val="single" w:sz="4" w:space="0" w:color="auto"/>
            </w:tcBorders>
            <w:shd w:val="clear" w:color="auto" w:fill="C6EFCE"/>
            <w:noWrap/>
          </w:tcPr>
          <w:p w14:paraId="16E4EF55" w14:textId="77777777" w:rsidR="00CB0FCB" w:rsidRDefault="00CB0FCB">
            <w:pPr>
              <w:spacing w:after="0" w:line="240" w:lineRule="auto"/>
              <w:rPr>
                <w:rFonts w:eastAsia="Times New Roman" w:cs="Calibri"/>
                <w:noProof/>
                <w:color w:val="006100"/>
                <w:sz w:val="18"/>
                <w:szCs w:val="18"/>
              </w:rPr>
            </w:pPr>
          </w:p>
        </w:tc>
        <w:tc>
          <w:tcPr>
            <w:tcW w:w="985" w:type="dxa"/>
            <w:tcBorders>
              <w:top w:val="nil"/>
              <w:left w:val="nil"/>
              <w:bottom w:val="single" w:sz="4" w:space="0" w:color="auto"/>
              <w:right w:val="single" w:sz="4" w:space="0" w:color="auto"/>
            </w:tcBorders>
            <w:shd w:val="clear" w:color="auto" w:fill="C6EFCE"/>
            <w:noWrap/>
          </w:tcPr>
          <w:p w14:paraId="67BE576F" w14:textId="77777777" w:rsidR="00CB0FCB" w:rsidRDefault="00CB0FCB">
            <w:pPr>
              <w:spacing w:after="0" w:line="240" w:lineRule="auto"/>
              <w:rPr>
                <w:rFonts w:eastAsia="Times New Roman" w:cs="Calibri"/>
                <w:noProof/>
                <w:color w:val="006100"/>
                <w:sz w:val="18"/>
                <w:szCs w:val="18"/>
              </w:rPr>
            </w:pPr>
          </w:p>
        </w:tc>
        <w:tc>
          <w:tcPr>
            <w:tcW w:w="894" w:type="dxa"/>
            <w:tcBorders>
              <w:top w:val="nil"/>
              <w:left w:val="nil"/>
              <w:bottom w:val="single" w:sz="4" w:space="0" w:color="auto"/>
              <w:right w:val="single" w:sz="4" w:space="0" w:color="auto"/>
            </w:tcBorders>
            <w:shd w:val="clear" w:color="auto" w:fill="C6EFCE"/>
            <w:noWrap/>
          </w:tcPr>
          <w:p w14:paraId="0C2D2913" w14:textId="77777777" w:rsidR="00CB0FCB" w:rsidRDefault="009D2B11">
            <w:pPr>
              <w:pStyle w:val="P68B1DB1-Normal9"/>
              <w:spacing w:after="0" w:line="240" w:lineRule="auto"/>
              <w:rPr>
                <w:rFonts w:eastAsia="Times New Roman" w:cs="Calibri"/>
                <w:noProof/>
                <w:szCs w:val="18"/>
              </w:rPr>
            </w:pPr>
            <w:r>
              <w:rPr>
                <w:noProof/>
              </w:rPr>
              <w:t>2. CET.</w:t>
            </w:r>
          </w:p>
        </w:tc>
        <w:tc>
          <w:tcPr>
            <w:tcW w:w="709" w:type="dxa"/>
            <w:tcBorders>
              <w:top w:val="nil"/>
              <w:left w:val="nil"/>
              <w:bottom w:val="single" w:sz="4" w:space="0" w:color="auto"/>
              <w:right w:val="single" w:sz="4" w:space="0" w:color="auto"/>
            </w:tcBorders>
            <w:shd w:val="clear" w:color="auto" w:fill="C6EFCE"/>
            <w:noWrap/>
          </w:tcPr>
          <w:p w14:paraId="3B8D7905" w14:textId="77777777" w:rsidR="00CB0FCB" w:rsidRDefault="009D2B11">
            <w:pPr>
              <w:pStyle w:val="P68B1DB1-Normal9"/>
              <w:spacing w:after="0" w:line="240" w:lineRule="auto"/>
              <w:rPr>
                <w:rFonts w:eastAsia="Times New Roman" w:cs="Calibri"/>
                <w:noProof/>
                <w:szCs w:val="18"/>
              </w:rPr>
            </w:pPr>
            <w:r>
              <w:rPr>
                <w:noProof/>
              </w:rPr>
              <w:t>2023</w:t>
            </w:r>
          </w:p>
        </w:tc>
        <w:tc>
          <w:tcPr>
            <w:tcW w:w="4394" w:type="dxa"/>
            <w:tcBorders>
              <w:top w:val="nil"/>
              <w:left w:val="nil"/>
              <w:bottom w:val="single" w:sz="4" w:space="0" w:color="auto"/>
              <w:right w:val="single" w:sz="4" w:space="0" w:color="auto"/>
            </w:tcBorders>
            <w:shd w:val="clear" w:color="auto" w:fill="C6EFCE"/>
            <w:noWrap/>
          </w:tcPr>
          <w:p w14:paraId="3D689AB8" w14:textId="77777777" w:rsidR="00CB0FCB" w:rsidRDefault="009D2B11">
            <w:pPr>
              <w:pStyle w:val="P68B1DB1-Normal9"/>
              <w:spacing w:after="0" w:line="240" w:lineRule="auto"/>
              <w:rPr>
                <w:rFonts w:eastAsia="Times New Roman" w:cs="Calibri"/>
                <w:noProof/>
                <w:szCs w:val="18"/>
              </w:rPr>
            </w:pPr>
            <w:r>
              <w:rPr>
                <w:noProof/>
              </w:rPr>
              <w:t xml:space="preserve">Vides un enerģētikas ministrija apstiprina pieteikumus 150 publiskā sektora ēkām, nodrošinot, ka šo ēku CO2 emisijas tiek samazinātas vidēji vismaz par 30 % salīdzinājumā ar pašreizējo situāciju (kā norādīts energoauditos, kas veikti pirms intervences). </w:t>
            </w:r>
          </w:p>
          <w:p w14:paraId="71045FE1" w14:textId="35491DEF" w:rsidR="00CB0FCB" w:rsidRDefault="00CB0FCB">
            <w:pPr>
              <w:spacing w:after="0" w:line="240" w:lineRule="auto"/>
              <w:rPr>
                <w:rFonts w:eastAsia="Times New Roman" w:cs="Calibri"/>
                <w:noProof/>
                <w:color w:val="006100"/>
                <w:sz w:val="18"/>
                <w:szCs w:val="18"/>
              </w:rPr>
            </w:pPr>
          </w:p>
          <w:p w14:paraId="4FDF2F2D" w14:textId="77777777" w:rsidR="00CB0FCB" w:rsidRDefault="009D2B11">
            <w:pPr>
              <w:pStyle w:val="P68B1DB1-Normal9"/>
              <w:spacing w:after="0" w:line="240" w:lineRule="auto"/>
              <w:rPr>
                <w:rFonts w:eastAsia="Times New Roman" w:cs="Calibri"/>
                <w:noProof/>
                <w:szCs w:val="18"/>
              </w:rPr>
            </w:pPr>
            <w:r>
              <w:rPr>
                <w:noProof/>
              </w:rPr>
              <w:t>Publiskā sektora ēku energoefektivitātes uzlabošanas programmai ir izveidots tiesiskais regulējums, kas ļauj noslēgt energoefektivitātes līgumus.</w:t>
            </w:r>
          </w:p>
        </w:tc>
      </w:tr>
      <w:tr w:rsidR="00CB0FCB" w14:paraId="7FFF6C90" w14:textId="77777777">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4392EA83" w14:textId="77777777" w:rsidR="00CB0FCB" w:rsidRDefault="009D2B11">
            <w:pPr>
              <w:pStyle w:val="P68B1DB1-Normal9"/>
              <w:spacing w:after="0" w:line="240" w:lineRule="auto"/>
              <w:rPr>
                <w:rFonts w:eastAsia="Times New Roman" w:cs="Calibri"/>
                <w:noProof/>
                <w:szCs w:val="18"/>
              </w:rPr>
            </w:pPr>
            <w:r>
              <w:rPr>
                <w:noProof/>
              </w:rPr>
              <w:t>36</w:t>
            </w:r>
          </w:p>
        </w:tc>
        <w:tc>
          <w:tcPr>
            <w:tcW w:w="1815" w:type="dxa"/>
            <w:tcBorders>
              <w:top w:val="nil"/>
              <w:left w:val="nil"/>
              <w:bottom w:val="single" w:sz="4" w:space="0" w:color="auto"/>
              <w:right w:val="single" w:sz="4" w:space="0" w:color="auto"/>
            </w:tcBorders>
            <w:shd w:val="clear" w:color="auto" w:fill="C6EFCE"/>
            <w:noWrap/>
          </w:tcPr>
          <w:p w14:paraId="763B7A47" w14:textId="77777777" w:rsidR="00CB0FCB" w:rsidRDefault="009D2B11">
            <w:pPr>
              <w:pStyle w:val="P68B1DB1-Normal9"/>
              <w:spacing w:after="0" w:line="240" w:lineRule="auto"/>
              <w:rPr>
                <w:rFonts w:eastAsia="Times New Roman" w:cs="Calibri"/>
                <w:noProof/>
                <w:szCs w:val="18"/>
              </w:rPr>
            </w:pPr>
            <w:r>
              <w:rPr>
                <w:noProof/>
              </w:rPr>
              <w:t>2–1.2. Renovate — 16874_Enerģētika un uzņēmējdarbība</w:t>
            </w:r>
          </w:p>
        </w:tc>
        <w:tc>
          <w:tcPr>
            <w:tcW w:w="1020" w:type="dxa"/>
            <w:tcBorders>
              <w:top w:val="nil"/>
              <w:left w:val="nil"/>
              <w:bottom w:val="single" w:sz="4" w:space="0" w:color="auto"/>
              <w:right w:val="single" w:sz="4" w:space="0" w:color="auto"/>
            </w:tcBorders>
            <w:shd w:val="clear" w:color="auto" w:fill="C6EFCE"/>
            <w:noWrap/>
          </w:tcPr>
          <w:p w14:paraId="62CEFC10" w14:textId="77777777" w:rsidR="00CB0FCB" w:rsidRDefault="009D2B11">
            <w:pPr>
              <w:pStyle w:val="P68B1DB1-Normal9"/>
              <w:spacing w:after="0" w:line="240" w:lineRule="auto"/>
              <w:rPr>
                <w:rFonts w:eastAsia="Times New Roman" w:cs="Calibri"/>
                <w:noProof/>
                <w:szCs w:val="18"/>
              </w:rPr>
            </w:pPr>
            <w:r>
              <w:rPr>
                <w:noProof/>
              </w:rPr>
              <w:t>Mērķa</w:t>
            </w:r>
          </w:p>
        </w:tc>
        <w:tc>
          <w:tcPr>
            <w:tcW w:w="1134" w:type="dxa"/>
            <w:tcBorders>
              <w:top w:val="nil"/>
              <w:left w:val="nil"/>
              <w:bottom w:val="single" w:sz="4" w:space="0" w:color="auto"/>
              <w:right w:val="single" w:sz="4" w:space="0" w:color="auto"/>
            </w:tcBorders>
            <w:shd w:val="clear" w:color="auto" w:fill="C6EFCE"/>
            <w:noWrap/>
          </w:tcPr>
          <w:p w14:paraId="39A8DED5" w14:textId="77777777" w:rsidR="00CB0FCB" w:rsidRDefault="009D2B11">
            <w:pPr>
              <w:pStyle w:val="P68B1DB1-Normal9"/>
              <w:spacing w:after="0" w:line="240" w:lineRule="auto"/>
              <w:rPr>
                <w:rFonts w:eastAsia="Times New Roman" w:cs="Calibri"/>
                <w:noProof/>
                <w:szCs w:val="18"/>
              </w:rPr>
            </w:pPr>
            <w:r>
              <w:rPr>
                <w:noProof/>
              </w:rPr>
              <w:t>Energoefektivitātes privātais sektors — pabeigts #2</w:t>
            </w:r>
          </w:p>
        </w:tc>
        <w:tc>
          <w:tcPr>
            <w:tcW w:w="1417" w:type="dxa"/>
            <w:tcBorders>
              <w:top w:val="nil"/>
              <w:left w:val="nil"/>
              <w:bottom w:val="single" w:sz="4" w:space="0" w:color="auto"/>
              <w:right w:val="single" w:sz="4" w:space="0" w:color="auto"/>
            </w:tcBorders>
            <w:shd w:val="clear" w:color="auto" w:fill="C6EFCE"/>
            <w:noWrap/>
          </w:tcPr>
          <w:p w14:paraId="1E79763C" w14:textId="77777777" w:rsidR="00CB0FCB" w:rsidRDefault="00CB0FCB">
            <w:pPr>
              <w:spacing w:after="0" w:line="240" w:lineRule="auto"/>
              <w:rPr>
                <w:rFonts w:eastAsia="Times New Roman" w:cs="Calibri"/>
                <w:noProof/>
                <w:color w:val="006100"/>
                <w:sz w:val="18"/>
                <w:szCs w:val="18"/>
              </w:rPr>
            </w:pPr>
          </w:p>
        </w:tc>
        <w:tc>
          <w:tcPr>
            <w:tcW w:w="1091" w:type="dxa"/>
            <w:tcBorders>
              <w:top w:val="nil"/>
              <w:left w:val="nil"/>
              <w:bottom w:val="single" w:sz="4" w:space="0" w:color="auto"/>
              <w:right w:val="single" w:sz="4" w:space="0" w:color="auto"/>
            </w:tcBorders>
            <w:shd w:val="clear" w:color="auto" w:fill="C6EFCE"/>
            <w:noWrap/>
          </w:tcPr>
          <w:p w14:paraId="34B9A201" w14:textId="77777777" w:rsidR="00CB0FCB" w:rsidRDefault="009D2B11">
            <w:pPr>
              <w:pStyle w:val="P68B1DB1-Normal9"/>
              <w:spacing w:after="0" w:line="240" w:lineRule="auto"/>
              <w:rPr>
                <w:rFonts w:eastAsia="Times New Roman" w:cs="Calibri"/>
                <w:noProof/>
                <w:szCs w:val="18"/>
              </w:rPr>
            </w:pPr>
            <w:r>
              <w:rPr>
                <w:noProof/>
              </w:rPr>
              <w:t>To privātā sektora struktūru skaits, kurām ir pabeigtas intervences t</w:t>
            </w:r>
          </w:p>
        </w:tc>
        <w:tc>
          <w:tcPr>
            <w:tcW w:w="999" w:type="dxa"/>
            <w:tcBorders>
              <w:top w:val="nil"/>
              <w:left w:val="nil"/>
              <w:bottom w:val="single" w:sz="4" w:space="0" w:color="auto"/>
              <w:right w:val="single" w:sz="4" w:space="0" w:color="auto"/>
            </w:tcBorders>
            <w:shd w:val="clear" w:color="auto" w:fill="C6EFCE"/>
            <w:noWrap/>
          </w:tcPr>
          <w:p w14:paraId="5088E1C5" w14:textId="77777777" w:rsidR="00CB0FCB" w:rsidRDefault="009D2B11">
            <w:pPr>
              <w:pStyle w:val="P68B1DB1-Normal9"/>
              <w:spacing w:after="0" w:line="240" w:lineRule="auto"/>
              <w:rPr>
                <w:rFonts w:eastAsia="Times New Roman" w:cs="Calibri"/>
                <w:noProof/>
                <w:szCs w:val="18"/>
              </w:rPr>
            </w:pPr>
            <w:r>
              <w:rPr>
                <w:noProof/>
              </w:rPr>
              <w:t>0</w:t>
            </w:r>
          </w:p>
        </w:tc>
        <w:tc>
          <w:tcPr>
            <w:tcW w:w="985" w:type="dxa"/>
            <w:tcBorders>
              <w:top w:val="nil"/>
              <w:left w:val="nil"/>
              <w:bottom w:val="single" w:sz="4" w:space="0" w:color="auto"/>
              <w:right w:val="single" w:sz="4" w:space="0" w:color="auto"/>
            </w:tcBorders>
            <w:shd w:val="clear" w:color="auto" w:fill="C6EFCE"/>
            <w:noWrap/>
          </w:tcPr>
          <w:p w14:paraId="2E4A2181" w14:textId="35C3FAEE" w:rsidR="00CB0FCB" w:rsidRDefault="009D2B11">
            <w:pPr>
              <w:pStyle w:val="P68B1DB1-Normal9"/>
              <w:spacing w:after="0" w:line="240" w:lineRule="auto"/>
              <w:rPr>
                <w:rFonts w:eastAsia="Times New Roman" w:cs="Calibri"/>
                <w:noProof/>
                <w:szCs w:val="18"/>
              </w:rPr>
            </w:pPr>
            <w:r>
              <w:rPr>
                <w:noProof/>
              </w:rPr>
              <w:t xml:space="preserve"> 3 </w:t>
            </w:r>
            <w:r>
              <w:rPr>
                <w:rFonts w:cs="Calibri"/>
                <w:noProof/>
                <w:szCs w:val="18"/>
              </w:rPr>
              <w:t>5</w:t>
            </w:r>
            <w:r>
              <w:rPr>
                <w:noProof/>
              </w:rPr>
              <w:t>00</w:t>
            </w:r>
          </w:p>
        </w:tc>
        <w:tc>
          <w:tcPr>
            <w:tcW w:w="894" w:type="dxa"/>
            <w:tcBorders>
              <w:top w:val="nil"/>
              <w:left w:val="nil"/>
              <w:bottom w:val="single" w:sz="4" w:space="0" w:color="auto"/>
              <w:right w:val="single" w:sz="4" w:space="0" w:color="auto"/>
            </w:tcBorders>
            <w:shd w:val="clear" w:color="auto" w:fill="C6EFCE"/>
            <w:noWrap/>
          </w:tcPr>
          <w:p w14:paraId="6CF40AA8"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6949C318" w14:textId="77777777" w:rsidR="00CB0FCB" w:rsidRDefault="009D2B11">
            <w:pPr>
              <w:pStyle w:val="P68B1DB1-Normal9"/>
              <w:spacing w:after="0" w:line="240" w:lineRule="auto"/>
              <w:rPr>
                <w:rFonts w:eastAsia="Times New Roman" w:cs="Calibri"/>
                <w:noProof/>
                <w:szCs w:val="18"/>
              </w:rPr>
            </w:pPr>
            <w:r>
              <w:rPr>
                <w:noProof/>
              </w:rPr>
              <w:t>2025</w:t>
            </w:r>
          </w:p>
        </w:tc>
        <w:tc>
          <w:tcPr>
            <w:tcW w:w="4394" w:type="dxa"/>
            <w:tcBorders>
              <w:top w:val="nil"/>
              <w:left w:val="nil"/>
              <w:bottom w:val="single" w:sz="4" w:space="0" w:color="auto"/>
              <w:right w:val="single" w:sz="4" w:space="0" w:color="auto"/>
            </w:tcBorders>
            <w:shd w:val="clear" w:color="auto" w:fill="C6EFCE"/>
            <w:noWrap/>
          </w:tcPr>
          <w:p w14:paraId="4DCE577E" w14:textId="1812C411" w:rsidR="00CB0FCB" w:rsidRDefault="009D2B11">
            <w:pPr>
              <w:pStyle w:val="P68B1DB1-Normal10"/>
              <w:spacing w:after="0" w:line="240" w:lineRule="auto"/>
              <w:rPr>
                <w:rFonts w:eastAsia="Times New Roman" w:cs="Calibri"/>
                <w:noProof/>
              </w:rPr>
            </w:pPr>
            <w:r>
              <w:rPr>
                <w:noProof/>
              </w:rPr>
              <w:t>Intervences energoefektivitātes uzlabošanai, kas pabeigtas atlasītiem privātā sektora subjektiem (3500 privātā sektora uzņēmumiem) ar CO2 emisiju samazinājumu vidēji vismaz par 30 % salīdzinājumā ar privātā sektora struktūru pašreizējo situāciju vai nu attiecībā uz iesaistīto uzņēmumu kopumā (visu subjektu), vai konkrēti īstenotajām intervencēm/procesiem (t. i., to var piemērot konkrēta atsevišķa aprīkojuma nomaiņai un/vai konkrēta(-iem) procesa(-u) nomaiņai.</w:t>
            </w:r>
          </w:p>
        </w:tc>
      </w:tr>
    </w:tbl>
    <w:p w14:paraId="04F4D0D2" w14:textId="77777777" w:rsidR="00CB0FCB" w:rsidRDefault="00CB0FCB">
      <w:pPr>
        <w:spacing w:before="120" w:after="120" w:line="240" w:lineRule="auto"/>
        <w:jc w:val="both"/>
        <w:rPr>
          <w:rFonts w:ascii="Times New Roman" w:hAnsi="Times New Roman" w:cs="Times New Roman"/>
          <w:noProof/>
          <w:sz w:val="24"/>
        </w:rPr>
      </w:pPr>
    </w:p>
    <w:p w14:paraId="3EFBA92F" w14:textId="77777777" w:rsidR="00CB0FCB" w:rsidRDefault="009D2B11">
      <w:pPr>
        <w:pStyle w:val="P68B1DB1-Normal6"/>
        <w:keepNext/>
        <w:keepLines/>
        <w:spacing w:before="40" w:after="0" w:line="240" w:lineRule="auto"/>
        <w:jc w:val="both"/>
        <w:outlineLvl w:val="4"/>
        <w:rPr>
          <w:rFonts w:eastAsia="Times New Roman"/>
          <w:noProof/>
        </w:rPr>
      </w:pPr>
      <w:r>
        <w:rPr>
          <w:noProof/>
        </w:rPr>
        <w:t>Grupa: Intervences dzīvojamos rajonos un ēku fondā</w:t>
      </w:r>
    </w:p>
    <w:p w14:paraId="57963FF2" w14:textId="77777777" w:rsidR="00CB0FCB" w:rsidRDefault="009D2B11">
      <w:pPr>
        <w:pStyle w:val="P68B1DB1-Normal4"/>
        <w:spacing w:before="120" w:after="120" w:line="240" w:lineRule="auto"/>
        <w:rPr>
          <w:rFonts w:cs="Times New Roman"/>
          <w:noProof/>
        </w:rPr>
      </w:pPr>
      <w:r>
        <w:rPr>
          <w:noProof/>
        </w:rPr>
        <w:t>Šajā grupā ietilpst šādi pasākumi:</w:t>
      </w:r>
    </w:p>
    <w:p w14:paraId="3A2018E1"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Intervences dzīvojamās zonās un ēku fondā (ID: 16873)</w:t>
      </w:r>
    </w:p>
    <w:p w14:paraId="7C675424"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Infrastruktūras attīstība un ēku atjaunošana bijušā karaļa mantā Tatoi (ID: 16875)</w:t>
      </w:r>
    </w:p>
    <w:p w14:paraId="2313D234"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Atēnu Olimpiskās vieglatlētikas centrs (ID: 16932)</w:t>
      </w:r>
    </w:p>
    <w:tbl>
      <w:tblPr>
        <w:tblW w:w="15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63"/>
        <w:gridCol w:w="963"/>
        <w:gridCol w:w="1343"/>
        <w:gridCol w:w="1276"/>
        <w:gridCol w:w="1134"/>
        <w:gridCol w:w="992"/>
        <w:gridCol w:w="851"/>
        <w:gridCol w:w="850"/>
        <w:gridCol w:w="709"/>
        <w:gridCol w:w="4592"/>
      </w:tblGrid>
      <w:tr w:rsidR="00CB0FCB" w14:paraId="195CE035" w14:textId="77777777">
        <w:trPr>
          <w:trHeight w:val="939"/>
          <w:tblHeader/>
          <w:jc w:val="center"/>
        </w:trPr>
        <w:tc>
          <w:tcPr>
            <w:tcW w:w="1129" w:type="dxa"/>
            <w:vMerge w:val="restart"/>
            <w:shd w:val="clear" w:color="auto" w:fill="BDD7EE"/>
            <w:vAlign w:val="center"/>
            <w:hideMark/>
          </w:tcPr>
          <w:p w14:paraId="4A73E8BC"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663" w:type="dxa"/>
            <w:vMerge w:val="restart"/>
            <w:shd w:val="clear" w:color="auto" w:fill="BDD7EE"/>
            <w:vAlign w:val="center"/>
            <w:hideMark/>
          </w:tcPr>
          <w:p w14:paraId="5BB457F3"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3" w:type="dxa"/>
            <w:vMerge w:val="restart"/>
            <w:shd w:val="clear" w:color="auto" w:fill="BDD7EE"/>
            <w:vAlign w:val="center"/>
            <w:hideMark/>
          </w:tcPr>
          <w:p w14:paraId="309EF572"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43" w:type="dxa"/>
            <w:vMerge w:val="restart"/>
            <w:shd w:val="clear" w:color="auto" w:fill="BDD7EE"/>
            <w:vAlign w:val="center"/>
            <w:hideMark/>
          </w:tcPr>
          <w:p w14:paraId="5D3AED08"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276" w:type="dxa"/>
            <w:vMerge w:val="restart"/>
            <w:shd w:val="clear" w:color="auto" w:fill="BDD7EE"/>
            <w:vAlign w:val="center"/>
            <w:hideMark/>
          </w:tcPr>
          <w:p w14:paraId="38A424D9"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977" w:type="dxa"/>
            <w:gridSpan w:val="3"/>
            <w:shd w:val="clear" w:color="auto" w:fill="BDD7EE"/>
            <w:vAlign w:val="center"/>
            <w:hideMark/>
          </w:tcPr>
          <w:p w14:paraId="0C26639D"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559" w:type="dxa"/>
            <w:gridSpan w:val="2"/>
            <w:shd w:val="clear" w:color="auto" w:fill="BDD7EE"/>
            <w:vAlign w:val="center"/>
            <w:hideMark/>
          </w:tcPr>
          <w:p w14:paraId="37C83C27"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592" w:type="dxa"/>
            <w:vMerge w:val="restart"/>
            <w:shd w:val="clear" w:color="auto" w:fill="BDD7EE"/>
            <w:vAlign w:val="center"/>
            <w:hideMark/>
          </w:tcPr>
          <w:p w14:paraId="17B86DE6"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04611C07" w14:textId="77777777">
        <w:trPr>
          <w:trHeight w:val="1027"/>
          <w:tblHeader/>
          <w:jc w:val="center"/>
        </w:trPr>
        <w:tc>
          <w:tcPr>
            <w:tcW w:w="1129" w:type="dxa"/>
            <w:vMerge/>
            <w:vAlign w:val="center"/>
            <w:hideMark/>
          </w:tcPr>
          <w:p w14:paraId="1B1207F4" w14:textId="77777777" w:rsidR="00CB0FCB" w:rsidRDefault="00CB0FCB">
            <w:pPr>
              <w:spacing w:after="0" w:line="240" w:lineRule="auto"/>
              <w:rPr>
                <w:rFonts w:ascii="Times New Roman" w:eastAsia="Times New Roman" w:hAnsi="Times New Roman" w:cs="Times New Roman"/>
                <w:b/>
                <w:bCs/>
                <w:noProof/>
                <w:sz w:val="18"/>
                <w:szCs w:val="18"/>
              </w:rPr>
            </w:pPr>
          </w:p>
        </w:tc>
        <w:tc>
          <w:tcPr>
            <w:tcW w:w="1663" w:type="dxa"/>
            <w:vMerge/>
            <w:vAlign w:val="center"/>
            <w:hideMark/>
          </w:tcPr>
          <w:p w14:paraId="1DC7E60C" w14:textId="77777777" w:rsidR="00CB0FCB" w:rsidRDefault="00CB0FCB">
            <w:pPr>
              <w:spacing w:after="0" w:line="240" w:lineRule="auto"/>
              <w:rPr>
                <w:rFonts w:ascii="Times New Roman" w:eastAsia="Times New Roman" w:hAnsi="Times New Roman" w:cs="Times New Roman"/>
                <w:b/>
                <w:bCs/>
                <w:noProof/>
                <w:sz w:val="18"/>
                <w:szCs w:val="18"/>
              </w:rPr>
            </w:pPr>
          </w:p>
        </w:tc>
        <w:tc>
          <w:tcPr>
            <w:tcW w:w="963" w:type="dxa"/>
            <w:vMerge/>
            <w:vAlign w:val="center"/>
            <w:hideMark/>
          </w:tcPr>
          <w:p w14:paraId="18D11C00" w14:textId="77777777" w:rsidR="00CB0FCB" w:rsidRDefault="00CB0FCB">
            <w:pPr>
              <w:spacing w:after="0" w:line="240" w:lineRule="auto"/>
              <w:rPr>
                <w:rFonts w:ascii="Times New Roman" w:eastAsia="Times New Roman" w:hAnsi="Times New Roman" w:cs="Times New Roman"/>
                <w:b/>
                <w:bCs/>
                <w:noProof/>
                <w:sz w:val="18"/>
                <w:szCs w:val="18"/>
              </w:rPr>
            </w:pPr>
          </w:p>
        </w:tc>
        <w:tc>
          <w:tcPr>
            <w:tcW w:w="1343" w:type="dxa"/>
            <w:vMerge/>
            <w:vAlign w:val="center"/>
            <w:hideMark/>
          </w:tcPr>
          <w:p w14:paraId="292BE3F9" w14:textId="77777777" w:rsidR="00CB0FCB" w:rsidRDefault="00CB0FCB">
            <w:pPr>
              <w:spacing w:after="0" w:line="240" w:lineRule="auto"/>
              <w:rPr>
                <w:rFonts w:ascii="Times New Roman" w:eastAsia="Times New Roman" w:hAnsi="Times New Roman" w:cs="Times New Roman"/>
                <w:b/>
                <w:bCs/>
                <w:noProof/>
                <w:sz w:val="18"/>
                <w:szCs w:val="18"/>
              </w:rPr>
            </w:pPr>
          </w:p>
        </w:tc>
        <w:tc>
          <w:tcPr>
            <w:tcW w:w="1276" w:type="dxa"/>
            <w:vMerge/>
            <w:vAlign w:val="center"/>
            <w:hideMark/>
          </w:tcPr>
          <w:p w14:paraId="13D5953C"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4" w:type="dxa"/>
            <w:shd w:val="clear" w:color="auto" w:fill="BDD7EE"/>
            <w:vAlign w:val="center"/>
            <w:hideMark/>
          </w:tcPr>
          <w:p w14:paraId="03CAE71B"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92" w:type="dxa"/>
            <w:shd w:val="clear" w:color="auto" w:fill="BDD7EE"/>
            <w:vAlign w:val="center"/>
            <w:hideMark/>
          </w:tcPr>
          <w:p w14:paraId="1A10B527"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51" w:type="dxa"/>
            <w:shd w:val="clear" w:color="auto" w:fill="BDD7EE"/>
            <w:vAlign w:val="center"/>
            <w:hideMark/>
          </w:tcPr>
          <w:p w14:paraId="0E025171"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50" w:type="dxa"/>
            <w:shd w:val="clear" w:color="auto" w:fill="BDD7EE"/>
            <w:vAlign w:val="center"/>
            <w:hideMark/>
          </w:tcPr>
          <w:p w14:paraId="09FB1F57"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shd w:val="clear" w:color="auto" w:fill="BDD7EE"/>
            <w:vAlign w:val="center"/>
            <w:hideMark/>
          </w:tcPr>
          <w:p w14:paraId="01EE046E"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592" w:type="dxa"/>
            <w:vMerge/>
            <w:vAlign w:val="center"/>
            <w:hideMark/>
          </w:tcPr>
          <w:p w14:paraId="232CAFCD"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C9DD5A9" w14:textId="77777777">
        <w:trPr>
          <w:trHeight w:val="313"/>
          <w:jc w:val="center"/>
        </w:trPr>
        <w:tc>
          <w:tcPr>
            <w:tcW w:w="1129" w:type="dxa"/>
            <w:shd w:val="clear" w:color="auto" w:fill="C6EFCE"/>
            <w:noWrap/>
          </w:tcPr>
          <w:p w14:paraId="1C7CE6C7" w14:textId="77777777" w:rsidR="00CB0FCB" w:rsidRDefault="009D2B11">
            <w:pPr>
              <w:pStyle w:val="P68B1DB1-Normal9"/>
              <w:spacing w:after="0" w:line="240" w:lineRule="auto"/>
              <w:rPr>
                <w:rFonts w:eastAsia="Times New Roman" w:cs="Calibri"/>
                <w:noProof/>
                <w:szCs w:val="18"/>
              </w:rPr>
            </w:pPr>
            <w:r>
              <w:rPr>
                <w:noProof/>
              </w:rPr>
              <w:t>37</w:t>
            </w:r>
          </w:p>
        </w:tc>
        <w:tc>
          <w:tcPr>
            <w:tcW w:w="1663" w:type="dxa"/>
            <w:shd w:val="clear" w:color="auto" w:fill="C6EFCE"/>
            <w:noWrap/>
          </w:tcPr>
          <w:p w14:paraId="7EAE168A" w14:textId="77777777" w:rsidR="00CB0FCB" w:rsidRDefault="009D2B11">
            <w:pPr>
              <w:pStyle w:val="P68B1DB1-Normal9"/>
              <w:spacing w:after="0" w:line="240" w:lineRule="auto"/>
              <w:rPr>
                <w:rFonts w:eastAsia="Times New Roman" w:cs="Calibri"/>
                <w:noProof/>
                <w:szCs w:val="18"/>
              </w:rPr>
            </w:pPr>
            <w:r>
              <w:rPr>
                <w:noProof/>
              </w:rPr>
              <w:t>2–1.2. Renovate — 16932_Olympic Atēnu vieglatlētikas centrs</w:t>
            </w:r>
          </w:p>
        </w:tc>
        <w:tc>
          <w:tcPr>
            <w:tcW w:w="963" w:type="dxa"/>
            <w:shd w:val="clear" w:color="auto" w:fill="C6EFCE"/>
            <w:noWrap/>
          </w:tcPr>
          <w:p w14:paraId="77A3997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shd w:val="clear" w:color="auto" w:fill="C6EFCE"/>
            <w:noWrap/>
          </w:tcPr>
          <w:p w14:paraId="5A42D194" w14:textId="77777777" w:rsidR="00CB0FCB" w:rsidRDefault="009D2B11">
            <w:pPr>
              <w:pStyle w:val="P68B1DB1-Normal9"/>
              <w:spacing w:after="0" w:line="240" w:lineRule="auto"/>
              <w:rPr>
                <w:rFonts w:eastAsia="Times New Roman" w:cs="Calibri"/>
                <w:noProof/>
                <w:szCs w:val="18"/>
              </w:rPr>
            </w:pPr>
            <w:r>
              <w:rPr>
                <w:noProof/>
              </w:rPr>
              <w:t>OAKA — Līguma slēgšanas tiesību piešķiršana</w:t>
            </w:r>
          </w:p>
        </w:tc>
        <w:tc>
          <w:tcPr>
            <w:tcW w:w="1276" w:type="dxa"/>
            <w:shd w:val="clear" w:color="auto" w:fill="C6EFCE"/>
            <w:noWrap/>
          </w:tcPr>
          <w:p w14:paraId="506EFDE5" w14:textId="77777777" w:rsidR="00CB0FCB" w:rsidRDefault="009D2B11">
            <w:pPr>
              <w:pStyle w:val="P68B1DB1-Normal9"/>
              <w:spacing w:after="0" w:line="240" w:lineRule="auto"/>
              <w:rPr>
                <w:rFonts w:eastAsia="Times New Roman" w:cs="Calibri"/>
                <w:noProof/>
                <w:szCs w:val="18"/>
              </w:rPr>
            </w:pPr>
            <w:r>
              <w:rPr>
                <w:noProof/>
              </w:rPr>
              <w:t>Paziņojums par līguma(-u) piešķiršanu</w:t>
            </w:r>
          </w:p>
        </w:tc>
        <w:tc>
          <w:tcPr>
            <w:tcW w:w="1134" w:type="dxa"/>
            <w:shd w:val="clear" w:color="auto" w:fill="C6EFCE"/>
            <w:noWrap/>
          </w:tcPr>
          <w:p w14:paraId="4D0F1FF2" w14:textId="77777777" w:rsidR="00CB0FCB" w:rsidRDefault="00CB0FCB">
            <w:pPr>
              <w:spacing w:after="0" w:line="240" w:lineRule="auto"/>
              <w:rPr>
                <w:rFonts w:eastAsia="Times New Roman" w:cs="Calibri"/>
                <w:noProof/>
                <w:color w:val="006100"/>
                <w:sz w:val="18"/>
                <w:szCs w:val="18"/>
              </w:rPr>
            </w:pPr>
          </w:p>
        </w:tc>
        <w:tc>
          <w:tcPr>
            <w:tcW w:w="992" w:type="dxa"/>
            <w:shd w:val="clear" w:color="auto" w:fill="C6EFCE"/>
            <w:noWrap/>
          </w:tcPr>
          <w:p w14:paraId="58495404"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1028F3C6" w14:textId="77777777" w:rsidR="00CB0FCB" w:rsidRDefault="00CB0FCB">
            <w:pPr>
              <w:spacing w:after="0" w:line="240" w:lineRule="auto"/>
              <w:rPr>
                <w:rFonts w:eastAsia="Times New Roman" w:cs="Calibri"/>
                <w:noProof/>
                <w:color w:val="006100"/>
                <w:sz w:val="18"/>
                <w:szCs w:val="18"/>
              </w:rPr>
            </w:pPr>
          </w:p>
        </w:tc>
        <w:tc>
          <w:tcPr>
            <w:tcW w:w="850" w:type="dxa"/>
            <w:shd w:val="clear" w:color="auto" w:fill="C6EFCE"/>
            <w:noWrap/>
          </w:tcPr>
          <w:p w14:paraId="0E1CB000" w14:textId="77777777" w:rsidR="00CB0FCB" w:rsidRDefault="009D2B11">
            <w:pPr>
              <w:pStyle w:val="P68B1DB1-Normal9"/>
              <w:spacing w:after="0" w:line="240" w:lineRule="auto"/>
              <w:rPr>
                <w:rFonts w:eastAsia="Times New Roman" w:cs="Calibri"/>
                <w:noProof/>
                <w:szCs w:val="18"/>
              </w:rPr>
            </w:pPr>
            <w:r>
              <w:rPr>
                <w:noProof/>
              </w:rPr>
              <w:t>Q1</w:t>
            </w:r>
          </w:p>
        </w:tc>
        <w:tc>
          <w:tcPr>
            <w:tcW w:w="709" w:type="dxa"/>
            <w:shd w:val="clear" w:color="auto" w:fill="C6EFCE"/>
            <w:noWrap/>
          </w:tcPr>
          <w:p w14:paraId="7D98A4E5" w14:textId="77777777" w:rsidR="00CB0FCB" w:rsidRDefault="009D2B11">
            <w:pPr>
              <w:pStyle w:val="P68B1DB1-Normal9"/>
              <w:spacing w:after="0" w:line="240" w:lineRule="auto"/>
              <w:rPr>
                <w:rFonts w:eastAsia="Times New Roman" w:cs="Calibri"/>
                <w:noProof/>
                <w:szCs w:val="18"/>
              </w:rPr>
            </w:pPr>
            <w:r>
              <w:rPr>
                <w:noProof/>
              </w:rPr>
              <w:t>2023</w:t>
            </w:r>
          </w:p>
        </w:tc>
        <w:tc>
          <w:tcPr>
            <w:tcW w:w="4592" w:type="dxa"/>
            <w:shd w:val="clear" w:color="auto" w:fill="C6EFCE"/>
            <w:noWrap/>
          </w:tcPr>
          <w:p w14:paraId="63FAEE88" w14:textId="77777777" w:rsidR="00CB0FCB" w:rsidRDefault="009D2B11">
            <w:pPr>
              <w:pStyle w:val="P68B1DB1-Normal9"/>
              <w:spacing w:after="0" w:line="240" w:lineRule="auto"/>
              <w:rPr>
                <w:rFonts w:eastAsia="Times New Roman" w:cs="Calibri"/>
                <w:noProof/>
                <w:szCs w:val="18"/>
              </w:rPr>
            </w:pPr>
            <w:r>
              <w:rPr>
                <w:noProof/>
              </w:rPr>
              <w:t xml:space="preserve">Paziņojums par līguma(-u) piešķiršanu privātā sektora partnera(-u) iecelšanai tādu būvdarbu un renovācijas darbu veikšanai, kas uzlabo i) centrālā stadiona energoefektivitāti; II) mehāniskie un elektriskie darbi; un iii) āra platības un darbu sākumu. </w:t>
            </w:r>
          </w:p>
        </w:tc>
      </w:tr>
      <w:tr w:rsidR="00CB0FCB" w14:paraId="692B94BF" w14:textId="77777777">
        <w:trPr>
          <w:trHeight w:val="313"/>
          <w:jc w:val="center"/>
        </w:trPr>
        <w:tc>
          <w:tcPr>
            <w:tcW w:w="1129" w:type="dxa"/>
            <w:shd w:val="clear" w:color="auto" w:fill="C6EFCE"/>
            <w:noWrap/>
          </w:tcPr>
          <w:p w14:paraId="3E1A90B5" w14:textId="77777777" w:rsidR="00CB0FCB" w:rsidRDefault="009D2B11">
            <w:pPr>
              <w:pStyle w:val="P68B1DB1-Normal9"/>
              <w:spacing w:after="0" w:line="240" w:lineRule="auto"/>
              <w:rPr>
                <w:rFonts w:eastAsia="Times New Roman" w:cs="Calibri"/>
                <w:noProof/>
                <w:szCs w:val="18"/>
              </w:rPr>
            </w:pPr>
            <w:r>
              <w:rPr>
                <w:noProof/>
              </w:rPr>
              <w:t>38</w:t>
            </w:r>
          </w:p>
        </w:tc>
        <w:tc>
          <w:tcPr>
            <w:tcW w:w="1663" w:type="dxa"/>
            <w:shd w:val="clear" w:color="auto" w:fill="C6EFCE"/>
            <w:noWrap/>
          </w:tcPr>
          <w:p w14:paraId="1C2E4134" w14:textId="77777777" w:rsidR="00CB0FCB" w:rsidRDefault="009D2B11">
            <w:pPr>
              <w:pStyle w:val="P68B1DB1-Normal9"/>
              <w:spacing w:after="0" w:line="240" w:lineRule="auto"/>
              <w:rPr>
                <w:rFonts w:eastAsia="Times New Roman" w:cs="Calibri"/>
                <w:noProof/>
                <w:szCs w:val="18"/>
              </w:rPr>
            </w:pPr>
            <w:r>
              <w:rPr>
                <w:noProof/>
              </w:rPr>
              <w:t>2–1.2. Renovācija — 16873_ Intervences dzīvojamos rajonos un ēku fondā</w:t>
            </w:r>
          </w:p>
        </w:tc>
        <w:tc>
          <w:tcPr>
            <w:tcW w:w="963" w:type="dxa"/>
            <w:shd w:val="clear" w:color="auto" w:fill="C6EFCE"/>
            <w:noWrap/>
          </w:tcPr>
          <w:p w14:paraId="35882C6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shd w:val="clear" w:color="auto" w:fill="C6EFCE"/>
            <w:noWrap/>
          </w:tcPr>
          <w:p w14:paraId="441B3977" w14:textId="77777777" w:rsidR="00CB0FCB" w:rsidRDefault="009D2B11">
            <w:pPr>
              <w:pStyle w:val="P68B1DB1-Normal9"/>
              <w:spacing w:after="0" w:line="240" w:lineRule="auto"/>
              <w:rPr>
                <w:rFonts w:eastAsia="Times New Roman" w:cs="Calibri"/>
                <w:noProof/>
                <w:szCs w:val="18"/>
              </w:rPr>
            </w:pPr>
            <w:r>
              <w:rPr>
                <w:noProof/>
              </w:rPr>
              <w:t>Pilsētu intervences — līgumu slēgšanas tiesību piešķiršana</w:t>
            </w:r>
          </w:p>
        </w:tc>
        <w:tc>
          <w:tcPr>
            <w:tcW w:w="1276" w:type="dxa"/>
            <w:shd w:val="clear" w:color="auto" w:fill="C6EFCE"/>
            <w:noWrap/>
          </w:tcPr>
          <w:p w14:paraId="637854DB" w14:textId="77777777" w:rsidR="00CB0FCB" w:rsidRDefault="009D2B11">
            <w:pPr>
              <w:pStyle w:val="P68B1DB1-Normal9"/>
              <w:spacing w:after="0" w:line="240" w:lineRule="auto"/>
              <w:rPr>
                <w:rFonts w:eastAsia="Times New Roman" w:cs="Calibri"/>
                <w:noProof/>
                <w:szCs w:val="18"/>
              </w:rPr>
            </w:pPr>
            <w:r>
              <w:rPr>
                <w:noProof/>
              </w:rPr>
              <w:t>Paziņojums par līguma(-u) piešķiršanu</w:t>
            </w:r>
          </w:p>
        </w:tc>
        <w:tc>
          <w:tcPr>
            <w:tcW w:w="1134" w:type="dxa"/>
            <w:shd w:val="clear" w:color="auto" w:fill="C6EFCE"/>
            <w:noWrap/>
          </w:tcPr>
          <w:p w14:paraId="1A5C5277" w14:textId="77777777" w:rsidR="00CB0FCB" w:rsidRDefault="00CB0FCB">
            <w:pPr>
              <w:spacing w:after="0" w:line="240" w:lineRule="auto"/>
              <w:rPr>
                <w:rFonts w:eastAsia="Times New Roman" w:cs="Calibri"/>
                <w:noProof/>
                <w:color w:val="006100"/>
                <w:sz w:val="18"/>
                <w:szCs w:val="18"/>
              </w:rPr>
            </w:pPr>
          </w:p>
        </w:tc>
        <w:tc>
          <w:tcPr>
            <w:tcW w:w="992" w:type="dxa"/>
            <w:shd w:val="clear" w:color="auto" w:fill="C6EFCE"/>
            <w:noWrap/>
          </w:tcPr>
          <w:p w14:paraId="62D47133"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0B07A6CB" w14:textId="77777777" w:rsidR="00CB0FCB" w:rsidRDefault="00CB0FCB">
            <w:pPr>
              <w:spacing w:after="0" w:line="240" w:lineRule="auto"/>
              <w:rPr>
                <w:rFonts w:eastAsia="Times New Roman" w:cs="Calibri"/>
                <w:noProof/>
                <w:color w:val="006100"/>
                <w:sz w:val="18"/>
                <w:szCs w:val="18"/>
              </w:rPr>
            </w:pPr>
          </w:p>
        </w:tc>
        <w:tc>
          <w:tcPr>
            <w:tcW w:w="850" w:type="dxa"/>
            <w:shd w:val="clear" w:color="auto" w:fill="C6EFCE"/>
            <w:noWrap/>
          </w:tcPr>
          <w:p w14:paraId="3F96777D"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0A72C3AA" w14:textId="77777777" w:rsidR="00CB0FCB" w:rsidRDefault="009D2B11">
            <w:pPr>
              <w:pStyle w:val="P68B1DB1-Normal9"/>
              <w:spacing w:after="0" w:line="240" w:lineRule="auto"/>
              <w:rPr>
                <w:rFonts w:eastAsia="Times New Roman" w:cs="Calibri"/>
                <w:noProof/>
                <w:szCs w:val="18"/>
              </w:rPr>
            </w:pPr>
            <w:r>
              <w:rPr>
                <w:noProof/>
              </w:rPr>
              <w:t>2023</w:t>
            </w:r>
          </w:p>
        </w:tc>
        <w:tc>
          <w:tcPr>
            <w:tcW w:w="4592" w:type="dxa"/>
            <w:shd w:val="clear" w:color="auto" w:fill="C6EFCE"/>
            <w:noWrap/>
          </w:tcPr>
          <w:p w14:paraId="6FC90EA5" w14:textId="4EE31617" w:rsidR="00CB0FCB" w:rsidRDefault="009D2B11">
            <w:pPr>
              <w:pStyle w:val="P68B1DB1-Normal10"/>
              <w:spacing w:after="0" w:line="240" w:lineRule="auto"/>
              <w:rPr>
                <w:rFonts w:eastAsia="Times New Roman" w:cs="Calibri"/>
                <w:noProof/>
              </w:rPr>
            </w:pPr>
            <w:r>
              <w:rPr>
                <w:noProof/>
              </w:rPr>
              <w:t xml:space="preserve">Paziņojums par būvdarbu veikšanai paredzētā(-o) līguma(-u) piešķiršanu </w:t>
            </w:r>
          </w:p>
          <w:p w14:paraId="0F43D17F" w14:textId="77777777" w:rsidR="00CB0FCB" w:rsidRDefault="009D2B11">
            <w:pPr>
              <w:pStyle w:val="P68B1DB1-Normal9"/>
              <w:spacing w:after="0" w:line="240" w:lineRule="auto"/>
              <w:rPr>
                <w:rFonts w:eastAsia="Times New Roman" w:cs="Calibri"/>
                <w:noProof/>
                <w:szCs w:val="18"/>
              </w:rPr>
            </w:pPr>
            <w:r>
              <w:rPr>
                <w:noProof/>
              </w:rPr>
              <w:t>pilsētvides un publiskās telpas uzlabošana atsevišķās pašvaldībās pēc atklāta uzaicinājuma stiprināt klimatnoturību;</w:t>
            </w:r>
          </w:p>
          <w:p w14:paraId="37C8AADC" w14:textId="78D342EC" w:rsidR="00CB0FCB" w:rsidRDefault="009D2B11">
            <w:pPr>
              <w:pStyle w:val="P68B1DB1-Normal10"/>
              <w:spacing w:after="0" w:line="240" w:lineRule="auto"/>
              <w:rPr>
                <w:rFonts w:eastAsia="Times New Roman" w:cs="Calibri"/>
                <w:noProof/>
              </w:rPr>
            </w:pPr>
            <w:r>
              <w:rPr>
                <w:noProof/>
              </w:rPr>
              <w:t xml:space="preserve">II) Votanikos/Elaionas bijušās rūpniecības teritorijas pilsētvides atjaunošana un Atēnu Lauksaimniecības universitātes (AUA) pilsētiņa atjaunošana; </w:t>
            </w:r>
          </w:p>
          <w:p w14:paraId="284F9CD4" w14:textId="77777777" w:rsidR="00CB0FCB" w:rsidRDefault="009D2B11">
            <w:pPr>
              <w:pStyle w:val="P68B1DB1-Normal9"/>
              <w:spacing w:after="0" w:line="240" w:lineRule="auto"/>
              <w:rPr>
                <w:rFonts w:eastAsia="Times New Roman" w:cs="Calibri"/>
                <w:noProof/>
                <w:szCs w:val="18"/>
              </w:rPr>
            </w:pPr>
            <w:r>
              <w:rPr>
                <w:noProof/>
              </w:rPr>
              <w:t xml:space="preserve">III) Atēnas Riviera: veloinfrastruktūra; un </w:t>
            </w:r>
          </w:p>
          <w:p w14:paraId="114041DE" w14:textId="77777777" w:rsidR="00CB0FCB" w:rsidRDefault="009D2B11">
            <w:pPr>
              <w:pStyle w:val="P68B1DB1-Normal10"/>
              <w:spacing w:after="0" w:line="240" w:lineRule="auto"/>
              <w:rPr>
                <w:rFonts w:eastAsia="Times New Roman" w:cs="Calibri"/>
                <w:noProof/>
              </w:rPr>
            </w:pPr>
            <w:r>
              <w:rPr>
                <w:noProof/>
              </w:rPr>
              <w:t xml:space="preserve">IV) citas stratēģiskas intervences, ko atlasa pēc atklāta uzaicinājuma pašvaldībām, kuras aptver: 1) energoefektivitātes un demonstrējumu projekti MVU vai lielos uzņēmumos un vismaz vidēja līmeņa renovācija, kā definēts Komisijas Ieteikumā (ES) 2019/786 par ēku renovāciju, vai vidēji vismaz 30 % tiešo un netiešo CO2 emisiju samazinājums salīdzinājumā ar ex ante emisijām; 2) jaunu energoefektīvu ēku būvniecība, kuru primārais enerģijas pieprasījums (PED) ir vismaz par 20 % zemāks nekā GNEĒ prasība (gandrīz nulles enerģijas ēka, valstu direktīvas); un 3) dabas un bioloģiskās daudzveidības aizsardzība, dabas mantojums un resursi, zaļā un zilā infrastruktūra. </w:t>
            </w:r>
          </w:p>
        </w:tc>
      </w:tr>
      <w:tr w:rsidR="00CB0FCB" w14:paraId="3B37A2E0" w14:textId="77777777">
        <w:trPr>
          <w:trHeight w:val="313"/>
          <w:jc w:val="center"/>
        </w:trPr>
        <w:tc>
          <w:tcPr>
            <w:tcW w:w="1129" w:type="dxa"/>
            <w:shd w:val="clear" w:color="auto" w:fill="C6EFCE"/>
            <w:noWrap/>
          </w:tcPr>
          <w:p w14:paraId="47F65EF1" w14:textId="77777777" w:rsidR="00CB0FCB" w:rsidRDefault="009D2B11">
            <w:pPr>
              <w:pStyle w:val="P68B1DB1-Normal9"/>
              <w:spacing w:after="0" w:line="240" w:lineRule="auto"/>
              <w:rPr>
                <w:rFonts w:eastAsia="Times New Roman" w:cs="Calibri"/>
                <w:noProof/>
                <w:szCs w:val="18"/>
              </w:rPr>
            </w:pPr>
            <w:r>
              <w:rPr>
                <w:noProof/>
              </w:rPr>
              <w:t>39</w:t>
            </w:r>
          </w:p>
        </w:tc>
        <w:tc>
          <w:tcPr>
            <w:tcW w:w="1663" w:type="dxa"/>
            <w:shd w:val="clear" w:color="auto" w:fill="C6EFCE"/>
            <w:noWrap/>
          </w:tcPr>
          <w:p w14:paraId="51A5318B" w14:textId="77777777" w:rsidR="00CB0FCB" w:rsidRDefault="009D2B11">
            <w:pPr>
              <w:pStyle w:val="P68B1DB1-Normal9"/>
              <w:spacing w:after="0" w:line="240" w:lineRule="auto"/>
              <w:rPr>
                <w:rFonts w:eastAsia="Times New Roman" w:cs="Calibri"/>
                <w:noProof/>
                <w:szCs w:val="18"/>
              </w:rPr>
            </w:pPr>
            <w:r>
              <w:rPr>
                <w:noProof/>
              </w:rPr>
              <w:t>2–1.2. Renovate — 16932_Olympic Atēnu vieglatlētikas centrs</w:t>
            </w:r>
          </w:p>
        </w:tc>
        <w:tc>
          <w:tcPr>
            <w:tcW w:w="963" w:type="dxa"/>
            <w:shd w:val="clear" w:color="auto" w:fill="C6EFCE"/>
            <w:noWrap/>
          </w:tcPr>
          <w:p w14:paraId="496A943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shd w:val="clear" w:color="auto" w:fill="C6EFCE"/>
            <w:noWrap/>
          </w:tcPr>
          <w:p w14:paraId="18C4B8FB" w14:textId="77777777" w:rsidR="00CB0FCB" w:rsidRDefault="009D2B11">
            <w:pPr>
              <w:pStyle w:val="P68B1DB1-Normal9"/>
              <w:spacing w:after="0" w:line="240" w:lineRule="auto"/>
              <w:rPr>
                <w:rFonts w:eastAsia="Times New Roman" w:cs="Calibri"/>
                <w:noProof/>
                <w:szCs w:val="18"/>
              </w:rPr>
            </w:pPr>
            <w:r>
              <w:rPr>
                <w:noProof/>
              </w:rPr>
              <w:t xml:space="preserve">OAKA — darbu pabeigšana </w:t>
            </w:r>
          </w:p>
        </w:tc>
        <w:tc>
          <w:tcPr>
            <w:tcW w:w="1276" w:type="dxa"/>
            <w:shd w:val="clear" w:color="auto" w:fill="C6EFCE"/>
            <w:noWrap/>
          </w:tcPr>
          <w:p w14:paraId="4DF93519" w14:textId="2B28F7FF" w:rsidR="00CB0FCB" w:rsidRDefault="009D2B11">
            <w:pPr>
              <w:pStyle w:val="P68B1DB1-Normal9"/>
              <w:spacing w:after="0" w:line="240" w:lineRule="auto"/>
              <w:rPr>
                <w:rFonts w:eastAsia="Times New Roman" w:cs="Calibri"/>
                <w:noProof/>
                <w:szCs w:val="18"/>
              </w:rPr>
            </w:pPr>
            <w:r>
              <w:rPr>
                <w:noProof/>
              </w:rPr>
              <w:t xml:space="preserve">Visu šo apakšprojektu darbu pabeigšana </w:t>
            </w:r>
          </w:p>
        </w:tc>
        <w:tc>
          <w:tcPr>
            <w:tcW w:w="1134" w:type="dxa"/>
            <w:shd w:val="clear" w:color="auto" w:fill="C6EFCE"/>
            <w:noWrap/>
          </w:tcPr>
          <w:p w14:paraId="6C76D799" w14:textId="77777777" w:rsidR="00CB0FCB" w:rsidRDefault="00CB0FCB">
            <w:pPr>
              <w:spacing w:after="0" w:line="240" w:lineRule="auto"/>
              <w:rPr>
                <w:rFonts w:eastAsia="Times New Roman" w:cs="Calibri"/>
                <w:noProof/>
                <w:color w:val="006100"/>
                <w:sz w:val="18"/>
                <w:szCs w:val="18"/>
              </w:rPr>
            </w:pPr>
          </w:p>
        </w:tc>
        <w:tc>
          <w:tcPr>
            <w:tcW w:w="992" w:type="dxa"/>
            <w:shd w:val="clear" w:color="auto" w:fill="C6EFCE"/>
            <w:noWrap/>
          </w:tcPr>
          <w:p w14:paraId="2639E86B"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169610A3" w14:textId="77777777" w:rsidR="00CB0FCB" w:rsidRDefault="00CB0FCB">
            <w:pPr>
              <w:spacing w:after="0" w:line="240" w:lineRule="auto"/>
              <w:rPr>
                <w:rFonts w:eastAsia="Times New Roman" w:cs="Calibri"/>
                <w:noProof/>
                <w:color w:val="006100"/>
                <w:sz w:val="18"/>
                <w:szCs w:val="18"/>
              </w:rPr>
            </w:pPr>
          </w:p>
        </w:tc>
        <w:tc>
          <w:tcPr>
            <w:tcW w:w="850" w:type="dxa"/>
            <w:shd w:val="clear" w:color="auto" w:fill="C6EFCE"/>
            <w:noWrap/>
          </w:tcPr>
          <w:p w14:paraId="160906CC"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735681D2" w14:textId="77777777" w:rsidR="00CB0FCB" w:rsidRDefault="009D2B11">
            <w:pPr>
              <w:pStyle w:val="P68B1DB1-Normal9"/>
              <w:spacing w:after="0" w:line="240" w:lineRule="auto"/>
              <w:rPr>
                <w:rFonts w:eastAsia="Times New Roman" w:cs="Calibri"/>
                <w:noProof/>
                <w:szCs w:val="18"/>
              </w:rPr>
            </w:pPr>
            <w:r>
              <w:rPr>
                <w:noProof/>
              </w:rPr>
              <w:t>2025</w:t>
            </w:r>
          </w:p>
        </w:tc>
        <w:tc>
          <w:tcPr>
            <w:tcW w:w="4592" w:type="dxa"/>
            <w:shd w:val="clear" w:color="auto" w:fill="C6EFCE"/>
            <w:noWrap/>
          </w:tcPr>
          <w:p w14:paraId="58BF3A97" w14:textId="54F4228D" w:rsidR="00CB0FCB" w:rsidRDefault="009D2B11">
            <w:pPr>
              <w:pStyle w:val="P68B1DB1-Normal9"/>
              <w:spacing w:after="0" w:line="240" w:lineRule="auto"/>
              <w:rPr>
                <w:rFonts w:eastAsia="Times New Roman" w:cs="Calibri"/>
                <w:noProof/>
                <w:szCs w:val="18"/>
              </w:rPr>
            </w:pPr>
            <w:r>
              <w:rPr>
                <w:noProof/>
              </w:rPr>
              <w:t>Visu darbu pabeigšana, lai panāktu energoefektivitāti un uzlabotu oglekļa pēdu, tostarp i) centrālā stadiona mehānisko un elektroinstalāciju modernizācija; II) mehāniskas un elektriskas iekārtas un mehānismi ūdensapgādes iekārtām, lai tās darbotos neatkarīgi un ļautu ietaupīt enerģiju; III) mehāniskās un elektriskās iekārtas un velodroma tērauda vainaga atjaunošana; un iv) ārpus telpām, tostarp valstu tērauda konstrukciju Agora un mūra.</w:t>
            </w:r>
          </w:p>
        </w:tc>
      </w:tr>
      <w:tr w:rsidR="00CB0FCB" w14:paraId="6109CC8C" w14:textId="77777777">
        <w:trPr>
          <w:trHeight w:val="313"/>
          <w:jc w:val="center"/>
        </w:trPr>
        <w:tc>
          <w:tcPr>
            <w:tcW w:w="1129" w:type="dxa"/>
            <w:shd w:val="clear" w:color="auto" w:fill="C6EFCE"/>
            <w:noWrap/>
          </w:tcPr>
          <w:p w14:paraId="6070340E" w14:textId="77777777" w:rsidR="00CB0FCB" w:rsidRDefault="009D2B11">
            <w:pPr>
              <w:pStyle w:val="P68B1DB1-Normal9"/>
              <w:spacing w:after="0" w:line="240" w:lineRule="auto"/>
              <w:rPr>
                <w:rFonts w:eastAsia="Times New Roman" w:cs="Calibri"/>
                <w:noProof/>
                <w:szCs w:val="18"/>
              </w:rPr>
            </w:pPr>
            <w:r>
              <w:rPr>
                <w:noProof/>
              </w:rPr>
              <w:t>40</w:t>
            </w:r>
          </w:p>
        </w:tc>
        <w:tc>
          <w:tcPr>
            <w:tcW w:w="1663" w:type="dxa"/>
            <w:shd w:val="clear" w:color="auto" w:fill="C6EFCE"/>
            <w:noWrap/>
          </w:tcPr>
          <w:p w14:paraId="4B89DE44" w14:textId="77777777" w:rsidR="00CB0FCB" w:rsidRDefault="009D2B11">
            <w:pPr>
              <w:pStyle w:val="P68B1DB1-Normal9"/>
              <w:spacing w:after="0" w:line="240" w:lineRule="auto"/>
              <w:rPr>
                <w:rFonts w:eastAsia="Times New Roman" w:cs="Calibri"/>
                <w:noProof/>
                <w:szCs w:val="18"/>
              </w:rPr>
            </w:pPr>
            <w:r>
              <w:rPr>
                <w:noProof/>
              </w:rPr>
              <w:t>2–1.2. Renovācija — 16873_ — Intervences pasākumi dzīvojamajos rajonos un ēku fondā</w:t>
            </w:r>
          </w:p>
        </w:tc>
        <w:tc>
          <w:tcPr>
            <w:tcW w:w="963" w:type="dxa"/>
            <w:shd w:val="clear" w:color="auto" w:fill="C6EFCE"/>
            <w:noWrap/>
          </w:tcPr>
          <w:p w14:paraId="0320C71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shd w:val="clear" w:color="auto" w:fill="C6EFCE"/>
            <w:noWrap/>
          </w:tcPr>
          <w:p w14:paraId="1B82CF3E" w14:textId="77777777" w:rsidR="00CB0FCB" w:rsidRDefault="009D2B11">
            <w:pPr>
              <w:pStyle w:val="P68B1DB1-Normal9"/>
              <w:spacing w:after="0" w:line="240" w:lineRule="auto"/>
              <w:rPr>
                <w:rFonts w:eastAsia="Times New Roman" w:cs="Calibri"/>
                <w:noProof/>
                <w:szCs w:val="18"/>
              </w:rPr>
            </w:pPr>
            <w:r>
              <w:rPr>
                <w:noProof/>
              </w:rPr>
              <w:t>Pasākumi pilsētās — visu darbu pabeigšana</w:t>
            </w:r>
          </w:p>
        </w:tc>
        <w:tc>
          <w:tcPr>
            <w:tcW w:w="1276" w:type="dxa"/>
            <w:shd w:val="clear" w:color="auto" w:fill="C6EFCE"/>
            <w:noWrap/>
          </w:tcPr>
          <w:p w14:paraId="04554A1B" w14:textId="6602A463" w:rsidR="00CB0FCB" w:rsidRDefault="009D2B11">
            <w:pPr>
              <w:pStyle w:val="P68B1DB1-Normal9"/>
              <w:spacing w:after="0" w:line="240" w:lineRule="auto"/>
              <w:rPr>
                <w:rFonts w:eastAsia="Times New Roman" w:cs="Calibri"/>
                <w:noProof/>
                <w:szCs w:val="18"/>
              </w:rPr>
            </w:pPr>
            <w:r>
              <w:rPr>
                <w:noProof/>
              </w:rPr>
              <w:t>Būvdarbu un pakalpojumu pabeigšana apstiprināta, būvniecības vadītājam parakstot veidlapu</w:t>
            </w:r>
          </w:p>
        </w:tc>
        <w:tc>
          <w:tcPr>
            <w:tcW w:w="1134" w:type="dxa"/>
            <w:shd w:val="clear" w:color="auto" w:fill="C6EFCE"/>
            <w:noWrap/>
          </w:tcPr>
          <w:p w14:paraId="5708AA59" w14:textId="77777777" w:rsidR="00CB0FCB" w:rsidRDefault="00CB0FCB">
            <w:pPr>
              <w:spacing w:after="0" w:line="240" w:lineRule="auto"/>
              <w:rPr>
                <w:rFonts w:eastAsia="Times New Roman" w:cs="Calibri"/>
                <w:noProof/>
                <w:color w:val="006100"/>
                <w:sz w:val="18"/>
                <w:szCs w:val="18"/>
              </w:rPr>
            </w:pPr>
          </w:p>
        </w:tc>
        <w:tc>
          <w:tcPr>
            <w:tcW w:w="992" w:type="dxa"/>
            <w:shd w:val="clear" w:color="auto" w:fill="C6EFCE"/>
            <w:noWrap/>
          </w:tcPr>
          <w:p w14:paraId="027C0F8C"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6C6D20F5" w14:textId="77777777" w:rsidR="00CB0FCB" w:rsidRDefault="00CB0FCB">
            <w:pPr>
              <w:spacing w:after="0" w:line="240" w:lineRule="auto"/>
              <w:rPr>
                <w:rFonts w:eastAsia="Times New Roman" w:cs="Calibri"/>
                <w:noProof/>
                <w:color w:val="006100"/>
                <w:sz w:val="18"/>
                <w:szCs w:val="18"/>
              </w:rPr>
            </w:pPr>
          </w:p>
        </w:tc>
        <w:tc>
          <w:tcPr>
            <w:tcW w:w="850" w:type="dxa"/>
            <w:shd w:val="clear" w:color="auto" w:fill="C6EFCE"/>
            <w:noWrap/>
          </w:tcPr>
          <w:p w14:paraId="31965290"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6EEA3CF2" w14:textId="77777777" w:rsidR="00CB0FCB" w:rsidRDefault="009D2B11">
            <w:pPr>
              <w:pStyle w:val="P68B1DB1-Normal9"/>
              <w:spacing w:after="0" w:line="240" w:lineRule="auto"/>
              <w:rPr>
                <w:rFonts w:eastAsia="Times New Roman" w:cs="Calibri"/>
                <w:noProof/>
                <w:szCs w:val="18"/>
              </w:rPr>
            </w:pPr>
            <w:r>
              <w:rPr>
                <w:noProof/>
              </w:rPr>
              <w:t>2025</w:t>
            </w:r>
          </w:p>
        </w:tc>
        <w:tc>
          <w:tcPr>
            <w:tcW w:w="4592" w:type="dxa"/>
            <w:shd w:val="clear" w:color="auto" w:fill="C6EFCE"/>
            <w:noWrap/>
          </w:tcPr>
          <w:p w14:paraId="2B30F991" w14:textId="77777777" w:rsidR="00CB0FCB" w:rsidRDefault="009D2B11">
            <w:pPr>
              <w:pStyle w:val="P68B1DB1-Normal9"/>
              <w:spacing w:after="0" w:line="240" w:lineRule="auto"/>
              <w:rPr>
                <w:rFonts w:eastAsia="Times New Roman" w:cs="Calibri"/>
                <w:noProof/>
                <w:szCs w:val="18"/>
              </w:rPr>
            </w:pPr>
            <w:r>
              <w:rPr>
                <w:noProof/>
              </w:rPr>
              <w:t xml:space="preserve">Pabeigt visus darbus saskaņā ar </w:t>
            </w:r>
          </w:p>
          <w:p w14:paraId="10E2E7A7" w14:textId="77777777" w:rsidR="00CB0FCB" w:rsidRDefault="009D2B11">
            <w:pPr>
              <w:pStyle w:val="P68B1DB1-Normal9"/>
              <w:spacing w:after="0" w:line="240" w:lineRule="auto"/>
              <w:rPr>
                <w:rFonts w:eastAsia="Times New Roman" w:cs="Calibri"/>
                <w:noProof/>
                <w:szCs w:val="18"/>
              </w:rPr>
            </w:pPr>
            <w:r>
              <w:rPr>
                <w:noProof/>
              </w:rPr>
              <w:t xml:space="preserve">I) Intervences, kuru mērķis ir uzlabot pilsētvidi un sabiedrisko telpu; </w:t>
            </w:r>
          </w:p>
          <w:p w14:paraId="6BDD9914" w14:textId="77777777" w:rsidR="00CB0FCB" w:rsidRDefault="009D2B11">
            <w:pPr>
              <w:pStyle w:val="P68B1DB1-Normal9"/>
              <w:spacing w:after="0" w:line="240" w:lineRule="auto"/>
              <w:rPr>
                <w:rFonts w:eastAsia="Times New Roman" w:cs="Calibri"/>
                <w:noProof/>
                <w:szCs w:val="18"/>
              </w:rPr>
            </w:pPr>
            <w:r>
              <w:rPr>
                <w:noProof/>
              </w:rPr>
              <w:t xml:space="preserve">II) Votanikos/Elaionas bijušā rūpniecības apgabala pilsētvides atjaunošana; </w:t>
            </w:r>
          </w:p>
          <w:p w14:paraId="2F4682F0" w14:textId="77777777" w:rsidR="00CB0FCB" w:rsidRDefault="009D2B11">
            <w:pPr>
              <w:pStyle w:val="P68B1DB1-Normal9"/>
              <w:spacing w:after="0" w:line="240" w:lineRule="auto"/>
              <w:jc w:val="both"/>
              <w:rPr>
                <w:rFonts w:eastAsia="Times New Roman" w:cs="Calibri"/>
                <w:noProof/>
                <w:szCs w:val="18"/>
              </w:rPr>
            </w:pPr>
            <w:r>
              <w:rPr>
                <w:noProof/>
              </w:rPr>
              <w:t>III) Atēnas Riviera: veloinfrastruktūra; un</w:t>
            </w:r>
          </w:p>
          <w:p w14:paraId="3F19EF9A" w14:textId="00A3DDD3" w:rsidR="00CB0FCB" w:rsidRDefault="009D2B11">
            <w:pPr>
              <w:pStyle w:val="P68B1DB1-Normal9"/>
              <w:spacing w:after="0" w:line="240" w:lineRule="auto"/>
              <w:jc w:val="both"/>
              <w:rPr>
                <w:rFonts w:eastAsia="Times New Roman" w:cs="Calibri"/>
                <w:noProof/>
                <w:szCs w:val="18"/>
              </w:rPr>
            </w:pPr>
            <w:r>
              <w:rPr>
                <w:noProof/>
              </w:rPr>
              <w:t>IV) Citas stratēģiskas intervences.</w:t>
            </w:r>
          </w:p>
        </w:tc>
      </w:tr>
      <w:tr w:rsidR="00CB0FCB" w14:paraId="241826BA" w14:textId="77777777">
        <w:trPr>
          <w:trHeight w:val="313"/>
          <w:jc w:val="center"/>
        </w:trPr>
        <w:tc>
          <w:tcPr>
            <w:tcW w:w="1129" w:type="dxa"/>
            <w:shd w:val="clear" w:color="auto" w:fill="C6EFCE"/>
            <w:noWrap/>
          </w:tcPr>
          <w:p w14:paraId="4FF8FC63" w14:textId="77777777" w:rsidR="00CB0FCB" w:rsidRDefault="009D2B11">
            <w:pPr>
              <w:pStyle w:val="P68B1DB1-Normal9"/>
              <w:spacing w:after="0" w:line="240" w:lineRule="auto"/>
              <w:rPr>
                <w:rFonts w:eastAsia="Times New Roman" w:cs="Calibri"/>
                <w:noProof/>
                <w:szCs w:val="18"/>
              </w:rPr>
            </w:pPr>
            <w:r>
              <w:rPr>
                <w:noProof/>
              </w:rPr>
              <w:t>41</w:t>
            </w:r>
          </w:p>
        </w:tc>
        <w:tc>
          <w:tcPr>
            <w:tcW w:w="1663" w:type="dxa"/>
            <w:shd w:val="clear" w:color="auto" w:fill="C6EFCE"/>
            <w:noWrap/>
          </w:tcPr>
          <w:p w14:paraId="1DF74087" w14:textId="77777777" w:rsidR="00CB0FCB" w:rsidRDefault="009D2B11">
            <w:pPr>
              <w:pStyle w:val="P68B1DB1-Normal9"/>
              <w:spacing w:after="0" w:line="240" w:lineRule="auto"/>
              <w:rPr>
                <w:rFonts w:eastAsia="Times New Roman" w:cs="Calibri"/>
                <w:noProof/>
                <w:szCs w:val="18"/>
              </w:rPr>
            </w:pPr>
            <w:r>
              <w:rPr>
                <w:noProof/>
              </w:rPr>
              <w:t>2–1.2. Renovēt — 16875_Infrastruktūras attīstība un ēku atjaunošana bijušajā karaliskajā īpašumā Tatoi</w:t>
            </w:r>
          </w:p>
        </w:tc>
        <w:tc>
          <w:tcPr>
            <w:tcW w:w="963" w:type="dxa"/>
            <w:shd w:val="clear" w:color="auto" w:fill="C6EFCE"/>
            <w:noWrap/>
          </w:tcPr>
          <w:p w14:paraId="3173375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shd w:val="clear" w:color="auto" w:fill="C6EFCE"/>
            <w:noWrap/>
          </w:tcPr>
          <w:p w14:paraId="2C1FA6BB" w14:textId="77777777" w:rsidR="00CB0FCB" w:rsidRDefault="009D2B11">
            <w:pPr>
              <w:pStyle w:val="P68B1DB1-Normal9"/>
              <w:spacing w:after="0" w:line="240" w:lineRule="auto"/>
              <w:rPr>
                <w:rFonts w:eastAsia="Times New Roman" w:cs="Calibri"/>
                <w:noProof/>
                <w:szCs w:val="18"/>
              </w:rPr>
            </w:pPr>
            <w:r>
              <w:rPr>
                <w:noProof/>
              </w:rPr>
              <w:t>Tatoi — visu darbu pabeigšana</w:t>
            </w:r>
          </w:p>
        </w:tc>
        <w:tc>
          <w:tcPr>
            <w:tcW w:w="1276" w:type="dxa"/>
            <w:shd w:val="clear" w:color="auto" w:fill="C6EFCE"/>
            <w:noWrap/>
          </w:tcPr>
          <w:p w14:paraId="554C1366" w14:textId="5420EE11" w:rsidR="00CB0FCB" w:rsidRDefault="009D2B11">
            <w:pPr>
              <w:pStyle w:val="P68B1DB1-Normal9"/>
              <w:spacing w:after="0" w:line="240" w:lineRule="auto"/>
              <w:rPr>
                <w:rFonts w:eastAsia="Times New Roman" w:cs="Calibri"/>
                <w:noProof/>
                <w:szCs w:val="18"/>
              </w:rPr>
            </w:pPr>
            <w:r>
              <w:rPr>
                <w:noProof/>
              </w:rPr>
              <w:t xml:space="preserve">Būvdarbu un pakalpojumu pabeigšana </w:t>
            </w:r>
          </w:p>
        </w:tc>
        <w:tc>
          <w:tcPr>
            <w:tcW w:w="1134" w:type="dxa"/>
            <w:shd w:val="clear" w:color="auto" w:fill="C6EFCE"/>
            <w:noWrap/>
          </w:tcPr>
          <w:p w14:paraId="6291041F" w14:textId="77777777" w:rsidR="00CB0FCB" w:rsidRDefault="00CB0FCB">
            <w:pPr>
              <w:spacing w:after="0" w:line="240" w:lineRule="auto"/>
              <w:rPr>
                <w:rFonts w:eastAsia="Times New Roman" w:cs="Calibri"/>
                <w:noProof/>
                <w:color w:val="006100"/>
                <w:sz w:val="18"/>
                <w:szCs w:val="18"/>
              </w:rPr>
            </w:pPr>
          </w:p>
        </w:tc>
        <w:tc>
          <w:tcPr>
            <w:tcW w:w="992" w:type="dxa"/>
            <w:shd w:val="clear" w:color="auto" w:fill="C6EFCE"/>
            <w:noWrap/>
          </w:tcPr>
          <w:p w14:paraId="705811D2" w14:textId="77777777" w:rsidR="00CB0FCB" w:rsidRDefault="00CB0FCB">
            <w:pPr>
              <w:spacing w:after="0" w:line="240" w:lineRule="auto"/>
              <w:rPr>
                <w:rFonts w:eastAsia="Times New Roman" w:cs="Calibri"/>
                <w:noProof/>
                <w:color w:val="006100"/>
                <w:sz w:val="18"/>
                <w:szCs w:val="18"/>
              </w:rPr>
            </w:pPr>
          </w:p>
        </w:tc>
        <w:tc>
          <w:tcPr>
            <w:tcW w:w="851" w:type="dxa"/>
            <w:shd w:val="clear" w:color="auto" w:fill="C6EFCE"/>
            <w:noWrap/>
          </w:tcPr>
          <w:p w14:paraId="7DB08917" w14:textId="77777777" w:rsidR="00CB0FCB" w:rsidRDefault="00CB0FCB">
            <w:pPr>
              <w:spacing w:after="0" w:line="240" w:lineRule="auto"/>
              <w:rPr>
                <w:rFonts w:eastAsia="Times New Roman" w:cs="Calibri"/>
                <w:noProof/>
                <w:color w:val="006100"/>
                <w:sz w:val="18"/>
                <w:szCs w:val="18"/>
              </w:rPr>
            </w:pPr>
          </w:p>
        </w:tc>
        <w:tc>
          <w:tcPr>
            <w:tcW w:w="850" w:type="dxa"/>
            <w:shd w:val="clear" w:color="auto" w:fill="C6EFCE"/>
            <w:noWrap/>
          </w:tcPr>
          <w:p w14:paraId="78883575"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shd w:val="clear" w:color="auto" w:fill="C6EFCE"/>
            <w:noWrap/>
          </w:tcPr>
          <w:p w14:paraId="1C77BE52" w14:textId="77777777" w:rsidR="00CB0FCB" w:rsidRDefault="009D2B11">
            <w:pPr>
              <w:pStyle w:val="P68B1DB1-Normal9"/>
              <w:spacing w:after="0" w:line="240" w:lineRule="auto"/>
              <w:rPr>
                <w:rFonts w:eastAsia="Times New Roman" w:cs="Calibri"/>
                <w:noProof/>
                <w:szCs w:val="18"/>
              </w:rPr>
            </w:pPr>
            <w:r>
              <w:rPr>
                <w:noProof/>
              </w:rPr>
              <w:t>2025</w:t>
            </w:r>
          </w:p>
        </w:tc>
        <w:tc>
          <w:tcPr>
            <w:tcW w:w="4592" w:type="dxa"/>
            <w:shd w:val="clear" w:color="auto" w:fill="C6EFCE"/>
            <w:noWrap/>
          </w:tcPr>
          <w:p w14:paraId="38CD0A29" w14:textId="77777777" w:rsidR="00CB0FCB" w:rsidRDefault="009D2B11">
            <w:pPr>
              <w:pStyle w:val="P68B1DB1-Normal9"/>
              <w:spacing w:after="0" w:line="240" w:lineRule="auto"/>
              <w:rPr>
                <w:rFonts w:eastAsia="Times New Roman" w:cs="Calibri"/>
                <w:noProof/>
                <w:szCs w:val="18"/>
              </w:rPr>
            </w:pPr>
            <w:r>
              <w:rPr>
                <w:noProof/>
              </w:rPr>
              <w:t>Pabeigt visus darbus saskaņā ar programmu “Infrastruktūras attīstība un ēkas” bijušā karaļa mantā Tatoi, tostarp:</w:t>
            </w:r>
          </w:p>
          <w:p w14:paraId="2D0B8D7A" w14:textId="77777777" w:rsidR="00CB0FCB" w:rsidRDefault="009D2B11">
            <w:pPr>
              <w:pStyle w:val="P68B1DB1-Normal9"/>
              <w:spacing w:after="0" w:line="240" w:lineRule="auto"/>
              <w:rPr>
                <w:rFonts w:eastAsia="Times New Roman" w:cs="Calibri"/>
                <w:noProof/>
                <w:szCs w:val="18"/>
              </w:rPr>
            </w:pPr>
            <w:r>
              <w:rPr>
                <w:noProof/>
              </w:rPr>
              <w:t xml:space="preserve">I) infrastruktūras darbi; </w:t>
            </w:r>
          </w:p>
          <w:p w14:paraId="2F3F5F35" w14:textId="77777777" w:rsidR="00CB0FCB" w:rsidRDefault="009D2B11">
            <w:pPr>
              <w:pStyle w:val="P68B1DB1-Normal9"/>
              <w:spacing w:after="0" w:line="240" w:lineRule="auto"/>
              <w:rPr>
                <w:rFonts w:eastAsia="Times New Roman" w:cs="Calibri"/>
                <w:noProof/>
                <w:szCs w:val="18"/>
              </w:rPr>
            </w:pPr>
            <w:r>
              <w:rPr>
                <w:noProof/>
              </w:rPr>
              <w:t>II) pils atjaunošana, lai to atkalizmantotu kā muzeju;</w:t>
            </w:r>
          </w:p>
          <w:p w14:paraId="2D343E96" w14:textId="77777777" w:rsidR="00CB0FCB" w:rsidRDefault="009D2B11">
            <w:pPr>
              <w:pStyle w:val="P68B1DB1-Normal9"/>
              <w:spacing w:after="0" w:line="240" w:lineRule="auto"/>
              <w:rPr>
                <w:rFonts w:eastAsia="Times New Roman" w:cs="Calibri"/>
                <w:noProof/>
                <w:szCs w:val="18"/>
              </w:rPr>
            </w:pPr>
            <w:r>
              <w:rPr>
                <w:noProof/>
              </w:rPr>
              <w:t xml:space="preserve">III) pils izstādīšana; </w:t>
            </w:r>
          </w:p>
          <w:p w14:paraId="4851BB29" w14:textId="77777777" w:rsidR="00CB0FCB" w:rsidRDefault="009D2B11">
            <w:pPr>
              <w:pStyle w:val="P68B1DB1-Normal9"/>
              <w:spacing w:after="0" w:line="240" w:lineRule="auto"/>
              <w:rPr>
                <w:rFonts w:eastAsia="Times New Roman" w:cs="Calibri"/>
                <w:noProof/>
                <w:szCs w:val="18"/>
              </w:rPr>
            </w:pPr>
            <w:r>
              <w:rPr>
                <w:noProof/>
              </w:rPr>
              <w:t xml:space="preserve">IV) lauksaimniecības ēkas atjaunošana un atkārtota izmantošana par muzeju; </w:t>
            </w:r>
          </w:p>
          <w:p w14:paraId="0285F65B" w14:textId="77777777" w:rsidR="00CB0FCB" w:rsidRDefault="009D2B11">
            <w:pPr>
              <w:pStyle w:val="P68B1DB1-Normal9"/>
              <w:spacing w:after="0" w:line="240" w:lineRule="auto"/>
              <w:rPr>
                <w:rFonts w:eastAsia="Times New Roman" w:cs="Calibri"/>
                <w:noProof/>
                <w:szCs w:val="18"/>
              </w:rPr>
            </w:pPr>
            <w:r>
              <w:rPr>
                <w:noProof/>
              </w:rPr>
              <w:t xml:space="preserve">V) muzeoloģisko pētījumu par jauno lauksaimniecības ēku; </w:t>
            </w:r>
          </w:p>
          <w:p w14:paraId="6848A818" w14:textId="77777777" w:rsidR="00CB0FCB" w:rsidRDefault="009D2B11">
            <w:pPr>
              <w:pStyle w:val="P68B1DB1-Normal9"/>
              <w:spacing w:after="0" w:line="240" w:lineRule="auto"/>
              <w:rPr>
                <w:rFonts w:eastAsia="Times New Roman" w:cs="Calibri"/>
                <w:noProof/>
                <w:szCs w:val="18"/>
              </w:rPr>
            </w:pPr>
            <w:r>
              <w:rPr>
                <w:noProof/>
              </w:rPr>
              <w:t xml:space="preserve">VI) pīļu dārzu atjaunošana; </w:t>
            </w:r>
          </w:p>
          <w:p w14:paraId="466592E9" w14:textId="77777777" w:rsidR="00CB0FCB" w:rsidRDefault="009D2B11">
            <w:pPr>
              <w:pStyle w:val="P68B1DB1-Normal9"/>
              <w:spacing w:after="0" w:line="240" w:lineRule="auto"/>
              <w:rPr>
                <w:rFonts w:eastAsia="Times New Roman" w:cs="Calibri"/>
                <w:noProof/>
                <w:szCs w:val="18"/>
              </w:rPr>
            </w:pPr>
            <w:r>
              <w:rPr>
                <w:noProof/>
              </w:rPr>
              <w:t xml:space="preserve">VII) artefaktu saglabāšana un atjaunošana; </w:t>
            </w:r>
          </w:p>
          <w:p w14:paraId="41C1DE98" w14:textId="77777777" w:rsidR="00CB0FCB" w:rsidRDefault="009D2B11">
            <w:pPr>
              <w:pStyle w:val="P68B1DB1-Normal9"/>
              <w:spacing w:after="0" w:line="240" w:lineRule="auto"/>
              <w:rPr>
                <w:rFonts w:eastAsia="Times New Roman" w:cs="Calibri"/>
                <w:noProof/>
                <w:szCs w:val="18"/>
              </w:rPr>
            </w:pPr>
            <w:r>
              <w:rPr>
                <w:noProof/>
              </w:rPr>
              <w:t xml:space="preserve">VIII) artefaktu ierakstīšana, dokumentēšana un reģistrācija; un </w:t>
            </w:r>
          </w:p>
          <w:p w14:paraId="458540EA" w14:textId="77777777" w:rsidR="00CB0FCB" w:rsidRDefault="009D2B11">
            <w:pPr>
              <w:pStyle w:val="P68B1DB1-Normal9"/>
              <w:spacing w:after="0" w:line="240" w:lineRule="auto"/>
              <w:rPr>
                <w:rFonts w:eastAsia="Times New Roman" w:cs="Calibri"/>
                <w:noProof/>
                <w:szCs w:val="18"/>
              </w:rPr>
            </w:pPr>
            <w:r>
              <w:rPr>
                <w:noProof/>
              </w:rPr>
              <w:t>IX) atrastā papīra arhīva materiālu digitalizācija.</w:t>
            </w:r>
          </w:p>
        </w:tc>
      </w:tr>
    </w:tbl>
    <w:p w14:paraId="45EEBC4E" w14:textId="77777777" w:rsidR="00CB0FCB" w:rsidRDefault="00CB0FCB">
      <w:pPr>
        <w:framePr w:w="15464" w:wrap="auto" w:hAnchor="text"/>
        <w:spacing w:before="120" w:after="120" w:line="240" w:lineRule="auto"/>
        <w:rPr>
          <w:rFonts w:ascii="Times New Roman" w:hAnsi="Times New Roman" w:cs="Times New Roman"/>
          <w:noProof/>
          <w:sz w:val="24"/>
        </w:rPr>
        <w:sectPr w:rsidR="00CB0FCB" w:rsidSect="00271D33">
          <w:headerReference w:type="even" r:id="rId49"/>
          <w:headerReference w:type="default" r:id="rId50"/>
          <w:footerReference w:type="even" r:id="rId51"/>
          <w:footerReference w:type="default" r:id="rId52"/>
          <w:headerReference w:type="first" r:id="rId53"/>
          <w:footerReference w:type="first" r:id="rId54"/>
          <w:pgSz w:w="16839" w:h="11907" w:orient="landscape"/>
          <w:pgMar w:top="720" w:right="720" w:bottom="851" w:left="720" w:header="709" w:footer="709" w:gutter="0"/>
          <w:cols w:space="720"/>
          <w:docGrid w:linePitch="360"/>
        </w:sectPr>
      </w:pPr>
    </w:p>
    <w:p w14:paraId="72BAD07A" w14:textId="77777777" w:rsidR="00CB0FCB" w:rsidRDefault="009D2B11">
      <w:pPr>
        <w:spacing w:before="120" w:after="120" w:line="240" w:lineRule="auto"/>
        <w:jc w:val="both"/>
        <w:rPr>
          <w:rFonts w:ascii="Times New Roman" w:hAnsi="Times New Roman" w:cs="Times New Roman"/>
          <w:b/>
          <w:bCs/>
          <w:i/>
          <w:iCs/>
          <w:noProof/>
          <w:color w:val="4F81BD"/>
          <w:sz w:val="24"/>
          <w:szCs w:val="24"/>
        </w:rPr>
      </w:pPr>
      <w:r>
        <w:rPr>
          <w:rFonts w:ascii="Times New Roman" w:hAnsi="Times New Roman"/>
          <w:b/>
          <w:noProof/>
          <w:sz w:val="24"/>
          <w:szCs w:val="24"/>
          <w:u w:val="single"/>
        </w:rPr>
        <w:t xml:space="preserve">B.3. </w:t>
      </w:r>
      <w:r>
        <w:rPr>
          <w:noProof/>
        </w:rPr>
        <w:t xml:space="preserve"> </w:t>
      </w:r>
      <w:r>
        <w:rPr>
          <w:rFonts w:ascii="Times New Roman" w:hAnsi="Times New Roman"/>
          <w:b/>
          <w:noProof/>
          <w:sz w:val="24"/>
          <w:szCs w:val="24"/>
          <w:u w:val="single"/>
        </w:rPr>
        <w:t xml:space="preserve">Aizdevumam pieteikto reformu un investīciju apraksts </w:t>
      </w:r>
    </w:p>
    <w:p w14:paraId="706B1471"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Enerģētikas modernizācijas programma “Atjaunināt manu māju” (pasākums ID 16401)</w:t>
      </w:r>
    </w:p>
    <w:p w14:paraId="56FC16C7" w14:textId="77777777" w:rsidR="00CB0FCB" w:rsidRDefault="009D2B11">
      <w:pPr>
        <w:pStyle w:val="NormalWeb"/>
        <w:spacing w:line="240" w:lineRule="auto"/>
        <w:jc w:val="both"/>
        <w:rPr>
          <w:noProof/>
        </w:rPr>
      </w:pPr>
      <w:r>
        <w:rPr>
          <w:noProof/>
        </w:rPr>
        <w:t>Šis pasākums ietver publiskus ieguldījumus mehānismā “Atjaunināt mājas”, lai stimulētu privātos ieguldījumus un uzlabotu piekļuvi finansējumam Grieķijas mājokļu nozarē. Mehānisms darbojas, piešķirot aizdevumus tieši privātajam sektoram. Pamatojoties uz ANM investīcijām, mehānisma “Atjaunināt manu māju” mērķis ir sākotnēji nodrošināt finansējumu vismaz 300 miljonu EUR apmērā.</w:t>
      </w:r>
    </w:p>
    <w:p w14:paraId="2002C782" w14:textId="77777777" w:rsidR="00CB0FCB" w:rsidRDefault="009D2B11">
      <w:pPr>
        <w:pStyle w:val="NormalWeb"/>
        <w:spacing w:line="240" w:lineRule="auto"/>
        <w:jc w:val="both"/>
        <w:rPr>
          <w:noProof/>
        </w:rPr>
      </w:pPr>
      <w:r>
        <w:rPr>
          <w:noProof/>
        </w:rPr>
        <w:t xml:space="preserve">Mehānismu “Upgrade My Home” pārvalda Grieķijas Attīstības banka kā īstenošanas partneris. Mehānisms ietver šādu produktu līniju: </w:t>
      </w:r>
    </w:p>
    <w:p w14:paraId="25AC7954" w14:textId="77777777" w:rsidR="00CB0FCB" w:rsidRDefault="009D2B11">
      <w:pPr>
        <w:pStyle w:val="P68B1DB1-LegalNumPar212"/>
        <w:numPr>
          <w:ilvl w:val="1"/>
          <w:numId w:val="95"/>
        </w:numPr>
        <w:jc w:val="both"/>
        <w:rPr>
          <w:noProof/>
        </w:rPr>
      </w:pPr>
      <w:r>
        <w:rPr>
          <w:noProof/>
        </w:rPr>
        <w:t>Grieķijas Attīstības banka atlasa komercbankas kā finanšu starpniekus dalībai mehānismā atklātā, pārredzamā un nediskriminējošā veidā, izmantojot atklātu uzaicinājumu. Komercbankas līdzfinansē Mehānisma ietvaros izsniegtos energoefektivitātes renovācijas aizdevumus. Šie aizdevumi tiks izsniegti privātpersonām energoefektivitātes uzlabošanai viņu primārajās vai nelīgtajās dzīvesvietās. Aizdevumu struktūra nodrošina 75 % bezprocentu finansējumu no mehānisma “Upgrade My Home” un 25 % finansējumu no iesaistītajām bankām pēc tirgus likmēm. Attiecināmie izdevumi ietvers, piemēram, šādas intervences:</w:t>
      </w:r>
    </w:p>
    <w:p w14:paraId="64B760B5" w14:textId="77777777" w:rsidR="00CB0FCB" w:rsidRDefault="009D2B11">
      <w:pPr>
        <w:pStyle w:val="P68B1DB1-LegalNumPar212"/>
        <w:jc w:val="both"/>
        <w:rPr>
          <w:noProof/>
        </w:rPr>
      </w:pPr>
      <w:r>
        <w:rPr>
          <w:noProof/>
        </w:rPr>
        <w:t>Siltumizolācija (iekšējā/ārējā).</w:t>
      </w:r>
    </w:p>
    <w:p w14:paraId="6A05EDBF" w14:textId="77777777" w:rsidR="00CB0FCB" w:rsidRDefault="009D2B11">
      <w:pPr>
        <w:pStyle w:val="P68B1DB1-LegalNumPar212"/>
        <w:jc w:val="both"/>
        <w:rPr>
          <w:noProof/>
        </w:rPr>
      </w:pPr>
      <w:r>
        <w:rPr>
          <w:noProof/>
        </w:rPr>
        <w:t>Zaļā jumta uzstādīšana.</w:t>
      </w:r>
    </w:p>
    <w:p w14:paraId="007EAB1B" w14:textId="77777777" w:rsidR="00CB0FCB" w:rsidRDefault="009D2B11">
      <w:pPr>
        <w:pStyle w:val="P68B1DB1-LegalNumPar212"/>
        <w:jc w:val="both"/>
        <w:rPr>
          <w:noProof/>
        </w:rPr>
      </w:pPr>
      <w:r>
        <w:rPr>
          <w:noProof/>
        </w:rPr>
        <w:t>Energoefektīvu logu rāmju un stikla rūtiņu nomaiņa.</w:t>
      </w:r>
    </w:p>
    <w:p w14:paraId="1676E1CF" w14:textId="77777777" w:rsidR="00CB0FCB" w:rsidRDefault="009D2B11">
      <w:pPr>
        <w:pStyle w:val="P68B1DB1-LegalNumPar212"/>
        <w:jc w:val="both"/>
        <w:rPr>
          <w:noProof/>
        </w:rPr>
      </w:pPr>
      <w:r>
        <w:rPr>
          <w:noProof/>
        </w:rPr>
        <w:t>Saules enerģijas ūdenssildītāja nomaiņa/uzstādīšana.</w:t>
      </w:r>
    </w:p>
    <w:p w14:paraId="69C1821D" w14:textId="77777777" w:rsidR="00CB0FCB" w:rsidRDefault="009D2B11">
      <w:pPr>
        <w:pStyle w:val="P68B1DB1-LegalNumPar212"/>
        <w:jc w:val="both"/>
        <w:rPr>
          <w:noProof/>
        </w:rPr>
      </w:pPr>
      <w:r>
        <w:rPr>
          <w:noProof/>
        </w:rPr>
        <w:t>Pastāvīgu ārējo aizēnošanas sistēmu uzstādīšana.</w:t>
      </w:r>
    </w:p>
    <w:p w14:paraId="3FA9758E" w14:textId="77777777" w:rsidR="00CB0FCB" w:rsidRDefault="009D2B11">
      <w:pPr>
        <w:pStyle w:val="P68B1DB1-LegalNumPar212"/>
        <w:jc w:val="both"/>
        <w:rPr>
          <w:noProof/>
        </w:rPr>
      </w:pPr>
      <w:r>
        <w:rPr>
          <w:noProof/>
        </w:rPr>
        <w:t>Siltumapgādes un aukstumapgādes sistēmu aizstāšana/uzstādīšana (ražotais fosilais kurināmais nav atbilstīgs), izmantojot atjaunojamos energoresursus vai augstas efektivitātes koģenerācijas sistēmas (piemēram, elektriskie siltumsūkņi, A+ vai augstākas energoklases invertora gaisa kondicionēšanas bloki).</w:t>
      </w:r>
    </w:p>
    <w:p w14:paraId="630F90AA" w14:textId="77777777" w:rsidR="00CB0FCB" w:rsidRDefault="009D2B11">
      <w:pPr>
        <w:pStyle w:val="P68B1DB1-LegalNumPar212"/>
        <w:jc w:val="both"/>
        <w:rPr>
          <w:noProof/>
        </w:rPr>
      </w:pPr>
      <w:r>
        <w:rPr>
          <w:noProof/>
        </w:rPr>
        <w:t>Termostatisko regulēšanas sistēmu uzstādīšana.</w:t>
      </w:r>
    </w:p>
    <w:p w14:paraId="672DBFEB" w14:textId="77777777" w:rsidR="00CB0FCB" w:rsidRDefault="009D2B11">
      <w:pPr>
        <w:pStyle w:val="P68B1DB1-LegalNumPar212"/>
        <w:jc w:val="both"/>
        <w:rPr>
          <w:noProof/>
        </w:rPr>
      </w:pPr>
      <w:r>
        <w:rPr>
          <w:noProof/>
        </w:rPr>
        <w:t>No atjaunojamiem enerģijas avotiem iegūtu enerģijas uzkrāšanas sistēmu (baterijas) uzstādīšana.</w:t>
      </w:r>
    </w:p>
    <w:p w14:paraId="6128855E" w14:textId="77777777" w:rsidR="00CB0FCB" w:rsidRDefault="009D2B11">
      <w:pPr>
        <w:pStyle w:val="P68B1DB1-LegalNumPar212"/>
        <w:jc w:val="both"/>
        <w:rPr>
          <w:noProof/>
        </w:rPr>
      </w:pPr>
      <w:r>
        <w:rPr>
          <w:noProof/>
        </w:rPr>
        <w:t>Fotoelementu staciju, mazu vējturbīnu un citu atjaunojamo energoresursu uzstādīšana.</w:t>
      </w:r>
    </w:p>
    <w:p w14:paraId="6A914FAC" w14:textId="77777777" w:rsidR="00CB0FCB" w:rsidRDefault="009D2B11">
      <w:pPr>
        <w:pStyle w:val="P68B1DB1-LegalNumPar212"/>
        <w:jc w:val="both"/>
        <w:rPr>
          <w:noProof/>
        </w:rPr>
      </w:pPr>
      <w:r>
        <w:rPr>
          <w:noProof/>
        </w:rPr>
        <w:t>Uzstādīšanas darbi/tehnisko konsultantu vai inženieru pakalpojumi.</w:t>
      </w:r>
    </w:p>
    <w:p w14:paraId="63AA623B" w14:textId="77777777" w:rsidR="00CB0FCB" w:rsidRDefault="009D2B11">
      <w:pPr>
        <w:pStyle w:val="NormalWeb"/>
        <w:spacing w:line="240" w:lineRule="auto"/>
        <w:jc w:val="both"/>
        <w:rPr>
          <w:noProof/>
        </w:rPr>
      </w:pPr>
      <w:r>
        <w:rPr>
          <w:noProof/>
        </w:rPr>
        <w:t>Lai īstenotu ieguldījumu mehānismā “Upgrade My Home”, Grieķija un Grieķijas Attīstības banka paraksta īstenošanas nolīgumu. Īstenošanas nolīgumā iekļauj šādu saturu:</w:t>
      </w:r>
    </w:p>
    <w:p w14:paraId="1A876F17" w14:textId="77777777" w:rsidR="00CB0FCB" w:rsidRDefault="009D2B11">
      <w:pPr>
        <w:pStyle w:val="P68B1DB1-LegalNumPar13"/>
        <w:numPr>
          <w:ilvl w:val="0"/>
          <w:numId w:val="94"/>
        </w:numPr>
        <w:jc w:val="both"/>
        <w:rPr>
          <w:rFonts w:eastAsia="Times New Roman"/>
          <w:noProof/>
        </w:rPr>
      </w:pPr>
      <w:r>
        <w:rPr>
          <w:noProof/>
        </w:rPr>
        <w:t>Mehānisma lēmumu pieņemšanas procesa apraksts “Atjaunināt manu māju”. Galīgo lēmumu par ieguldījumiem Mehānismā pieņem investīciju komiteja vai cita attiecīga līdzvērtīga pārvaldes struktūra, un to apstiprina ar no valdības neatkarīgu locekļu balsu vairākumu.</w:t>
      </w:r>
    </w:p>
    <w:p w14:paraId="58BD9048" w14:textId="7F605065" w:rsidR="00CB0FCB" w:rsidRDefault="009D2B11">
      <w:pPr>
        <w:pStyle w:val="P68B1DB1-LegalNumPar13"/>
        <w:jc w:val="both"/>
        <w:rPr>
          <w:noProof/>
        </w:rPr>
      </w:pPr>
      <w:r>
        <w:rPr>
          <w:noProof/>
        </w:rPr>
        <w:t>Finanšu produktu galvenās prasības,</w:t>
      </w:r>
      <w:r>
        <w:rPr>
          <w:b/>
          <w:noProof/>
        </w:rPr>
        <w:t xml:space="preserve"> </w:t>
      </w:r>
      <w:r>
        <w:rPr>
          <w:noProof/>
        </w:rPr>
        <w:t>kas ietver:</w:t>
      </w:r>
    </w:p>
    <w:p w14:paraId="7B550C92" w14:textId="77777777" w:rsidR="00CB0FCB" w:rsidRDefault="009D2B11">
      <w:pPr>
        <w:pStyle w:val="P68B1DB1-LegalNumPar212"/>
        <w:jc w:val="both"/>
        <w:rPr>
          <w:noProof/>
        </w:rPr>
      </w:pPr>
      <w:r>
        <w:rPr>
          <w:noProof/>
        </w:rPr>
        <w:t>Finanšu produktu un atbalsttiesīgo galasaņēmēju apraksts.</w:t>
      </w:r>
    </w:p>
    <w:p w14:paraId="08D024E5" w14:textId="77777777" w:rsidR="00CB0FCB" w:rsidRDefault="009D2B11">
      <w:pPr>
        <w:pStyle w:val="P68B1DB1-LegalNumPar212"/>
        <w:jc w:val="both"/>
        <w:rPr>
          <w:noProof/>
        </w:rPr>
      </w:pPr>
      <w:r>
        <w:rPr>
          <w:noProof/>
        </w:rPr>
        <w:t>Prasība, ka visiem atbalstītajiem ieguldījumiem jābūt ekonomiski dzīvotspējīgiem</w:t>
      </w:r>
      <w:r>
        <w:rPr>
          <w:b/>
          <w:noProof/>
        </w:rPr>
        <w:t>.</w:t>
      </w:r>
    </w:p>
    <w:p w14:paraId="34240F61" w14:textId="77777777" w:rsidR="00CB0FCB" w:rsidRDefault="009D2B11">
      <w:pPr>
        <w:pStyle w:val="P68B1DB1-LegalNumPar212"/>
        <w:jc w:val="both"/>
        <w:rPr>
          <w:noProof/>
        </w:rPr>
      </w:pPr>
      <w:r>
        <w:rPr>
          <w:noProof/>
        </w:rPr>
        <w:t>Prasība, ka Mehānisma galasaņēmēji nesaņem atbalstu no citiem Savienības instrumentiem, lai segtu tās pašas izmaksas.</w:t>
      </w:r>
    </w:p>
    <w:p w14:paraId="666EB9D4" w14:textId="7DC01114" w:rsidR="00CB0FCB" w:rsidRDefault="009D2B11">
      <w:pPr>
        <w:pStyle w:val="P68B1DB1-LegalNumPar14"/>
        <w:jc w:val="both"/>
        <w:rPr>
          <w:rFonts w:ascii="Times New Roman" w:hAnsi="Times New Roman" w:cs="Times New Roman"/>
          <w:noProof/>
        </w:rPr>
      </w:pPr>
      <w:r>
        <w:rPr>
          <w:rFonts w:ascii="Times New Roman" w:hAnsi="Times New Roman" w:cs="Times New Roman"/>
          <w:noProof/>
        </w:rPr>
        <w:t xml:space="preserve">Summu, uz kuru attiecas īstenošanas nolīgums, maksu struktūru īstenošanas partnerim un finanšu starpniekiem un </w:t>
      </w:r>
      <w:r>
        <w:rPr>
          <w:rFonts w:ascii="Times New Roman" w:eastAsia="Times New Roman" w:hAnsi="Times New Roman" w:cs="Times New Roman"/>
          <w:noProof/>
          <w:color w:val="000000" w:themeColor="text1"/>
        </w:rPr>
        <w:t>prasību reinvestēt visus atmaksājumus saskaņā ar mehānisma ieguldījumu politiku, ja vien tos neizmanto, lai apkalpotu Atveseļošanas un noturības mehānisma aizdevumu atmaksu</w:t>
      </w:r>
      <w:r>
        <w:rPr>
          <w:rFonts w:ascii="Times New Roman" w:hAnsi="Times New Roman" w:cs="Times New Roman"/>
          <w:noProof/>
        </w:rPr>
        <w:t>.</w:t>
      </w:r>
    </w:p>
    <w:p w14:paraId="40DBDFB2" w14:textId="77777777" w:rsidR="00CB0FCB" w:rsidRDefault="009D2B11">
      <w:pPr>
        <w:pStyle w:val="P68B1DB1-LegalNumPar13"/>
        <w:jc w:val="both"/>
        <w:rPr>
          <w:noProof/>
        </w:rPr>
      </w:pPr>
      <w:r>
        <w:rPr>
          <w:noProof/>
        </w:rPr>
        <w:t>Uzraudzības, revīzijas un kontroles prasības, tostarp īstenošanas partnera procedūru apraksts, kas nodrošina krāpšanas, korupcijas un interešu konfliktu novēršanu, atklāšanu un labošanu.</w:t>
      </w:r>
    </w:p>
    <w:p w14:paraId="4E2175CC" w14:textId="77777777" w:rsidR="00CB0FCB" w:rsidRDefault="009D2B11">
      <w:pPr>
        <w:pStyle w:val="P68B1DB1-LegalNumPar13"/>
        <w:jc w:val="both"/>
        <w:rPr>
          <w:noProof/>
        </w:rPr>
      </w:pPr>
      <w:r>
        <w:rPr>
          <w:noProof/>
        </w:rPr>
        <w:t>Grieķijas Attīstības banka paraksta finansēšanas nolīgumus ar finanšu starpniekiem saskaņā ar galvenajām prasībām, kas jāiekļauj īstenošanas nolīguma pielikumā. Finansēšanas nolīgumu galvenās prasības ietver visas prasības, saskaņā ar kurām Mehānisms darbojas, tostarp: </w:t>
      </w:r>
    </w:p>
    <w:p w14:paraId="74B0ED8C" w14:textId="77777777" w:rsidR="00CB0FCB" w:rsidRDefault="009D2B11">
      <w:pPr>
        <w:pStyle w:val="P68B1DB1-LegalNumPar212"/>
        <w:numPr>
          <w:ilvl w:val="1"/>
          <w:numId w:val="95"/>
        </w:numPr>
        <w:jc w:val="both"/>
        <w:rPr>
          <w:noProof/>
        </w:rPr>
      </w:pPr>
      <w:r>
        <w:rPr>
          <w:noProof/>
        </w:rPr>
        <w:t>Galīgo lēmumu par aizdevumu emisiju pieņem finanšu starpnieki saskaņā ar savu politiku un procedūrām neatkarīgi no valdības.</w:t>
      </w:r>
    </w:p>
    <w:p w14:paraId="4295F6EA" w14:textId="77777777" w:rsidR="00CB0FCB" w:rsidRDefault="009D2B11">
      <w:pPr>
        <w:pStyle w:val="P68B1DB1-LegalNumPar212"/>
        <w:numPr>
          <w:ilvl w:val="1"/>
          <w:numId w:val="95"/>
        </w:numPr>
        <w:jc w:val="both"/>
        <w:rPr>
          <w:noProof/>
        </w:rPr>
      </w:pPr>
      <w:r>
        <w:rPr>
          <w:noProof/>
        </w:rPr>
        <w:t xml:space="preserve">Finanšu starpnieku pienākums pieņemt lēmumus mutatis </w:t>
      </w:r>
      <w:r>
        <w:rPr>
          <w:i/>
          <w:noProof/>
        </w:rPr>
        <w:t>mutandis</w:t>
      </w:r>
      <w:r>
        <w:rPr>
          <w:noProof/>
        </w:rPr>
        <w:t xml:space="preserve"> saskaņā ar iepriekš minētajām ieguldījumu politikas prasībām. </w:t>
      </w:r>
    </w:p>
    <w:p w14:paraId="0E2E4DF2" w14:textId="2AD00BEB" w:rsidR="00CB0FCB" w:rsidRDefault="009D2B11">
      <w:pPr>
        <w:pStyle w:val="P68B1DB1-LegalNumPar212"/>
        <w:numPr>
          <w:ilvl w:val="1"/>
          <w:numId w:val="95"/>
        </w:numPr>
        <w:jc w:val="both"/>
        <w:rPr>
          <w:noProof/>
        </w:rPr>
      </w:pPr>
      <w:r>
        <w:rPr>
          <w:noProof/>
        </w:rPr>
        <w:t>Uzraudzības, revīzijas un kontroles prasības finanšu starpniekiem, tostarp:</w:t>
      </w:r>
    </w:p>
    <w:p w14:paraId="2170F5B6" w14:textId="77777777" w:rsidR="00CB0FCB" w:rsidRDefault="009D2B11">
      <w:pPr>
        <w:pStyle w:val="P68B1DB1-LegalNumPar212"/>
        <w:numPr>
          <w:ilvl w:val="2"/>
          <w:numId w:val="96"/>
        </w:numPr>
        <w:jc w:val="both"/>
        <w:rPr>
          <w:noProof/>
        </w:rPr>
      </w:pPr>
      <w:r>
        <w:rPr>
          <w:noProof/>
        </w:rPr>
        <w:t>Apraksts par finanšu starpnieku uzraudzības sistēmu ziņošanai par mobilizētajiem ieguldījumiem.</w:t>
      </w:r>
    </w:p>
    <w:p w14:paraId="058F14D2" w14:textId="77777777" w:rsidR="00CB0FCB" w:rsidRDefault="009D2B11">
      <w:pPr>
        <w:pStyle w:val="P68B1DB1-LegalNumPar212"/>
        <w:numPr>
          <w:ilvl w:val="2"/>
          <w:numId w:val="96"/>
        </w:numPr>
        <w:jc w:val="both"/>
        <w:rPr>
          <w:noProof/>
        </w:rPr>
      </w:pPr>
      <w:r>
        <w:rPr>
          <w:noProof/>
        </w:rPr>
        <w:t xml:space="preserve">Apraksts par finanšu starpnieku procedūrām, kas nodrošina krāpšanas, korupcijas un interešu konfliktu novēršanu, atklāšanu un labošanu. </w:t>
      </w:r>
    </w:p>
    <w:p w14:paraId="5D1E7DA0" w14:textId="7C78B06A" w:rsidR="00CB0FCB" w:rsidRDefault="009D2B11">
      <w:pPr>
        <w:pStyle w:val="P68B1DB1-LegalNumPar212"/>
        <w:numPr>
          <w:ilvl w:val="2"/>
          <w:numId w:val="96"/>
        </w:numPr>
        <w:jc w:val="both"/>
        <w:rPr>
          <w:noProof/>
        </w:rPr>
      </w:pPr>
      <w:r>
        <w:rPr>
          <w:noProof/>
        </w:rPr>
        <w:t>Pienākums pārbaudīt katras darbības attiecināmību saskaņā ar Īstenošanas nolīgumā noteiktajām prasībām pirms apņemšanās finansēt kādu darbību.</w:t>
      </w:r>
    </w:p>
    <w:p w14:paraId="75C64BF2" w14:textId="78D65B98" w:rsidR="00CB0FCB" w:rsidRDefault="009D2B11">
      <w:pPr>
        <w:pStyle w:val="P68B1DB1-LegalNumPar212"/>
        <w:numPr>
          <w:ilvl w:val="2"/>
          <w:numId w:val="96"/>
        </w:numPr>
        <w:jc w:val="both"/>
        <w:rPr>
          <w:noProof/>
        </w:rPr>
      </w:pPr>
      <w:r>
        <w:rPr>
          <w:noProof/>
        </w:rPr>
        <w:t xml:space="preserve">Pienākums veikt uz risku balstītas ex post revīzijas saskaņā ar finanšu starpnieku revīzijas plānu. Šajās revīzijās pārbauda: I) kontroles sistēmas ir efektīvas, tostarp krāpšanas, korupcijas un interešu konfliktu atklāšana; II) atbilstību klimata mērķrādītāja prasībām; un iii) ka ir ievērota prasība, ka Mehānisma galasaņēmēji nav saņēmuši atbalstu no citiem Savienības instrumentiem, lai segtu tās pašas izmaksas. Revīzijās pārbauda arī darījumu likumību un to, vai tiek ievēroti piemērojamo nolīgumu nosacījumi. </w:t>
      </w:r>
    </w:p>
    <w:p w14:paraId="5284CC3B" w14:textId="77777777" w:rsidR="00CB0FCB" w:rsidRDefault="009D2B11">
      <w:pPr>
        <w:pStyle w:val="NormalWeb"/>
        <w:rPr>
          <w:rFonts w:eastAsiaTheme="minorHAnsi"/>
          <w:noProof/>
        </w:rPr>
      </w:pPr>
      <w:r>
        <w:rPr>
          <w:noProof/>
        </w:rPr>
        <w:br w:type="page"/>
      </w:r>
    </w:p>
    <w:p w14:paraId="72F33F75" w14:textId="77777777" w:rsidR="00CB0FCB" w:rsidRDefault="00CB0FCB">
      <w:pPr>
        <w:pStyle w:val="LegalNumPar2"/>
        <w:numPr>
          <w:ilvl w:val="0"/>
          <w:numId w:val="0"/>
        </w:numPr>
        <w:ind w:left="1069"/>
        <w:jc w:val="both"/>
        <w:rPr>
          <w:rFonts w:ascii="Times New Roman" w:hAnsi="Times New Roman" w:cs="Times New Roman"/>
          <w:noProof/>
          <w:sz w:val="24"/>
          <w:szCs w:val="24"/>
        </w:rPr>
      </w:pPr>
    </w:p>
    <w:p w14:paraId="535C8789" w14:textId="77777777" w:rsidR="00CB0FCB" w:rsidRDefault="009D2B11">
      <w:pPr>
        <w:pStyle w:val="LegalNumPar"/>
        <w:jc w:val="both"/>
        <w:rPr>
          <w:rFonts w:ascii="Times New Roman" w:hAnsi="Times New Roman" w:cs="Times New Roman"/>
          <w:noProof/>
          <w:sz w:val="24"/>
          <w:szCs w:val="24"/>
        </w:rPr>
      </w:pPr>
      <w:r>
        <w:rPr>
          <w:rStyle w:val="normaltextrun"/>
          <w:rFonts w:ascii="Times New Roman" w:hAnsi="Times New Roman" w:cs="Times New Roman"/>
          <w:noProof/>
          <w:sz w:val="24"/>
          <w:szCs w:val="24"/>
        </w:rPr>
        <w:t>Prasības attiecībā uz investīcijām klimata jomā, ko veic īstenošanas partneris: vismaz 120 miljoni EUR no ANM investīcijām mehānismā “Atjaunināt mājas” veicina klimata pārmaiņu mērķu sasniegšanu saskaņā ar ANM regulas VI pielikumu</w:t>
      </w:r>
      <w:r>
        <w:rPr>
          <w:rStyle w:val="FootnoteReference"/>
          <w:rFonts w:ascii="Times New Roman" w:hAnsi="Times New Roman" w:cs="Times New Roman"/>
          <w:noProof/>
          <w:szCs w:val="24"/>
        </w:rPr>
        <w:footnoteReference w:id="6"/>
      </w:r>
      <w:r>
        <w:rPr>
          <w:rFonts w:ascii="Times New Roman" w:hAnsi="Times New Roman" w:cs="Times New Roman"/>
          <w:noProof/>
          <w:sz w:val="24"/>
          <w:szCs w:val="24"/>
        </w:rPr>
        <w:t>.</w:t>
      </w:r>
    </w:p>
    <w:p w14:paraId="5D6A2C48" w14:textId="1FC88018" w:rsidR="00CB0FCB" w:rsidRDefault="009D2B11">
      <w:pPr>
        <w:pStyle w:val="P68B1DB1-Normal15"/>
        <w:spacing w:before="120" w:after="120" w:line="240" w:lineRule="auto"/>
        <w:jc w:val="both"/>
        <w:rPr>
          <w:b/>
          <w:noProof/>
        </w:rPr>
      </w:pPr>
      <w:r>
        <w:rPr>
          <w:noProof/>
        </w:rPr>
        <w:t>Pasākuma īstenošanu pabeidz līdz 2026. gada 31. augustam.</w:t>
      </w:r>
    </w:p>
    <w:p w14:paraId="2DE3A534" w14:textId="77777777" w:rsidR="00CB0FCB" w:rsidRDefault="00CB0FCB">
      <w:pPr>
        <w:spacing w:after="160" w:line="259" w:lineRule="auto"/>
        <w:ind w:left="709"/>
        <w:contextualSpacing/>
        <w:jc w:val="both"/>
        <w:rPr>
          <w:noProof/>
        </w:rPr>
      </w:pPr>
    </w:p>
    <w:p w14:paraId="0CEC766F" w14:textId="77777777" w:rsidR="00CB0FCB" w:rsidRDefault="00CB0FCB">
      <w:pPr>
        <w:spacing w:after="160" w:line="259" w:lineRule="auto"/>
        <w:ind w:left="709"/>
        <w:contextualSpacing/>
        <w:jc w:val="both"/>
        <w:rPr>
          <w:noProof/>
        </w:rPr>
        <w:sectPr w:rsidR="00CB0FCB" w:rsidSect="008A4085">
          <w:headerReference w:type="even" r:id="rId55"/>
          <w:headerReference w:type="default" r:id="rId56"/>
          <w:footerReference w:type="even" r:id="rId57"/>
          <w:footerReference w:type="default" r:id="rId58"/>
          <w:headerReference w:type="first" r:id="rId59"/>
          <w:footerReference w:type="first" r:id="rId60"/>
          <w:pgSz w:w="11907" w:h="16839"/>
          <w:pgMar w:top="1134" w:right="1417" w:bottom="1134" w:left="1417" w:header="709" w:footer="326" w:gutter="0"/>
          <w:cols w:space="720"/>
          <w:docGrid w:linePitch="360"/>
        </w:sectPr>
      </w:pPr>
    </w:p>
    <w:p w14:paraId="66882FAD"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B.4. </w:t>
      </w:r>
      <w:r>
        <w:rPr>
          <w:noProof/>
        </w:rPr>
        <w:t xml:space="preserve"> </w:t>
      </w:r>
      <w:r>
        <w:rPr>
          <w:rFonts w:ascii="Times New Roman" w:hAnsi="Times New Roman"/>
          <w:b/>
          <w:noProof/>
          <w:sz w:val="24"/>
          <w:u w:val="single"/>
        </w:rPr>
        <w:t xml:space="preserve">Atskaites punkti, mērķrādītāji, citi rādītāji un aizdevuma uzraudzības un īstenošanas grafiks </w:t>
      </w:r>
    </w:p>
    <w:p w14:paraId="1199F843" w14:textId="77777777" w:rsidR="00CB0FCB" w:rsidRDefault="009D2B11">
      <w:pPr>
        <w:pStyle w:val="P68B1DB1-Normal6"/>
        <w:keepNext/>
        <w:keepLines/>
        <w:spacing w:before="40" w:after="240" w:line="240" w:lineRule="auto"/>
        <w:jc w:val="both"/>
        <w:outlineLvl w:val="4"/>
        <w:rPr>
          <w:rFonts w:eastAsia="Times New Roman"/>
          <w:noProof/>
        </w:rPr>
      </w:pPr>
      <w:r>
        <w:rPr>
          <w:noProof/>
        </w:rPr>
        <w:t>Enerģētikas modernizācijas programma “Atjaunināt manu māju” (16401)</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134"/>
        <w:gridCol w:w="1276"/>
        <w:gridCol w:w="1278"/>
        <w:gridCol w:w="1200"/>
        <w:gridCol w:w="1080"/>
        <w:gridCol w:w="720"/>
        <w:gridCol w:w="960"/>
        <w:gridCol w:w="840"/>
        <w:gridCol w:w="4848"/>
      </w:tblGrid>
      <w:tr w:rsidR="00CB0FCB" w14:paraId="145C01A9" w14:textId="77777777">
        <w:trPr>
          <w:trHeight w:val="810"/>
          <w:tblHeader/>
          <w:jc w:val="center"/>
        </w:trPr>
        <w:tc>
          <w:tcPr>
            <w:tcW w:w="988" w:type="dxa"/>
            <w:vMerge w:val="restart"/>
            <w:shd w:val="clear" w:color="auto" w:fill="BDD7EE"/>
            <w:vAlign w:val="center"/>
            <w:hideMark/>
          </w:tcPr>
          <w:p w14:paraId="5AD5D1D8" w14:textId="65A163C4" w:rsidR="00CB0FCB" w:rsidRDefault="009D2B11">
            <w:pPr>
              <w:pStyle w:val="P68B1DB1-Normal16"/>
              <w:spacing w:after="0" w:line="240" w:lineRule="auto"/>
              <w:jc w:val="center"/>
              <w:rPr>
                <w:rFonts w:eastAsia="Times New Roman" w:cs="Times New Roman"/>
                <w:noProof/>
                <w:szCs w:val="20"/>
              </w:rPr>
            </w:pPr>
            <w:r>
              <w:rPr>
                <w:noProof/>
              </w:rPr>
              <w:t>Kārtas Nē.</w:t>
            </w:r>
          </w:p>
        </w:tc>
        <w:tc>
          <w:tcPr>
            <w:tcW w:w="1559" w:type="dxa"/>
            <w:vMerge w:val="restart"/>
            <w:shd w:val="clear" w:color="auto" w:fill="BDD7EE"/>
            <w:vAlign w:val="center"/>
            <w:hideMark/>
          </w:tcPr>
          <w:p w14:paraId="57E02B73" w14:textId="77777777" w:rsidR="00CB0FCB" w:rsidRDefault="009D2B11">
            <w:pPr>
              <w:pStyle w:val="P68B1DB1-Normal16"/>
              <w:spacing w:after="0" w:line="240" w:lineRule="auto"/>
              <w:jc w:val="center"/>
              <w:rPr>
                <w:rFonts w:eastAsia="Times New Roman" w:cs="Times New Roman"/>
                <w:noProof/>
                <w:szCs w:val="20"/>
              </w:rPr>
            </w:pPr>
            <w:r>
              <w:rPr>
                <w:noProof/>
              </w:rPr>
              <w:t>Saistītais pasākums (reforma vai ieguldījums)</w:t>
            </w:r>
          </w:p>
        </w:tc>
        <w:tc>
          <w:tcPr>
            <w:tcW w:w="1134" w:type="dxa"/>
            <w:vMerge w:val="restart"/>
            <w:shd w:val="clear" w:color="auto" w:fill="BDD7EE"/>
            <w:vAlign w:val="center"/>
            <w:hideMark/>
          </w:tcPr>
          <w:p w14:paraId="4DEFCEC4" w14:textId="77777777" w:rsidR="00CB0FCB" w:rsidRDefault="009D2B11">
            <w:pPr>
              <w:pStyle w:val="P68B1DB1-Normal16"/>
              <w:spacing w:after="0" w:line="240" w:lineRule="auto"/>
              <w:jc w:val="center"/>
              <w:rPr>
                <w:rFonts w:eastAsia="Times New Roman" w:cs="Times New Roman"/>
                <w:noProof/>
                <w:szCs w:val="20"/>
              </w:rPr>
            </w:pPr>
            <w:r>
              <w:rPr>
                <w:noProof/>
              </w:rPr>
              <w:t>Atskaites punkts/mērķrādītājs</w:t>
            </w:r>
          </w:p>
        </w:tc>
        <w:tc>
          <w:tcPr>
            <w:tcW w:w="1276" w:type="dxa"/>
            <w:vMerge w:val="restart"/>
            <w:shd w:val="clear" w:color="auto" w:fill="BDD7EE"/>
            <w:vAlign w:val="center"/>
            <w:hideMark/>
          </w:tcPr>
          <w:p w14:paraId="03DC15F1" w14:textId="77777777" w:rsidR="00CB0FCB" w:rsidRDefault="009D2B11">
            <w:pPr>
              <w:pStyle w:val="P68B1DB1-Normal16"/>
              <w:spacing w:after="0" w:line="240" w:lineRule="auto"/>
              <w:jc w:val="center"/>
              <w:rPr>
                <w:rFonts w:eastAsia="Times New Roman" w:cs="Times New Roman"/>
                <w:noProof/>
                <w:szCs w:val="20"/>
              </w:rPr>
            </w:pPr>
            <w:r>
              <w:rPr>
                <w:noProof/>
              </w:rPr>
              <w:t>Nosaukums</w:t>
            </w:r>
          </w:p>
        </w:tc>
        <w:tc>
          <w:tcPr>
            <w:tcW w:w="1278" w:type="dxa"/>
            <w:vMerge w:val="restart"/>
            <w:shd w:val="clear" w:color="auto" w:fill="BDD7EE"/>
            <w:vAlign w:val="center"/>
            <w:hideMark/>
          </w:tcPr>
          <w:p w14:paraId="2D425EC5" w14:textId="77777777" w:rsidR="00CB0FCB" w:rsidRDefault="009D2B11">
            <w:pPr>
              <w:pStyle w:val="P68B1DB1-Normal16"/>
              <w:spacing w:after="0" w:line="240" w:lineRule="auto"/>
              <w:jc w:val="center"/>
              <w:rPr>
                <w:rFonts w:eastAsia="Times New Roman" w:cs="Times New Roman"/>
                <w:noProof/>
                <w:szCs w:val="20"/>
              </w:rPr>
            </w:pPr>
            <w:r>
              <w:rPr>
                <w:noProof/>
              </w:rPr>
              <w:t>Kvalitatīvie rādītāji (atskaites punktiem)</w:t>
            </w:r>
          </w:p>
        </w:tc>
        <w:tc>
          <w:tcPr>
            <w:tcW w:w="3000" w:type="dxa"/>
            <w:gridSpan w:val="3"/>
            <w:shd w:val="clear" w:color="auto" w:fill="BDD7EE"/>
            <w:vAlign w:val="center"/>
            <w:hideMark/>
          </w:tcPr>
          <w:p w14:paraId="663A8973" w14:textId="77777777" w:rsidR="00CB0FCB" w:rsidRDefault="009D2B11">
            <w:pPr>
              <w:pStyle w:val="P68B1DB1-Normal16"/>
              <w:spacing w:after="0" w:line="240" w:lineRule="auto"/>
              <w:jc w:val="center"/>
              <w:rPr>
                <w:rFonts w:eastAsia="Times New Roman" w:cs="Times New Roman"/>
                <w:noProof/>
                <w:szCs w:val="20"/>
              </w:rPr>
            </w:pPr>
            <w:r>
              <w:rPr>
                <w:noProof/>
              </w:rPr>
              <w:t>Kvantitatīvie rādītāji (mērķrādītājiem)</w:t>
            </w:r>
          </w:p>
        </w:tc>
        <w:tc>
          <w:tcPr>
            <w:tcW w:w="1800" w:type="dxa"/>
            <w:gridSpan w:val="2"/>
            <w:shd w:val="clear" w:color="auto" w:fill="BDD7EE"/>
            <w:vAlign w:val="center"/>
            <w:hideMark/>
          </w:tcPr>
          <w:p w14:paraId="6EB7F178" w14:textId="77777777" w:rsidR="00CB0FCB" w:rsidRDefault="009D2B11">
            <w:pPr>
              <w:pStyle w:val="P68B1DB1-Normal16"/>
              <w:spacing w:after="0" w:line="240" w:lineRule="auto"/>
              <w:jc w:val="center"/>
              <w:rPr>
                <w:rFonts w:eastAsia="Times New Roman" w:cs="Times New Roman"/>
                <w:noProof/>
                <w:szCs w:val="20"/>
              </w:rPr>
            </w:pPr>
            <w:r>
              <w:rPr>
                <w:noProof/>
              </w:rPr>
              <w:t>Orientējošs pabeigšanas termiņš</w:t>
            </w:r>
          </w:p>
        </w:tc>
        <w:tc>
          <w:tcPr>
            <w:tcW w:w="4848" w:type="dxa"/>
            <w:vMerge w:val="restart"/>
            <w:shd w:val="clear" w:color="auto" w:fill="BDD7EE"/>
            <w:vAlign w:val="center"/>
            <w:hideMark/>
          </w:tcPr>
          <w:p w14:paraId="21B769A1" w14:textId="77777777" w:rsidR="00CB0FCB" w:rsidRDefault="009D2B11">
            <w:pPr>
              <w:pStyle w:val="P68B1DB1-Normal16"/>
              <w:spacing w:after="0" w:line="240" w:lineRule="auto"/>
              <w:jc w:val="center"/>
              <w:rPr>
                <w:rFonts w:eastAsia="Times New Roman" w:cs="Times New Roman"/>
                <w:noProof/>
                <w:szCs w:val="20"/>
              </w:rPr>
            </w:pPr>
            <w:r>
              <w:rPr>
                <w:noProof/>
              </w:rPr>
              <w:t>Apraksts par katru atskaites punktu un mērķrādītāju</w:t>
            </w:r>
          </w:p>
        </w:tc>
      </w:tr>
      <w:tr w:rsidR="00CB0FCB" w14:paraId="2392B254" w14:textId="77777777">
        <w:trPr>
          <w:trHeight w:val="581"/>
          <w:tblHeader/>
          <w:jc w:val="center"/>
        </w:trPr>
        <w:tc>
          <w:tcPr>
            <w:tcW w:w="988" w:type="dxa"/>
            <w:vMerge/>
            <w:vAlign w:val="center"/>
            <w:hideMark/>
          </w:tcPr>
          <w:p w14:paraId="28B85E67" w14:textId="77777777" w:rsidR="00CB0FCB" w:rsidRDefault="00CB0FCB">
            <w:pPr>
              <w:spacing w:after="0" w:line="240" w:lineRule="auto"/>
              <w:rPr>
                <w:rFonts w:ascii="Times New Roman" w:eastAsia="Times New Roman" w:hAnsi="Times New Roman" w:cs="Times New Roman"/>
                <w:b/>
                <w:bCs/>
                <w:noProof/>
                <w:sz w:val="24"/>
                <w:szCs w:val="24"/>
              </w:rPr>
            </w:pPr>
          </w:p>
        </w:tc>
        <w:tc>
          <w:tcPr>
            <w:tcW w:w="1559" w:type="dxa"/>
            <w:vMerge/>
            <w:vAlign w:val="center"/>
            <w:hideMark/>
          </w:tcPr>
          <w:p w14:paraId="440A5D20" w14:textId="77777777" w:rsidR="00CB0FCB" w:rsidRDefault="00CB0FCB">
            <w:pPr>
              <w:spacing w:after="0" w:line="240" w:lineRule="auto"/>
              <w:rPr>
                <w:rFonts w:ascii="Times New Roman" w:eastAsia="Times New Roman" w:hAnsi="Times New Roman" w:cs="Times New Roman"/>
                <w:b/>
                <w:bCs/>
                <w:noProof/>
                <w:sz w:val="24"/>
                <w:szCs w:val="24"/>
              </w:rPr>
            </w:pPr>
          </w:p>
        </w:tc>
        <w:tc>
          <w:tcPr>
            <w:tcW w:w="1134" w:type="dxa"/>
            <w:vMerge/>
            <w:vAlign w:val="center"/>
            <w:hideMark/>
          </w:tcPr>
          <w:p w14:paraId="5CA367F2" w14:textId="77777777" w:rsidR="00CB0FCB" w:rsidRDefault="00CB0FCB">
            <w:pPr>
              <w:spacing w:after="0" w:line="240" w:lineRule="auto"/>
              <w:rPr>
                <w:rFonts w:ascii="Times New Roman" w:eastAsia="Times New Roman" w:hAnsi="Times New Roman" w:cs="Times New Roman"/>
                <w:b/>
                <w:bCs/>
                <w:noProof/>
                <w:sz w:val="24"/>
                <w:szCs w:val="24"/>
              </w:rPr>
            </w:pPr>
          </w:p>
        </w:tc>
        <w:tc>
          <w:tcPr>
            <w:tcW w:w="1276" w:type="dxa"/>
            <w:vMerge/>
            <w:vAlign w:val="center"/>
            <w:hideMark/>
          </w:tcPr>
          <w:p w14:paraId="03D78828" w14:textId="77777777" w:rsidR="00CB0FCB" w:rsidRDefault="00CB0FCB">
            <w:pPr>
              <w:spacing w:after="0" w:line="240" w:lineRule="auto"/>
              <w:rPr>
                <w:rFonts w:ascii="Times New Roman" w:eastAsia="Times New Roman" w:hAnsi="Times New Roman" w:cs="Times New Roman"/>
                <w:b/>
                <w:bCs/>
                <w:noProof/>
                <w:sz w:val="24"/>
                <w:szCs w:val="24"/>
              </w:rPr>
            </w:pPr>
          </w:p>
        </w:tc>
        <w:tc>
          <w:tcPr>
            <w:tcW w:w="1278" w:type="dxa"/>
            <w:vMerge/>
            <w:vAlign w:val="center"/>
            <w:hideMark/>
          </w:tcPr>
          <w:p w14:paraId="7E8F26D1" w14:textId="77777777" w:rsidR="00CB0FCB" w:rsidRDefault="00CB0FCB">
            <w:pPr>
              <w:spacing w:after="0" w:line="240" w:lineRule="auto"/>
              <w:rPr>
                <w:rFonts w:ascii="Times New Roman" w:eastAsia="Times New Roman" w:hAnsi="Times New Roman" w:cs="Times New Roman"/>
                <w:b/>
                <w:bCs/>
                <w:noProof/>
                <w:sz w:val="24"/>
                <w:szCs w:val="24"/>
              </w:rPr>
            </w:pPr>
          </w:p>
        </w:tc>
        <w:tc>
          <w:tcPr>
            <w:tcW w:w="1200" w:type="dxa"/>
            <w:shd w:val="clear" w:color="auto" w:fill="BDD7EE"/>
            <w:vAlign w:val="center"/>
            <w:hideMark/>
          </w:tcPr>
          <w:p w14:paraId="54D11A48"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1080" w:type="dxa"/>
            <w:shd w:val="clear" w:color="auto" w:fill="BDD7EE"/>
            <w:vAlign w:val="center"/>
            <w:hideMark/>
          </w:tcPr>
          <w:p w14:paraId="74EA2DD2" w14:textId="77777777" w:rsidR="00CB0FCB" w:rsidRDefault="009D2B11">
            <w:pPr>
              <w:pStyle w:val="P68B1DB1-Normal7"/>
              <w:spacing w:after="0" w:line="240" w:lineRule="auto"/>
              <w:jc w:val="center"/>
              <w:rPr>
                <w:rFonts w:eastAsia="Times New Roman" w:cs="Times New Roman"/>
                <w:noProof/>
                <w:szCs w:val="18"/>
              </w:rPr>
            </w:pPr>
            <w:r>
              <w:rPr>
                <w:noProof/>
              </w:rPr>
              <w:t>Pamatscenārijs</w:t>
            </w:r>
          </w:p>
        </w:tc>
        <w:tc>
          <w:tcPr>
            <w:tcW w:w="720" w:type="dxa"/>
            <w:shd w:val="clear" w:color="auto" w:fill="BDD7EE"/>
            <w:vAlign w:val="center"/>
            <w:hideMark/>
          </w:tcPr>
          <w:p w14:paraId="56ECC02F" w14:textId="77777777" w:rsidR="00CB0FCB" w:rsidRDefault="009D2B11">
            <w:pPr>
              <w:pStyle w:val="P68B1DB1-Normal7"/>
              <w:spacing w:after="0" w:line="240" w:lineRule="auto"/>
              <w:jc w:val="center"/>
              <w:rPr>
                <w:rFonts w:eastAsia="Times New Roman" w:cs="Times New Roman"/>
                <w:noProof/>
                <w:szCs w:val="18"/>
              </w:rPr>
            </w:pPr>
            <w:r>
              <w:rPr>
                <w:noProof/>
              </w:rPr>
              <w:t>Mērķis</w:t>
            </w:r>
          </w:p>
        </w:tc>
        <w:tc>
          <w:tcPr>
            <w:tcW w:w="960" w:type="dxa"/>
            <w:shd w:val="clear" w:color="auto" w:fill="BDD7EE"/>
            <w:vAlign w:val="center"/>
            <w:hideMark/>
          </w:tcPr>
          <w:p w14:paraId="53959E52"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840" w:type="dxa"/>
            <w:shd w:val="clear" w:color="auto" w:fill="BDD7EE"/>
            <w:vAlign w:val="center"/>
            <w:hideMark/>
          </w:tcPr>
          <w:p w14:paraId="2DE78210"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4848" w:type="dxa"/>
            <w:vMerge/>
            <w:vAlign w:val="center"/>
            <w:hideMark/>
          </w:tcPr>
          <w:p w14:paraId="25756439" w14:textId="77777777" w:rsidR="00CB0FCB" w:rsidRDefault="00CB0FCB">
            <w:pPr>
              <w:spacing w:after="0" w:line="240" w:lineRule="auto"/>
              <w:rPr>
                <w:rFonts w:ascii="Times New Roman" w:eastAsia="Times New Roman" w:hAnsi="Times New Roman" w:cs="Times New Roman"/>
                <w:b/>
                <w:bCs/>
                <w:noProof/>
                <w:sz w:val="24"/>
                <w:szCs w:val="24"/>
              </w:rPr>
            </w:pPr>
          </w:p>
        </w:tc>
      </w:tr>
      <w:tr w:rsidR="00CB0FCB" w14:paraId="10359369" w14:textId="77777777">
        <w:trPr>
          <w:trHeight w:val="314"/>
          <w:jc w:val="center"/>
        </w:trPr>
        <w:tc>
          <w:tcPr>
            <w:tcW w:w="988" w:type="dxa"/>
            <w:shd w:val="clear" w:color="auto" w:fill="C6EFCE"/>
            <w:noWrap/>
          </w:tcPr>
          <w:p w14:paraId="1F80C8E6" w14:textId="5E4A209E" w:rsidR="00CB0FCB" w:rsidRDefault="009D2B11">
            <w:pPr>
              <w:pStyle w:val="P68B1DB1-Normal9"/>
              <w:spacing w:after="0" w:line="240" w:lineRule="auto"/>
              <w:rPr>
                <w:rFonts w:eastAsia="Times New Roman" w:cs="Calibri"/>
                <w:noProof/>
              </w:rPr>
            </w:pPr>
            <w:r>
              <w:rPr>
                <w:noProof/>
              </w:rPr>
              <w:t>374</w:t>
            </w:r>
          </w:p>
        </w:tc>
        <w:tc>
          <w:tcPr>
            <w:tcW w:w="1559" w:type="dxa"/>
            <w:shd w:val="clear" w:color="auto" w:fill="C6EFCE"/>
            <w:noWrap/>
          </w:tcPr>
          <w:p w14:paraId="2AA7D175" w14:textId="77777777" w:rsidR="00CB0FCB" w:rsidRDefault="009D2B11">
            <w:pPr>
              <w:pStyle w:val="P68B1DB1-Normal9"/>
              <w:spacing w:after="0" w:line="240" w:lineRule="auto"/>
              <w:rPr>
                <w:rFonts w:eastAsia="Times New Roman" w:cs="Calibri"/>
                <w:noProof/>
                <w:szCs w:val="18"/>
              </w:rPr>
            </w:pPr>
            <w:r>
              <w:rPr>
                <w:noProof/>
              </w:rPr>
              <w:t>2–1.2. Renovate — 16401_ Enerģijas modernizācijas programma “Atjaunināt manu māju”</w:t>
            </w:r>
          </w:p>
        </w:tc>
        <w:tc>
          <w:tcPr>
            <w:tcW w:w="1134" w:type="dxa"/>
            <w:shd w:val="clear" w:color="auto" w:fill="C6EFCE"/>
            <w:noWrap/>
          </w:tcPr>
          <w:p w14:paraId="031B4E4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6" w:type="dxa"/>
            <w:shd w:val="clear" w:color="auto" w:fill="C6EFCE"/>
            <w:noWrap/>
          </w:tcPr>
          <w:p w14:paraId="49977673" w14:textId="5DC50762" w:rsidR="00CB0FCB" w:rsidRDefault="009D2B11">
            <w:pPr>
              <w:pStyle w:val="P68B1DB1-Normal9"/>
              <w:spacing w:after="0" w:line="240" w:lineRule="auto"/>
              <w:rPr>
                <w:rFonts w:eastAsia="Times New Roman" w:cs="Calibri"/>
                <w:noProof/>
                <w:szCs w:val="18"/>
              </w:rPr>
            </w:pPr>
            <w:r>
              <w:rPr>
                <w:noProof/>
              </w:rPr>
              <w:t>Manas mājas modernizācija — īstenošanas nolīgums starp Grieķijas Attīstības banku un Finanšu ministriju</w:t>
            </w:r>
          </w:p>
        </w:tc>
        <w:tc>
          <w:tcPr>
            <w:tcW w:w="1278" w:type="dxa"/>
            <w:shd w:val="clear" w:color="auto" w:fill="C6EFCE"/>
            <w:noWrap/>
          </w:tcPr>
          <w:p w14:paraId="52A80680" w14:textId="789F176C" w:rsidR="00CB0FCB" w:rsidRDefault="009D2B11">
            <w:pPr>
              <w:pStyle w:val="P68B1DB1-Normal9"/>
              <w:spacing w:after="0" w:line="240" w:lineRule="auto"/>
              <w:rPr>
                <w:noProof/>
              </w:rPr>
            </w:pPr>
            <w:r>
              <w:rPr>
                <w:noProof/>
              </w:rPr>
              <w:t>Īstenošanas nolīguma stāšanās spēkā</w:t>
            </w:r>
          </w:p>
        </w:tc>
        <w:tc>
          <w:tcPr>
            <w:tcW w:w="1200" w:type="dxa"/>
            <w:shd w:val="clear" w:color="auto" w:fill="C6EFCE"/>
            <w:noWrap/>
          </w:tcPr>
          <w:p w14:paraId="130E3C7C" w14:textId="77777777" w:rsidR="00CB0FCB" w:rsidRDefault="00CB0FCB">
            <w:pPr>
              <w:spacing w:after="0" w:line="240" w:lineRule="auto"/>
              <w:rPr>
                <w:noProof/>
                <w:color w:val="006100"/>
                <w:sz w:val="18"/>
              </w:rPr>
            </w:pPr>
          </w:p>
        </w:tc>
        <w:tc>
          <w:tcPr>
            <w:tcW w:w="1080" w:type="dxa"/>
            <w:shd w:val="clear" w:color="auto" w:fill="C6EFCE"/>
            <w:noWrap/>
          </w:tcPr>
          <w:p w14:paraId="24332EAD" w14:textId="77777777" w:rsidR="00CB0FCB" w:rsidRDefault="00CB0FCB">
            <w:pPr>
              <w:spacing w:after="0" w:line="240" w:lineRule="auto"/>
              <w:rPr>
                <w:noProof/>
                <w:color w:val="006100"/>
                <w:sz w:val="18"/>
              </w:rPr>
            </w:pPr>
          </w:p>
        </w:tc>
        <w:tc>
          <w:tcPr>
            <w:tcW w:w="720" w:type="dxa"/>
            <w:shd w:val="clear" w:color="auto" w:fill="C6EFCE"/>
            <w:noWrap/>
          </w:tcPr>
          <w:p w14:paraId="5A925D37" w14:textId="77777777" w:rsidR="00CB0FCB" w:rsidRDefault="00CB0FCB">
            <w:pPr>
              <w:spacing w:after="0" w:line="240" w:lineRule="auto"/>
              <w:rPr>
                <w:noProof/>
                <w:color w:val="006100"/>
                <w:sz w:val="18"/>
              </w:rPr>
            </w:pPr>
          </w:p>
        </w:tc>
        <w:tc>
          <w:tcPr>
            <w:tcW w:w="960" w:type="dxa"/>
            <w:shd w:val="clear" w:color="auto" w:fill="C6EFCE"/>
            <w:noWrap/>
          </w:tcPr>
          <w:p w14:paraId="3C0EF3ED" w14:textId="77777777" w:rsidR="00CB0FCB" w:rsidRDefault="009D2B11">
            <w:pPr>
              <w:pStyle w:val="P68B1DB1-Normal9"/>
              <w:spacing w:after="0" w:line="240" w:lineRule="auto"/>
              <w:rPr>
                <w:noProof/>
              </w:rPr>
            </w:pPr>
            <w:r>
              <w:rPr>
                <w:noProof/>
              </w:rPr>
              <w:t>4. CET.</w:t>
            </w:r>
          </w:p>
        </w:tc>
        <w:tc>
          <w:tcPr>
            <w:tcW w:w="840" w:type="dxa"/>
            <w:shd w:val="clear" w:color="auto" w:fill="C6EFCE"/>
            <w:noWrap/>
          </w:tcPr>
          <w:p w14:paraId="24B0A8FC" w14:textId="77777777" w:rsidR="00CB0FCB" w:rsidRDefault="009D2B11">
            <w:pPr>
              <w:pStyle w:val="P68B1DB1-Normal9"/>
              <w:spacing w:after="0" w:line="240" w:lineRule="auto"/>
              <w:rPr>
                <w:noProof/>
              </w:rPr>
            </w:pPr>
            <w:r>
              <w:rPr>
                <w:noProof/>
              </w:rPr>
              <w:t>2024</w:t>
            </w:r>
          </w:p>
        </w:tc>
        <w:tc>
          <w:tcPr>
            <w:tcW w:w="4848" w:type="dxa"/>
            <w:shd w:val="clear" w:color="auto" w:fill="C6EFCE"/>
            <w:noWrap/>
          </w:tcPr>
          <w:p w14:paraId="284F95E1" w14:textId="4F21C0EE" w:rsidR="00CB0FCB" w:rsidRDefault="009D2B11">
            <w:pPr>
              <w:pStyle w:val="P68B1DB1-Normal9"/>
              <w:spacing w:after="0" w:line="240" w:lineRule="auto"/>
              <w:rPr>
                <w:noProof/>
              </w:rPr>
            </w:pPr>
            <w:r>
              <w:rPr>
                <w:noProof/>
              </w:rPr>
              <w:t>Īstenošanas nolīguma stāšanās spēkā.</w:t>
            </w:r>
          </w:p>
        </w:tc>
      </w:tr>
      <w:tr w:rsidR="00CB0FCB" w14:paraId="5F424647" w14:textId="77777777">
        <w:trPr>
          <w:trHeight w:val="314"/>
          <w:jc w:val="center"/>
        </w:trPr>
        <w:tc>
          <w:tcPr>
            <w:tcW w:w="988" w:type="dxa"/>
            <w:shd w:val="clear" w:color="auto" w:fill="C6EFCE"/>
            <w:noWrap/>
            <w:hideMark/>
          </w:tcPr>
          <w:p w14:paraId="28CE16B1" w14:textId="768DDE50" w:rsidR="00CB0FCB" w:rsidRDefault="009D2B11">
            <w:pPr>
              <w:pStyle w:val="P68B1DB1-Normal9"/>
              <w:spacing w:after="0" w:line="240" w:lineRule="auto"/>
              <w:rPr>
                <w:noProof/>
              </w:rPr>
            </w:pPr>
            <w:r>
              <w:rPr>
                <w:noProof/>
              </w:rPr>
              <w:t>375</w:t>
            </w:r>
          </w:p>
        </w:tc>
        <w:tc>
          <w:tcPr>
            <w:tcW w:w="1559" w:type="dxa"/>
            <w:shd w:val="clear" w:color="auto" w:fill="C6EFCE"/>
            <w:noWrap/>
            <w:hideMark/>
          </w:tcPr>
          <w:p w14:paraId="054952FB" w14:textId="77777777" w:rsidR="00CB0FCB" w:rsidRDefault="009D2B11">
            <w:pPr>
              <w:pStyle w:val="P68B1DB1-Normal9"/>
              <w:spacing w:after="0" w:line="240" w:lineRule="auto"/>
              <w:rPr>
                <w:rFonts w:eastAsia="Times New Roman" w:cs="Calibri"/>
                <w:noProof/>
                <w:szCs w:val="18"/>
              </w:rPr>
            </w:pPr>
            <w:r>
              <w:rPr>
                <w:noProof/>
              </w:rPr>
              <w:t>2–1.2. Renovate — 16401_ Enerģijas modernizācijas programma “Atjaunināt manu māju”</w:t>
            </w:r>
          </w:p>
        </w:tc>
        <w:tc>
          <w:tcPr>
            <w:tcW w:w="1134" w:type="dxa"/>
            <w:shd w:val="clear" w:color="auto" w:fill="C6EFCE"/>
            <w:noWrap/>
          </w:tcPr>
          <w:p w14:paraId="69011004" w14:textId="77777777" w:rsidR="00CB0FCB" w:rsidRDefault="009D2B11">
            <w:pPr>
              <w:pStyle w:val="P68B1DB1-Normal17"/>
              <w:spacing w:after="0" w:line="240" w:lineRule="auto"/>
              <w:rPr>
                <w:noProof/>
              </w:rPr>
            </w:pPr>
            <w:r>
              <w:rPr>
                <w:noProof/>
              </w:rPr>
              <w:t>Mērķa</w:t>
            </w:r>
          </w:p>
        </w:tc>
        <w:tc>
          <w:tcPr>
            <w:tcW w:w="1276" w:type="dxa"/>
            <w:shd w:val="clear" w:color="auto" w:fill="C6EFCE"/>
            <w:noWrap/>
          </w:tcPr>
          <w:p w14:paraId="68D0696E" w14:textId="1771D1D3" w:rsidR="00CB0FCB" w:rsidRDefault="009D2B11">
            <w:pPr>
              <w:pStyle w:val="P68B1DB1-Normal9"/>
              <w:spacing w:after="0" w:line="240" w:lineRule="auto"/>
              <w:rPr>
                <w:rFonts w:eastAsia="Times New Roman" w:cs="Calibri"/>
                <w:noProof/>
                <w:szCs w:val="18"/>
              </w:rPr>
            </w:pPr>
            <w:r>
              <w:rPr>
                <w:noProof/>
              </w:rPr>
              <w:t xml:space="preserve">Manas dzīvesvietas uzlabošana — </w:t>
            </w:r>
            <w:r>
              <w:rPr>
                <w:rFonts w:eastAsia="Times New Roman" w:cs="Calibri"/>
                <w:noProof/>
                <w:szCs w:val="18"/>
              </w:rPr>
              <w:t>ar galasaņēmējiem parakstītie juridiskie nolīgumi — 50 %</w:t>
            </w:r>
          </w:p>
        </w:tc>
        <w:tc>
          <w:tcPr>
            <w:tcW w:w="1278" w:type="dxa"/>
            <w:shd w:val="clear" w:color="auto" w:fill="C6EFCE"/>
            <w:noWrap/>
          </w:tcPr>
          <w:p w14:paraId="1E698418" w14:textId="77777777" w:rsidR="00CB0FCB" w:rsidRDefault="00CB0FCB">
            <w:pPr>
              <w:spacing w:after="0" w:line="240" w:lineRule="auto"/>
              <w:rPr>
                <w:rFonts w:eastAsia="Times New Roman" w:cs="Calibri"/>
                <w:noProof/>
                <w:color w:val="006100"/>
                <w:sz w:val="18"/>
                <w:szCs w:val="18"/>
              </w:rPr>
            </w:pPr>
          </w:p>
        </w:tc>
        <w:tc>
          <w:tcPr>
            <w:tcW w:w="1200" w:type="dxa"/>
            <w:shd w:val="clear" w:color="auto" w:fill="C6EFCE"/>
            <w:noWrap/>
          </w:tcPr>
          <w:p w14:paraId="50FD4C1B" w14:textId="77777777" w:rsidR="00CB0FCB" w:rsidRDefault="009D2B11">
            <w:pPr>
              <w:pStyle w:val="P68B1DB1-Normal9"/>
              <w:spacing w:after="0" w:line="240" w:lineRule="auto"/>
              <w:rPr>
                <w:rFonts w:eastAsia="Times New Roman" w:cs="Calibri"/>
                <w:noProof/>
                <w:szCs w:val="18"/>
              </w:rPr>
            </w:pPr>
            <w:r>
              <w:rPr>
                <w:noProof/>
              </w:rPr>
              <w:t>Procentuālā daļa (%)</w:t>
            </w:r>
          </w:p>
        </w:tc>
        <w:tc>
          <w:tcPr>
            <w:tcW w:w="1080" w:type="dxa"/>
            <w:shd w:val="clear" w:color="auto" w:fill="C6EFCE"/>
            <w:noWrap/>
          </w:tcPr>
          <w:p w14:paraId="205D9B46" w14:textId="77777777" w:rsidR="00CB0FCB" w:rsidRDefault="009D2B11">
            <w:pPr>
              <w:pStyle w:val="P68B1DB1-Normal9"/>
              <w:spacing w:after="0" w:line="240" w:lineRule="auto"/>
              <w:rPr>
                <w:rFonts w:eastAsia="Times New Roman" w:cs="Calibri"/>
                <w:noProof/>
                <w:szCs w:val="18"/>
              </w:rPr>
            </w:pPr>
            <w:r>
              <w:rPr>
                <w:noProof/>
              </w:rPr>
              <w:t>0 %</w:t>
            </w:r>
          </w:p>
        </w:tc>
        <w:tc>
          <w:tcPr>
            <w:tcW w:w="720" w:type="dxa"/>
            <w:shd w:val="clear" w:color="auto" w:fill="C6EFCE"/>
            <w:noWrap/>
          </w:tcPr>
          <w:p w14:paraId="421AA2BF" w14:textId="77777777" w:rsidR="00CB0FCB" w:rsidRDefault="009D2B11">
            <w:pPr>
              <w:pStyle w:val="P68B1DB1-Normal9"/>
              <w:spacing w:after="0" w:line="240" w:lineRule="auto"/>
              <w:rPr>
                <w:rFonts w:eastAsia="Times New Roman" w:cs="Calibri"/>
                <w:noProof/>
                <w:szCs w:val="18"/>
              </w:rPr>
            </w:pPr>
            <w:r>
              <w:rPr>
                <w:noProof/>
              </w:rPr>
              <w:t>50 %</w:t>
            </w:r>
          </w:p>
        </w:tc>
        <w:tc>
          <w:tcPr>
            <w:tcW w:w="960" w:type="dxa"/>
            <w:shd w:val="clear" w:color="auto" w:fill="C6EFCE"/>
            <w:noWrap/>
          </w:tcPr>
          <w:p w14:paraId="12E25CD2"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shd w:val="clear" w:color="auto" w:fill="C6EFCE"/>
            <w:noWrap/>
          </w:tcPr>
          <w:p w14:paraId="110F9931" w14:textId="77777777" w:rsidR="00CB0FCB" w:rsidRDefault="009D2B11">
            <w:pPr>
              <w:pStyle w:val="P68B1DB1-Normal9"/>
              <w:spacing w:after="0" w:line="240" w:lineRule="auto"/>
              <w:rPr>
                <w:rFonts w:eastAsia="Times New Roman" w:cs="Calibri"/>
                <w:noProof/>
                <w:szCs w:val="18"/>
              </w:rPr>
            </w:pPr>
            <w:r>
              <w:rPr>
                <w:noProof/>
              </w:rPr>
              <w:t>2025</w:t>
            </w:r>
          </w:p>
        </w:tc>
        <w:tc>
          <w:tcPr>
            <w:tcW w:w="4848" w:type="dxa"/>
            <w:shd w:val="clear" w:color="auto" w:fill="C6EFCE"/>
            <w:noWrap/>
          </w:tcPr>
          <w:p w14:paraId="1E74A96C" w14:textId="0A1E401F" w:rsidR="00CB0FCB" w:rsidRDefault="009D2B11">
            <w:pPr>
              <w:pStyle w:val="P68B1DB1-Normal9"/>
              <w:spacing w:line="240" w:lineRule="auto"/>
              <w:jc w:val="both"/>
              <w:rPr>
                <w:noProof/>
              </w:rPr>
            </w:pPr>
            <w:r>
              <w:rPr>
                <w:noProof/>
              </w:rPr>
              <w:t>Finanšu starpnieki ir noslēguši juridiskus finansēšanas nolīgumus ar galasaņēmējiem par summu, kas nepieciešama, lai izmantotu vismaz 50 % no ANM investīcijām mehānismā (ņemot vērā pārvaldības maksas).</w:t>
            </w:r>
          </w:p>
          <w:p w14:paraId="7C9445AF" w14:textId="77777777" w:rsidR="00CB0FCB" w:rsidRDefault="009D2B11">
            <w:pPr>
              <w:pStyle w:val="P68B1DB1-Normal9"/>
              <w:spacing w:after="0" w:line="240" w:lineRule="auto"/>
              <w:rPr>
                <w:rFonts w:eastAsia="Times New Roman" w:cs="Calibri"/>
                <w:noProof/>
                <w:szCs w:val="18"/>
              </w:rPr>
            </w:pPr>
            <w:r>
              <w:rPr>
                <w:noProof/>
              </w:rPr>
              <w:t>Grieķijas Attīstības banka, izmantojot ANM regulas VI pielikumā izklāstīto metodiku, sagatavo ziņojumu, kurā sīki izklāstīta šā finansējuma procentuālā daļa, kas veicina klimata mērķu sasniegšanu.</w:t>
            </w:r>
          </w:p>
        </w:tc>
      </w:tr>
      <w:tr w:rsidR="00CB0FCB" w14:paraId="2B113F27" w14:textId="77777777">
        <w:trPr>
          <w:trHeight w:val="314"/>
          <w:jc w:val="center"/>
        </w:trPr>
        <w:tc>
          <w:tcPr>
            <w:tcW w:w="988" w:type="dxa"/>
            <w:shd w:val="clear" w:color="auto" w:fill="C6EFCE"/>
            <w:noWrap/>
          </w:tcPr>
          <w:p w14:paraId="0C8F0DCE" w14:textId="0C4DDC18" w:rsidR="00CB0FCB" w:rsidRDefault="009D2B11">
            <w:pPr>
              <w:pStyle w:val="P68B1DB1-Normal9"/>
              <w:spacing w:after="0" w:line="240" w:lineRule="auto"/>
              <w:rPr>
                <w:noProof/>
              </w:rPr>
            </w:pPr>
            <w:r>
              <w:rPr>
                <w:noProof/>
              </w:rPr>
              <w:t>376</w:t>
            </w:r>
          </w:p>
        </w:tc>
        <w:tc>
          <w:tcPr>
            <w:tcW w:w="1559" w:type="dxa"/>
            <w:shd w:val="clear" w:color="auto" w:fill="C6EFCE"/>
            <w:noWrap/>
          </w:tcPr>
          <w:p w14:paraId="67113C8C" w14:textId="77777777" w:rsidR="00CB0FCB" w:rsidRDefault="009D2B11">
            <w:pPr>
              <w:pStyle w:val="P68B1DB1-Normal9"/>
              <w:spacing w:after="0" w:line="240" w:lineRule="auto"/>
              <w:rPr>
                <w:noProof/>
              </w:rPr>
            </w:pPr>
            <w:r>
              <w:rPr>
                <w:noProof/>
              </w:rPr>
              <w:t>2–1.2. Renovate — 16401_ Enerģijas modernizācijas programma “Atjaunināt manu māju”</w:t>
            </w:r>
          </w:p>
        </w:tc>
        <w:tc>
          <w:tcPr>
            <w:tcW w:w="1134" w:type="dxa"/>
            <w:shd w:val="clear" w:color="auto" w:fill="C6EFCE"/>
            <w:noWrap/>
          </w:tcPr>
          <w:p w14:paraId="1B4CC737" w14:textId="77777777" w:rsidR="00CB0FCB" w:rsidRDefault="009D2B11">
            <w:pPr>
              <w:pStyle w:val="P68B1DB1-Normal17"/>
              <w:spacing w:after="0" w:line="240" w:lineRule="auto"/>
              <w:rPr>
                <w:noProof/>
              </w:rPr>
            </w:pPr>
            <w:r>
              <w:rPr>
                <w:noProof/>
              </w:rPr>
              <w:t>Mērķa</w:t>
            </w:r>
          </w:p>
        </w:tc>
        <w:tc>
          <w:tcPr>
            <w:tcW w:w="1276" w:type="dxa"/>
            <w:shd w:val="clear" w:color="auto" w:fill="C6EFCE"/>
            <w:noWrap/>
          </w:tcPr>
          <w:p w14:paraId="6B834239" w14:textId="6BFEF24C" w:rsidR="00CB0FCB" w:rsidRDefault="009D2B11">
            <w:pPr>
              <w:pStyle w:val="P68B1DB1-Normal9"/>
              <w:spacing w:after="0" w:line="240" w:lineRule="auto"/>
              <w:rPr>
                <w:rFonts w:eastAsia="Times New Roman" w:cs="Calibri"/>
                <w:noProof/>
                <w:szCs w:val="18"/>
              </w:rPr>
            </w:pPr>
            <w:r>
              <w:rPr>
                <w:noProof/>
              </w:rPr>
              <w:t xml:space="preserve">Manas dzīvesvietas uzlabošana — </w:t>
            </w:r>
            <w:r>
              <w:rPr>
                <w:rFonts w:eastAsia="Times New Roman" w:cs="Calibri"/>
                <w:noProof/>
                <w:szCs w:val="18"/>
              </w:rPr>
              <w:t>ar galasaņēmējiem parakstītie juridiskie nolīgumi — 100 %</w:t>
            </w:r>
          </w:p>
        </w:tc>
        <w:tc>
          <w:tcPr>
            <w:tcW w:w="1278" w:type="dxa"/>
            <w:shd w:val="clear" w:color="auto" w:fill="C6EFCE"/>
            <w:noWrap/>
          </w:tcPr>
          <w:p w14:paraId="25907C38" w14:textId="77777777" w:rsidR="00CB0FCB" w:rsidRDefault="00CB0FCB">
            <w:pPr>
              <w:spacing w:after="0" w:line="240" w:lineRule="auto"/>
              <w:rPr>
                <w:rFonts w:eastAsia="Times New Roman" w:cs="Calibri"/>
                <w:noProof/>
                <w:color w:val="006100"/>
                <w:sz w:val="18"/>
                <w:szCs w:val="18"/>
              </w:rPr>
            </w:pPr>
          </w:p>
        </w:tc>
        <w:tc>
          <w:tcPr>
            <w:tcW w:w="1200" w:type="dxa"/>
            <w:shd w:val="clear" w:color="auto" w:fill="C6EFCE"/>
            <w:noWrap/>
          </w:tcPr>
          <w:p w14:paraId="32FA3F65" w14:textId="77777777" w:rsidR="00CB0FCB" w:rsidRDefault="009D2B11">
            <w:pPr>
              <w:pStyle w:val="P68B1DB1-Normal9"/>
              <w:spacing w:after="0" w:line="240" w:lineRule="auto"/>
              <w:rPr>
                <w:rFonts w:eastAsia="Times New Roman" w:cs="Calibri"/>
                <w:noProof/>
                <w:szCs w:val="18"/>
              </w:rPr>
            </w:pPr>
            <w:r>
              <w:rPr>
                <w:noProof/>
              </w:rPr>
              <w:t>Procentuālā daļa (%)</w:t>
            </w:r>
          </w:p>
        </w:tc>
        <w:tc>
          <w:tcPr>
            <w:tcW w:w="1080" w:type="dxa"/>
            <w:shd w:val="clear" w:color="auto" w:fill="C6EFCE"/>
            <w:noWrap/>
          </w:tcPr>
          <w:p w14:paraId="455ED15E" w14:textId="77777777" w:rsidR="00CB0FCB" w:rsidRDefault="009D2B11">
            <w:pPr>
              <w:pStyle w:val="P68B1DB1-Normal9"/>
              <w:spacing w:after="0" w:line="240" w:lineRule="auto"/>
              <w:rPr>
                <w:rFonts w:eastAsia="Times New Roman" w:cs="Calibri"/>
                <w:noProof/>
                <w:szCs w:val="18"/>
              </w:rPr>
            </w:pPr>
            <w:r>
              <w:rPr>
                <w:noProof/>
              </w:rPr>
              <w:t>50 %</w:t>
            </w:r>
          </w:p>
        </w:tc>
        <w:tc>
          <w:tcPr>
            <w:tcW w:w="720" w:type="dxa"/>
            <w:shd w:val="clear" w:color="auto" w:fill="C6EFCE"/>
            <w:noWrap/>
          </w:tcPr>
          <w:p w14:paraId="6192EE85" w14:textId="77777777" w:rsidR="00CB0FCB" w:rsidRDefault="009D2B11">
            <w:pPr>
              <w:pStyle w:val="P68B1DB1-Normal9"/>
              <w:spacing w:after="0" w:line="240" w:lineRule="auto"/>
              <w:rPr>
                <w:rFonts w:eastAsia="Times New Roman" w:cs="Calibri"/>
                <w:noProof/>
                <w:szCs w:val="18"/>
              </w:rPr>
            </w:pPr>
            <w:r>
              <w:rPr>
                <w:noProof/>
              </w:rPr>
              <w:t>100 %</w:t>
            </w:r>
          </w:p>
        </w:tc>
        <w:tc>
          <w:tcPr>
            <w:tcW w:w="960" w:type="dxa"/>
            <w:shd w:val="clear" w:color="auto" w:fill="C6EFCE"/>
            <w:noWrap/>
          </w:tcPr>
          <w:p w14:paraId="5CD54951"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shd w:val="clear" w:color="auto" w:fill="C6EFCE"/>
            <w:noWrap/>
          </w:tcPr>
          <w:p w14:paraId="7D6AA2EE" w14:textId="77777777" w:rsidR="00CB0FCB" w:rsidRDefault="009D2B11">
            <w:pPr>
              <w:pStyle w:val="P68B1DB1-Normal9"/>
              <w:spacing w:after="0" w:line="240" w:lineRule="auto"/>
              <w:rPr>
                <w:rFonts w:eastAsia="Times New Roman" w:cs="Calibri"/>
                <w:noProof/>
                <w:szCs w:val="18"/>
              </w:rPr>
            </w:pPr>
            <w:r>
              <w:rPr>
                <w:noProof/>
              </w:rPr>
              <w:t>2026</w:t>
            </w:r>
          </w:p>
        </w:tc>
        <w:tc>
          <w:tcPr>
            <w:tcW w:w="4848" w:type="dxa"/>
            <w:shd w:val="clear" w:color="auto" w:fill="C6EFCE"/>
            <w:noWrap/>
          </w:tcPr>
          <w:p w14:paraId="7EF983FC" w14:textId="23317591" w:rsidR="00CB0FCB" w:rsidRDefault="009D2B11">
            <w:pPr>
              <w:pStyle w:val="P68B1DB1-Normal9"/>
              <w:spacing w:line="240" w:lineRule="auto"/>
              <w:jc w:val="both"/>
              <w:rPr>
                <w:noProof/>
              </w:rPr>
            </w:pPr>
            <w:r>
              <w:rPr>
                <w:noProof/>
              </w:rPr>
              <w:t xml:space="preserve">Finanšu starpnieki ir noslēguši juridiskus finansēšanas nolīgumus ar galasaņēmējiem par summu, kas nepieciešama, lai izmantotu 100 % no ANM investīcijām mehānismā (ņemot vērā pārvaldības maksas). </w:t>
            </w:r>
          </w:p>
          <w:p w14:paraId="454960BE" w14:textId="77777777" w:rsidR="00CB0FCB" w:rsidRDefault="009D2B11">
            <w:pPr>
              <w:pStyle w:val="P68B1DB1-Normal9"/>
              <w:spacing w:after="0" w:line="240" w:lineRule="auto"/>
              <w:rPr>
                <w:rFonts w:eastAsia="Times New Roman" w:cs="Calibri"/>
                <w:noProof/>
                <w:szCs w:val="18"/>
              </w:rPr>
            </w:pPr>
            <w:r>
              <w:rPr>
                <w:noProof/>
              </w:rPr>
              <w:t>Vismaz 40 % no šā finansējuma veicina klimata mērķu sasniegšanu, izmantojot ANM regulas VI pielikumā izklāstīto metodiku.</w:t>
            </w:r>
          </w:p>
        </w:tc>
      </w:tr>
      <w:tr w:rsidR="00CB0FCB" w14:paraId="22B0A746" w14:textId="77777777">
        <w:trPr>
          <w:trHeight w:val="314"/>
          <w:jc w:val="center"/>
        </w:trPr>
        <w:tc>
          <w:tcPr>
            <w:tcW w:w="988" w:type="dxa"/>
            <w:shd w:val="clear" w:color="auto" w:fill="C6EFCE"/>
            <w:noWrap/>
          </w:tcPr>
          <w:p w14:paraId="4FB084BF" w14:textId="2FCA7B8C" w:rsidR="00CB0FCB" w:rsidRDefault="009D2B11">
            <w:pPr>
              <w:pStyle w:val="P68B1DB1-Normal9"/>
              <w:spacing w:after="0" w:line="240" w:lineRule="auto"/>
              <w:rPr>
                <w:rFonts w:eastAsia="Times New Roman" w:cs="Calibri"/>
                <w:noProof/>
              </w:rPr>
            </w:pPr>
            <w:r>
              <w:rPr>
                <w:noProof/>
              </w:rPr>
              <w:t>377</w:t>
            </w:r>
          </w:p>
        </w:tc>
        <w:tc>
          <w:tcPr>
            <w:tcW w:w="1559" w:type="dxa"/>
            <w:shd w:val="clear" w:color="auto" w:fill="C6EFCE"/>
            <w:noWrap/>
          </w:tcPr>
          <w:p w14:paraId="41E17B76" w14:textId="77777777" w:rsidR="00CB0FCB" w:rsidRDefault="009D2B11">
            <w:pPr>
              <w:pStyle w:val="P68B1DB1-Normal9"/>
              <w:spacing w:after="0" w:line="240" w:lineRule="auto"/>
              <w:rPr>
                <w:noProof/>
              </w:rPr>
            </w:pPr>
            <w:r>
              <w:rPr>
                <w:noProof/>
              </w:rPr>
              <w:t>2–1.2. Renovate — 16401_ Enerģijas modernizācijas programma “Atjaunināt manu māju”</w:t>
            </w:r>
          </w:p>
        </w:tc>
        <w:tc>
          <w:tcPr>
            <w:tcW w:w="1134" w:type="dxa"/>
            <w:shd w:val="clear" w:color="auto" w:fill="C6EFCE"/>
            <w:noWrap/>
          </w:tcPr>
          <w:p w14:paraId="024A432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6" w:type="dxa"/>
            <w:shd w:val="clear" w:color="auto" w:fill="C6EFCE"/>
            <w:noWrap/>
          </w:tcPr>
          <w:p w14:paraId="75FFB8A3" w14:textId="2E759667" w:rsidR="00CB0FCB" w:rsidRDefault="009D2B11">
            <w:pPr>
              <w:pStyle w:val="P68B1DB1-Normal9"/>
              <w:spacing w:after="0" w:line="240" w:lineRule="auto"/>
              <w:rPr>
                <w:rFonts w:eastAsia="Times New Roman" w:cs="Calibri"/>
                <w:noProof/>
                <w:szCs w:val="18"/>
              </w:rPr>
            </w:pPr>
            <w:r>
              <w:rPr>
                <w:noProof/>
              </w:rPr>
              <w:t>Manas mājas modernizācija — Finanšu ministrija ir pabeigusi ieguldījumu</w:t>
            </w:r>
          </w:p>
        </w:tc>
        <w:tc>
          <w:tcPr>
            <w:tcW w:w="1278" w:type="dxa"/>
            <w:shd w:val="clear" w:color="auto" w:fill="C6EFCE"/>
            <w:noWrap/>
          </w:tcPr>
          <w:p w14:paraId="6E5B3442" w14:textId="77777777" w:rsidR="00CB0FCB" w:rsidRDefault="009D2B11">
            <w:pPr>
              <w:pStyle w:val="P68B1DB1-Normal9"/>
              <w:spacing w:after="0" w:line="240" w:lineRule="auto"/>
              <w:rPr>
                <w:rFonts w:eastAsia="Times New Roman" w:cs="Calibri"/>
                <w:noProof/>
                <w:szCs w:val="18"/>
              </w:rPr>
            </w:pPr>
            <w:r>
              <w:rPr>
                <w:noProof/>
              </w:rPr>
              <w:t xml:space="preserve">Nodošanas sertifikāts </w:t>
            </w:r>
          </w:p>
        </w:tc>
        <w:tc>
          <w:tcPr>
            <w:tcW w:w="1200" w:type="dxa"/>
            <w:shd w:val="clear" w:color="auto" w:fill="C6EFCE"/>
            <w:noWrap/>
          </w:tcPr>
          <w:p w14:paraId="3BF0C03D" w14:textId="77777777" w:rsidR="00CB0FCB" w:rsidRDefault="00CB0FCB">
            <w:pPr>
              <w:spacing w:after="0" w:line="240" w:lineRule="auto"/>
              <w:rPr>
                <w:rFonts w:eastAsia="Times New Roman" w:cs="Calibri"/>
                <w:noProof/>
                <w:color w:val="006100"/>
                <w:sz w:val="18"/>
                <w:szCs w:val="18"/>
              </w:rPr>
            </w:pPr>
          </w:p>
        </w:tc>
        <w:tc>
          <w:tcPr>
            <w:tcW w:w="1080" w:type="dxa"/>
            <w:shd w:val="clear" w:color="auto" w:fill="C6EFCE"/>
            <w:noWrap/>
          </w:tcPr>
          <w:p w14:paraId="1E0BAC2B" w14:textId="77777777" w:rsidR="00CB0FCB" w:rsidRDefault="00CB0FCB">
            <w:pPr>
              <w:spacing w:after="0" w:line="240" w:lineRule="auto"/>
              <w:rPr>
                <w:rFonts w:eastAsia="Times New Roman" w:cs="Calibri"/>
                <w:noProof/>
                <w:color w:val="006100"/>
                <w:sz w:val="18"/>
                <w:szCs w:val="18"/>
              </w:rPr>
            </w:pPr>
          </w:p>
        </w:tc>
        <w:tc>
          <w:tcPr>
            <w:tcW w:w="720" w:type="dxa"/>
            <w:shd w:val="clear" w:color="auto" w:fill="C6EFCE"/>
            <w:noWrap/>
          </w:tcPr>
          <w:p w14:paraId="40D8B674" w14:textId="77777777" w:rsidR="00CB0FCB" w:rsidRDefault="00CB0FCB">
            <w:pPr>
              <w:spacing w:after="0" w:line="240" w:lineRule="auto"/>
              <w:rPr>
                <w:rFonts w:eastAsia="Times New Roman" w:cs="Calibri"/>
                <w:noProof/>
                <w:color w:val="006100"/>
                <w:sz w:val="18"/>
                <w:szCs w:val="18"/>
              </w:rPr>
            </w:pPr>
          </w:p>
        </w:tc>
        <w:tc>
          <w:tcPr>
            <w:tcW w:w="960" w:type="dxa"/>
            <w:shd w:val="clear" w:color="auto" w:fill="C6EFCE"/>
            <w:noWrap/>
          </w:tcPr>
          <w:p w14:paraId="54DC48E5"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shd w:val="clear" w:color="auto" w:fill="C6EFCE"/>
            <w:noWrap/>
          </w:tcPr>
          <w:p w14:paraId="21E56158" w14:textId="77777777" w:rsidR="00CB0FCB" w:rsidRDefault="009D2B11">
            <w:pPr>
              <w:pStyle w:val="P68B1DB1-Normal9"/>
              <w:spacing w:after="0" w:line="240" w:lineRule="auto"/>
              <w:rPr>
                <w:rFonts w:eastAsia="Times New Roman" w:cs="Calibri"/>
                <w:noProof/>
                <w:szCs w:val="18"/>
              </w:rPr>
            </w:pPr>
            <w:r>
              <w:rPr>
                <w:noProof/>
              </w:rPr>
              <w:t>2026</w:t>
            </w:r>
          </w:p>
        </w:tc>
        <w:tc>
          <w:tcPr>
            <w:tcW w:w="4848" w:type="dxa"/>
            <w:shd w:val="clear" w:color="auto" w:fill="C6EFCE"/>
            <w:noWrap/>
          </w:tcPr>
          <w:p w14:paraId="77D432E0" w14:textId="77777777" w:rsidR="00CB0FCB" w:rsidRDefault="009D2B11">
            <w:pPr>
              <w:pStyle w:val="P68B1DB1-Normal9"/>
              <w:spacing w:after="0" w:line="240" w:lineRule="auto"/>
              <w:rPr>
                <w:rFonts w:eastAsia="Times New Roman" w:cs="Calibri"/>
                <w:noProof/>
                <w:szCs w:val="18"/>
              </w:rPr>
            </w:pPr>
            <w:r>
              <w:rPr>
                <w:noProof/>
              </w:rPr>
              <w:t>Grieķija pārskaita EUR 300 miljonus Grieķijas Attīstības bankai mehānisma vajadzībām.</w:t>
            </w:r>
          </w:p>
        </w:tc>
      </w:tr>
    </w:tbl>
    <w:p w14:paraId="7923CE42" w14:textId="77777777" w:rsidR="00CB0FCB" w:rsidRDefault="00CB0FCB">
      <w:pPr>
        <w:spacing w:before="120" w:after="120" w:line="240" w:lineRule="auto"/>
        <w:jc w:val="both"/>
        <w:rPr>
          <w:rFonts w:ascii="Times New Roman" w:hAnsi="Times New Roman" w:cs="Times New Roman"/>
          <w:noProof/>
          <w:sz w:val="24"/>
        </w:rPr>
        <w:sectPr w:rsidR="00CB0FCB" w:rsidSect="008A4085">
          <w:headerReference w:type="even" r:id="rId61"/>
          <w:headerReference w:type="default" r:id="rId62"/>
          <w:footerReference w:type="even" r:id="rId63"/>
          <w:footerReference w:type="default" r:id="rId64"/>
          <w:headerReference w:type="first" r:id="rId65"/>
          <w:footerReference w:type="first" r:id="rId66"/>
          <w:pgSz w:w="16839" w:h="11907" w:orient="landscape"/>
          <w:pgMar w:top="720" w:right="720" w:bottom="720" w:left="720" w:header="709" w:footer="75" w:gutter="0"/>
          <w:cols w:space="720"/>
          <w:docGrid w:linePitch="360"/>
        </w:sectPr>
      </w:pPr>
    </w:p>
    <w:p w14:paraId="6DAC9FA7" w14:textId="77777777" w:rsidR="00CB0FCB" w:rsidRDefault="009D2B11">
      <w:pPr>
        <w:pStyle w:val="P68B1DB1-Normal2"/>
        <w:spacing w:before="120" w:after="120" w:line="240" w:lineRule="auto"/>
        <w:jc w:val="both"/>
        <w:outlineLvl w:val="3"/>
        <w:rPr>
          <w:rFonts w:cs="Times New Roman"/>
          <w:noProof/>
        </w:rPr>
      </w:pPr>
      <w:r>
        <w:rPr>
          <w:noProof/>
        </w:rPr>
        <w:t>C. 1.3. KOMPONENTS: UZLĀDE UN UZPILDE</w:t>
      </w:r>
    </w:p>
    <w:p w14:paraId="1275B63E" w14:textId="77777777" w:rsidR="00CB0FCB" w:rsidRDefault="009D2B11">
      <w:pPr>
        <w:pStyle w:val="P68B1DB1-Normal4"/>
        <w:spacing w:before="120" w:after="120" w:line="240" w:lineRule="auto"/>
        <w:jc w:val="both"/>
        <w:rPr>
          <w:rFonts w:cs="Times New Roman"/>
          <w:noProof/>
        </w:rPr>
      </w:pPr>
      <w:r>
        <w:rPr>
          <w:noProof/>
        </w:rPr>
        <w:t xml:space="preserve">Grieķijas atveseļošanas un noturības plāna uzlādes un uzpildes komponents ietver mērķtiecīgas reformas un investīcijas, kuru mērķis ir palielināt ilgtspējīgu mobilitāti, veicināt ekonomikas izaugsmi, radīt nodarbinātības iespējas un veicināt sociālo noturību. Šajā komponentā iekļautie pasākumi ir saistīti ar valsts mēroga ilgtspējīgas mobilitātes stratēģiju, tādējādi atbalstot nacionālā enerģētikas un klimata plāna (NEKP) īstenošanu. Tās arī veicina zaļo pārkārtošanos, sniedzot atbalstu uzņēmumiem, kas veic darbības, kuras saistītas ar mazoglekļa ekonomiku un noturību pret klimata pārmaiņām. Komponents ietver arī reformas e-mobilitātes infrastruktūras ierīkošanas atbalstam un sabiedrisko pilsētas un reģionālo pasažieru pārvadājumu pakalpojumu pārskatīšanu. Komponents ietver arī investīcijas, kuru mērķis ir atbalstīt ar e-mobilitāti saistītu piegāžu ražošanas jaudas attīstību un autobusu un taksometru aizstāšanu ar akumulatoru baterijas elektrotransportlīdzekļiem. </w:t>
      </w:r>
    </w:p>
    <w:p w14:paraId="48DD23A4" w14:textId="77777777" w:rsidR="00CB0FCB" w:rsidRDefault="009D2B11">
      <w:pPr>
        <w:pStyle w:val="P68B1DB1-Normal4"/>
        <w:spacing w:before="120" w:after="120" w:line="240" w:lineRule="auto"/>
        <w:jc w:val="both"/>
        <w:rPr>
          <w:rFonts w:cs="Times New Roman"/>
          <w:noProof/>
        </w:rPr>
      </w:pPr>
      <w:r>
        <w:rPr>
          <w:noProof/>
        </w:rPr>
        <w:t>Komponents palīdz īstenot 2020. gada konkrētai valstij adresēto ieteikumu Nr. 3 un 2019. gada konkrētai valstij adresēto ieteikumu Nr. 2 par publiskajām un privātajām investīcijām.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66AD307B"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C.1. </w:t>
      </w:r>
      <w:r>
        <w:rPr>
          <w:noProof/>
        </w:rPr>
        <w:t xml:space="preserve"> </w:t>
      </w:r>
      <w:r>
        <w:rPr>
          <w:rFonts w:ascii="Times New Roman" w:hAnsi="Times New Roman"/>
          <w:b/>
          <w:noProof/>
          <w:sz w:val="24"/>
          <w:u w:val="single"/>
        </w:rPr>
        <w:t>Reformu un investīciju apraksts neatmaksājamam finansiālajam atbalstam</w:t>
      </w:r>
    </w:p>
    <w:p w14:paraId="1D29B9B9"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Produc-E Green (pasākuma ID: 16831)</w:t>
      </w:r>
    </w:p>
    <w:p w14:paraId="17E07F0C" w14:textId="77777777" w:rsidR="00CB0FCB" w:rsidRDefault="009D2B11">
      <w:pPr>
        <w:pStyle w:val="P68B1DB1-Normal5"/>
        <w:spacing w:before="120" w:after="120" w:line="240" w:lineRule="auto"/>
        <w:jc w:val="both"/>
        <w:rPr>
          <w:noProof/>
        </w:rPr>
      </w:pPr>
      <w:r>
        <w:rPr>
          <w:noProof/>
        </w:rPr>
        <w:t>Šīs investīcijas ir divi projekti, kuru abu mērķis ir veicināt mazoglekļa ekonomiku un noturību pret klimata pārmaiņām. Pirmais projekts atbalsta e-mobilitātes piedāvājuma pusi un zaļās pārkārtošanās veicināšanu, attīstot vairāk nekā 10 rūpniecības vienības inovatīviem produktiem vai pakalpojumiem, piemēram, elektrotransportlīdzekļu bateriju reciklēšanu, atkārtoti izmantojot tādas izejvielas kā litijs un kobalts vai projektējot elektrotransportlīdzekļus un regulārus vai lieljaudas uzlādes punktus, un/vai investīcijas, kas saistītas ar materiālu ražošanu vai pārstrādi (izņemot kalnrūpniecību), aprīkojumu vai detaļām, ko izmanto zaļās pārkārtošanās nozarē, tas varētu ietvert elektromobiļus, kuģus, shēmas plates, saules enerģijas paneļus, saules enerģijas sildītājus, vējturbīnas, kabeļus, ēku energovadības sistēmas, AER projektu uzstādīšanas iekārtas, uzlabotas efektivitātes komponentus, piemēram, siltumsūkņus un jebkāda veida aprīkojumu, jo īpaši nozarēs, uz kurām neattiecas ES emisijas kvotu tirdzniecības sistēma (ES ETS).  Lai nodrošinātu, ka pasākums atbilst tehniskajiem norādījumiem “nenodarīt būtisku kaitējumu” (2021/C58/01), uzaicinājumos iesniegt projektus noteiktajos atbilstības kritērijos neiekļauj šādu darbību sarakstu:</w:t>
      </w:r>
      <w:r>
        <w:rPr>
          <w:noProof/>
          <w:color w:val="FF0000"/>
        </w:rPr>
        <w:t xml:space="preserve"> </w:t>
      </w:r>
      <w:r>
        <w:rPr>
          <w:noProof/>
        </w:rPr>
        <w:t>I) darbības, kas saistītas ar fosilo kurināmo, tostarp pakārtotu izmantošanu</w:t>
      </w:r>
      <w:r>
        <w:rPr>
          <w:noProof/>
        </w:rPr>
        <w:footnoteReference w:id="7"/>
      </w:r>
      <w:r>
        <w:rPr>
          <w:noProof/>
        </w:rPr>
        <w:t>; II) darbības saskaņā ar ES emisijas kvotu tirdzniecības sistēmu (ETS), kuru prognozētās siltumnīcefekta gāzu emisijas nav zemākas par attiecīgajām līmeņatzīmēm</w:t>
      </w:r>
      <w:r>
        <w:rPr>
          <w:noProof/>
        </w:rPr>
        <w:footnoteReference w:id="8"/>
      </w:r>
      <w:r>
        <w:rPr>
          <w:noProof/>
        </w:rPr>
        <w:t xml:space="preserve">; </w:t>
      </w:r>
    </w:p>
    <w:p w14:paraId="54ECF66E" w14:textId="77777777" w:rsidR="00CB0FCB" w:rsidRDefault="009D2B11">
      <w:pPr>
        <w:pStyle w:val="P68B1DB1-Normal5"/>
        <w:rPr>
          <w:noProof/>
        </w:rPr>
      </w:pPr>
      <w:r>
        <w:rPr>
          <w:noProof/>
        </w:rPr>
        <w:br w:type="page"/>
      </w:r>
    </w:p>
    <w:p w14:paraId="64C6BC48" w14:textId="1A76A6E2" w:rsidR="00CB0FCB" w:rsidRDefault="009D2B11">
      <w:pPr>
        <w:pStyle w:val="P68B1DB1-Normal5"/>
        <w:spacing w:before="120" w:after="120" w:line="240" w:lineRule="auto"/>
        <w:jc w:val="both"/>
        <w:rPr>
          <w:rFonts w:cs="Times New Roman"/>
          <w:noProof/>
        </w:rPr>
      </w:pPr>
      <w:r>
        <w:rPr>
          <w:noProof/>
        </w:rPr>
        <w:t>III) darbības, kas saistītas ar atkritumu poligoniem, sadedzināšanas iekārtām</w:t>
      </w:r>
      <w:r>
        <w:rPr>
          <w:noProof/>
        </w:rPr>
        <w:footnoteReference w:id="9"/>
      </w:r>
      <w:r>
        <w:rPr>
          <w:noProof/>
        </w:rPr>
        <w:t xml:space="preserve"> un mehāniski bioloģiskās apstrādes iekārtām</w:t>
      </w:r>
      <w:r>
        <w:rPr>
          <w:noProof/>
        </w:rPr>
        <w:footnoteReference w:id="10"/>
      </w:r>
      <w:r>
        <w:rPr>
          <w:noProof/>
        </w:rPr>
        <w:t>; un iv) darbības, kurās atkritumu ilgtermiņa apglabāšana var radīt kaitējumu videi. Darba uzdevumā papildus nosaka, ka var atlasīt tikai tās darbības, kas atbilst attiecīgajiem ES un valsts tiesību aktiem vides jomā.</w:t>
      </w:r>
    </w:p>
    <w:p w14:paraId="41BCEFCE" w14:textId="0E59D294" w:rsidR="00CB0FCB" w:rsidRDefault="009D2B11">
      <w:pPr>
        <w:pStyle w:val="P68B1DB1-Normal4"/>
        <w:spacing w:before="120" w:after="120" w:line="240" w:lineRule="auto"/>
        <w:jc w:val="both"/>
        <w:rPr>
          <w:rFonts w:cs="Times New Roman"/>
          <w:noProof/>
        </w:rPr>
      </w:pPr>
      <w:r>
        <w:rPr>
          <w:noProof/>
        </w:rPr>
        <w:t>Otrais projekts sniedz atbalstu pirmās CO</w:t>
      </w:r>
      <w:r>
        <w:rPr>
          <w:noProof/>
          <w:vertAlign w:val="subscript"/>
        </w:rPr>
        <w:t>2</w:t>
      </w:r>
      <w:r>
        <w:rPr>
          <w:noProof/>
        </w:rPr>
        <w:t xml:space="preserve"> uzglabāšanas iekārtas attīstībai Grieķijā. Oglekļa uztveršanas un uzglabāšanas iekārta ir paredzēta, lai ilgtermiņā uzglabātu CO2, kas</w:t>
      </w:r>
      <w:r>
        <w:rPr>
          <w:noProof/>
          <w:vertAlign w:val="subscript"/>
        </w:rPr>
        <w:t>uztverts</w:t>
      </w:r>
      <w:r>
        <w:rPr>
          <w:noProof/>
        </w:rPr>
        <w:t xml:space="preserve"> no vietējiem emitētājiem (līdz 150 km attālumam), un tajā nonāk pa cauruļvadiem, savukārt CO2, kas</w:t>
      </w:r>
      <w:r>
        <w:rPr>
          <w:noProof/>
          <w:vertAlign w:val="subscript"/>
        </w:rPr>
        <w:t>uztverts</w:t>
      </w:r>
      <w:r>
        <w:rPr>
          <w:noProof/>
        </w:rPr>
        <w:t xml:space="preserve"> attālās vietās, nonāk ar kuģi un nonāk buferkrātuvē. Oglekļa uztveršanas un uzglabāšanas iekārtas jaudai sākotnēji CO</w:t>
      </w:r>
      <w:r>
        <w:rPr>
          <w:noProof/>
          <w:vertAlign w:val="subscript"/>
        </w:rPr>
        <w:t>2</w:t>
      </w:r>
      <w:r>
        <w:rPr>
          <w:noProof/>
        </w:rPr>
        <w:t xml:space="preserve"> iesūknēšanas ātrums ir viens miljons tonnu gadā, un tā nodrošina jaudu vismaz 20 gadus.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Jo īpaši oglekļa uztveršanas un uzglabāšanas iekārta darbojas, neizmantojot nekādas komerciālas naftas ieguves vai naftas atgūšanas darbības (dažādi naftas vai gāzes ieguve var būt nepieciešama drošības vai tehnisku iemeslu dēļ. Turklāt oglekļa uztveršana un uzglabāšana atbilst arī prasībai, ka nedrīkst būt tehnoloģiski lietojumi, kā arī jebkāda veida iekārtas un aprīkojums, kas paredzēts uzlabotai naftas atgūšanai (EOR) un lielākai naftas ražošanai. Jāraugās, lai jebkāda iespējama naftas vai gāzes ieguve aprobežotos ar neatņemamām vajadzībām, kas saistītas ar spiediena pārvaldību un uzglabāšanas vietu drošības nodrošināšanu, un ka šādu ieguvi veic tikai tad, ja tas ir nepieciešams, lai nodrošinātu CO</w:t>
      </w:r>
      <w:r>
        <w:rPr>
          <w:noProof/>
          <w:vertAlign w:val="subscript"/>
        </w:rPr>
        <w:t>2</w:t>
      </w:r>
      <w:r>
        <w:rPr>
          <w:noProof/>
        </w:rPr>
        <w:t xml:space="preserve"> drošu uzglabāšanu. CO</w:t>
      </w:r>
      <w:r>
        <w:rPr>
          <w:noProof/>
          <w:vertAlign w:val="subscript"/>
        </w:rPr>
        <w:t>2</w:t>
      </w:r>
      <w:r>
        <w:rPr>
          <w:noProof/>
        </w:rPr>
        <w:t xml:space="preserve"> kopā ar jebkuru naftu vai gāzi, ko var iegūt, atdala un pievada atpakaļ pastāvīgai uzglabāšanai.</w:t>
      </w:r>
    </w:p>
    <w:p w14:paraId="0848793F" w14:textId="77777777" w:rsidR="00CB0FCB" w:rsidRDefault="009D2B11">
      <w:pPr>
        <w:pStyle w:val="P68B1DB1-Normal4"/>
        <w:spacing w:before="120" w:after="120" w:line="240" w:lineRule="auto"/>
        <w:jc w:val="both"/>
        <w:rPr>
          <w:rFonts w:cs="Times New Roman"/>
          <w:noProof/>
        </w:rPr>
      </w:pPr>
      <w:r>
        <w:rPr>
          <w:noProof/>
        </w:rPr>
        <w:t>Investīciju īstenošanu pabeidz līdz 2025. gada 31. decembrim.</w:t>
      </w:r>
    </w:p>
    <w:p w14:paraId="5F601D55"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Elektrotransportlīdzekļu uzlādes infrastruktūras uzstādīšanas un ekspluatācijas satvars (pasākuma ID: 16281)</w:t>
      </w:r>
    </w:p>
    <w:p w14:paraId="05522F9B" w14:textId="77777777" w:rsidR="00CB0FCB" w:rsidRDefault="009D2B11">
      <w:pPr>
        <w:pStyle w:val="P68B1DB1-Normal4"/>
        <w:spacing w:before="120" w:after="120" w:line="240" w:lineRule="auto"/>
        <w:jc w:val="both"/>
        <w:rPr>
          <w:rFonts w:cs="Times New Roman"/>
          <w:noProof/>
        </w:rPr>
      </w:pPr>
      <w:r>
        <w:rPr>
          <w:noProof/>
        </w:rPr>
        <w:t>Ar reformu izveido visaptverošu tiesisko regulējumu elektrotransportlīdzekļu uzlādes punktu uzstādīšanai un ekspluatācijai. Tas ļaus Grieķijai sasniegt NEKP mērķrādītāju, proti, līdz 2030. gadam panākt, ka iekšzemes tirgū ir 30 % elektrotransportlīdzekļu. Līdz 2022. gada beigām Vides un enerģētikas ministrija pieņem vismaz 300 pašvaldību iesniegtus plānus publiski pieejamu elektrotransportlīdzekļu uzlādes punktu uzstādīšanai. Reformas īstenošanu pabeidz līdz 2022. gada 31. decembrim.</w:t>
      </w:r>
    </w:p>
    <w:p w14:paraId="3CF90C19"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Elektromobilitāte (pasākuma ID: 16924)</w:t>
      </w:r>
    </w:p>
    <w:p w14:paraId="3951FD2A" w14:textId="41DC6890" w:rsidR="00CB0FCB" w:rsidRDefault="009D2B11">
      <w:pPr>
        <w:pStyle w:val="P68B1DB1-Normal4"/>
        <w:spacing w:before="120" w:after="120" w:line="240" w:lineRule="auto"/>
        <w:jc w:val="both"/>
        <w:rPr>
          <w:rFonts w:cs="Times New Roman"/>
          <w:b/>
          <w:bCs/>
          <w:noProof/>
          <w:szCs w:val="24"/>
          <w:u w:val="single"/>
        </w:rPr>
      </w:pPr>
      <w:r>
        <w:rPr>
          <w:noProof/>
        </w:rPr>
        <w:t>Investīcija pievēršas e-mobilitātei saskaņā ar NEKP mērķiem un ietver: 1) vecāku autobusu aizstāšana ar 425 jauniem elektroautobusiem;  2) reformēt tiesību aktus par sabiedrisko pakalpojumu sniegšanas saistībām autobusu pārvadājumu uzņēmumiem saskaņā ar pašreizējo ES acquis, ļaujot autobusu pārvadājumu uzņēmumiem ārpus Atēnām droši investēt elektriskajos sabiedriskā transporta līdzekļos; un 3) veikt priekšizpēti, lai izveidotu e-transporta aģentūru, kas nodrošina pienācīgu plānošanu un koordināciju starp transporta un enerģētikas infrastruktūru, reģionālajām un vietējām valdībām un citām pētniecības un privātā sektora ieinteresētajām personām. Ieguldījumu komponents, kas aizstāj vecos autobusus, atbilst Tehniskajiem norādījumiem “nenodarīt būtisku kaitējumu” (2021/C58/01), jo īpaši attiecībā uz vecāku transportlīdzekļu/autobusu nolaupīšanu metāllūžņos, ko veic pilnvarota apstrādes iekārta saskaņā ar Nolietotu transportlīdzekļu direktīvu (2000/53/EK). Investīciju īstenošanu pabeidz līdz 2025. gada 31. decembrim.</w:t>
      </w:r>
    </w:p>
    <w:p w14:paraId="254962C5" w14:textId="77777777" w:rsidR="00CB0FCB" w:rsidRDefault="00CB0FCB">
      <w:pPr>
        <w:spacing w:before="120" w:after="120" w:line="240" w:lineRule="auto"/>
        <w:ind w:left="709"/>
        <w:jc w:val="both"/>
        <w:rPr>
          <w:rFonts w:ascii="Times New Roman" w:hAnsi="Times New Roman" w:cs="Times New Roman"/>
          <w:noProof/>
          <w:sz w:val="24"/>
        </w:rPr>
        <w:sectPr w:rsidR="00CB0FCB" w:rsidSect="00AF58D0">
          <w:headerReference w:type="even" r:id="rId67"/>
          <w:headerReference w:type="default" r:id="rId68"/>
          <w:footerReference w:type="even" r:id="rId69"/>
          <w:footerReference w:type="default" r:id="rId70"/>
          <w:headerReference w:type="first" r:id="rId71"/>
          <w:footerReference w:type="first" r:id="rId72"/>
          <w:pgSz w:w="11907" w:h="16839"/>
          <w:pgMar w:top="1134" w:right="1418" w:bottom="1134" w:left="1418" w:header="709" w:footer="182" w:gutter="0"/>
          <w:cols w:space="720"/>
          <w:docGrid w:linePitch="360"/>
        </w:sectPr>
      </w:pPr>
    </w:p>
    <w:p w14:paraId="0B5EE8C6" w14:textId="77777777" w:rsidR="00CB0FCB" w:rsidRDefault="009D2B11">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noProof/>
          <w:sz w:val="24"/>
          <w:u w:val="single"/>
        </w:rPr>
        <w:t xml:space="preserve">C.2.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5314B92A" w14:textId="77777777" w:rsidR="00CB0FCB" w:rsidRDefault="00CB0FCB">
      <w:pPr>
        <w:rPr>
          <w:noProof/>
        </w:rPr>
      </w:pPr>
    </w:p>
    <w:p w14:paraId="5D1053CD" w14:textId="77777777" w:rsidR="00CB0FCB" w:rsidRDefault="009D2B11">
      <w:pPr>
        <w:pStyle w:val="P68B1DB1-Normal6"/>
        <w:keepNext/>
        <w:keepLines/>
        <w:spacing w:before="40" w:after="0" w:line="240" w:lineRule="auto"/>
        <w:jc w:val="both"/>
        <w:outlineLvl w:val="4"/>
        <w:rPr>
          <w:rFonts w:eastAsia="Times New Roman"/>
          <w:noProof/>
        </w:rPr>
      </w:pPr>
      <w:r>
        <w:rPr>
          <w:noProof/>
        </w:rPr>
        <w:t>Galvenā reforma Nr. 3: Elektrotransportlīdzekļu uzlādes infrastruktūras uzstādīšanas un ekspluatācijas satvars</w:t>
      </w:r>
    </w:p>
    <w:tbl>
      <w:tblPr>
        <w:tblpPr w:leftFromText="180" w:rightFromText="180" w:vertAnchor="text" w:tblpXSpec="center" w:tblpY="1"/>
        <w:tblOverlap w:val="neve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596"/>
        <w:gridCol w:w="1807"/>
        <w:gridCol w:w="1977"/>
        <w:gridCol w:w="1717"/>
        <w:gridCol w:w="1162"/>
        <w:gridCol w:w="1396"/>
        <w:gridCol w:w="766"/>
        <w:gridCol w:w="1027"/>
        <w:gridCol w:w="851"/>
        <w:gridCol w:w="4438"/>
      </w:tblGrid>
      <w:tr w:rsidR="00CB0FCB" w14:paraId="096DCA69" w14:textId="77777777">
        <w:trPr>
          <w:trHeight w:val="927"/>
          <w:tblHeader/>
        </w:trPr>
        <w:tc>
          <w:tcPr>
            <w:tcW w:w="1027" w:type="dxa"/>
            <w:vMerge w:val="restart"/>
            <w:shd w:val="clear" w:color="auto" w:fill="BDD7EE"/>
            <w:vAlign w:val="center"/>
            <w:hideMark/>
          </w:tcPr>
          <w:p w14:paraId="566BCD9E"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596" w:type="dxa"/>
            <w:vMerge w:val="restart"/>
            <w:shd w:val="clear" w:color="auto" w:fill="BDD7EE"/>
            <w:vAlign w:val="center"/>
            <w:hideMark/>
          </w:tcPr>
          <w:p w14:paraId="00BC00B1"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shd w:val="clear" w:color="auto" w:fill="BDD7EE"/>
            <w:vAlign w:val="center"/>
            <w:hideMark/>
          </w:tcPr>
          <w:p w14:paraId="4773350E"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197" w:type="dxa"/>
            <w:vMerge w:val="restart"/>
            <w:shd w:val="clear" w:color="auto" w:fill="BDD7EE"/>
            <w:vAlign w:val="center"/>
            <w:hideMark/>
          </w:tcPr>
          <w:p w14:paraId="29C7411D"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717" w:type="dxa"/>
            <w:vMerge w:val="restart"/>
            <w:shd w:val="clear" w:color="auto" w:fill="BDD7EE"/>
            <w:vAlign w:val="center"/>
            <w:hideMark/>
          </w:tcPr>
          <w:p w14:paraId="5C19D179"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961" w:type="dxa"/>
            <w:gridSpan w:val="3"/>
            <w:shd w:val="clear" w:color="auto" w:fill="BDD7EE"/>
            <w:vAlign w:val="center"/>
            <w:hideMark/>
          </w:tcPr>
          <w:p w14:paraId="6585E3EC"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843" w:type="dxa"/>
            <w:gridSpan w:val="2"/>
            <w:shd w:val="clear" w:color="auto" w:fill="BDD7EE"/>
            <w:vAlign w:val="center"/>
            <w:hideMark/>
          </w:tcPr>
          <w:p w14:paraId="5C85D430"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438" w:type="dxa"/>
            <w:vMerge w:val="restart"/>
            <w:shd w:val="clear" w:color="auto" w:fill="BDD7EE"/>
            <w:vAlign w:val="center"/>
            <w:hideMark/>
          </w:tcPr>
          <w:p w14:paraId="152A0E28"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50537E29" w14:textId="77777777">
        <w:trPr>
          <w:trHeight w:val="619"/>
        </w:trPr>
        <w:tc>
          <w:tcPr>
            <w:tcW w:w="1027" w:type="dxa"/>
            <w:vMerge/>
            <w:vAlign w:val="center"/>
            <w:hideMark/>
          </w:tcPr>
          <w:p w14:paraId="53FAC242" w14:textId="77777777" w:rsidR="00CB0FCB" w:rsidRDefault="00CB0FCB">
            <w:pPr>
              <w:spacing w:after="0" w:line="240" w:lineRule="auto"/>
              <w:rPr>
                <w:rFonts w:ascii="Times New Roman" w:eastAsia="Times New Roman" w:hAnsi="Times New Roman" w:cs="Times New Roman"/>
                <w:b/>
                <w:bCs/>
                <w:noProof/>
                <w:sz w:val="18"/>
                <w:szCs w:val="18"/>
              </w:rPr>
            </w:pPr>
          </w:p>
        </w:tc>
        <w:tc>
          <w:tcPr>
            <w:tcW w:w="1596" w:type="dxa"/>
            <w:vMerge/>
            <w:vAlign w:val="center"/>
            <w:hideMark/>
          </w:tcPr>
          <w:p w14:paraId="55FB4CF2"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vAlign w:val="center"/>
            <w:hideMark/>
          </w:tcPr>
          <w:p w14:paraId="24C3BA21" w14:textId="77777777" w:rsidR="00CB0FCB" w:rsidRDefault="00CB0FCB">
            <w:pPr>
              <w:spacing w:after="0" w:line="240" w:lineRule="auto"/>
              <w:rPr>
                <w:rFonts w:ascii="Times New Roman" w:eastAsia="Times New Roman" w:hAnsi="Times New Roman" w:cs="Times New Roman"/>
                <w:b/>
                <w:bCs/>
                <w:noProof/>
                <w:sz w:val="18"/>
                <w:szCs w:val="18"/>
              </w:rPr>
            </w:pPr>
          </w:p>
        </w:tc>
        <w:tc>
          <w:tcPr>
            <w:tcW w:w="1197" w:type="dxa"/>
            <w:vMerge/>
            <w:vAlign w:val="center"/>
            <w:hideMark/>
          </w:tcPr>
          <w:p w14:paraId="03C85224" w14:textId="77777777" w:rsidR="00CB0FCB" w:rsidRDefault="00CB0FCB">
            <w:pPr>
              <w:spacing w:after="0" w:line="240" w:lineRule="auto"/>
              <w:rPr>
                <w:rFonts w:ascii="Times New Roman" w:eastAsia="Times New Roman" w:hAnsi="Times New Roman" w:cs="Times New Roman"/>
                <w:b/>
                <w:bCs/>
                <w:noProof/>
                <w:sz w:val="18"/>
                <w:szCs w:val="18"/>
              </w:rPr>
            </w:pPr>
          </w:p>
        </w:tc>
        <w:tc>
          <w:tcPr>
            <w:tcW w:w="1717" w:type="dxa"/>
            <w:vMerge/>
            <w:vAlign w:val="center"/>
            <w:hideMark/>
          </w:tcPr>
          <w:p w14:paraId="3703F3DD" w14:textId="77777777" w:rsidR="00CB0FCB" w:rsidRDefault="00CB0FCB">
            <w:pPr>
              <w:spacing w:after="0" w:line="240" w:lineRule="auto"/>
              <w:rPr>
                <w:rFonts w:ascii="Times New Roman" w:eastAsia="Times New Roman" w:hAnsi="Times New Roman" w:cs="Times New Roman"/>
                <w:b/>
                <w:bCs/>
                <w:noProof/>
                <w:sz w:val="18"/>
                <w:szCs w:val="18"/>
              </w:rPr>
            </w:pPr>
          </w:p>
        </w:tc>
        <w:tc>
          <w:tcPr>
            <w:tcW w:w="1162" w:type="dxa"/>
            <w:shd w:val="clear" w:color="auto" w:fill="BDD7EE"/>
            <w:vAlign w:val="center"/>
            <w:hideMark/>
          </w:tcPr>
          <w:p w14:paraId="2DAF3563"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1090" w:type="dxa"/>
            <w:shd w:val="clear" w:color="auto" w:fill="BDD7EE"/>
            <w:vAlign w:val="center"/>
            <w:hideMark/>
          </w:tcPr>
          <w:p w14:paraId="359FD11C"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09" w:type="dxa"/>
            <w:shd w:val="clear" w:color="auto" w:fill="BDD7EE"/>
            <w:vAlign w:val="center"/>
            <w:hideMark/>
          </w:tcPr>
          <w:p w14:paraId="4F25F736"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92" w:type="dxa"/>
            <w:shd w:val="clear" w:color="auto" w:fill="BDD7EE"/>
            <w:vAlign w:val="center"/>
            <w:hideMark/>
          </w:tcPr>
          <w:p w14:paraId="7E89BCDD"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851" w:type="dxa"/>
            <w:shd w:val="clear" w:color="auto" w:fill="BDD7EE"/>
            <w:vAlign w:val="center"/>
            <w:hideMark/>
          </w:tcPr>
          <w:p w14:paraId="051F59DB"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438" w:type="dxa"/>
            <w:vMerge/>
            <w:vAlign w:val="center"/>
            <w:hideMark/>
          </w:tcPr>
          <w:p w14:paraId="1EC6EBDF"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2D3F8DA" w14:textId="77777777">
        <w:trPr>
          <w:trHeight w:val="309"/>
        </w:trPr>
        <w:tc>
          <w:tcPr>
            <w:tcW w:w="1027" w:type="dxa"/>
            <w:shd w:val="clear" w:color="auto" w:fill="C6EFCE"/>
            <w:noWrap/>
          </w:tcPr>
          <w:p w14:paraId="2E1BD4EB" w14:textId="77777777" w:rsidR="00CB0FCB" w:rsidRDefault="009D2B11">
            <w:pPr>
              <w:pStyle w:val="P68B1DB1-Normal9"/>
              <w:spacing w:after="0" w:line="240" w:lineRule="auto"/>
              <w:rPr>
                <w:rFonts w:eastAsia="Times New Roman" w:cs="Calibri"/>
                <w:noProof/>
                <w:szCs w:val="18"/>
              </w:rPr>
            </w:pPr>
            <w:r>
              <w:rPr>
                <w:noProof/>
              </w:rPr>
              <w:t>42</w:t>
            </w:r>
          </w:p>
        </w:tc>
        <w:tc>
          <w:tcPr>
            <w:tcW w:w="1596" w:type="dxa"/>
            <w:shd w:val="clear" w:color="auto" w:fill="C6EFCE"/>
            <w:noWrap/>
          </w:tcPr>
          <w:p w14:paraId="7CC41608" w14:textId="77777777" w:rsidR="00CB0FCB" w:rsidRDefault="009D2B11">
            <w:pPr>
              <w:pStyle w:val="P68B1DB1-Normal9"/>
              <w:spacing w:after="0" w:line="240" w:lineRule="auto"/>
              <w:rPr>
                <w:rFonts w:eastAsia="Times New Roman" w:cs="Calibri"/>
                <w:noProof/>
                <w:szCs w:val="18"/>
              </w:rPr>
            </w:pPr>
            <w:r>
              <w:rPr>
                <w:noProof/>
              </w:rPr>
              <w:t>3–1.3. Uzlāde un uzpilde — 16281_ET uzlādes infrastruktūras uzstādīšanas un ekspluatācijas pamats</w:t>
            </w:r>
          </w:p>
        </w:tc>
        <w:tc>
          <w:tcPr>
            <w:tcW w:w="966" w:type="dxa"/>
            <w:shd w:val="clear" w:color="auto" w:fill="C6EFCE"/>
            <w:noWrap/>
          </w:tcPr>
          <w:p w14:paraId="098E28D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97" w:type="dxa"/>
            <w:shd w:val="clear" w:color="auto" w:fill="C6EFCE"/>
            <w:noWrap/>
          </w:tcPr>
          <w:p w14:paraId="2DC29F25" w14:textId="77777777" w:rsidR="00CB0FCB" w:rsidRDefault="009D2B11">
            <w:pPr>
              <w:pStyle w:val="P68B1DB1-Normal9"/>
              <w:spacing w:after="0" w:line="240" w:lineRule="auto"/>
              <w:rPr>
                <w:rFonts w:eastAsia="Times New Roman" w:cs="Calibri"/>
                <w:noProof/>
                <w:szCs w:val="18"/>
              </w:rPr>
            </w:pPr>
            <w:r>
              <w:rPr>
                <w:noProof/>
              </w:rPr>
              <w:t>Elektrotransportlīdzekļu uzlādes punkti — tiesiskā regulējuma stāšanās spēkā</w:t>
            </w:r>
          </w:p>
        </w:tc>
        <w:tc>
          <w:tcPr>
            <w:tcW w:w="1717" w:type="dxa"/>
            <w:shd w:val="clear" w:color="auto" w:fill="C6EFCE"/>
            <w:noWrap/>
          </w:tcPr>
          <w:p w14:paraId="1E6027C2" w14:textId="77777777" w:rsidR="00CB0FCB" w:rsidRDefault="009D2B11">
            <w:pPr>
              <w:pStyle w:val="P68B1DB1-Normal9"/>
              <w:spacing w:after="0" w:line="240" w:lineRule="auto"/>
              <w:rPr>
                <w:rFonts w:eastAsia="Times New Roman" w:cs="Calibri"/>
                <w:noProof/>
                <w:szCs w:val="18"/>
              </w:rPr>
            </w:pPr>
            <w:r>
              <w:rPr>
                <w:noProof/>
              </w:rPr>
              <w:t>Pieņemto ministru lēmumu stāšanās spēkā.</w:t>
            </w:r>
          </w:p>
        </w:tc>
        <w:tc>
          <w:tcPr>
            <w:tcW w:w="1162" w:type="dxa"/>
            <w:shd w:val="clear" w:color="auto" w:fill="C6EFCE"/>
            <w:noWrap/>
          </w:tcPr>
          <w:p w14:paraId="69E204BB" w14:textId="77777777" w:rsidR="00CB0FCB" w:rsidRDefault="00CB0FCB">
            <w:pPr>
              <w:spacing w:after="0" w:line="240" w:lineRule="auto"/>
              <w:rPr>
                <w:rFonts w:eastAsia="Times New Roman" w:cs="Calibri"/>
                <w:noProof/>
                <w:color w:val="006100"/>
                <w:sz w:val="18"/>
                <w:szCs w:val="18"/>
              </w:rPr>
            </w:pPr>
          </w:p>
        </w:tc>
        <w:tc>
          <w:tcPr>
            <w:tcW w:w="1090" w:type="dxa"/>
            <w:shd w:val="clear" w:color="auto" w:fill="C6EFCE"/>
            <w:noWrap/>
          </w:tcPr>
          <w:p w14:paraId="1EDC702C" w14:textId="77777777" w:rsidR="00CB0FCB" w:rsidRDefault="00CB0FCB">
            <w:pPr>
              <w:spacing w:after="0" w:line="240" w:lineRule="auto"/>
              <w:rPr>
                <w:rFonts w:eastAsia="Times New Roman" w:cs="Calibri"/>
                <w:noProof/>
                <w:color w:val="006100"/>
                <w:sz w:val="18"/>
                <w:szCs w:val="18"/>
              </w:rPr>
            </w:pPr>
          </w:p>
        </w:tc>
        <w:tc>
          <w:tcPr>
            <w:tcW w:w="709" w:type="dxa"/>
            <w:shd w:val="clear" w:color="auto" w:fill="C6EFCE"/>
            <w:noWrap/>
          </w:tcPr>
          <w:p w14:paraId="09C81397" w14:textId="77777777" w:rsidR="00CB0FCB" w:rsidRDefault="00CB0FCB">
            <w:pPr>
              <w:spacing w:after="0" w:line="240" w:lineRule="auto"/>
              <w:rPr>
                <w:rFonts w:eastAsia="Times New Roman" w:cs="Calibri"/>
                <w:noProof/>
                <w:color w:val="006100"/>
                <w:sz w:val="18"/>
                <w:szCs w:val="18"/>
              </w:rPr>
            </w:pPr>
          </w:p>
        </w:tc>
        <w:tc>
          <w:tcPr>
            <w:tcW w:w="992" w:type="dxa"/>
            <w:shd w:val="clear" w:color="auto" w:fill="C6EFCE"/>
            <w:noWrap/>
          </w:tcPr>
          <w:p w14:paraId="5BA445E5" w14:textId="77777777" w:rsidR="00CB0FCB" w:rsidRDefault="009D2B11">
            <w:pPr>
              <w:pStyle w:val="P68B1DB1-Normal9"/>
              <w:spacing w:after="0" w:line="240" w:lineRule="auto"/>
              <w:rPr>
                <w:rFonts w:eastAsia="Times New Roman" w:cs="Calibri"/>
                <w:noProof/>
                <w:szCs w:val="18"/>
              </w:rPr>
            </w:pPr>
            <w:r>
              <w:rPr>
                <w:noProof/>
              </w:rPr>
              <w:t>CET.</w:t>
            </w:r>
          </w:p>
        </w:tc>
        <w:tc>
          <w:tcPr>
            <w:tcW w:w="851" w:type="dxa"/>
            <w:shd w:val="clear" w:color="auto" w:fill="C6EFCE"/>
            <w:noWrap/>
          </w:tcPr>
          <w:p w14:paraId="481A4B51" w14:textId="77777777" w:rsidR="00CB0FCB" w:rsidRDefault="009D2B11">
            <w:pPr>
              <w:pStyle w:val="P68B1DB1-Normal9"/>
              <w:spacing w:after="0" w:line="240" w:lineRule="auto"/>
              <w:rPr>
                <w:rFonts w:eastAsia="Times New Roman" w:cs="Calibri"/>
                <w:noProof/>
                <w:szCs w:val="18"/>
              </w:rPr>
            </w:pPr>
            <w:r>
              <w:rPr>
                <w:noProof/>
              </w:rPr>
              <w:t>2021</w:t>
            </w:r>
          </w:p>
        </w:tc>
        <w:tc>
          <w:tcPr>
            <w:tcW w:w="4438" w:type="dxa"/>
            <w:shd w:val="clear" w:color="auto" w:fill="C6EFCE"/>
            <w:noWrap/>
          </w:tcPr>
          <w:p w14:paraId="33C83632" w14:textId="77777777" w:rsidR="00CB0FCB" w:rsidRDefault="009D2B11">
            <w:pPr>
              <w:pStyle w:val="P68B1DB1-Normal9"/>
              <w:spacing w:after="0" w:line="240" w:lineRule="auto"/>
              <w:rPr>
                <w:rFonts w:eastAsia="Times New Roman" w:cs="Calibri"/>
                <w:noProof/>
                <w:szCs w:val="18"/>
              </w:rPr>
            </w:pPr>
            <w:r>
              <w:rPr>
                <w:noProof/>
              </w:rPr>
              <w:t>Stājas spēkā visi ministrijas lēmumi, kas paredzēti Likumā Nr. 4710/2020 un ko parakstījis vides un enerģētikas ministrs; Infrastruktūras un transporta ministrs, iekšlietu ministrs un finanšu ministrs, kas organizē elektrotransportlīdzekļu tirgu, galveno uzmanību pievēršot uzlādes pakalpojumu tirgum un nodrošina uz nodokļiem balstītus stimulus elektrotransportlīdzekļu iegādei un elektrotransportlīdzekļu uzlādes infrastruktūras uzstādīšanai.</w:t>
            </w:r>
          </w:p>
        </w:tc>
      </w:tr>
      <w:tr w:rsidR="00CB0FCB" w14:paraId="0E08AC90" w14:textId="77777777">
        <w:trPr>
          <w:trHeight w:val="309"/>
        </w:trPr>
        <w:tc>
          <w:tcPr>
            <w:tcW w:w="1027" w:type="dxa"/>
            <w:shd w:val="clear" w:color="auto" w:fill="C6EFCE"/>
            <w:noWrap/>
          </w:tcPr>
          <w:p w14:paraId="38FE911F" w14:textId="77777777" w:rsidR="00CB0FCB" w:rsidRDefault="009D2B11">
            <w:pPr>
              <w:pStyle w:val="P68B1DB1-Normal9"/>
              <w:spacing w:after="0" w:line="240" w:lineRule="auto"/>
              <w:rPr>
                <w:rFonts w:eastAsia="Times New Roman" w:cs="Calibri"/>
                <w:noProof/>
                <w:szCs w:val="18"/>
              </w:rPr>
            </w:pPr>
            <w:r>
              <w:rPr>
                <w:noProof/>
              </w:rPr>
              <w:t>43</w:t>
            </w:r>
          </w:p>
        </w:tc>
        <w:tc>
          <w:tcPr>
            <w:tcW w:w="1596" w:type="dxa"/>
            <w:shd w:val="clear" w:color="auto" w:fill="C6EFCE"/>
            <w:noWrap/>
          </w:tcPr>
          <w:p w14:paraId="19122882" w14:textId="77777777" w:rsidR="00CB0FCB" w:rsidRDefault="009D2B11">
            <w:pPr>
              <w:pStyle w:val="P68B1DB1-Normal9"/>
              <w:spacing w:after="0" w:line="240" w:lineRule="auto"/>
              <w:rPr>
                <w:rFonts w:eastAsia="Times New Roman" w:cs="Calibri"/>
                <w:noProof/>
                <w:szCs w:val="18"/>
              </w:rPr>
            </w:pPr>
            <w:r>
              <w:rPr>
                <w:noProof/>
              </w:rPr>
              <w:t>3–1.3. Uzlāde un uzpilde — 16281_ET uzlādes infrastruktūras uzstādīšanas un ekspluatācijas pamats</w:t>
            </w:r>
          </w:p>
        </w:tc>
        <w:tc>
          <w:tcPr>
            <w:tcW w:w="966" w:type="dxa"/>
            <w:shd w:val="clear" w:color="auto" w:fill="C6EFCE"/>
            <w:noWrap/>
          </w:tcPr>
          <w:p w14:paraId="68A8B953" w14:textId="77777777" w:rsidR="00CB0FCB" w:rsidRDefault="009D2B11">
            <w:pPr>
              <w:pStyle w:val="P68B1DB1-Normal9"/>
              <w:spacing w:after="0" w:line="240" w:lineRule="auto"/>
              <w:rPr>
                <w:rFonts w:eastAsia="Times New Roman" w:cs="Calibri"/>
                <w:noProof/>
                <w:szCs w:val="18"/>
              </w:rPr>
            </w:pPr>
            <w:r>
              <w:rPr>
                <w:noProof/>
              </w:rPr>
              <w:t>Mērķa</w:t>
            </w:r>
          </w:p>
        </w:tc>
        <w:tc>
          <w:tcPr>
            <w:tcW w:w="1197" w:type="dxa"/>
            <w:shd w:val="clear" w:color="auto" w:fill="C6EFCE"/>
            <w:noWrap/>
          </w:tcPr>
          <w:p w14:paraId="2BDA848A" w14:textId="77777777" w:rsidR="00CB0FCB" w:rsidRDefault="009D2B11">
            <w:pPr>
              <w:pStyle w:val="P68B1DB1-Normal9"/>
              <w:spacing w:after="0" w:line="240" w:lineRule="auto"/>
              <w:rPr>
                <w:rFonts w:eastAsia="Times New Roman" w:cs="Calibri"/>
                <w:noProof/>
                <w:szCs w:val="18"/>
              </w:rPr>
            </w:pPr>
            <w:r>
              <w:rPr>
                <w:noProof/>
              </w:rPr>
              <w:t>Elektrotransportlīdzekļu uzlādes punkti — apstiprināti vietējie plāni</w:t>
            </w:r>
          </w:p>
        </w:tc>
        <w:tc>
          <w:tcPr>
            <w:tcW w:w="1717" w:type="dxa"/>
            <w:shd w:val="clear" w:color="auto" w:fill="C6EFCE"/>
            <w:noWrap/>
          </w:tcPr>
          <w:p w14:paraId="791B5E5F" w14:textId="77777777" w:rsidR="00CB0FCB" w:rsidRDefault="00CB0FCB">
            <w:pPr>
              <w:spacing w:after="0" w:line="240" w:lineRule="auto"/>
              <w:rPr>
                <w:rFonts w:eastAsia="Times New Roman" w:cs="Calibri"/>
                <w:noProof/>
                <w:color w:val="006100"/>
                <w:sz w:val="18"/>
                <w:szCs w:val="18"/>
              </w:rPr>
            </w:pPr>
          </w:p>
        </w:tc>
        <w:tc>
          <w:tcPr>
            <w:tcW w:w="1162" w:type="dxa"/>
            <w:shd w:val="clear" w:color="auto" w:fill="C6EFCE"/>
            <w:noWrap/>
          </w:tcPr>
          <w:p w14:paraId="2A006437" w14:textId="77777777" w:rsidR="00CB0FCB" w:rsidRDefault="009D2B11">
            <w:pPr>
              <w:pStyle w:val="P68B1DB1-Normal9"/>
              <w:spacing w:after="0" w:line="240" w:lineRule="auto"/>
              <w:rPr>
                <w:rFonts w:eastAsia="Times New Roman" w:cs="Calibri"/>
                <w:noProof/>
                <w:szCs w:val="18"/>
              </w:rPr>
            </w:pPr>
            <w:r>
              <w:rPr>
                <w:noProof/>
              </w:rPr>
              <w:t>Vides un enerģētikas ministrijas pieņemto plānu skaits</w:t>
            </w:r>
          </w:p>
        </w:tc>
        <w:tc>
          <w:tcPr>
            <w:tcW w:w="1090" w:type="dxa"/>
            <w:shd w:val="clear" w:color="auto" w:fill="C6EFCE"/>
            <w:noWrap/>
          </w:tcPr>
          <w:p w14:paraId="6C1155A3" w14:textId="77777777" w:rsidR="00CB0FCB" w:rsidRDefault="009D2B11">
            <w:pPr>
              <w:pStyle w:val="P68B1DB1-Normal9"/>
              <w:spacing w:after="0" w:line="240" w:lineRule="auto"/>
              <w:rPr>
                <w:rFonts w:eastAsia="Times New Roman" w:cs="Calibri"/>
                <w:noProof/>
                <w:szCs w:val="18"/>
              </w:rPr>
            </w:pPr>
            <w:r>
              <w:rPr>
                <w:noProof/>
              </w:rPr>
              <w:t>0</w:t>
            </w:r>
          </w:p>
        </w:tc>
        <w:tc>
          <w:tcPr>
            <w:tcW w:w="709" w:type="dxa"/>
            <w:shd w:val="clear" w:color="auto" w:fill="C6EFCE"/>
            <w:noWrap/>
          </w:tcPr>
          <w:p w14:paraId="700F4F3D" w14:textId="77777777" w:rsidR="00CB0FCB" w:rsidRDefault="009D2B11">
            <w:pPr>
              <w:pStyle w:val="P68B1DB1-Normal9"/>
              <w:spacing w:after="0" w:line="240" w:lineRule="auto"/>
              <w:rPr>
                <w:rFonts w:eastAsia="Times New Roman" w:cs="Calibri"/>
                <w:noProof/>
                <w:szCs w:val="18"/>
              </w:rPr>
            </w:pPr>
            <w:r>
              <w:rPr>
                <w:noProof/>
              </w:rPr>
              <w:t>300</w:t>
            </w:r>
          </w:p>
        </w:tc>
        <w:tc>
          <w:tcPr>
            <w:tcW w:w="992" w:type="dxa"/>
            <w:shd w:val="clear" w:color="auto" w:fill="C6EFCE"/>
            <w:noWrap/>
          </w:tcPr>
          <w:p w14:paraId="165FCF46"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shd w:val="clear" w:color="auto" w:fill="C6EFCE"/>
            <w:noWrap/>
          </w:tcPr>
          <w:p w14:paraId="749F6A7F" w14:textId="77777777" w:rsidR="00CB0FCB" w:rsidRDefault="009D2B11">
            <w:pPr>
              <w:pStyle w:val="P68B1DB1-Normal9"/>
              <w:spacing w:after="0" w:line="240" w:lineRule="auto"/>
              <w:rPr>
                <w:rFonts w:eastAsia="Times New Roman" w:cs="Calibri"/>
                <w:noProof/>
                <w:szCs w:val="18"/>
              </w:rPr>
            </w:pPr>
            <w:r>
              <w:rPr>
                <w:noProof/>
              </w:rPr>
              <w:t>2022</w:t>
            </w:r>
          </w:p>
        </w:tc>
        <w:tc>
          <w:tcPr>
            <w:tcW w:w="4438" w:type="dxa"/>
            <w:shd w:val="clear" w:color="auto" w:fill="C6EFCE"/>
            <w:noWrap/>
          </w:tcPr>
          <w:p w14:paraId="22C58193" w14:textId="77777777" w:rsidR="00CB0FCB" w:rsidRDefault="009D2B11">
            <w:pPr>
              <w:pStyle w:val="P68B1DB1-Normal9"/>
              <w:spacing w:after="0" w:line="240" w:lineRule="auto"/>
              <w:rPr>
                <w:rFonts w:eastAsia="Times New Roman" w:cs="Calibri"/>
                <w:noProof/>
                <w:szCs w:val="18"/>
              </w:rPr>
            </w:pPr>
            <w:r>
              <w:rPr>
                <w:noProof/>
              </w:rPr>
              <w:t>Vides un enerģētikas ministrija ir pieņēmusi vismaz 300 pašvaldību iesniegtos plānus publiski pieejamu elektrotransportlīdzekļu uzlādes punktu uzstādīšanai.</w:t>
            </w:r>
          </w:p>
        </w:tc>
      </w:tr>
    </w:tbl>
    <w:p w14:paraId="7DD0C0B6" w14:textId="77777777" w:rsidR="00CB0FCB" w:rsidRDefault="00CB0FCB">
      <w:pPr>
        <w:spacing w:before="120" w:after="120" w:line="240" w:lineRule="auto"/>
        <w:ind w:left="709"/>
        <w:jc w:val="both"/>
        <w:rPr>
          <w:rFonts w:ascii="Times New Roman" w:hAnsi="Times New Roman" w:cs="Times New Roman"/>
          <w:noProof/>
          <w:sz w:val="24"/>
          <w:szCs w:val="24"/>
        </w:rPr>
      </w:pPr>
    </w:p>
    <w:p w14:paraId="4C7E135B" w14:textId="77777777" w:rsidR="00CB0FCB" w:rsidRDefault="009D2B11">
      <w:pPr>
        <w:pStyle w:val="P68B1DB1-Normal6"/>
        <w:keepNext/>
        <w:keepLines/>
        <w:spacing w:before="40" w:after="0" w:line="240" w:lineRule="auto"/>
        <w:jc w:val="both"/>
        <w:outlineLvl w:val="4"/>
        <w:rPr>
          <w:rFonts w:eastAsia="Times New Roman"/>
          <w:noProof/>
        </w:rPr>
      </w:pPr>
      <w:r>
        <w:rPr>
          <w:noProof/>
        </w:rPr>
        <w:t>Grupa: E-mobilitāte.</w:t>
      </w:r>
    </w:p>
    <w:p w14:paraId="1BB97309" w14:textId="77777777" w:rsidR="00CB0FCB" w:rsidRDefault="009D2B11">
      <w:pPr>
        <w:pStyle w:val="P68B1DB1-Normal4"/>
        <w:spacing w:before="120" w:after="120" w:line="240" w:lineRule="auto"/>
        <w:ind w:left="709"/>
        <w:rPr>
          <w:rFonts w:cs="Times New Roman"/>
          <w:noProof/>
        </w:rPr>
      </w:pPr>
      <w:r>
        <w:rPr>
          <w:noProof/>
        </w:rPr>
        <w:t>Šajā grupā ietilpst šādi pasākumi:</w:t>
      </w:r>
    </w:p>
    <w:p w14:paraId="347EE61B"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Produc-E Green (ID: 16831)</w:t>
      </w:r>
    </w:p>
    <w:p w14:paraId="4EEF57BD" w14:textId="3744B21F"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 xml:space="preserve">Elektromobilitāte (ID: 16924) </w:t>
      </w:r>
    </w:p>
    <w:tbl>
      <w:tblPr>
        <w:tblW w:w="15191" w:type="dxa"/>
        <w:tblInd w:w="113" w:type="dxa"/>
        <w:tblLook w:val="04A0" w:firstRow="1" w:lastRow="0" w:firstColumn="1" w:lastColumn="0" w:noHBand="0" w:noVBand="1"/>
      </w:tblPr>
      <w:tblGrid>
        <w:gridCol w:w="906"/>
        <w:gridCol w:w="1299"/>
        <w:gridCol w:w="1569"/>
        <w:gridCol w:w="1714"/>
        <w:gridCol w:w="2054"/>
        <w:gridCol w:w="1399"/>
        <w:gridCol w:w="1220"/>
        <w:gridCol w:w="828"/>
        <w:gridCol w:w="906"/>
        <w:gridCol w:w="635"/>
        <w:gridCol w:w="2746"/>
      </w:tblGrid>
      <w:tr w:rsidR="00CB0FCB" w14:paraId="4B974AD3" w14:textId="77777777">
        <w:trPr>
          <w:trHeight w:val="939"/>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05DB21"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B4694A"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380FBA"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418" w:type="dxa"/>
            <w:vMerge w:val="restart"/>
            <w:tcBorders>
              <w:top w:val="single" w:sz="4" w:space="0" w:color="auto"/>
              <w:left w:val="nil"/>
              <w:bottom w:val="single" w:sz="4" w:space="0" w:color="auto"/>
              <w:right w:val="single" w:sz="4" w:space="0" w:color="auto"/>
            </w:tcBorders>
            <w:shd w:val="clear" w:color="auto" w:fill="BDD7EE"/>
            <w:vAlign w:val="center"/>
            <w:hideMark/>
          </w:tcPr>
          <w:p w14:paraId="33C0363A"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ED18DF"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253" w:type="dxa"/>
            <w:gridSpan w:val="3"/>
            <w:tcBorders>
              <w:top w:val="single" w:sz="4" w:space="0" w:color="auto"/>
              <w:left w:val="nil"/>
              <w:bottom w:val="single" w:sz="4" w:space="0" w:color="auto"/>
              <w:right w:val="single" w:sz="4" w:space="0" w:color="auto"/>
            </w:tcBorders>
            <w:shd w:val="clear" w:color="auto" w:fill="BDD7EE"/>
            <w:vAlign w:val="center"/>
            <w:hideMark/>
          </w:tcPr>
          <w:p w14:paraId="75E01FFD"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555" w:type="dxa"/>
            <w:gridSpan w:val="2"/>
            <w:tcBorders>
              <w:top w:val="single" w:sz="4" w:space="0" w:color="auto"/>
              <w:left w:val="nil"/>
              <w:bottom w:val="single" w:sz="4" w:space="0" w:color="auto"/>
              <w:right w:val="single" w:sz="4" w:space="0" w:color="auto"/>
            </w:tcBorders>
            <w:shd w:val="clear" w:color="auto" w:fill="BDD7EE"/>
            <w:vAlign w:val="center"/>
            <w:hideMark/>
          </w:tcPr>
          <w:p w14:paraId="32382C37"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1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0504D6"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25FCC058" w14:textId="77777777">
        <w:trPr>
          <w:trHeight w:val="531"/>
          <w:tblHead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61E6CA1" w14:textId="77777777" w:rsidR="00CB0FCB" w:rsidRDefault="00CB0FCB">
            <w:pPr>
              <w:spacing w:after="0" w:line="240" w:lineRule="auto"/>
              <w:rPr>
                <w:rFonts w:ascii="Times New Roman" w:eastAsia="Times New Roman" w:hAnsi="Times New Roman" w:cs="Times New Roman"/>
                <w:b/>
                <w:bCs/>
                <w:noProof/>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83A0626" w14:textId="77777777" w:rsidR="00CB0FCB" w:rsidRDefault="00CB0FCB">
            <w:pPr>
              <w:spacing w:after="0" w:line="240" w:lineRule="auto"/>
              <w:rPr>
                <w:rFonts w:ascii="Times New Roman" w:eastAsia="Times New Roman" w:hAnsi="Times New Roman" w:cs="Times New Roman"/>
                <w:b/>
                <w:bCs/>
                <w:noProo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0AB958" w14:textId="77777777" w:rsidR="00CB0FCB" w:rsidRDefault="00CB0FCB">
            <w:pPr>
              <w:spacing w:after="0" w:line="240" w:lineRule="auto"/>
              <w:rPr>
                <w:rFonts w:ascii="Times New Roman" w:eastAsia="Times New Roman" w:hAnsi="Times New Roman" w:cs="Times New Roman"/>
                <w:b/>
                <w:bCs/>
                <w:noProof/>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754121" w14:textId="77777777" w:rsidR="00CB0FCB" w:rsidRDefault="00CB0FCB">
            <w:pPr>
              <w:spacing w:after="0" w:line="240" w:lineRule="auto"/>
              <w:rPr>
                <w:rFonts w:ascii="Times New Roman" w:eastAsia="Times New Roman" w:hAnsi="Times New Roman" w:cs="Times New Roman"/>
                <w:b/>
                <w:bCs/>
                <w:noProof/>
                <w:sz w:val="18"/>
                <w:szCs w:val="18"/>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785078DC" w14:textId="77777777" w:rsidR="00CB0FCB" w:rsidRDefault="00CB0FCB">
            <w:pPr>
              <w:spacing w:after="0" w:line="240" w:lineRule="auto"/>
              <w:rPr>
                <w:rFonts w:ascii="Times New Roman" w:eastAsia="Times New Roman" w:hAnsi="Times New Roman" w:cs="Times New Roman"/>
                <w:b/>
                <w:bCs/>
                <w:noProof/>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2398303"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363E3EE"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93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A2BF323"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31B38BE"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65C9F3F"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191" w:type="dxa"/>
            <w:vMerge/>
            <w:vAlign w:val="center"/>
            <w:hideMark/>
          </w:tcPr>
          <w:p w14:paraId="0A562602"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30F00A73"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C6BAA7C" w14:textId="77777777" w:rsidR="00CB0FCB" w:rsidRDefault="009D2B11">
            <w:pPr>
              <w:pStyle w:val="P68B1DB1-Normal9"/>
              <w:spacing w:after="0" w:line="240" w:lineRule="auto"/>
              <w:rPr>
                <w:rFonts w:eastAsia="Times New Roman" w:cs="Calibri"/>
                <w:noProof/>
                <w:szCs w:val="18"/>
              </w:rPr>
            </w:pPr>
            <w:r>
              <w:rPr>
                <w:noProof/>
              </w:rPr>
              <w:t>44</w:t>
            </w:r>
          </w:p>
        </w:tc>
        <w:tc>
          <w:tcPr>
            <w:tcW w:w="1378" w:type="dxa"/>
            <w:tcBorders>
              <w:top w:val="single" w:sz="4" w:space="0" w:color="auto"/>
              <w:left w:val="nil"/>
              <w:bottom w:val="single" w:sz="4" w:space="0" w:color="auto"/>
              <w:right w:val="single" w:sz="4" w:space="0" w:color="auto"/>
            </w:tcBorders>
            <w:shd w:val="clear" w:color="auto" w:fill="C6EFCE"/>
            <w:noWrap/>
          </w:tcPr>
          <w:p w14:paraId="797851ED" w14:textId="77777777" w:rsidR="00CB0FCB" w:rsidRDefault="009D2B11">
            <w:pPr>
              <w:pStyle w:val="P68B1DB1-Normal9"/>
              <w:spacing w:after="0" w:line="240" w:lineRule="auto"/>
              <w:rPr>
                <w:rFonts w:eastAsia="Times New Roman" w:cs="Calibri"/>
                <w:noProof/>
                <w:szCs w:val="18"/>
              </w:rPr>
            </w:pPr>
            <w:r>
              <w:rPr>
                <w:noProof/>
              </w:rPr>
              <w:t>3–1.3. Uzlāde un uzpilde — 16924_ Elektromobilitāte</w:t>
            </w:r>
          </w:p>
        </w:tc>
        <w:tc>
          <w:tcPr>
            <w:tcW w:w="992" w:type="dxa"/>
            <w:tcBorders>
              <w:top w:val="single" w:sz="4" w:space="0" w:color="auto"/>
              <w:left w:val="nil"/>
              <w:bottom w:val="single" w:sz="4" w:space="0" w:color="auto"/>
              <w:right w:val="single" w:sz="4" w:space="0" w:color="auto"/>
            </w:tcBorders>
            <w:shd w:val="clear" w:color="auto" w:fill="C6EFCE"/>
            <w:noWrap/>
          </w:tcPr>
          <w:p w14:paraId="17EBED1B"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50F3EFF6" w14:textId="77777777" w:rsidR="00CB0FCB" w:rsidRDefault="009D2B11">
            <w:pPr>
              <w:pStyle w:val="P68B1DB1-Normal9"/>
              <w:spacing w:after="0" w:line="240" w:lineRule="auto"/>
              <w:rPr>
                <w:rFonts w:eastAsia="Times New Roman" w:cs="Calibri"/>
                <w:noProof/>
                <w:szCs w:val="18"/>
              </w:rPr>
            </w:pPr>
            <w:r>
              <w:rPr>
                <w:noProof/>
              </w:rPr>
              <w:t>Sabiedriskais transports — Tirgus regulējuma stāšanās spēkā attiecībā uz sabiedrisko pakalpojumu sniegšanas saistībām (autobusi)</w:t>
            </w:r>
          </w:p>
        </w:tc>
        <w:tc>
          <w:tcPr>
            <w:tcW w:w="2377" w:type="dxa"/>
            <w:tcBorders>
              <w:top w:val="single" w:sz="4" w:space="0" w:color="auto"/>
              <w:left w:val="nil"/>
              <w:bottom w:val="single" w:sz="4" w:space="0" w:color="auto"/>
              <w:right w:val="single" w:sz="4" w:space="0" w:color="auto"/>
            </w:tcBorders>
            <w:shd w:val="clear" w:color="auto" w:fill="C6EFCE"/>
            <w:noWrap/>
          </w:tcPr>
          <w:p w14:paraId="39499153" w14:textId="77777777" w:rsidR="00CB0FCB" w:rsidRDefault="009D2B11">
            <w:pPr>
              <w:pStyle w:val="P68B1DB1-Normal9"/>
              <w:spacing w:after="0" w:line="240" w:lineRule="auto"/>
              <w:rPr>
                <w:rFonts w:eastAsia="Times New Roman" w:cs="Calibri"/>
                <w:noProof/>
                <w:szCs w:val="18"/>
                <w:highlight w:val="yellow"/>
              </w:rPr>
            </w:pPr>
            <w:r>
              <w:rPr>
                <w:noProof/>
              </w:rPr>
              <w:t>Pārskatītā tiesiskā regulējuma stāšanās spēkā.</w:t>
            </w:r>
          </w:p>
        </w:tc>
        <w:tc>
          <w:tcPr>
            <w:tcW w:w="1460" w:type="dxa"/>
            <w:tcBorders>
              <w:top w:val="single" w:sz="4" w:space="0" w:color="auto"/>
              <w:left w:val="nil"/>
              <w:bottom w:val="single" w:sz="4" w:space="0" w:color="auto"/>
              <w:right w:val="single" w:sz="4" w:space="0" w:color="auto"/>
            </w:tcBorders>
            <w:shd w:val="clear" w:color="auto" w:fill="C6EFCE"/>
            <w:noWrap/>
          </w:tcPr>
          <w:p w14:paraId="5658F8A4"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E477D1A"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079719E7"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AC96306"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2AE8A82F" w14:textId="77777777" w:rsidR="00CB0FCB" w:rsidRDefault="009D2B11">
            <w:pPr>
              <w:pStyle w:val="P68B1DB1-Normal9"/>
              <w:spacing w:after="0" w:line="240" w:lineRule="auto"/>
              <w:rPr>
                <w:rFonts w:eastAsia="Times New Roman" w:cs="Calibri"/>
                <w:noProof/>
                <w:szCs w:val="18"/>
              </w:rPr>
            </w:pPr>
            <w:r>
              <w:rPr>
                <w:noProof/>
              </w:rPr>
              <w:t>2021</w:t>
            </w:r>
          </w:p>
        </w:tc>
        <w:tc>
          <w:tcPr>
            <w:tcW w:w="3191" w:type="dxa"/>
            <w:tcBorders>
              <w:top w:val="single" w:sz="4" w:space="0" w:color="auto"/>
              <w:left w:val="nil"/>
              <w:bottom w:val="single" w:sz="4" w:space="0" w:color="auto"/>
              <w:right w:val="single" w:sz="4" w:space="0" w:color="auto"/>
            </w:tcBorders>
            <w:shd w:val="clear" w:color="auto" w:fill="C6EFCE"/>
            <w:noWrap/>
          </w:tcPr>
          <w:p w14:paraId="3A88E618" w14:textId="77777777" w:rsidR="00CB0FCB" w:rsidRDefault="009D2B11">
            <w:pPr>
              <w:pStyle w:val="P68B1DB1-Normal9"/>
              <w:spacing w:after="0" w:line="240" w:lineRule="auto"/>
              <w:rPr>
                <w:rFonts w:eastAsia="Times New Roman" w:cs="Calibri"/>
                <w:noProof/>
                <w:szCs w:val="18"/>
              </w:rPr>
            </w:pPr>
            <w:r>
              <w:rPr>
                <w:noProof/>
              </w:rPr>
              <w:t>Stiprināt tirgus regulējumu, stājoties spēkā pārskatītajam tiesiskajam regulējumam attiecībā uz sabiedriskajiem pilsētu un reģionālajiem pasažieru pārvadājumu pakalpojumiem (saskaņā ar ES Regulu (EK) Nr. 1370/2007). Pārskatītā sistēma: a) nodrošināt nepārtrauktu pilsētas un reģionālā sabiedriskā pasažieru autopārvadājumu (regulāra un fiksēta maršruta) piegādi; b) pārraudzīt saistīto transporta tīklu projektēšanu, organizāciju un darbību; C) nodrošināt kvalitatīvu sabiedrisko autotransportu par iespējami zemākām izmaksām; reglamentēt ekskluzīvu tiesību piešķiršanas procesu, lai apkalpotu publiskus reģionālos un pilsētu maršrutus (plānotus un fiksētus maršrutus); un e) regulēt kompensācijas līmeni par iepriekš minēto pakalpojumu sniegšanu. Turklāt ar likumu nosaka vispārējos kritērijus turpmākajam pasažieru transporta pakalpojumu iepirkumam. Attiecīgie reģioni un reģionālās vienības nosaka sīki izstrādātus reģionam specifiskus kritērijus, kuros pienācīgi ņem vērā reģionam raksturīgās transporta vajadzības, un attiecīgi precizē iepirkuma procesu.</w:t>
            </w:r>
          </w:p>
        </w:tc>
      </w:tr>
      <w:tr w:rsidR="00CB0FCB" w14:paraId="78E5CAB3"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3CDAE8E" w14:textId="77777777" w:rsidR="00CB0FCB" w:rsidRDefault="009D2B11">
            <w:pPr>
              <w:pStyle w:val="P68B1DB1-Normal9"/>
              <w:spacing w:after="0" w:line="240" w:lineRule="auto"/>
              <w:rPr>
                <w:rFonts w:eastAsia="Times New Roman" w:cs="Calibri"/>
                <w:noProof/>
                <w:szCs w:val="18"/>
              </w:rPr>
            </w:pPr>
            <w:r>
              <w:rPr>
                <w:noProof/>
              </w:rPr>
              <w:t>45</w:t>
            </w:r>
          </w:p>
        </w:tc>
        <w:tc>
          <w:tcPr>
            <w:tcW w:w="1378" w:type="dxa"/>
            <w:tcBorders>
              <w:top w:val="single" w:sz="4" w:space="0" w:color="auto"/>
              <w:left w:val="nil"/>
              <w:bottom w:val="single" w:sz="4" w:space="0" w:color="auto"/>
              <w:right w:val="single" w:sz="4" w:space="0" w:color="auto"/>
            </w:tcBorders>
            <w:shd w:val="clear" w:color="auto" w:fill="C6EFCE"/>
            <w:noWrap/>
          </w:tcPr>
          <w:p w14:paraId="04AE29B9" w14:textId="77777777" w:rsidR="00CB0FCB" w:rsidRDefault="009D2B11">
            <w:pPr>
              <w:pStyle w:val="P68B1DB1-Normal9"/>
              <w:spacing w:after="0" w:line="240" w:lineRule="auto"/>
              <w:rPr>
                <w:rFonts w:eastAsia="Times New Roman" w:cs="Calibri"/>
                <w:noProof/>
                <w:szCs w:val="18"/>
              </w:rPr>
            </w:pPr>
            <w:r>
              <w:rPr>
                <w:noProof/>
              </w:rPr>
              <w:t>3–1.3. Uzlāde un uzpilde — 16924_ Elektromobilitāte</w:t>
            </w:r>
          </w:p>
        </w:tc>
        <w:tc>
          <w:tcPr>
            <w:tcW w:w="992" w:type="dxa"/>
            <w:tcBorders>
              <w:top w:val="single" w:sz="4" w:space="0" w:color="auto"/>
              <w:left w:val="nil"/>
              <w:bottom w:val="single" w:sz="4" w:space="0" w:color="auto"/>
              <w:right w:val="single" w:sz="4" w:space="0" w:color="auto"/>
            </w:tcBorders>
            <w:shd w:val="clear" w:color="auto" w:fill="C6EFCE"/>
            <w:noWrap/>
          </w:tcPr>
          <w:p w14:paraId="2883512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50CD5927" w14:textId="77777777" w:rsidR="00CB0FCB" w:rsidRDefault="009D2B11">
            <w:pPr>
              <w:pStyle w:val="P68B1DB1-Normal9"/>
              <w:spacing w:after="0" w:line="240" w:lineRule="auto"/>
              <w:rPr>
                <w:rFonts w:eastAsia="Times New Roman" w:cs="Calibri"/>
                <w:noProof/>
                <w:szCs w:val="18"/>
              </w:rPr>
            </w:pPr>
            <w:r>
              <w:rPr>
                <w:noProof/>
              </w:rPr>
              <w:t>Sabiedriskais transports — jauna tirgus regulējuma īstenošana attiecībā uz sabiedrisko pakalpojumu sniegšanas saistībām (autobusi)</w:t>
            </w:r>
          </w:p>
        </w:tc>
        <w:tc>
          <w:tcPr>
            <w:tcW w:w="2377" w:type="dxa"/>
            <w:tcBorders>
              <w:top w:val="single" w:sz="4" w:space="0" w:color="auto"/>
              <w:left w:val="nil"/>
              <w:bottom w:val="single" w:sz="4" w:space="0" w:color="auto"/>
              <w:right w:val="single" w:sz="4" w:space="0" w:color="auto"/>
            </w:tcBorders>
            <w:shd w:val="clear" w:color="auto" w:fill="C6EFCE"/>
            <w:noWrap/>
          </w:tcPr>
          <w:p w14:paraId="70E1FD0A" w14:textId="77777777" w:rsidR="00CB0FCB" w:rsidRDefault="009D2B11">
            <w:pPr>
              <w:pStyle w:val="P68B1DB1-Normal9"/>
              <w:spacing w:after="0" w:line="240" w:lineRule="auto"/>
              <w:rPr>
                <w:rFonts w:eastAsia="Times New Roman" w:cs="Calibri"/>
                <w:noProof/>
                <w:szCs w:val="18"/>
                <w:highlight w:val="yellow"/>
              </w:rPr>
            </w:pPr>
            <w:r>
              <w:rPr>
                <w:noProof/>
              </w:rPr>
              <w:t>Stājas spēkā sekundārie tiesību akti, kas saistīti ar pārskatīto tiesisko regulējumu.</w:t>
            </w:r>
          </w:p>
        </w:tc>
        <w:tc>
          <w:tcPr>
            <w:tcW w:w="1460" w:type="dxa"/>
            <w:tcBorders>
              <w:top w:val="single" w:sz="4" w:space="0" w:color="auto"/>
              <w:left w:val="nil"/>
              <w:bottom w:val="single" w:sz="4" w:space="0" w:color="auto"/>
              <w:right w:val="single" w:sz="4" w:space="0" w:color="auto"/>
            </w:tcBorders>
            <w:shd w:val="clear" w:color="auto" w:fill="C6EFCE"/>
            <w:noWrap/>
          </w:tcPr>
          <w:p w14:paraId="28B55A9A"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061840F"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4814238B"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7A45B25" w14:textId="77777777" w:rsidR="00CB0FCB" w:rsidRDefault="009D2B11">
            <w:pPr>
              <w:pStyle w:val="P68B1DB1-Normal9"/>
              <w:spacing w:after="0" w:line="240" w:lineRule="auto"/>
              <w:rPr>
                <w:rFonts w:eastAsia="Times New Roman" w:cs="Calibri"/>
                <w:noProof/>
                <w:szCs w:val="18"/>
              </w:rPr>
            </w:pPr>
            <w:r>
              <w:rPr>
                <w:noProof/>
              </w:rPr>
              <w:t>CET.</w:t>
            </w:r>
          </w:p>
        </w:tc>
        <w:tc>
          <w:tcPr>
            <w:tcW w:w="709" w:type="dxa"/>
            <w:tcBorders>
              <w:top w:val="single" w:sz="4" w:space="0" w:color="auto"/>
              <w:left w:val="nil"/>
              <w:bottom w:val="single" w:sz="4" w:space="0" w:color="auto"/>
              <w:right w:val="single" w:sz="4" w:space="0" w:color="auto"/>
            </w:tcBorders>
            <w:shd w:val="clear" w:color="auto" w:fill="C6EFCE"/>
            <w:noWrap/>
          </w:tcPr>
          <w:p w14:paraId="07497782" w14:textId="77777777" w:rsidR="00CB0FCB" w:rsidRDefault="009D2B11">
            <w:pPr>
              <w:pStyle w:val="P68B1DB1-Normal9"/>
              <w:spacing w:after="0" w:line="240" w:lineRule="auto"/>
              <w:rPr>
                <w:rFonts w:eastAsia="Times New Roman" w:cs="Calibri"/>
                <w:noProof/>
                <w:szCs w:val="18"/>
              </w:rPr>
            </w:pPr>
            <w:r>
              <w:rPr>
                <w:noProof/>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287A5A45" w14:textId="77777777" w:rsidR="00CB0FCB" w:rsidRDefault="009D2B11">
            <w:pPr>
              <w:pStyle w:val="P68B1DB1-Normal9"/>
              <w:spacing w:after="0" w:line="240" w:lineRule="auto"/>
              <w:rPr>
                <w:rFonts w:eastAsia="Times New Roman" w:cs="Calibri"/>
                <w:noProof/>
                <w:szCs w:val="18"/>
              </w:rPr>
            </w:pPr>
            <w:r>
              <w:rPr>
                <w:noProof/>
              </w:rPr>
              <w:t>Stājušies spēkā sekundārie tiesību akti, kas norādīti pārskatītajā tiesiskajā regulējumā, lai stiprinātu sabiedrisko pilsētas un reģionālo pasažieru pārvadājumu pakalpojumu tirgus regulējumu.</w:t>
            </w:r>
          </w:p>
        </w:tc>
      </w:tr>
      <w:tr w:rsidR="00CB0FCB" w14:paraId="7CFF6602"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29E39BA" w14:textId="77777777" w:rsidR="00CB0FCB" w:rsidRDefault="009D2B11">
            <w:pPr>
              <w:pStyle w:val="P68B1DB1-Normal9"/>
              <w:spacing w:after="0" w:line="240" w:lineRule="auto"/>
              <w:rPr>
                <w:rFonts w:eastAsia="Times New Roman" w:cs="Calibri"/>
                <w:noProof/>
                <w:szCs w:val="18"/>
              </w:rPr>
            </w:pPr>
            <w:r>
              <w:rPr>
                <w:noProof/>
              </w:rPr>
              <w:t>46</w:t>
            </w:r>
          </w:p>
        </w:tc>
        <w:tc>
          <w:tcPr>
            <w:tcW w:w="1378" w:type="dxa"/>
            <w:tcBorders>
              <w:top w:val="single" w:sz="4" w:space="0" w:color="auto"/>
              <w:left w:val="nil"/>
              <w:bottom w:val="single" w:sz="4" w:space="0" w:color="auto"/>
              <w:right w:val="single" w:sz="4" w:space="0" w:color="auto"/>
            </w:tcBorders>
            <w:shd w:val="clear" w:color="auto" w:fill="C6EFCE"/>
            <w:noWrap/>
          </w:tcPr>
          <w:p w14:paraId="2B19626C" w14:textId="77777777" w:rsidR="00CB0FCB" w:rsidRDefault="009D2B11">
            <w:pPr>
              <w:pStyle w:val="P68B1DB1-Normal9"/>
              <w:spacing w:after="0" w:line="240" w:lineRule="auto"/>
              <w:rPr>
                <w:rFonts w:eastAsia="Times New Roman" w:cs="Calibri"/>
                <w:noProof/>
                <w:szCs w:val="18"/>
              </w:rPr>
            </w:pPr>
            <w:r>
              <w:rPr>
                <w:noProof/>
              </w:rPr>
              <w:t xml:space="preserve">3–1.3. Uzlāde un uzpilde — 16831_Produc- E Green </w:t>
            </w:r>
          </w:p>
        </w:tc>
        <w:tc>
          <w:tcPr>
            <w:tcW w:w="992" w:type="dxa"/>
            <w:tcBorders>
              <w:top w:val="single" w:sz="4" w:space="0" w:color="auto"/>
              <w:left w:val="nil"/>
              <w:bottom w:val="single" w:sz="4" w:space="0" w:color="auto"/>
              <w:right w:val="single" w:sz="4" w:space="0" w:color="auto"/>
            </w:tcBorders>
            <w:shd w:val="clear" w:color="auto" w:fill="C6EFCE"/>
            <w:noWrap/>
          </w:tcPr>
          <w:p w14:paraId="07E1988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74A493CE" w14:textId="77777777" w:rsidR="00CB0FCB" w:rsidRDefault="009D2B11">
            <w:pPr>
              <w:pStyle w:val="P68B1DB1-Normal9"/>
              <w:spacing w:after="0" w:line="240" w:lineRule="auto"/>
              <w:rPr>
                <w:rFonts w:eastAsia="Times New Roman" w:cs="Calibri"/>
                <w:noProof/>
                <w:szCs w:val="18"/>
              </w:rPr>
            </w:pPr>
            <w:r>
              <w:rPr>
                <w:noProof/>
              </w:rPr>
              <w:t>Rūpnieciskās vienības — programmas uzsākšana</w:t>
            </w:r>
          </w:p>
        </w:tc>
        <w:tc>
          <w:tcPr>
            <w:tcW w:w="2377" w:type="dxa"/>
            <w:tcBorders>
              <w:top w:val="single" w:sz="4" w:space="0" w:color="auto"/>
              <w:left w:val="nil"/>
              <w:bottom w:val="single" w:sz="4" w:space="0" w:color="auto"/>
              <w:right w:val="single" w:sz="4" w:space="0" w:color="auto"/>
            </w:tcBorders>
            <w:shd w:val="clear" w:color="auto" w:fill="C6EFCE"/>
            <w:noWrap/>
          </w:tcPr>
          <w:p w14:paraId="68C74B35" w14:textId="77777777" w:rsidR="00CB0FCB" w:rsidRDefault="009D2B11">
            <w:pPr>
              <w:pStyle w:val="P68B1DB1-Normal9"/>
              <w:spacing w:after="0" w:line="240" w:lineRule="auto"/>
              <w:rPr>
                <w:rFonts w:eastAsia="Times New Roman" w:cs="Calibri"/>
                <w:noProof/>
                <w:szCs w:val="18"/>
              </w:rPr>
            </w:pPr>
            <w:r>
              <w:rPr>
                <w:noProof/>
              </w:rPr>
              <w:t>Stājas spēkā ministra lēmums(-i).</w:t>
            </w:r>
          </w:p>
          <w:p w14:paraId="409D1662" w14:textId="77777777" w:rsidR="00CB0FCB" w:rsidRDefault="00CB0FCB">
            <w:pPr>
              <w:spacing w:after="0" w:line="240" w:lineRule="auto"/>
              <w:rPr>
                <w:rFonts w:eastAsia="Times New Roman" w:cs="Calibri"/>
                <w:noProof/>
                <w:color w:val="006100"/>
                <w:sz w:val="18"/>
                <w:szCs w:val="18"/>
                <w:highlight w:val="yellow"/>
              </w:rPr>
            </w:pPr>
          </w:p>
        </w:tc>
        <w:tc>
          <w:tcPr>
            <w:tcW w:w="1460" w:type="dxa"/>
            <w:tcBorders>
              <w:top w:val="single" w:sz="4" w:space="0" w:color="auto"/>
              <w:left w:val="nil"/>
              <w:bottom w:val="single" w:sz="4" w:space="0" w:color="auto"/>
              <w:right w:val="single" w:sz="4" w:space="0" w:color="auto"/>
            </w:tcBorders>
            <w:shd w:val="clear" w:color="auto" w:fill="C6EFCE"/>
            <w:noWrap/>
          </w:tcPr>
          <w:p w14:paraId="6570772E"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69907CA"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57CC8F52"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DA32CCE"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57FAC9E1" w14:textId="77777777" w:rsidR="00CB0FCB" w:rsidRDefault="009D2B11">
            <w:pPr>
              <w:pStyle w:val="P68B1DB1-Normal9"/>
              <w:spacing w:after="0" w:line="240" w:lineRule="auto"/>
              <w:rPr>
                <w:rFonts w:eastAsia="Times New Roman" w:cs="Calibri"/>
                <w:noProof/>
                <w:szCs w:val="18"/>
              </w:rPr>
            </w:pPr>
            <w:r>
              <w:rPr>
                <w:noProof/>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4B1F9DEC" w14:textId="77777777" w:rsidR="00CB0FCB" w:rsidRDefault="009D2B11">
            <w:pPr>
              <w:pStyle w:val="P68B1DB1-Normal9"/>
              <w:spacing w:after="0" w:line="240" w:lineRule="auto"/>
              <w:rPr>
                <w:rFonts w:eastAsia="Times New Roman" w:cs="Calibri"/>
                <w:noProof/>
                <w:szCs w:val="18"/>
              </w:rPr>
            </w:pPr>
            <w:r>
              <w:rPr>
                <w:noProof/>
              </w:rPr>
              <w:t>Rūpniecības vienību atlases programmas uzsākšana un Vides un enerģētikas ministrijas attiecīgā(-o) ministra lēmuma(-u) stāšanās spēkā, nosakot:</w:t>
            </w:r>
          </w:p>
          <w:p w14:paraId="16FA30C4" w14:textId="77777777" w:rsidR="00CB0FCB" w:rsidRDefault="009D2B11">
            <w:pPr>
              <w:pStyle w:val="P68B1DB1-Normal9"/>
              <w:spacing w:after="0" w:line="240" w:lineRule="auto"/>
              <w:rPr>
                <w:rFonts w:eastAsia="Times New Roman" w:cs="Calibri"/>
                <w:noProof/>
                <w:szCs w:val="18"/>
              </w:rPr>
            </w:pPr>
            <w:r>
              <w:rPr>
                <w:noProof/>
              </w:rPr>
              <w:t>— Atlases process, kas vērsts uz mazoglekļa ekonomiku un noturību pret klimata pārmaiņām;</w:t>
            </w:r>
          </w:p>
          <w:p w14:paraId="172D945D" w14:textId="77777777" w:rsidR="00CB0FCB" w:rsidRDefault="009D2B11">
            <w:pPr>
              <w:pStyle w:val="P68B1DB1-Normal9"/>
              <w:spacing w:after="0" w:line="240" w:lineRule="auto"/>
              <w:rPr>
                <w:rFonts w:eastAsia="Times New Roman" w:cs="Calibri"/>
                <w:noProof/>
                <w:szCs w:val="18"/>
              </w:rPr>
            </w:pPr>
            <w:r>
              <w:rPr>
                <w:noProof/>
              </w:rPr>
              <w:t>— Noteikts īstenošanas mehānisms;</w:t>
            </w:r>
          </w:p>
          <w:p w14:paraId="4AA1805D" w14:textId="77777777" w:rsidR="00CB0FCB" w:rsidRDefault="009D2B11">
            <w:pPr>
              <w:pStyle w:val="P68B1DB1-Normal9"/>
              <w:spacing w:after="0" w:line="240" w:lineRule="auto"/>
              <w:rPr>
                <w:rFonts w:eastAsia="Times New Roman" w:cs="Calibri"/>
                <w:noProof/>
                <w:szCs w:val="18"/>
              </w:rPr>
            </w:pPr>
            <w:r>
              <w:rPr>
                <w:noProof/>
              </w:rPr>
              <w:t>— Sertifikācijas mehānisms(-i), lai apstiprinātu, ka ir sasniegts klimata pārmaiņu mērķis (tostarp vajadzības gadījumā sīka informācija par iespējamiem korektīviem pasākumiem; un</w:t>
            </w:r>
          </w:p>
          <w:p w14:paraId="30C63BB0" w14:textId="77777777" w:rsidR="00CB0FCB" w:rsidRDefault="009D2B11">
            <w:pPr>
              <w:pStyle w:val="P68B1DB1-Normal9"/>
              <w:spacing w:after="0" w:line="240" w:lineRule="auto"/>
              <w:rPr>
                <w:rFonts w:eastAsia="Times New Roman" w:cs="Calibri"/>
                <w:noProof/>
                <w:szCs w:val="18"/>
              </w:rPr>
            </w:pPr>
            <w:r>
              <w:rPr>
                <w:noProof/>
              </w:rPr>
              <w:t>Hronoloģisks pārskats.</w:t>
            </w:r>
          </w:p>
          <w:p w14:paraId="3FECA8DA" w14:textId="77777777" w:rsidR="00CB0FCB" w:rsidRDefault="00CB0FCB">
            <w:pPr>
              <w:spacing w:after="0" w:line="240" w:lineRule="auto"/>
              <w:rPr>
                <w:rFonts w:eastAsia="Times New Roman" w:cs="Calibri"/>
                <w:noProof/>
                <w:color w:val="006100"/>
                <w:sz w:val="18"/>
                <w:szCs w:val="18"/>
              </w:rPr>
            </w:pPr>
          </w:p>
          <w:p w14:paraId="75168BD5" w14:textId="77777777" w:rsidR="00CB0FCB" w:rsidRDefault="009D2B11">
            <w:pPr>
              <w:pStyle w:val="P68B1DB1-Normal9"/>
              <w:spacing w:after="0" w:line="240" w:lineRule="auto"/>
              <w:rPr>
                <w:rFonts w:eastAsia="Times New Roman" w:cs="Calibri"/>
                <w:noProof/>
                <w:szCs w:val="18"/>
              </w:rPr>
            </w:pPr>
            <w:r>
              <w:rPr>
                <w:noProof/>
              </w:rPr>
              <w:t>Noteiktie atlases/atbilstības kritēriji nodrošina, ka atlasītie projekti atbilst tehniskajiem norādījumiem “nenodarīt būtisku kaitējumu” (2021/C58/01), izmantojot izslēgšanas sarakstu un prasību par atbilstību attiecīgajiem ES un valsts tiesību aktiem vides jomā.</w:t>
            </w:r>
          </w:p>
        </w:tc>
      </w:tr>
      <w:tr w:rsidR="00CB0FCB" w14:paraId="389443FF"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CF94FD6" w14:textId="77777777" w:rsidR="00CB0FCB" w:rsidRDefault="009D2B11">
            <w:pPr>
              <w:pStyle w:val="P68B1DB1-Normal9"/>
              <w:spacing w:after="0" w:line="240" w:lineRule="auto"/>
              <w:rPr>
                <w:rFonts w:eastAsia="Times New Roman" w:cs="Calibri"/>
                <w:noProof/>
                <w:szCs w:val="18"/>
              </w:rPr>
            </w:pPr>
            <w:r>
              <w:rPr>
                <w:noProof/>
              </w:rPr>
              <w:t>47</w:t>
            </w:r>
          </w:p>
        </w:tc>
        <w:tc>
          <w:tcPr>
            <w:tcW w:w="1378" w:type="dxa"/>
            <w:tcBorders>
              <w:top w:val="single" w:sz="4" w:space="0" w:color="auto"/>
              <w:left w:val="nil"/>
              <w:bottom w:val="single" w:sz="4" w:space="0" w:color="auto"/>
              <w:right w:val="single" w:sz="4" w:space="0" w:color="auto"/>
            </w:tcBorders>
            <w:shd w:val="clear" w:color="auto" w:fill="C6EFCE"/>
            <w:noWrap/>
          </w:tcPr>
          <w:p w14:paraId="3378C159" w14:textId="77777777" w:rsidR="00CB0FCB" w:rsidRDefault="009D2B11">
            <w:pPr>
              <w:pStyle w:val="P68B1DB1-Normal9"/>
              <w:spacing w:after="0" w:line="240" w:lineRule="auto"/>
              <w:rPr>
                <w:rFonts w:eastAsia="Times New Roman" w:cs="Calibri"/>
                <w:noProof/>
                <w:szCs w:val="18"/>
              </w:rPr>
            </w:pPr>
            <w:r>
              <w:rPr>
                <w:noProof/>
              </w:rPr>
              <w:t>3–1.3. Uzlāde un uzpilde — 16924_ Elektromobilitāte</w:t>
            </w:r>
          </w:p>
        </w:tc>
        <w:tc>
          <w:tcPr>
            <w:tcW w:w="992" w:type="dxa"/>
            <w:tcBorders>
              <w:top w:val="single" w:sz="4" w:space="0" w:color="auto"/>
              <w:left w:val="nil"/>
              <w:bottom w:val="single" w:sz="4" w:space="0" w:color="auto"/>
              <w:right w:val="single" w:sz="4" w:space="0" w:color="auto"/>
            </w:tcBorders>
            <w:shd w:val="clear" w:color="auto" w:fill="C6EFCE"/>
            <w:noWrap/>
          </w:tcPr>
          <w:p w14:paraId="3A9E4FD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666ADE00" w14:textId="77777777" w:rsidR="00CB0FCB" w:rsidRDefault="009D2B11">
            <w:pPr>
              <w:pStyle w:val="P68B1DB1-Normal9"/>
              <w:spacing w:after="0" w:line="240" w:lineRule="auto"/>
              <w:rPr>
                <w:rFonts w:eastAsia="Times New Roman" w:cs="Calibri"/>
                <w:noProof/>
                <w:szCs w:val="18"/>
              </w:rPr>
            </w:pPr>
            <w:r>
              <w:rPr>
                <w:noProof/>
              </w:rPr>
              <w:t xml:space="preserve"> Elektrotransportlīdzekļu uzlādes punkti — programmu uzsākšana</w:t>
            </w:r>
          </w:p>
        </w:tc>
        <w:tc>
          <w:tcPr>
            <w:tcW w:w="2377" w:type="dxa"/>
            <w:tcBorders>
              <w:top w:val="single" w:sz="4" w:space="0" w:color="auto"/>
              <w:left w:val="nil"/>
              <w:bottom w:val="single" w:sz="4" w:space="0" w:color="auto"/>
              <w:right w:val="single" w:sz="4" w:space="0" w:color="auto"/>
            </w:tcBorders>
            <w:shd w:val="clear" w:color="auto" w:fill="C6EFCE"/>
            <w:noWrap/>
          </w:tcPr>
          <w:p w14:paraId="2CD3847C" w14:textId="77777777" w:rsidR="00CB0FCB" w:rsidRDefault="009D2B11">
            <w:pPr>
              <w:pStyle w:val="P68B1DB1-Normal9"/>
              <w:spacing w:after="0" w:line="240" w:lineRule="auto"/>
              <w:rPr>
                <w:rFonts w:eastAsia="Times New Roman" w:cs="Calibri"/>
                <w:noProof/>
                <w:szCs w:val="18"/>
              </w:rPr>
            </w:pPr>
            <w:r>
              <w:rPr>
                <w:noProof/>
              </w:rPr>
              <w:t>Stājas spēkā ministra lēmums(-i).</w:t>
            </w:r>
          </w:p>
          <w:p w14:paraId="498E64C2" w14:textId="77777777" w:rsidR="00CB0FCB" w:rsidRDefault="00CB0FCB">
            <w:pPr>
              <w:spacing w:after="0" w:line="240" w:lineRule="auto"/>
              <w:rPr>
                <w:rFonts w:eastAsia="Times New Roman" w:cs="Calibri"/>
                <w:noProof/>
                <w:color w:val="006100"/>
                <w:sz w:val="18"/>
                <w:szCs w:val="18"/>
              </w:rPr>
            </w:pPr>
          </w:p>
        </w:tc>
        <w:tc>
          <w:tcPr>
            <w:tcW w:w="1460" w:type="dxa"/>
            <w:tcBorders>
              <w:top w:val="single" w:sz="4" w:space="0" w:color="auto"/>
              <w:left w:val="nil"/>
              <w:bottom w:val="single" w:sz="4" w:space="0" w:color="auto"/>
              <w:right w:val="single" w:sz="4" w:space="0" w:color="auto"/>
            </w:tcBorders>
            <w:shd w:val="clear" w:color="auto" w:fill="C6EFCE"/>
            <w:noWrap/>
          </w:tcPr>
          <w:p w14:paraId="76BC4CE7"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0DF1F5F"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7AC35740"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2F726FD"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4E9F91C0" w14:textId="77777777" w:rsidR="00CB0FCB" w:rsidRDefault="009D2B11">
            <w:pPr>
              <w:pStyle w:val="P68B1DB1-Normal9"/>
              <w:spacing w:after="0" w:line="240" w:lineRule="auto"/>
              <w:rPr>
                <w:rFonts w:eastAsia="Times New Roman" w:cs="Calibri"/>
                <w:noProof/>
                <w:szCs w:val="18"/>
              </w:rPr>
            </w:pPr>
            <w:r>
              <w:rPr>
                <w:noProof/>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5AA7446C" w14:textId="77777777" w:rsidR="00CB0FCB" w:rsidRDefault="009D2B11">
            <w:pPr>
              <w:pStyle w:val="P68B1DB1-Normal9"/>
              <w:spacing w:after="0" w:line="240" w:lineRule="auto"/>
              <w:rPr>
                <w:rFonts w:eastAsia="Times New Roman" w:cs="Calibri"/>
                <w:noProof/>
                <w:szCs w:val="18"/>
              </w:rPr>
            </w:pPr>
            <w:r>
              <w:rPr>
                <w:noProof/>
              </w:rPr>
              <w:t>Tiek uzsākta programma vairāk nekā 8000 publiski pieejamu elektrotransportlīdzekļu uzlādes punktu atlasei stratēģiskās pilsētu un piepilsētas vietās pilsētās un interešu punktos (“Elektromobilitāte”) un stājas spēkā attiecīgais(-ie) Vides un enerģētikas ministrijas ministru lēmums(-i), ar ko nosaka:</w:t>
            </w:r>
          </w:p>
          <w:p w14:paraId="5DF8BC9F" w14:textId="77777777" w:rsidR="00CB0FCB" w:rsidRDefault="009D2B11">
            <w:pPr>
              <w:pStyle w:val="P68B1DB1-Normal9"/>
              <w:spacing w:after="0" w:line="240" w:lineRule="auto"/>
              <w:rPr>
                <w:rFonts w:eastAsia="Times New Roman" w:cs="Calibri"/>
                <w:noProof/>
                <w:szCs w:val="18"/>
              </w:rPr>
            </w:pPr>
            <w:r>
              <w:rPr>
                <w:noProof/>
              </w:rPr>
              <w:t>— Atlases process;</w:t>
            </w:r>
          </w:p>
          <w:p w14:paraId="2A69145A" w14:textId="77777777" w:rsidR="00CB0FCB" w:rsidRDefault="009D2B11">
            <w:pPr>
              <w:pStyle w:val="P68B1DB1-Normal9"/>
              <w:spacing w:after="0" w:line="240" w:lineRule="auto"/>
              <w:rPr>
                <w:rFonts w:eastAsia="Times New Roman" w:cs="Calibri"/>
                <w:noProof/>
                <w:szCs w:val="18"/>
              </w:rPr>
            </w:pPr>
            <w:r>
              <w:rPr>
                <w:noProof/>
              </w:rPr>
              <w:t>— Noteikts īstenošanas mehānisms;</w:t>
            </w:r>
          </w:p>
          <w:p w14:paraId="1C3E8C73" w14:textId="77777777" w:rsidR="00CB0FCB" w:rsidRDefault="009D2B11">
            <w:pPr>
              <w:pStyle w:val="P68B1DB1-Normal9"/>
              <w:spacing w:after="0" w:line="240" w:lineRule="auto"/>
              <w:rPr>
                <w:rFonts w:eastAsia="Times New Roman" w:cs="Calibri"/>
                <w:noProof/>
                <w:szCs w:val="18"/>
              </w:rPr>
            </w:pPr>
            <w:r>
              <w:rPr>
                <w:noProof/>
              </w:rPr>
              <w:t>— Sertifikācijas mehānisms(-i), lai apstiprinātu, ka ir sasniegts klimata pārmaiņu mērķis (tostarp vajadzības gadījumā sīka informācija par iespējamiem korektīviem pasākumiem; un</w:t>
            </w:r>
          </w:p>
          <w:p w14:paraId="269EE3C2" w14:textId="77777777" w:rsidR="00CB0FCB" w:rsidRDefault="009D2B11">
            <w:pPr>
              <w:pStyle w:val="P68B1DB1-Normal9"/>
              <w:spacing w:after="0" w:line="240" w:lineRule="auto"/>
              <w:rPr>
                <w:rFonts w:eastAsia="Times New Roman" w:cs="Calibri"/>
                <w:noProof/>
                <w:szCs w:val="18"/>
              </w:rPr>
            </w:pPr>
            <w:r>
              <w:rPr>
                <w:noProof/>
              </w:rPr>
              <w:t>Hronoloģisks pārskats</w:t>
            </w:r>
          </w:p>
        </w:tc>
      </w:tr>
      <w:tr w:rsidR="00CB0FCB" w14:paraId="38FFB40E"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B016228" w14:textId="77777777" w:rsidR="00CB0FCB" w:rsidRDefault="009D2B11">
            <w:pPr>
              <w:pStyle w:val="P68B1DB1-Normal9"/>
              <w:spacing w:after="0" w:line="240" w:lineRule="auto"/>
              <w:rPr>
                <w:rFonts w:eastAsia="Times New Roman" w:cs="Calibri"/>
                <w:noProof/>
                <w:szCs w:val="18"/>
              </w:rPr>
            </w:pPr>
            <w:r>
              <w:rPr>
                <w:noProof/>
              </w:rPr>
              <w:t>48</w:t>
            </w:r>
          </w:p>
        </w:tc>
        <w:tc>
          <w:tcPr>
            <w:tcW w:w="1378" w:type="dxa"/>
            <w:tcBorders>
              <w:top w:val="single" w:sz="4" w:space="0" w:color="auto"/>
              <w:left w:val="nil"/>
              <w:bottom w:val="single" w:sz="4" w:space="0" w:color="auto"/>
              <w:right w:val="single" w:sz="4" w:space="0" w:color="auto"/>
            </w:tcBorders>
            <w:shd w:val="clear" w:color="auto" w:fill="C6EFCE"/>
            <w:noWrap/>
          </w:tcPr>
          <w:p w14:paraId="6F1F6E2C" w14:textId="77777777" w:rsidR="00CB0FCB" w:rsidRDefault="009D2B11">
            <w:pPr>
              <w:pStyle w:val="P68B1DB1-Normal9"/>
              <w:spacing w:after="0" w:line="240" w:lineRule="auto"/>
              <w:rPr>
                <w:rFonts w:eastAsia="Times New Roman" w:cs="Calibri"/>
                <w:noProof/>
                <w:szCs w:val="18"/>
              </w:rPr>
            </w:pPr>
            <w:r>
              <w:rPr>
                <w:noProof/>
              </w:rPr>
              <w:t>3–1.3. Uzlāde un uzpilde — 16924_ Elektromobilitāte</w:t>
            </w:r>
          </w:p>
        </w:tc>
        <w:tc>
          <w:tcPr>
            <w:tcW w:w="992" w:type="dxa"/>
            <w:tcBorders>
              <w:top w:val="single" w:sz="4" w:space="0" w:color="auto"/>
              <w:left w:val="nil"/>
              <w:bottom w:val="single" w:sz="4" w:space="0" w:color="auto"/>
              <w:right w:val="single" w:sz="4" w:space="0" w:color="auto"/>
            </w:tcBorders>
            <w:shd w:val="clear" w:color="auto" w:fill="C6EFCE"/>
            <w:noWrap/>
          </w:tcPr>
          <w:p w14:paraId="23D27F6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5D6F52BC" w14:textId="77777777" w:rsidR="00CB0FCB" w:rsidRDefault="009D2B11">
            <w:pPr>
              <w:pStyle w:val="P68B1DB1-Normal9"/>
              <w:spacing w:after="0" w:line="240" w:lineRule="auto"/>
              <w:rPr>
                <w:rFonts w:eastAsia="Times New Roman" w:cs="Calibri"/>
                <w:noProof/>
                <w:szCs w:val="18"/>
              </w:rPr>
            </w:pPr>
            <w:r>
              <w:rPr>
                <w:noProof/>
              </w:rPr>
              <w:t>Ilgtspējīgs transports — priekšizpēte</w:t>
            </w:r>
          </w:p>
        </w:tc>
        <w:tc>
          <w:tcPr>
            <w:tcW w:w="2377" w:type="dxa"/>
            <w:tcBorders>
              <w:top w:val="single" w:sz="4" w:space="0" w:color="auto"/>
              <w:left w:val="nil"/>
              <w:bottom w:val="single" w:sz="4" w:space="0" w:color="auto"/>
              <w:right w:val="single" w:sz="4" w:space="0" w:color="auto"/>
            </w:tcBorders>
            <w:shd w:val="clear" w:color="auto" w:fill="C6EFCE"/>
            <w:noWrap/>
          </w:tcPr>
          <w:p w14:paraId="12C5E3D8" w14:textId="77777777" w:rsidR="00CB0FCB" w:rsidRDefault="009D2B11">
            <w:pPr>
              <w:pStyle w:val="P68B1DB1-Normal9"/>
              <w:spacing w:after="0" w:line="240" w:lineRule="auto"/>
              <w:rPr>
                <w:rFonts w:eastAsia="Times New Roman" w:cs="Calibri"/>
                <w:noProof/>
                <w:szCs w:val="18"/>
              </w:rPr>
            </w:pPr>
            <w:r>
              <w:rPr>
                <w:noProof/>
              </w:rPr>
              <w:t>Stājas spēkā kopīgs ministru lēmums, ar ko pieņem priekšizpēti par e-mobilitātes aģentūru.</w:t>
            </w:r>
          </w:p>
        </w:tc>
        <w:tc>
          <w:tcPr>
            <w:tcW w:w="1460" w:type="dxa"/>
            <w:tcBorders>
              <w:top w:val="single" w:sz="4" w:space="0" w:color="auto"/>
              <w:left w:val="nil"/>
              <w:bottom w:val="single" w:sz="4" w:space="0" w:color="auto"/>
              <w:right w:val="single" w:sz="4" w:space="0" w:color="auto"/>
            </w:tcBorders>
            <w:shd w:val="clear" w:color="auto" w:fill="C6EFCE"/>
            <w:noWrap/>
          </w:tcPr>
          <w:p w14:paraId="4CC29E60"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1429899"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52E5099C"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7AE9252"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3F3015CD" w14:textId="77777777" w:rsidR="00CB0FCB" w:rsidRDefault="009D2B11">
            <w:pPr>
              <w:pStyle w:val="P68B1DB1-Normal9"/>
              <w:spacing w:after="0" w:line="240" w:lineRule="auto"/>
              <w:rPr>
                <w:rFonts w:eastAsia="Times New Roman" w:cs="Calibri"/>
                <w:noProof/>
                <w:szCs w:val="18"/>
              </w:rPr>
            </w:pPr>
            <w:r>
              <w:rPr>
                <w:noProof/>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32C13449" w14:textId="77777777" w:rsidR="00CB0FCB" w:rsidRDefault="009D2B11">
            <w:pPr>
              <w:pStyle w:val="P68B1DB1-Normal9"/>
              <w:spacing w:after="0" w:line="240" w:lineRule="auto"/>
              <w:rPr>
                <w:rFonts w:eastAsia="Times New Roman" w:cs="Calibri"/>
                <w:noProof/>
                <w:szCs w:val="18"/>
              </w:rPr>
            </w:pPr>
            <w:r>
              <w:rPr>
                <w:noProof/>
              </w:rPr>
              <w:t>Stājas spēkā kopīgs ministru lēmums, ar ko pieņem priekšizpēti par elektromobilitātes aģentūras izveidi, kas nodrošina pienācīgu plānošanu un koordināciju starp transporta un enerģētikas infrastruktūru, reģionālajām un vietējām pašvaldībām un veicina saikni starp e-piegādes ķēdi — tostarp akumulatoru un AER ražotājiem — un pētniecības un inovācijas bāzi.</w:t>
            </w:r>
          </w:p>
        </w:tc>
      </w:tr>
      <w:tr w:rsidR="00CB0FCB" w14:paraId="3AF990E9"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6D0DB4A" w14:textId="77777777" w:rsidR="00CB0FCB" w:rsidRDefault="009D2B11">
            <w:pPr>
              <w:pStyle w:val="P68B1DB1-Normal9"/>
              <w:spacing w:after="0" w:line="240" w:lineRule="auto"/>
              <w:rPr>
                <w:rFonts w:eastAsia="Times New Roman" w:cs="Calibri"/>
                <w:noProof/>
                <w:szCs w:val="18"/>
              </w:rPr>
            </w:pPr>
            <w:r>
              <w:rPr>
                <w:noProof/>
              </w:rPr>
              <w:t>50</w:t>
            </w:r>
          </w:p>
        </w:tc>
        <w:tc>
          <w:tcPr>
            <w:tcW w:w="1378" w:type="dxa"/>
            <w:tcBorders>
              <w:top w:val="single" w:sz="4" w:space="0" w:color="auto"/>
              <w:left w:val="nil"/>
              <w:bottom w:val="single" w:sz="4" w:space="0" w:color="auto"/>
              <w:right w:val="single" w:sz="4" w:space="0" w:color="auto"/>
            </w:tcBorders>
            <w:shd w:val="clear" w:color="auto" w:fill="C6EFCE"/>
            <w:noWrap/>
          </w:tcPr>
          <w:p w14:paraId="75799B98" w14:textId="77777777" w:rsidR="00CB0FCB" w:rsidRDefault="009D2B11">
            <w:pPr>
              <w:pStyle w:val="P68B1DB1-Normal9"/>
              <w:spacing w:after="0" w:line="240" w:lineRule="auto"/>
              <w:rPr>
                <w:rFonts w:eastAsia="Times New Roman" w:cs="Calibri"/>
                <w:noProof/>
                <w:szCs w:val="18"/>
              </w:rPr>
            </w:pPr>
            <w:r>
              <w:rPr>
                <w:noProof/>
              </w:rPr>
              <w:t>3–1.3. Uzlāde un uzpilde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14:paraId="5552FDC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6BDE499A" w14:textId="77777777" w:rsidR="00CB0FCB" w:rsidRDefault="009D2B11">
            <w:pPr>
              <w:pStyle w:val="P68B1DB1-Normal9"/>
              <w:spacing w:after="0" w:line="240" w:lineRule="auto"/>
              <w:rPr>
                <w:rFonts w:eastAsia="Times New Roman" w:cs="Calibri"/>
                <w:noProof/>
                <w:szCs w:val="18"/>
              </w:rPr>
            </w:pPr>
            <w:r>
              <w:rPr>
                <w:noProof/>
              </w:rPr>
              <w:t>Rūpniecības vienības — atlasītie uzņēmumi</w:t>
            </w:r>
          </w:p>
        </w:tc>
        <w:tc>
          <w:tcPr>
            <w:tcW w:w="2377" w:type="dxa"/>
            <w:tcBorders>
              <w:top w:val="single" w:sz="4" w:space="0" w:color="auto"/>
              <w:left w:val="nil"/>
              <w:bottom w:val="single" w:sz="4" w:space="0" w:color="auto"/>
              <w:right w:val="single" w:sz="4" w:space="0" w:color="auto"/>
            </w:tcBorders>
            <w:shd w:val="clear" w:color="auto" w:fill="C6EFCE"/>
            <w:noWrap/>
          </w:tcPr>
          <w:p w14:paraId="49BA8D62" w14:textId="77777777" w:rsidR="00CB0FCB" w:rsidRDefault="009D2B11">
            <w:pPr>
              <w:pStyle w:val="P68B1DB1-Normal9"/>
              <w:spacing w:after="0" w:line="240" w:lineRule="auto"/>
              <w:rPr>
                <w:rFonts w:eastAsia="Times New Roman" w:cs="Calibri"/>
                <w:noProof/>
                <w:szCs w:val="18"/>
              </w:rPr>
            </w:pPr>
            <w:r>
              <w:rPr>
                <w:noProof/>
              </w:rPr>
              <w:t>Pieteikumu apstiprināšana, ko veic Vides un enerģētikas ministrija</w:t>
            </w:r>
          </w:p>
        </w:tc>
        <w:tc>
          <w:tcPr>
            <w:tcW w:w="1460" w:type="dxa"/>
            <w:tcBorders>
              <w:top w:val="single" w:sz="4" w:space="0" w:color="auto"/>
              <w:left w:val="nil"/>
              <w:bottom w:val="single" w:sz="4" w:space="0" w:color="auto"/>
              <w:right w:val="single" w:sz="4" w:space="0" w:color="auto"/>
            </w:tcBorders>
            <w:shd w:val="clear" w:color="auto" w:fill="C6EFCE"/>
            <w:noWrap/>
          </w:tcPr>
          <w:p w14:paraId="14CECCEF"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C98A89E"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67898D4A"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2FE2C32"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0BF24B9D" w14:textId="77777777" w:rsidR="00CB0FCB" w:rsidRDefault="009D2B11">
            <w:pPr>
              <w:pStyle w:val="P68B1DB1-Normal9"/>
              <w:spacing w:after="0" w:line="240" w:lineRule="auto"/>
              <w:rPr>
                <w:rFonts w:eastAsia="Times New Roman" w:cs="Calibri"/>
                <w:noProof/>
                <w:szCs w:val="18"/>
              </w:rPr>
            </w:pPr>
            <w:r>
              <w:rPr>
                <w:noProof/>
              </w:rPr>
              <w:t>2023</w:t>
            </w:r>
          </w:p>
        </w:tc>
        <w:tc>
          <w:tcPr>
            <w:tcW w:w="3191" w:type="dxa"/>
            <w:tcBorders>
              <w:top w:val="single" w:sz="4" w:space="0" w:color="auto"/>
              <w:left w:val="nil"/>
              <w:bottom w:val="single" w:sz="4" w:space="0" w:color="auto"/>
              <w:right w:val="single" w:sz="4" w:space="0" w:color="auto"/>
            </w:tcBorders>
            <w:shd w:val="clear" w:color="auto" w:fill="C6EFCE"/>
            <w:noWrap/>
          </w:tcPr>
          <w:p w14:paraId="694B8A84" w14:textId="77777777" w:rsidR="00CB0FCB" w:rsidRDefault="009D2B11">
            <w:pPr>
              <w:pStyle w:val="P68B1DB1-Normal10"/>
              <w:spacing w:after="0" w:line="240" w:lineRule="auto"/>
              <w:rPr>
                <w:rFonts w:eastAsia="Times New Roman" w:cs="Calibri"/>
                <w:noProof/>
              </w:rPr>
            </w:pPr>
            <w:r>
              <w:rPr>
                <w:noProof/>
              </w:rPr>
              <w:t>Vides un enerģētikas ministrijas apstiprinājums pieteikumiem, kas iesniegti attiecībā uz vairāk nekā 10 rūpnieciskajām vienībām (“Produce E-Green”).</w:t>
            </w:r>
          </w:p>
          <w:p w14:paraId="120DEAE8" w14:textId="77777777" w:rsidR="00CB0FCB" w:rsidRDefault="009D2B11">
            <w:pPr>
              <w:pStyle w:val="P68B1DB1-Normal10"/>
              <w:spacing w:after="0" w:line="240" w:lineRule="auto"/>
              <w:rPr>
                <w:rFonts w:eastAsia="Times New Roman" w:cs="Calibri"/>
                <w:noProof/>
              </w:rPr>
            </w:pPr>
            <w:r>
              <w:rPr>
                <w:noProof/>
              </w:rPr>
              <w:t>Pieteikumus atlasa saskaņā ar atlases/atbilstības kritērijiem un nodrošina, ka atlasītie projekti atbilst tehniskajiem norādījumiem “nenodarīt būtisku kaitējumu” (2021/C58/01), izmantojot izslēgšanas sarakstu un prasību par atbilstību attiecīgajiem ES un valsts tiesību aktiem vides jomā.</w:t>
            </w:r>
          </w:p>
        </w:tc>
      </w:tr>
      <w:tr w:rsidR="00CB0FCB" w14:paraId="5601DD39"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3391131" w14:textId="77777777" w:rsidR="00CB0FCB" w:rsidRDefault="009D2B11">
            <w:pPr>
              <w:pStyle w:val="P68B1DB1-Normal9"/>
              <w:spacing w:after="0" w:line="240" w:lineRule="auto"/>
              <w:rPr>
                <w:rFonts w:eastAsia="Times New Roman" w:cs="Calibri"/>
                <w:noProof/>
                <w:szCs w:val="18"/>
              </w:rPr>
            </w:pPr>
            <w:r>
              <w:rPr>
                <w:noProof/>
              </w:rPr>
              <w:t>51</w:t>
            </w:r>
          </w:p>
        </w:tc>
        <w:tc>
          <w:tcPr>
            <w:tcW w:w="1378" w:type="dxa"/>
            <w:tcBorders>
              <w:top w:val="single" w:sz="4" w:space="0" w:color="auto"/>
              <w:left w:val="nil"/>
              <w:bottom w:val="single" w:sz="4" w:space="0" w:color="auto"/>
              <w:right w:val="single" w:sz="4" w:space="0" w:color="auto"/>
            </w:tcBorders>
            <w:shd w:val="clear" w:color="auto" w:fill="C6EFCE"/>
            <w:noWrap/>
          </w:tcPr>
          <w:p w14:paraId="0F55306A" w14:textId="77777777" w:rsidR="00CB0FCB" w:rsidRDefault="009D2B11">
            <w:pPr>
              <w:pStyle w:val="P68B1DB1-Normal9"/>
              <w:spacing w:after="0" w:line="240" w:lineRule="auto"/>
              <w:rPr>
                <w:rFonts w:eastAsia="Times New Roman" w:cs="Calibri"/>
                <w:noProof/>
                <w:szCs w:val="18"/>
              </w:rPr>
            </w:pPr>
            <w:r>
              <w:rPr>
                <w:noProof/>
              </w:rPr>
              <w:t>3–1.3. Uzlāde un uzpilde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14:paraId="522EFB0B"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6F61B919" w14:textId="77777777" w:rsidR="00CB0FCB" w:rsidRDefault="009D2B11">
            <w:pPr>
              <w:pStyle w:val="P68B1DB1-Normal9"/>
              <w:spacing w:after="0" w:line="240" w:lineRule="auto"/>
              <w:rPr>
                <w:rFonts w:eastAsia="Times New Roman" w:cs="Calibri"/>
                <w:noProof/>
                <w:szCs w:val="18"/>
              </w:rPr>
            </w:pPr>
            <w:r>
              <w:rPr>
                <w:noProof/>
              </w:rPr>
              <w:t>Oglekļa uztveršana un uzglabāšana (CCS) — uzglabāšanas atļauja</w:t>
            </w:r>
          </w:p>
        </w:tc>
        <w:tc>
          <w:tcPr>
            <w:tcW w:w="2377" w:type="dxa"/>
            <w:tcBorders>
              <w:top w:val="single" w:sz="4" w:space="0" w:color="auto"/>
              <w:left w:val="nil"/>
              <w:bottom w:val="single" w:sz="4" w:space="0" w:color="auto"/>
              <w:right w:val="single" w:sz="4" w:space="0" w:color="auto"/>
            </w:tcBorders>
            <w:shd w:val="clear" w:color="auto" w:fill="C6EFCE"/>
            <w:noWrap/>
          </w:tcPr>
          <w:p w14:paraId="1306E7B3" w14:textId="77777777" w:rsidR="00CB0FCB" w:rsidRDefault="009D2B11">
            <w:pPr>
              <w:pStyle w:val="P68B1DB1-Normal9"/>
              <w:spacing w:after="0" w:line="240" w:lineRule="auto"/>
              <w:rPr>
                <w:rFonts w:eastAsia="Times New Roman" w:cs="Calibri"/>
                <w:noProof/>
                <w:szCs w:val="18"/>
              </w:rPr>
            </w:pPr>
            <w:r>
              <w:rPr>
                <w:noProof/>
              </w:rPr>
              <w:t>Uzglabāšanas atļaujas izdošana un ziņošanas sistēmas izveide.</w:t>
            </w:r>
          </w:p>
        </w:tc>
        <w:tc>
          <w:tcPr>
            <w:tcW w:w="1460" w:type="dxa"/>
            <w:tcBorders>
              <w:top w:val="single" w:sz="4" w:space="0" w:color="auto"/>
              <w:left w:val="nil"/>
              <w:bottom w:val="single" w:sz="4" w:space="0" w:color="auto"/>
              <w:right w:val="single" w:sz="4" w:space="0" w:color="auto"/>
            </w:tcBorders>
            <w:shd w:val="clear" w:color="auto" w:fill="C6EFCE"/>
            <w:noWrap/>
          </w:tcPr>
          <w:p w14:paraId="0AF37BFF"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9E8A16E"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2C85D0DA"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4AA1782" w14:textId="5BD23EB0"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2C54A7AD" w14:textId="77777777" w:rsidR="00CB0FCB" w:rsidRDefault="009D2B11">
            <w:pPr>
              <w:pStyle w:val="P68B1DB1-Normal9"/>
              <w:spacing w:after="0" w:line="240" w:lineRule="auto"/>
              <w:rPr>
                <w:rFonts w:eastAsia="Times New Roman" w:cs="Calibri"/>
                <w:noProof/>
                <w:szCs w:val="18"/>
              </w:rPr>
            </w:pPr>
            <w:r>
              <w:rPr>
                <w:noProof/>
              </w:rPr>
              <w:t>2024</w:t>
            </w:r>
          </w:p>
        </w:tc>
        <w:tc>
          <w:tcPr>
            <w:tcW w:w="3191" w:type="dxa"/>
            <w:tcBorders>
              <w:top w:val="single" w:sz="4" w:space="0" w:color="auto"/>
              <w:left w:val="nil"/>
              <w:bottom w:val="single" w:sz="4" w:space="0" w:color="auto"/>
              <w:right w:val="single" w:sz="4" w:space="0" w:color="auto"/>
            </w:tcBorders>
            <w:shd w:val="clear" w:color="auto" w:fill="C6EFCE"/>
            <w:noWrap/>
          </w:tcPr>
          <w:p w14:paraId="46B15C55" w14:textId="77777777" w:rsidR="00CB0FCB" w:rsidRDefault="009D2B11">
            <w:pPr>
              <w:pStyle w:val="P68B1DB1-Normal9"/>
              <w:spacing w:after="0" w:line="240" w:lineRule="auto"/>
              <w:rPr>
                <w:rFonts w:eastAsia="Times New Roman" w:cs="Calibri"/>
                <w:noProof/>
                <w:szCs w:val="18"/>
              </w:rPr>
            </w:pPr>
            <w:r>
              <w:rPr>
                <w:noProof/>
              </w:rPr>
              <w:t>Par oglekļa uztveršanu un uzglabāšanu atbildīgā ministrija (CCS) izsniedz uzglabāšanas atļauju apstiprinātam operatoram. Pieteikuma iesniedzējs iesniedz Vides un enerģētikas ministrijai pilnīgu pieteikumu, kurā būtu iekļauti visi attiecīgie pētījumi, kā arī ietekmes uz vidi novērtējuma pētījums. Izveidot ziņošanas sistēmu ikgadējai ziņošanai par uzglabāto CO</w:t>
            </w:r>
            <w:r>
              <w:rPr>
                <w:noProof/>
                <w:vertAlign w:val="subscript"/>
              </w:rPr>
              <w:t>2</w:t>
            </w:r>
            <w:r>
              <w:rPr>
                <w:noProof/>
              </w:rPr>
              <w:t xml:space="preserve"> un apstiprināt, ka nav iegūta eļļa, izņemot tikai to, kas ir vajadzīgs, lai pārvaldītu spiedienu un nodrošinātu uzglabāšanas vietu drošību, un ka visi procesi CO2,</w:t>
            </w:r>
            <w:r>
              <w:rPr>
                <w:noProof/>
                <w:vertAlign w:val="subscript"/>
              </w:rPr>
              <w:t>kas saistīti</w:t>
            </w:r>
            <w:r>
              <w:rPr>
                <w:noProof/>
              </w:rPr>
              <w:t xml:space="preserve"> ar nepieciešamo ieguvi, tiek atdalīti un nodoti atpakaļ pastāvīgai uzglabāšanai.</w:t>
            </w:r>
          </w:p>
          <w:p w14:paraId="1D300378" w14:textId="77777777" w:rsidR="00CB0FCB" w:rsidRDefault="009D2B11">
            <w:pPr>
              <w:pStyle w:val="P68B1DB1-Normal9"/>
              <w:spacing w:after="0" w:line="240" w:lineRule="auto"/>
              <w:rPr>
                <w:rFonts w:eastAsia="Times New Roman" w:cs="Calibri"/>
                <w:noProof/>
                <w:szCs w:val="18"/>
              </w:rPr>
            </w:pPr>
            <w:r>
              <w:rPr>
                <w:noProof/>
              </w:rPr>
              <w:t>Intervenci veic saskaņā ar atlases/atbilstības kritērijiem, kas iekļauti tehniskajos norādījumos “nenodarīt būtisku kaitējumu” (2021/C58/01), ar īpašu atsauci uz to, lai izpildītu prasību, ka nedrīkst būt tehnoloģisku lietojumu, ne arī jebkāda veida iekārtas un iekārtas, kas projektētas pastiprinātas naftas atgūšanas (EOR) lietojumam un naftas ražošanas palielināšanai. Jāraugās, lai jebkāda iespējama naftas vai gāzes ieguve būtu ierobežota līdz neatņemamām vajadzībām, kas saistītas ar spiediena pārvaldību un uzglabāšanas vietu drošības nodrošināšanu, un ka šādu ieguvi veic tikai tad, ja tas ir nepieciešams, lai nodrošinātu drošu CO</w:t>
            </w:r>
            <w:r>
              <w:rPr>
                <w:noProof/>
                <w:vertAlign w:val="subscript"/>
              </w:rPr>
              <w:t>2</w:t>
            </w:r>
            <w:r>
              <w:rPr>
                <w:noProof/>
              </w:rPr>
              <w:t xml:space="preserve"> uzglabāšanu. CO</w:t>
            </w:r>
            <w:r>
              <w:rPr>
                <w:noProof/>
                <w:vertAlign w:val="subscript"/>
              </w:rPr>
              <w:t>2</w:t>
            </w:r>
            <w:r>
              <w:rPr>
                <w:noProof/>
              </w:rPr>
              <w:t xml:space="preserve"> ar jebkuru naftu vai gāzi, ko var iegūt, atdala un pievada atpakaļ pastāvīgai uzglabāšanai.</w:t>
            </w:r>
          </w:p>
        </w:tc>
      </w:tr>
      <w:tr w:rsidR="00CB0FCB" w14:paraId="64E530A3"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090AA40" w14:textId="77777777" w:rsidR="00CB0FCB" w:rsidRDefault="009D2B11">
            <w:pPr>
              <w:pStyle w:val="P68B1DB1-Normal9"/>
              <w:spacing w:after="0" w:line="240" w:lineRule="auto"/>
              <w:rPr>
                <w:rFonts w:eastAsia="Times New Roman" w:cs="Calibri"/>
                <w:noProof/>
                <w:szCs w:val="18"/>
              </w:rPr>
            </w:pPr>
            <w:r>
              <w:rPr>
                <w:noProof/>
              </w:rPr>
              <w:t>45a</w:t>
            </w:r>
          </w:p>
        </w:tc>
        <w:tc>
          <w:tcPr>
            <w:tcW w:w="1378" w:type="dxa"/>
            <w:tcBorders>
              <w:top w:val="single" w:sz="4" w:space="0" w:color="auto"/>
              <w:left w:val="nil"/>
              <w:bottom w:val="single" w:sz="4" w:space="0" w:color="auto"/>
              <w:right w:val="single" w:sz="4" w:space="0" w:color="auto"/>
            </w:tcBorders>
            <w:shd w:val="clear" w:color="auto" w:fill="C6EFCE"/>
            <w:noWrap/>
          </w:tcPr>
          <w:p w14:paraId="68E02B38" w14:textId="77777777" w:rsidR="00CB0FCB" w:rsidRDefault="009D2B11">
            <w:pPr>
              <w:pStyle w:val="P68B1DB1-Normal9"/>
              <w:spacing w:after="0" w:line="240" w:lineRule="auto"/>
              <w:rPr>
                <w:rFonts w:eastAsia="Times New Roman" w:cs="Calibri"/>
                <w:noProof/>
                <w:szCs w:val="18"/>
              </w:rPr>
            </w:pPr>
            <w:r>
              <w:rPr>
                <w:noProof/>
              </w:rPr>
              <w:t xml:space="preserve">3–1.3. Uzlāde un uzpilde — </w:t>
            </w:r>
          </w:p>
          <w:p w14:paraId="7AE6F89A" w14:textId="77777777" w:rsidR="00CB0FCB" w:rsidRDefault="009D2B11">
            <w:pPr>
              <w:pStyle w:val="P68B1DB1-Normal9"/>
              <w:spacing w:after="0" w:line="240" w:lineRule="auto"/>
              <w:rPr>
                <w:rFonts w:eastAsia="Times New Roman" w:cs="Calibri"/>
                <w:noProof/>
                <w:szCs w:val="18"/>
              </w:rPr>
            </w:pPr>
            <w:r>
              <w:rPr>
                <w:noProof/>
              </w:rPr>
              <w:t>16924_ Elektromobilitāte</w:t>
            </w:r>
          </w:p>
        </w:tc>
        <w:tc>
          <w:tcPr>
            <w:tcW w:w="992" w:type="dxa"/>
            <w:tcBorders>
              <w:top w:val="single" w:sz="4" w:space="0" w:color="auto"/>
              <w:left w:val="nil"/>
              <w:bottom w:val="single" w:sz="4" w:space="0" w:color="auto"/>
              <w:right w:val="single" w:sz="4" w:space="0" w:color="auto"/>
            </w:tcBorders>
            <w:shd w:val="clear" w:color="auto" w:fill="C6EFCE"/>
            <w:noWrap/>
          </w:tcPr>
          <w:p w14:paraId="09DC366B"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60204DC2" w14:textId="5D4BA05E" w:rsidR="00CB0FCB" w:rsidRDefault="009D2B11">
            <w:pPr>
              <w:pStyle w:val="P68B1DB1-Normal9"/>
              <w:spacing w:after="0" w:line="240" w:lineRule="auto"/>
              <w:rPr>
                <w:rFonts w:eastAsia="Times New Roman" w:cs="Calibri"/>
                <w:noProof/>
                <w:szCs w:val="18"/>
              </w:rPr>
            </w:pPr>
            <w:r>
              <w:rPr>
                <w:noProof/>
              </w:rPr>
              <w:t>Sabiedriskais transports — iepirkuma procedūru uzsākšana autobusu operatoriem, publicējot attiecīgos uzaicinājumus 12 reģioniem</w:t>
            </w:r>
          </w:p>
        </w:tc>
        <w:tc>
          <w:tcPr>
            <w:tcW w:w="2377" w:type="dxa"/>
            <w:tcBorders>
              <w:top w:val="single" w:sz="4" w:space="0" w:color="auto"/>
              <w:left w:val="nil"/>
              <w:bottom w:val="single" w:sz="4" w:space="0" w:color="auto"/>
              <w:right w:val="single" w:sz="4" w:space="0" w:color="auto"/>
            </w:tcBorders>
            <w:shd w:val="clear" w:color="auto" w:fill="C6EFCE"/>
            <w:noWrap/>
          </w:tcPr>
          <w:p w14:paraId="5253EFBB" w14:textId="6BE46CD3" w:rsidR="00CB0FCB" w:rsidRDefault="009D2B11">
            <w:pPr>
              <w:pStyle w:val="P68B1DB1-Normal9"/>
              <w:spacing w:after="0" w:line="240" w:lineRule="auto"/>
              <w:rPr>
                <w:rFonts w:eastAsia="Times New Roman" w:cs="Calibri"/>
                <w:noProof/>
                <w:szCs w:val="18"/>
              </w:rPr>
            </w:pPr>
            <w:r>
              <w:rPr>
                <w:noProof/>
              </w:rPr>
              <w:t>Uzsāktas iepirkuma procedūras, publicējot attiecīgos uzaicinājumus 12 reģioniem.</w:t>
            </w:r>
          </w:p>
        </w:tc>
        <w:tc>
          <w:tcPr>
            <w:tcW w:w="1460" w:type="dxa"/>
            <w:tcBorders>
              <w:top w:val="single" w:sz="4" w:space="0" w:color="auto"/>
              <w:left w:val="nil"/>
              <w:bottom w:val="single" w:sz="4" w:space="0" w:color="auto"/>
              <w:right w:val="single" w:sz="4" w:space="0" w:color="auto"/>
            </w:tcBorders>
            <w:shd w:val="clear" w:color="auto" w:fill="C6EFCE"/>
            <w:noWrap/>
          </w:tcPr>
          <w:p w14:paraId="7920B41E"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76AAE545"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152A8A5F"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C0B0D32"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6F05F0DB" w14:textId="77777777" w:rsidR="00CB0FCB" w:rsidRDefault="009D2B11">
            <w:pPr>
              <w:pStyle w:val="P68B1DB1-Normal9"/>
              <w:spacing w:after="0" w:line="240" w:lineRule="auto"/>
              <w:rPr>
                <w:rFonts w:eastAsia="Times New Roman" w:cs="Calibri"/>
                <w:noProof/>
                <w:szCs w:val="18"/>
              </w:rPr>
            </w:pPr>
            <w:r>
              <w:rPr>
                <w:noProof/>
              </w:rPr>
              <w:t>2024</w:t>
            </w:r>
          </w:p>
        </w:tc>
        <w:tc>
          <w:tcPr>
            <w:tcW w:w="3191" w:type="dxa"/>
            <w:tcBorders>
              <w:top w:val="single" w:sz="4" w:space="0" w:color="auto"/>
              <w:left w:val="nil"/>
              <w:bottom w:val="single" w:sz="4" w:space="0" w:color="auto"/>
              <w:right w:val="single" w:sz="4" w:space="0" w:color="auto"/>
            </w:tcBorders>
            <w:shd w:val="clear" w:color="auto" w:fill="C6EFCE"/>
            <w:noWrap/>
          </w:tcPr>
          <w:p w14:paraId="51F5FC84" w14:textId="73B19896" w:rsidR="00CB0FCB" w:rsidRDefault="009D2B11">
            <w:pPr>
              <w:pStyle w:val="P68B1DB1-Normal9"/>
              <w:spacing w:after="0" w:line="240" w:lineRule="auto"/>
              <w:rPr>
                <w:rFonts w:eastAsia="Times New Roman" w:cs="Calibri"/>
                <w:noProof/>
                <w:szCs w:val="18"/>
              </w:rPr>
            </w:pPr>
            <w:r>
              <w:rPr>
                <w:noProof/>
              </w:rPr>
              <w:t>Pēc autobusu tīkla noteikšanas sabiedriskā pasažieru autotransporta regulārajām tālsatiksmes un pilsētu līnijām iepirkuma process 12 reģioniem tiek uzsākts pa daļām, publicējot attiecīgos uzaicinājumus 12 reģioniem.</w:t>
            </w:r>
          </w:p>
        </w:tc>
      </w:tr>
      <w:tr w:rsidR="00CB0FCB" w14:paraId="1EE5165B"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787D181" w14:textId="77777777" w:rsidR="00CB0FCB" w:rsidRDefault="009D2B11">
            <w:pPr>
              <w:pStyle w:val="P68B1DB1-Normal9"/>
              <w:spacing w:after="0" w:line="240" w:lineRule="auto"/>
              <w:rPr>
                <w:rFonts w:eastAsia="Times New Roman" w:cs="Calibri"/>
                <w:noProof/>
                <w:szCs w:val="18"/>
              </w:rPr>
            </w:pPr>
            <w:r>
              <w:rPr>
                <w:noProof/>
              </w:rPr>
              <w:t>52</w:t>
            </w:r>
          </w:p>
        </w:tc>
        <w:tc>
          <w:tcPr>
            <w:tcW w:w="1378" w:type="dxa"/>
            <w:tcBorders>
              <w:top w:val="single" w:sz="4" w:space="0" w:color="auto"/>
              <w:left w:val="nil"/>
              <w:bottom w:val="single" w:sz="4" w:space="0" w:color="auto"/>
              <w:right w:val="single" w:sz="4" w:space="0" w:color="auto"/>
            </w:tcBorders>
            <w:shd w:val="clear" w:color="auto" w:fill="C6EFCE"/>
            <w:noWrap/>
          </w:tcPr>
          <w:p w14:paraId="407D181B" w14:textId="77777777" w:rsidR="00CB0FCB" w:rsidRDefault="009D2B11">
            <w:pPr>
              <w:pStyle w:val="P68B1DB1-Normal9"/>
              <w:spacing w:after="0" w:line="240" w:lineRule="auto"/>
              <w:rPr>
                <w:rFonts w:eastAsia="Times New Roman" w:cs="Calibri"/>
                <w:noProof/>
                <w:szCs w:val="18"/>
              </w:rPr>
            </w:pPr>
            <w:r>
              <w:rPr>
                <w:noProof/>
              </w:rPr>
              <w:t>3–1.3. Uzlāde un uzpilde — 16924_ Elektromobilitāte</w:t>
            </w:r>
          </w:p>
        </w:tc>
        <w:tc>
          <w:tcPr>
            <w:tcW w:w="992" w:type="dxa"/>
            <w:tcBorders>
              <w:top w:val="single" w:sz="4" w:space="0" w:color="auto"/>
              <w:left w:val="nil"/>
              <w:bottom w:val="single" w:sz="4" w:space="0" w:color="auto"/>
              <w:right w:val="single" w:sz="4" w:space="0" w:color="auto"/>
            </w:tcBorders>
            <w:shd w:val="clear" w:color="auto" w:fill="C6EFCE"/>
            <w:noWrap/>
          </w:tcPr>
          <w:p w14:paraId="1A12A046" w14:textId="77777777" w:rsidR="00CB0FCB" w:rsidRDefault="009D2B11">
            <w:pPr>
              <w:pStyle w:val="P68B1DB1-Normal9"/>
              <w:spacing w:after="0" w:line="240" w:lineRule="auto"/>
              <w:rPr>
                <w:rFonts w:eastAsia="Times New Roman" w:cs="Calibri"/>
                <w:noProof/>
                <w:szCs w:val="18"/>
              </w:rPr>
            </w:pPr>
            <w:r>
              <w:rPr>
                <w:noProof/>
              </w:rPr>
              <w:t>Mērķa</w:t>
            </w:r>
          </w:p>
        </w:tc>
        <w:tc>
          <w:tcPr>
            <w:tcW w:w="1418" w:type="dxa"/>
            <w:tcBorders>
              <w:top w:val="single" w:sz="4" w:space="0" w:color="auto"/>
              <w:left w:val="nil"/>
              <w:bottom w:val="single" w:sz="4" w:space="0" w:color="auto"/>
              <w:right w:val="single" w:sz="4" w:space="0" w:color="auto"/>
            </w:tcBorders>
            <w:shd w:val="clear" w:color="auto" w:fill="C6EFCE"/>
            <w:noWrap/>
          </w:tcPr>
          <w:p w14:paraId="579B5673" w14:textId="7F37B0AB" w:rsidR="00CB0FCB" w:rsidRDefault="009D2B11">
            <w:pPr>
              <w:pStyle w:val="P68B1DB1-Normal9"/>
              <w:spacing w:after="0" w:line="240" w:lineRule="auto"/>
              <w:rPr>
                <w:rFonts w:eastAsia="Times New Roman" w:cs="Calibri"/>
                <w:noProof/>
                <w:szCs w:val="18"/>
              </w:rPr>
            </w:pPr>
            <w:r>
              <w:rPr>
                <w:noProof/>
              </w:rPr>
              <w:t>Autobusi — nomaiņa ar elektriskajiem autobusiem un sabiedrisko pakalpojumu līguma slēgšanas tiesību piešķiršana par regulāriem autobusu transporta pakalpojumiem Saloniku pilsētas teritorijā.</w:t>
            </w:r>
          </w:p>
        </w:tc>
        <w:tc>
          <w:tcPr>
            <w:tcW w:w="2377" w:type="dxa"/>
            <w:tcBorders>
              <w:top w:val="single" w:sz="4" w:space="0" w:color="auto"/>
              <w:left w:val="nil"/>
              <w:bottom w:val="single" w:sz="4" w:space="0" w:color="auto"/>
              <w:right w:val="single" w:sz="4" w:space="0" w:color="auto"/>
            </w:tcBorders>
            <w:shd w:val="clear" w:color="auto" w:fill="C6EFCE"/>
            <w:noWrap/>
          </w:tcPr>
          <w:p w14:paraId="7D505C61" w14:textId="655CF3BE" w:rsidR="00CB0FCB" w:rsidRDefault="00CB0FCB">
            <w:pPr>
              <w:spacing w:after="0" w:line="240" w:lineRule="auto"/>
              <w:rPr>
                <w:rFonts w:eastAsia="Times New Roman" w:cs="Calibri"/>
                <w:noProof/>
                <w:color w:val="006100"/>
                <w:sz w:val="18"/>
                <w:szCs w:val="18"/>
              </w:rPr>
            </w:pPr>
          </w:p>
        </w:tc>
        <w:tc>
          <w:tcPr>
            <w:tcW w:w="1460" w:type="dxa"/>
            <w:tcBorders>
              <w:top w:val="single" w:sz="4" w:space="0" w:color="auto"/>
              <w:left w:val="nil"/>
              <w:bottom w:val="single" w:sz="4" w:space="0" w:color="auto"/>
              <w:right w:val="single" w:sz="4" w:space="0" w:color="auto"/>
            </w:tcBorders>
            <w:shd w:val="clear" w:color="auto" w:fill="C6EFCE"/>
            <w:noWrap/>
          </w:tcPr>
          <w:p w14:paraId="0EF4F6F1" w14:textId="02DE19AA" w:rsidR="00CB0FCB" w:rsidRDefault="009D2B11">
            <w:pPr>
              <w:pStyle w:val="P68B1DB1-Normal9"/>
              <w:spacing w:after="0" w:line="240" w:lineRule="auto"/>
              <w:rPr>
                <w:rFonts w:eastAsia="Times New Roman" w:cs="Calibri"/>
                <w:noProof/>
                <w:szCs w:val="18"/>
              </w:rPr>
            </w:pPr>
            <w:r>
              <w:rPr>
                <w:noProof/>
              </w:rPr>
              <w:t>To veco autobusu skaits, kas nodoti lūžņos apstiprinātā apstrādes iekārtā un aizstāti ar akumulatoru elektroautobusiem</w:t>
            </w:r>
          </w:p>
        </w:tc>
        <w:tc>
          <w:tcPr>
            <w:tcW w:w="857" w:type="dxa"/>
            <w:tcBorders>
              <w:top w:val="single" w:sz="4" w:space="0" w:color="auto"/>
              <w:left w:val="nil"/>
              <w:bottom w:val="single" w:sz="4" w:space="0" w:color="auto"/>
              <w:right w:val="single" w:sz="4" w:space="0" w:color="auto"/>
            </w:tcBorders>
            <w:shd w:val="clear" w:color="auto" w:fill="C6EFCE"/>
            <w:noWrap/>
          </w:tcPr>
          <w:p w14:paraId="66B23F36" w14:textId="77777777" w:rsidR="00CB0FCB" w:rsidRDefault="009D2B11">
            <w:pPr>
              <w:pStyle w:val="P68B1DB1-Normal9"/>
              <w:spacing w:after="0" w:line="240" w:lineRule="auto"/>
              <w:rPr>
                <w:rFonts w:eastAsia="Times New Roman" w:cs="Calibri"/>
                <w:noProof/>
                <w:szCs w:val="18"/>
              </w:rPr>
            </w:pPr>
            <w:r>
              <w:rPr>
                <w:noProof/>
              </w:rPr>
              <w:t>0</w:t>
            </w:r>
          </w:p>
        </w:tc>
        <w:tc>
          <w:tcPr>
            <w:tcW w:w="936" w:type="dxa"/>
            <w:tcBorders>
              <w:top w:val="single" w:sz="4" w:space="0" w:color="auto"/>
              <w:left w:val="nil"/>
              <w:bottom w:val="single" w:sz="4" w:space="0" w:color="auto"/>
              <w:right w:val="single" w:sz="4" w:space="0" w:color="auto"/>
            </w:tcBorders>
            <w:shd w:val="clear" w:color="auto" w:fill="C6EFCE"/>
            <w:noWrap/>
          </w:tcPr>
          <w:p w14:paraId="5F2FD547" w14:textId="1D8B337A" w:rsidR="00CB0FCB" w:rsidRDefault="009D2B11">
            <w:pPr>
              <w:pStyle w:val="P68B1DB1-Normal9"/>
              <w:spacing w:after="0" w:line="240" w:lineRule="auto"/>
              <w:rPr>
                <w:rFonts w:eastAsia="Times New Roman" w:cs="Calibri"/>
                <w:noProof/>
                <w:szCs w:val="18"/>
              </w:rPr>
            </w:pPr>
            <w:r>
              <w:rPr>
                <w:noProof/>
              </w:rPr>
              <w:t>425</w:t>
            </w:r>
          </w:p>
        </w:tc>
        <w:tc>
          <w:tcPr>
            <w:tcW w:w="846" w:type="dxa"/>
            <w:tcBorders>
              <w:top w:val="single" w:sz="4" w:space="0" w:color="auto"/>
              <w:left w:val="nil"/>
              <w:bottom w:val="single" w:sz="4" w:space="0" w:color="auto"/>
              <w:right w:val="single" w:sz="4" w:space="0" w:color="auto"/>
            </w:tcBorders>
            <w:shd w:val="clear" w:color="auto" w:fill="C6EFCE"/>
            <w:noWrap/>
          </w:tcPr>
          <w:p w14:paraId="4915FCC1"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6B8E4A88" w14:textId="5D202B30" w:rsidR="00CB0FCB" w:rsidRDefault="009D2B11">
            <w:pPr>
              <w:pStyle w:val="P68B1DB1-Normal9"/>
              <w:spacing w:after="0" w:line="240" w:lineRule="auto"/>
              <w:rPr>
                <w:rFonts w:eastAsia="Times New Roman" w:cs="Calibri"/>
                <w:noProof/>
                <w:szCs w:val="18"/>
              </w:rPr>
            </w:pPr>
            <w:r>
              <w:rPr>
                <w:noProof/>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7AD5E334" w14:textId="1BCDFAED" w:rsidR="00CB0FCB" w:rsidRDefault="009D2B11">
            <w:pPr>
              <w:pStyle w:val="P68B1DB1-Normal10"/>
              <w:spacing w:after="0" w:line="240" w:lineRule="auto"/>
              <w:rPr>
                <w:noProof/>
              </w:rPr>
            </w:pPr>
            <w:r>
              <w:rPr>
                <w:noProof/>
              </w:rPr>
              <w:t>425 vecu autobusu aizstāšana ar 425 jauniem elektriskiem autobusiem, kur vecāku autobusu lūžņus nogādā atļautā apstrādes iekārtā (ATF) saskaņā ar Direktīvu 2000/53/EK par nolietotiem transportlīdzekļiem.</w:t>
            </w:r>
          </w:p>
          <w:p w14:paraId="4CCE3C1E" w14:textId="482022D3" w:rsidR="00CB0FCB" w:rsidRDefault="009D2B11">
            <w:pPr>
              <w:pStyle w:val="P68B1DB1-Normal17"/>
              <w:spacing w:after="0" w:line="240" w:lineRule="auto"/>
              <w:rPr>
                <w:noProof/>
              </w:rPr>
            </w:pPr>
            <w:r>
              <w:rPr>
                <w:noProof/>
              </w:rPr>
              <w:t>b) Paziņojums par sabiedrisko pakalpojumu līguma piešķiršanu attiecībā uz regulāriem autobusu transporta pakalpojumiem Saloniku reģionālās vienības pilsētas teritorijās, kas ir Saloniku S.A. Transporta iestādes (OSETH) jurisdikcijā.</w:t>
            </w:r>
          </w:p>
        </w:tc>
      </w:tr>
      <w:tr w:rsidR="00CB0FCB" w14:paraId="31F36B14"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5975129" w14:textId="77777777" w:rsidR="00CB0FCB" w:rsidRDefault="009D2B11">
            <w:pPr>
              <w:pStyle w:val="P68B1DB1-Normal9"/>
              <w:spacing w:after="0" w:line="240" w:lineRule="auto"/>
              <w:rPr>
                <w:rFonts w:eastAsia="Times New Roman" w:cs="Calibri"/>
                <w:noProof/>
                <w:szCs w:val="18"/>
              </w:rPr>
            </w:pPr>
            <w:r>
              <w:rPr>
                <w:noProof/>
              </w:rPr>
              <w:t>53</w:t>
            </w:r>
          </w:p>
        </w:tc>
        <w:tc>
          <w:tcPr>
            <w:tcW w:w="1378" w:type="dxa"/>
            <w:tcBorders>
              <w:top w:val="single" w:sz="4" w:space="0" w:color="auto"/>
              <w:left w:val="nil"/>
              <w:bottom w:val="single" w:sz="4" w:space="0" w:color="auto"/>
              <w:right w:val="single" w:sz="4" w:space="0" w:color="auto"/>
            </w:tcBorders>
            <w:shd w:val="clear" w:color="auto" w:fill="C6EFCE"/>
            <w:noWrap/>
          </w:tcPr>
          <w:p w14:paraId="29118343" w14:textId="77777777" w:rsidR="00CB0FCB" w:rsidRDefault="009D2B11">
            <w:pPr>
              <w:pStyle w:val="P68B1DB1-Normal9"/>
              <w:spacing w:after="0" w:line="240" w:lineRule="auto"/>
              <w:rPr>
                <w:rFonts w:eastAsia="Times New Roman" w:cs="Calibri"/>
                <w:noProof/>
                <w:szCs w:val="18"/>
              </w:rPr>
            </w:pPr>
            <w:r>
              <w:rPr>
                <w:noProof/>
              </w:rPr>
              <w:t>3–1.3. Uzlāde un uzpilde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14:paraId="1FE5745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40ADD127" w14:textId="13E4D27F" w:rsidR="00CB0FCB" w:rsidRDefault="009D2B11">
            <w:pPr>
              <w:pStyle w:val="P68B1DB1-Normal9"/>
              <w:spacing w:after="0" w:line="240" w:lineRule="auto"/>
              <w:rPr>
                <w:rFonts w:eastAsia="Times New Roman" w:cs="Calibri"/>
                <w:noProof/>
                <w:szCs w:val="18"/>
              </w:rPr>
            </w:pPr>
            <w:r>
              <w:rPr>
                <w:noProof/>
              </w:rPr>
              <w:t>CCS — urbšanas darbu pabeigšana</w:t>
            </w:r>
          </w:p>
        </w:tc>
        <w:tc>
          <w:tcPr>
            <w:tcW w:w="2377" w:type="dxa"/>
            <w:tcBorders>
              <w:top w:val="single" w:sz="4" w:space="0" w:color="auto"/>
              <w:left w:val="nil"/>
              <w:bottom w:val="single" w:sz="4" w:space="0" w:color="auto"/>
              <w:right w:val="single" w:sz="4" w:space="0" w:color="auto"/>
            </w:tcBorders>
            <w:shd w:val="clear" w:color="auto" w:fill="C6EFCE"/>
            <w:noWrap/>
          </w:tcPr>
          <w:p w14:paraId="673D95F0" w14:textId="4C6BFD72" w:rsidR="00CB0FCB" w:rsidRDefault="009D2B11">
            <w:pPr>
              <w:pStyle w:val="P68B1DB1-Normal9"/>
              <w:spacing w:after="0" w:line="240" w:lineRule="auto"/>
              <w:rPr>
                <w:rFonts w:eastAsia="Times New Roman" w:cs="Calibri"/>
                <w:noProof/>
                <w:szCs w:val="18"/>
              </w:rPr>
            </w:pPr>
            <w:r>
              <w:rPr>
                <w:noProof/>
              </w:rPr>
              <w:t>Oglekļa uztveršanas un uzglabāšanas urbšanas darbu pabeigšana.</w:t>
            </w:r>
          </w:p>
        </w:tc>
        <w:tc>
          <w:tcPr>
            <w:tcW w:w="1460" w:type="dxa"/>
            <w:tcBorders>
              <w:top w:val="single" w:sz="4" w:space="0" w:color="auto"/>
              <w:left w:val="nil"/>
              <w:bottom w:val="single" w:sz="4" w:space="0" w:color="auto"/>
              <w:right w:val="single" w:sz="4" w:space="0" w:color="auto"/>
            </w:tcBorders>
            <w:shd w:val="clear" w:color="auto" w:fill="C6EFCE"/>
            <w:noWrap/>
          </w:tcPr>
          <w:p w14:paraId="40AE110C"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70D0D2AC"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162EFE1B"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3D721C2"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0F36E20D" w14:textId="77777777" w:rsidR="00CB0FCB" w:rsidRDefault="009D2B11">
            <w:pPr>
              <w:pStyle w:val="P68B1DB1-Normal9"/>
              <w:spacing w:after="0" w:line="240" w:lineRule="auto"/>
              <w:rPr>
                <w:rFonts w:eastAsia="Times New Roman" w:cs="Calibri"/>
                <w:noProof/>
                <w:szCs w:val="18"/>
              </w:rPr>
            </w:pPr>
            <w:r>
              <w:rPr>
                <w:noProof/>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478AC6A4" w14:textId="65E6D7CD" w:rsidR="00CB0FCB" w:rsidRDefault="009D2B11">
            <w:pPr>
              <w:pStyle w:val="P68B1DB1-Normal9"/>
              <w:spacing w:after="0" w:line="240" w:lineRule="auto"/>
              <w:rPr>
                <w:rFonts w:eastAsia="Times New Roman" w:cs="Calibri"/>
                <w:noProof/>
                <w:szCs w:val="18"/>
              </w:rPr>
            </w:pPr>
            <w:r>
              <w:rPr>
                <w:noProof/>
              </w:rPr>
              <w:t>Oglekļa uztveršanas un uzglabāšanas urbšanas darbu pabeigšana saskaņā ar specifikācijām.</w:t>
            </w:r>
          </w:p>
        </w:tc>
      </w:tr>
      <w:tr w:rsidR="00CB0FCB" w14:paraId="4998DFE2"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25FAE83" w14:textId="77777777" w:rsidR="00CB0FCB" w:rsidRDefault="009D2B11">
            <w:pPr>
              <w:pStyle w:val="P68B1DB1-Normal9"/>
              <w:spacing w:after="0" w:line="240" w:lineRule="auto"/>
              <w:rPr>
                <w:rFonts w:eastAsia="Times New Roman" w:cs="Calibri"/>
                <w:noProof/>
                <w:szCs w:val="18"/>
              </w:rPr>
            </w:pPr>
            <w:r>
              <w:rPr>
                <w:noProof/>
              </w:rPr>
              <w:t>54</w:t>
            </w:r>
          </w:p>
        </w:tc>
        <w:tc>
          <w:tcPr>
            <w:tcW w:w="1378" w:type="dxa"/>
            <w:tcBorders>
              <w:top w:val="single" w:sz="4" w:space="0" w:color="auto"/>
              <w:left w:val="nil"/>
              <w:bottom w:val="single" w:sz="4" w:space="0" w:color="auto"/>
              <w:right w:val="single" w:sz="4" w:space="0" w:color="auto"/>
            </w:tcBorders>
            <w:shd w:val="clear" w:color="auto" w:fill="C6EFCE"/>
            <w:noWrap/>
          </w:tcPr>
          <w:p w14:paraId="0BB6C60A" w14:textId="77777777" w:rsidR="00CB0FCB" w:rsidRDefault="009D2B11">
            <w:pPr>
              <w:pStyle w:val="P68B1DB1-Normal9"/>
              <w:spacing w:after="0" w:line="240" w:lineRule="auto"/>
              <w:rPr>
                <w:rFonts w:eastAsia="Times New Roman" w:cs="Calibri"/>
                <w:noProof/>
                <w:szCs w:val="18"/>
              </w:rPr>
            </w:pPr>
            <w:r>
              <w:rPr>
                <w:noProof/>
              </w:rPr>
              <w:t>3–1.3. Uzlāde un uzpilde — 16831_Produc- E Green</w:t>
            </w:r>
          </w:p>
          <w:p w14:paraId="7DD81711"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65F9D22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8" w:type="dxa"/>
            <w:tcBorders>
              <w:top w:val="single" w:sz="4" w:space="0" w:color="auto"/>
              <w:left w:val="nil"/>
              <w:bottom w:val="single" w:sz="4" w:space="0" w:color="auto"/>
              <w:right w:val="single" w:sz="4" w:space="0" w:color="auto"/>
            </w:tcBorders>
            <w:shd w:val="clear" w:color="auto" w:fill="C6EFCE"/>
            <w:noWrap/>
          </w:tcPr>
          <w:p w14:paraId="0565C5FB" w14:textId="63F1C80F" w:rsidR="00CB0FCB" w:rsidRDefault="009D2B11">
            <w:pPr>
              <w:pStyle w:val="P68B1DB1-Normal9"/>
              <w:spacing w:after="0" w:line="240" w:lineRule="auto"/>
              <w:rPr>
                <w:rFonts w:eastAsia="Times New Roman" w:cs="Calibri"/>
                <w:noProof/>
                <w:szCs w:val="18"/>
              </w:rPr>
            </w:pPr>
            <w:r>
              <w:rPr>
                <w:noProof/>
              </w:rPr>
              <w:t>Rūpnieciskās vienības — Būvdarbu pabeigšana un iekārtu uzstādīšana</w:t>
            </w:r>
          </w:p>
        </w:tc>
        <w:tc>
          <w:tcPr>
            <w:tcW w:w="2377" w:type="dxa"/>
            <w:tcBorders>
              <w:top w:val="single" w:sz="4" w:space="0" w:color="auto"/>
              <w:left w:val="nil"/>
              <w:bottom w:val="single" w:sz="4" w:space="0" w:color="auto"/>
              <w:right w:val="single" w:sz="4" w:space="0" w:color="auto"/>
            </w:tcBorders>
            <w:shd w:val="clear" w:color="auto" w:fill="C6EFCE"/>
            <w:noWrap/>
          </w:tcPr>
          <w:p w14:paraId="2C68DF1D" w14:textId="39BDEC33" w:rsidR="00CB0FCB" w:rsidRDefault="009D2B11">
            <w:pPr>
              <w:pStyle w:val="P68B1DB1-Normal9"/>
              <w:spacing w:after="0" w:line="240" w:lineRule="auto"/>
              <w:rPr>
                <w:rFonts w:eastAsia="Times New Roman" w:cs="Calibri"/>
                <w:noProof/>
                <w:szCs w:val="18"/>
              </w:rPr>
            </w:pPr>
            <w:r>
              <w:rPr>
                <w:noProof/>
              </w:rPr>
              <w:t xml:space="preserve">Būvdarbu pabeigšana un </w:t>
            </w:r>
            <w:r>
              <w:rPr>
                <w:noProof/>
                <w:szCs w:val="18"/>
              </w:rPr>
              <w:t xml:space="preserve">aprīkojuma </w:t>
            </w:r>
            <w:r>
              <w:rPr>
                <w:noProof/>
              </w:rPr>
              <w:t xml:space="preserve"> uzstādīšana</w:t>
            </w:r>
          </w:p>
        </w:tc>
        <w:tc>
          <w:tcPr>
            <w:tcW w:w="1460" w:type="dxa"/>
            <w:tcBorders>
              <w:top w:val="single" w:sz="4" w:space="0" w:color="auto"/>
              <w:left w:val="nil"/>
              <w:bottom w:val="single" w:sz="4" w:space="0" w:color="auto"/>
              <w:right w:val="single" w:sz="4" w:space="0" w:color="auto"/>
            </w:tcBorders>
            <w:shd w:val="clear" w:color="auto" w:fill="C6EFCE"/>
            <w:noWrap/>
          </w:tcPr>
          <w:p w14:paraId="4E442677"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7846F49" w14:textId="77777777" w:rsidR="00CB0FCB" w:rsidRDefault="00CB0FCB">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1EAE0502"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502EE21"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2C7617A5" w14:textId="77777777" w:rsidR="00CB0FCB" w:rsidRDefault="009D2B11">
            <w:pPr>
              <w:pStyle w:val="P68B1DB1-Normal9"/>
              <w:spacing w:after="0" w:line="240" w:lineRule="auto"/>
              <w:rPr>
                <w:rFonts w:eastAsia="Times New Roman" w:cs="Calibri"/>
                <w:noProof/>
                <w:szCs w:val="18"/>
              </w:rPr>
            </w:pPr>
            <w:r>
              <w:rPr>
                <w:noProof/>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4975DC7F" w14:textId="1DA6794E" w:rsidR="00CB0FCB" w:rsidRDefault="009D2B11">
            <w:pPr>
              <w:pStyle w:val="P68B1DB1-Normal9"/>
              <w:spacing w:after="0" w:line="240" w:lineRule="auto"/>
              <w:rPr>
                <w:rFonts w:eastAsia="Times New Roman" w:cs="Calibri"/>
                <w:noProof/>
                <w:szCs w:val="18"/>
              </w:rPr>
            </w:pPr>
            <w:r>
              <w:rPr>
                <w:noProof/>
              </w:rPr>
              <w:t>Izraudzītās rūpnieciskās vienības ir pabeigušas būvdarbus un iekārtu uzstādīšanu.</w:t>
            </w:r>
          </w:p>
        </w:tc>
      </w:tr>
    </w:tbl>
    <w:p w14:paraId="1DF1357E" w14:textId="77777777" w:rsidR="00CB0FCB" w:rsidRDefault="00CB0FCB">
      <w:pPr>
        <w:spacing w:before="120" w:after="120" w:line="240" w:lineRule="auto"/>
        <w:rPr>
          <w:rFonts w:ascii="Times New Roman" w:hAnsi="Times New Roman" w:cs="Times New Roman"/>
          <w:noProof/>
          <w:sz w:val="24"/>
        </w:rPr>
        <w:sectPr w:rsidR="00CB0FCB" w:rsidSect="00271D33">
          <w:headerReference w:type="even" r:id="rId73"/>
          <w:headerReference w:type="default" r:id="rId74"/>
          <w:footerReference w:type="even" r:id="rId75"/>
          <w:footerReference w:type="default" r:id="rId76"/>
          <w:headerReference w:type="first" r:id="rId77"/>
          <w:footerReference w:type="first" r:id="rId78"/>
          <w:pgSz w:w="16839" w:h="11907" w:orient="landscape"/>
          <w:pgMar w:top="720" w:right="720" w:bottom="720" w:left="720" w:header="709" w:footer="359" w:gutter="0"/>
          <w:cols w:space="720"/>
          <w:docGrid w:linePitch="360"/>
        </w:sectPr>
      </w:pPr>
    </w:p>
    <w:p w14:paraId="499DDAD2" w14:textId="77777777" w:rsidR="00CB0FCB" w:rsidRDefault="009D2B11">
      <w:pPr>
        <w:pStyle w:val="P68B1DB1-Normal2"/>
        <w:spacing w:before="120" w:after="120" w:line="240" w:lineRule="auto"/>
        <w:jc w:val="both"/>
        <w:outlineLvl w:val="3"/>
        <w:rPr>
          <w:rFonts w:cs="Times New Roman"/>
          <w:bCs/>
          <w:noProof/>
        </w:rPr>
      </w:pPr>
      <w:r>
        <w:rPr>
          <w:noProof/>
        </w:rPr>
        <w:t>D. 1.4. KOMPONENTS: RESURSU ILGTSPĒJĪGA IZMANTOŠANA, NOTURĪBA PRET KLIMATA PĀRMAIŅĀM UN VIDES AIZSARDZĪBA</w:t>
      </w:r>
    </w:p>
    <w:p w14:paraId="47E07F08" w14:textId="77777777" w:rsidR="00CB0FCB" w:rsidRDefault="009D2B11">
      <w:pPr>
        <w:spacing w:before="120" w:after="120" w:line="240" w:lineRule="auto"/>
        <w:jc w:val="both"/>
        <w:rPr>
          <w:rFonts w:ascii="Times New Roman" w:hAnsi="Times New Roman" w:cs="Times New Roman"/>
          <w:noProof/>
          <w:sz w:val="24"/>
        </w:rPr>
      </w:pPr>
      <w:r>
        <w:rPr>
          <w:rFonts w:ascii="Times New Roman" w:hAnsi="Times New Roman"/>
          <w:noProof/>
          <w:sz w:val="24"/>
        </w:rPr>
        <w:t>Šā Grieķijas atveseļošanas un noturības plāna komponenta mērķis ir veicināt zaļo pārkārtošanos. Tas ietver mērķtiecīgas reformas un investīcijas, lai uzlabotu dabiskās vides aizsardzību un atjaunošanu, tostarp bioloģiskās daudzveidības aizsardzību, uzlabotu vides infrastruktūru un atgūtu mežu pārklājuma zudumus. Turklāt tas ietver atkritumu apsaimniekošanas reformu,</w:t>
      </w:r>
      <w:r>
        <w:rPr>
          <w:noProof/>
        </w:rPr>
        <w:t xml:space="preserve"> </w:t>
      </w:r>
      <w:r>
        <w:rPr>
          <w:rFonts w:ascii="Times New Roman" w:hAnsi="Times New Roman"/>
          <w:noProof/>
          <w:sz w:val="24"/>
        </w:rPr>
        <w:t xml:space="preserve">kas jo īpaši ietver valsts atkritumu regulatora izveidi, lai atbalstītu pāreju uz aprites ekonomiku, kuras pamatā ir atkritumu rašanās novēršana, atkalizmantošana un reciklēšana. Ar to arī izveido Valsts ūdens regulatīvo iestādi, lai uzlabotu ūdensapgādes pakalpojumu darbību un ieguldījumu ilgtspēju. Komponentā iekļauto reformu un investīciju īstenošana palielina dabas resursu izmantošanas efektivitāti un veicina aizsardzību pret vides riskiem un ietekmi gan uz sabiedrību, gan ekonomiku. Komponents ietver arī investīcijas, kuru mērķis ir uzlabot dzeramā ūdens piegādi un kanalizācijas nodrošināšanu, kā arī novērst un mazināt klimata pārmaiņu izraisītās vides problēmas. </w:t>
      </w:r>
    </w:p>
    <w:p w14:paraId="0A764075" w14:textId="77777777" w:rsidR="00CB0FCB" w:rsidRDefault="009D2B11">
      <w:pPr>
        <w:pStyle w:val="P68B1DB1-Normal4"/>
        <w:spacing w:before="120" w:after="120" w:line="240" w:lineRule="auto"/>
        <w:jc w:val="both"/>
        <w:rPr>
          <w:rFonts w:cs="Times New Roman"/>
          <w:noProof/>
        </w:rPr>
      </w:pPr>
      <w:r>
        <w:rPr>
          <w:noProof/>
        </w:rPr>
        <w:t>Komponents palīdz īstenot 2020. gada konkrētai valstij adresēto ieteikumu Nr. 3 un 2019. gada konkrētai valstij adresēto ieteikumu Nr. 2 par publiskajām un privātajām investīcijām.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75938737" w14:textId="77777777" w:rsidR="00CB0FCB" w:rsidRDefault="009D2B11">
      <w:pPr>
        <w:tabs>
          <w:tab w:val="left" w:pos="1134"/>
        </w:tabs>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D.1. </w:t>
      </w:r>
      <w:r>
        <w:rPr>
          <w:noProof/>
        </w:rPr>
        <w:t xml:space="preserve"> </w:t>
      </w:r>
      <w:r>
        <w:rPr>
          <w:rFonts w:ascii="Times New Roman" w:hAnsi="Times New Roman"/>
          <w:b/>
          <w:noProof/>
          <w:sz w:val="24"/>
          <w:u w:val="single"/>
        </w:rPr>
        <w:t>Reformu un investīciju apraksts neatmaksājamam finansiālajam atbalstam</w:t>
      </w:r>
    </w:p>
    <w:p w14:paraId="37B74A75" w14:textId="77777777" w:rsidR="00CB0FCB" w:rsidRDefault="009D2B11">
      <w:pPr>
        <w:pStyle w:val="P68B1DB1-Normal4"/>
        <w:tabs>
          <w:tab w:val="left" w:pos="1134"/>
        </w:tabs>
        <w:spacing w:before="120" w:after="120" w:line="240" w:lineRule="auto"/>
        <w:jc w:val="both"/>
        <w:rPr>
          <w:rFonts w:cs="Times New Roman"/>
          <w:noProof/>
          <w:szCs w:val="24"/>
        </w:rPr>
      </w:pPr>
      <w:r>
        <w:rPr>
          <w:b/>
          <w:noProof/>
        </w:rPr>
        <w:t>Ieguldījums:</w:t>
      </w:r>
      <w:r>
        <w:rPr>
          <w:noProof/>
        </w:rPr>
        <w:t xml:space="preserve"> Valsts meža atjaunošanas plāns, atjaunošana un novēršana (“antiNERO”), preterozijas un plūdu novēršanas pasākumi (pasākums ID: 16849)</w:t>
      </w:r>
    </w:p>
    <w:p w14:paraId="0DB03F8D" w14:textId="6BC42D6E" w:rsidR="00CB0FCB" w:rsidRDefault="009D2B11">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Šim ieguldījumam ir trīs daļas. Pirmkārt, 5 700</w:t>
      </w:r>
      <w:r>
        <w:rPr>
          <w:rFonts w:ascii="Times New Roman" w:hAnsi="Times New Roman" w:cs="Times New Roman"/>
          <w:noProof/>
          <w:sz w:val="18"/>
        </w:rPr>
        <w:t xml:space="preserve"> </w:t>
      </w:r>
      <w:r>
        <w:rPr>
          <w:rFonts w:ascii="Times New Roman" w:hAnsi="Times New Roman"/>
          <w:noProof/>
          <w:sz w:val="24"/>
          <w:szCs w:val="24"/>
        </w:rPr>
        <w:t xml:space="preserve">ha degradētu meža ekosistēmu atjaunošana Grieķijā, stādot stādus. Projekts aptver gan meža atjaunošanas pētījumus, gan to īstenošanu. </w:t>
      </w:r>
      <w:bookmarkStart w:id="2" w:name="_Int_luhtzGZB"/>
      <w:bookmarkEnd w:id="2"/>
      <w:r>
        <w:rPr>
          <w:rFonts w:ascii="Times New Roman" w:hAnsi="Times New Roman"/>
          <w:noProof/>
          <w:sz w:val="24"/>
          <w:szCs w:val="24"/>
        </w:rPr>
        <w:t xml:space="preserve"> Turklāt investīcija ietver četru publisko meža stādaudzētavu (Ambrosias, Lagada, Organis un Aliartos) modernizāciju un visu Valsts meža atjaunošanas plāna izmēģinājuma īstenošanas pasākumu īstenošanu. Otrkārt, NERO apkarošanas programmu ietvaros investīcija ietver ugunsgrēku novēršanas pasākumus, tostarp mežu un mežu izciršanu, meža ceļu tīkla un esošo ugunsdrošības zonu uzturēšanu, jauktu ugunsdrošības zonu izveidi, tostarp koku un krūmu mežizstrādi, tīrīšanas un apgriešanas darbus un stādījumus. Treškārt, investīcija ietver darbības, kas saistītas ar aizsardzību pret eroziju un plūdiem </w:t>
      </w:r>
      <w:r>
        <w:rPr>
          <w:rFonts w:ascii="Times New Roman" w:hAnsi="Times New Roman"/>
          <w:noProof/>
          <w:sz w:val="24"/>
        </w:rPr>
        <w:t>Evros un Rodope teritorijā,</w:t>
      </w:r>
      <w:r>
        <w:rPr>
          <w:rFonts w:ascii="Times New Roman" w:hAnsi="Times New Roman" w:cs="Times New Roman"/>
          <w:noProof/>
          <w:sz w:val="24"/>
          <w:szCs w:val="24"/>
        </w:rPr>
        <w:t>kā arī papildu teritorijās, ko skāruši meža ugunsgrēki un plūdi visā Grieķijā. Teritorijas, uz kurām (hektāros) attieksies dažādās atskaites punktā izklāstītās darbības, var pārklāties. Investīciju īstenošanu pabeidz līdz 2025. gada 31. decembrim.</w:t>
      </w:r>
    </w:p>
    <w:p w14:paraId="3D82BDEB"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Komunālo notekūdeņu un dūņu apsaimniekošanas infrastruktūras no notekūdeņu attīrīšanas (pasākums ID: 16846)</w:t>
      </w:r>
    </w:p>
    <w:p w14:paraId="7DAEA872" w14:textId="77777777" w:rsidR="00CB0FCB" w:rsidRDefault="009D2B11">
      <w:pPr>
        <w:pStyle w:val="P68B1DB1-Normal5"/>
        <w:spacing w:before="120" w:after="120" w:line="240" w:lineRule="auto"/>
        <w:jc w:val="both"/>
        <w:rPr>
          <w:noProof/>
        </w:rPr>
      </w:pPr>
      <w:r>
        <w:rPr>
          <w:noProof/>
        </w:rPr>
        <w:t xml:space="preserve">Investīcijas mērķis ir samazināt notekūdeņu attīrīšanas radīto piesārņojumu dabas un cilvēka radītajā vidē, būvējot jaunu un modernizējot esošo infrastruktūru. To veido trīs apakšprojekti: a) 37 jaunu notekūdeņu tīkla infrastruktūru un notekūdeņu attīrīšanas iekārtu (WWTP) būvniecība, b) 11 notekūdeņu attīrīšanas iekārtu modernizācija, paplašināšana un modernizācija un attīrīta ūdens atkalizmantošana un c) 16 dūņu apsaimniekošanas infrastruktūras būvniecība no notekūdeņu attīrīšanas iekārtām. </w:t>
      </w:r>
    </w:p>
    <w:p w14:paraId="63D00E5A" w14:textId="77777777" w:rsidR="00CB0FCB" w:rsidRDefault="009D2B11">
      <w:pPr>
        <w:pStyle w:val="P68B1DB1-Normal5"/>
        <w:rPr>
          <w:noProof/>
        </w:rPr>
      </w:pPr>
      <w:r>
        <w:rPr>
          <w:noProof/>
        </w:rPr>
        <w:br w:type="page"/>
      </w:r>
    </w:p>
    <w:p w14:paraId="5BBCB4F7" w14:textId="30811A05" w:rsidR="00CB0FCB" w:rsidRDefault="009D2B11">
      <w:pPr>
        <w:pStyle w:val="P68B1DB1-Normal5"/>
        <w:spacing w:before="120" w:after="120" w:line="240" w:lineRule="auto"/>
        <w:jc w:val="both"/>
        <w:rPr>
          <w:rFonts w:cs="Times New Roman"/>
          <w:noProof/>
        </w:rPr>
      </w:pPr>
      <w:r>
        <w:rPr>
          <w:noProof/>
        </w:rPr>
        <w:t>Tā investīciju daļa, kas attiecas uz 11 notekūdeņu attīrīšanas iekārtu modernizāciju un modernizāciju, atbilst prasībai atjaunot priekšgala-gala notekūdeņu sistēmu, lai vidējais enerģijas patēriņš samazinātos vismaz par 10 %, ko panāk tikai ar energoefektivitātes pasākumiem, nevis ar būtiskām izmaiņām vai slodzes izmaiņām.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uz pasākumu attiecas ietekmes uz vidi novērtējums (IVN) saskaņā ar Direktīvu 2011/92/ES, kā arī relevanti novērtējumi Direktīvas 2000/60/EK un Direktīvas 92/43/EEK kontekstā, tostarp nepieciešamo ietekmes mazināšanas pasākumu īstenošana. Investīciju īstenošanu pabeidz līdz 2025. gada 31. decembrim.</w:t>
      </w:r>
    </w:p>
    <w:p w14:paraId="71774457"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Investīcijas valsts apūdeņošanas tīklā, izmantojot publiskā un privātā sektora partnerības shēmas (pasākuma ID: 16285)</w:t>
      </w:r>
    </w:p>
    <w:p w14:paraId="0785AAEE" w14:textId="77777777" w:rsidR="00CB0FCB" w:rsidRDefault="009D2B11">
      <w:pPr>
        <w:pStyle w:val="P68B1DB1-Normal4"/>
        <w:spacing w:before="120" w:after="120" w:line="240" w:lineRule="auto"/>
        <w:jc w:val="both"/>
        <w:rPr>
          <w:rFonts w:cs="Times New Roman"/>
          <w:noProof/>
        </w:rPr>
      </w:pPr>
      <w:r>
        <w:rPr>
          <w:noProof/>
        </w:rPr>
        <w:t>Ieguldījums ir holistiska programma valsts agrovides, zemes uzlabošanas un sanācijas sistēmas modernizēšanai un modernizācijai. Šīs investīcijas stiprina lauksaimniecības nozares noturību un konkurētspēju, palielina pieejamā ūdens piegādi un kvalitāti, racionalizē ūdens patēriņu, mazina sasāļošanās un pārtuksnešošanās riskus un pievēršas bioloģiskās daudzveidības un dabisko dzīvotņu saglabāšanai un aizsardzībai. Šis pasākums ietver arī kolektīvo apūdeņošanas tīklu institucionālās, organizatoriskās un darbības sistēmas reformu. Pasākums paredz, ka visiem darbiem jāatbilst šādiem principiem: I) īsteno visus tehniski iespējamos un ekoloģiski relevantos klimatadaptācijas</w:t>
      </w:r>
      <w:r>
        <w:rPr>
          <w:i/>
          <w:noProof/>
        </w:rPr>
        <w:t xml:space="preserve"> </w:t>
      </w:r>
      <w:r>
        <w:rPr>
          <w:noProof/>
        </w:rPr>
        <w:t>pasākumus, kā arī iespējamās nelabvēlīgās ietekmes uz ūdeni un relevantajām dzīvotnēm un sugām mazināšanu, ja šķiet nepieciešami turpmāki pasākumi; II) attiecībā uz jaunbūvētu dambju nodrošina, ka tas nepasliktina un neapdraud attiecīgo un savienoto ūdensobjektu laba stāvokļa sasniegšanu.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Jo īpaši attiecībā uz katru apakšieguldījumu pirms būvdarbu uzsākšanas, to laikā un pēc to uzsākšanas jānodrošina pilnīga atbilstība ES tiesību aktu, tostarp Ūdens pamatdirektīvas, prasībām. Turklāt uz pasākumu attiecas ietekmes uz vidi novērtējums (IVN) saskaņā ar Direktīvu 2011/92/ES, kā arī relevanti novērtējumi Direktīvas 2000/60/EK un Direktīvas 92/43/EEK kontekstā, tostarp nepieciešamo ietekmes mazināšanas pasākumu īstenošana. Investīciju īstenošanu pabeidz līdz 2025. gada 31. decembrim.</w:t>
      </w:r>
    </w:p>
    <w:p w14:paraId="2DFB208A"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Dzeramā ūdens apgādes un taupīšanas infrastruktūras (pasākuma ID: 16850)</w:t>
      </w:r>
    </w:p>
    <w:p w14:paraId="49079FD8" w14:textId="77777777" w:rsidR="00CB0FCB" w:rsidRDefault="009D2B11">
      <w:pPr>
        <w:pStyle w:val="P68B1DB1-Normal5"/>
        <w:spacing w:before="120" w:after="120" w:line="240" w:lineRule="auto"/>
        <w:jc w:val="both"/>
        <w:rPr>
          <w:noProof/>
        </w:rPr>
      </w:pPr>
      <w:r>
        <w:rPr>
          <w:noProof/>
        </w:rPr>
        <w:t xml:space="preserve">Investīcijas mērķis ir uzlabot dzeramā ūdens pieejamību un kvalitāti un samazināt noplūdes un sabiedrības veselības riskus, kas saistīti ar ūdens infrastruktūru. Ieguldījumu veido trīs apakšprojekti: a) jaunu ūdensapgādes infrastruktūru būvniecība vismaz septiņās teritorijās un vismaz trīs atsāļošanas iekārtās, b) telemetrijas izveide — tālvadības sistēmas noplūžu atklāšanai ūdensapgādes tīklos un c) digitālo hidrometru iepirkšana.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w:t>
      </w:r>
    </w:p>
    <w:p w14:paraId="497CB423" w14:textId="77777777" w:rsidR="00CB0FCB" w:rsidRDefault="009D2B11">
      <w:pPr>
        <w:pStyle w:val="P68B1DB1-Normal5"/>
        <w:rPr>
          <w:noProof/>
        </w:rPr>
      </w:pPr>
      <w:r>
        <w:rPr>
          <w:noProof/>
        </w:rPr>
        <w:br w:type="page"/>
      </w:r>
    </w:p>
    <w:p w14:paraId="161C0AD4" w14:textId="448BFD2E" w:rsidR="00CB0FCB" w:rsidRDefault="009D2B11">
      <w:pPr>
        <w:pStyle w:val="P68B1DB1-Normal5"/>
        <w:spacing w:before="120" w:after="120" w:line="240" w:lineRule="auto"/>
        <w:jc w:val="both"/>
        <w:rPr>
          <w:rFonts w:cs="Times New Roman"/>
          <w:noProof/>
        </w:rPr>
      </w:pPr>
      <w:r>
        <w:rPr>
          <w:noProof/>
        </w:rPr>
        <w:t>Konkrētāk, uz pasākumu attiecas ietekmes uz vidi novērtējums (IVN) saskaņā ar Direktīvu 2011/92/ES, kā arī relevanti novērtējumi Direktīvas 2000/60/EK un Direktīvas 92/43/EEK kontekstā, tostarp nepieciešamo ietekmes mazināšanas pasākumu īstenošana. Investīciju īstenošanu pabeidz līdz 2025. gada 31. decembrim.</w:t>
      </w:r>
    </w:p>
    <w:p w14:paraId="4CD81F70" w14:textId="77777777" w:rsidR="00CB0FCB" w:rsidRDefault="009D2B11">
      <w:pPr>
        <w:pStyle w:val="P68B1DB1-Normal5"/>
        <w:spacing w:before="120" w:after="120" w:line="240" w:lineRule="auto"/>
        <w:jc w:val="both"/>
        <w:rPr>
          <w:rFonts w:cs="Times New Roman"/>
          <w:noProof/>
        </w:rPr>
      </w:pPr>
      <w:r>
        <w:rPr>
          <w:b/>
          <w:noProof/>
        </w:rPr>
        <w:t>Ieguldījums:</w:t>
      </w:r>
      <w:r>
        <w:rPr>
          <w:noProof/>
        </w:rPr>
        <w:t xml:space="preserve"> Gaisa līdzekļi krīžu pārvarēšanai (pasākuma ID: 16911)</w:t>
      </w:r>
    </w:p>
    <w:p w14:paraId="1A3ADCEA" w14:textId="4DC471E6" w:rsidR="00CB0FCB" w:rsidRDefault="009D2B11">
      <w:pPr>
        <w:pStyle w:val="P68B1DB1-Normal4"/>
        <w:spacing w:before="120" w:after="120" w:line="240" w:lineRule="auto"/>
        <w:jc w:val="both"/>
        <w:rPr>
          <w:rFonts w:cs="Times New Roman"/>
          <w:noProof/>
        </w:rPr>
      </w:pPr>
      <w:r>
        <w:rPr>
          <w:noProof/>
        </w:rPr>
        <w:t>Investīcija ietver iegādāto gaisa kuģu piegādi un esošo civilās aizsardzības vajadzībām izmantoto gaisa kuģu modernizāciju, piemēram, helikopteru izmantošanu medicīnā, avārijas infrastruktūras transportēšanu un izvēršanu, dronus gaisa novērošanai un gaisa kuģus ugunsdzēšanai.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Jo īpaši visi īpašam nolūkam paredzētie gaisa kuģi ir “labākie klases” aktīvi. Investīciju īstenošanu pabeidz līdz 2025. gada 31. decembrim.</w:t>
      </w:r>
    </w:p>
    <w:p w14:paraId="5F39AC96"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Meža ugunsgrēku dzēšanas, novēršanas un reaģēšanas aprīkojums (pasākuma ID: 16912)</w:t>
      </w:r>
    </w:p>
    <w:p w14:paraId="429EDD72" w14:textId="77777777" w:rsidR="00CB0FCB" w:rsidRDefault="009D2B11">
      <w:pPr>
        <w:pStyle w:val="P68B1DB1-Normal4"/>
        <w:spacing w:before="120" w:after="120" w:line="240" w:lineRule="auto"/>
        <w:jc w:val="both"/>
        <w:rPr>
          <w:rFonts w:cs="Times New Roman"/>
          <w:noProof/>
          <w:szCs w:val="24"/>
        </w:rPr>
      </w:pPr>
      <w:r>
        <w:rPr>
          <w:noProof/>
        </w:rPr>
        <w:t>Investīcija ietver iegādāto ugunsdzēsēju un citu reaģēšanas transportlīdzekļu (tostarp personāla un aprīkojuma, kas pārvadā transportlīdzekļus un tankkuģus) piegādi; transportlīdzekļu piegāde Civilās aizsardzības ģenerālsekretariātam, reģionālajiem/vietējiem civilās aizsardzības operāciju centriem un brīvprātīgā darba organizācijām; un saliekami pārvietojami tilti. Investīciju īstenošanu pabeidz līdz 2025. gada 31. decembrim.</w:t>
      </w:r>
    </w:p>
    <w:p w14:paraId="63A227EB"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Bioloģiskās daudzveidības aizsardzība kā ilgtspējīgas izaugsmes virzītājspēks (ID: 16851)</w:t>
      </w:r>
    </w:p>
    <w:p w14:paraId="5EE2437A" w14:textId="14B50EFE" w:rsidR="00CB0FCB" w:rsidRDefault="009D2B11">
      <w:pPr>
        <w:pStyle w:val="P68B1DB1-Normal4"/>
        <w:spacing w:before="120" w:after="120" w:line="240" w:lineRule="auto"/>
        <w:jc w:val="both"/>
        <w:rPr>
          <w:rFonts w:cs="Times New Roman"/>
          <w:noProof/>
          <w:szCs w:val="24"/>
        </w:rPr>
      </w:pPr>
      <w:r>
        <w:rPr>
          <w:noProof/>
        </w:rPr>
        <w:t xml:space="preserve"> Ieguldījumu veido: bioloģiskās daudzveidības aizsardzības projekti, valsts ceļu un pārgājienu taku tīkla izveide, Nacionālā dabas vēstures muzeja izveide un Krētas Dabas vēstures muzeja modernizācija, Grieķijas dabas vēstures kolekciju digitalizācija, ar grieķu dabu saistītu produktu korporatīvās identitātes izveide, darbības sistēmas izveide, kas atbalsta horizontālās uzraudzības un patrulēšanas sistēmas plānu visām Grieķijas aizsargājamām teritorijām. Investīciju īstenošanu pabeidz līdz 2025. gada 31. decembrim.</w:t>
      </w:r>
    </w:p>
    <w:p w14:paraId="294388B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Infrastruktūra — stratēģiskas valsts katastrofu riska pārvaldības izveide (pasākuma ID: 16909)</w:t>
      </w:r>
    </w:p>
    <w:p w14:paraId="1EE1D0AB" w14:textId="2492BF33" w:rsidR="00CB0FCB" w:rsidRDefault="009D2B11">
      <w:pPr>
        <w:pStyle w:val="P68B1DB1-Normal4"/>
        <w:spacing w:before="120" w:after="120" w:line="240" w:lineRule="auto"/>
        <w:jc w:val="both"/>
        <w:rPr>
          <w:rFonts w:cs="Times New Roman"/>
          <w:noProof/>
        </w:rPr>
      </w:pPr>
      <w:r>
        <w:rPr>
          <w:noProof/>
        </w:rPr>
        <w:t>Investīcija ietver digitālā aprīkojuma modernizāciju un piegādi Civilās aizsardzības ēku ģenerālsekretariātam, kā arī mobilās administrācijas un klātienes pārvaldības centru nodrošināšanu. Investīciju īstenošanu pabeidz līdz 2025. gada 31. decembrim.</w:t>
      </w:r>
    </w:p>
    <w:p w14:paraId="580EFC52"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Uzraudzības un pārvaldības sistēma (pasākuma ID: 16910)</w:t>
      </w:r>
    </w:p>
    <w:p w14:paraId="51F2CB93" w14:textId="06937D57" w:rsidR="00CB0FCB" w:rsidRDefault="009D2B11">
      <w:pPr>
        <w:pStyle w:val="P68B1DB1-Normal4"/>
        <w:spacing w:before="120" w:after="120" w:line="240" w:lineRule="auto"/>
        <w:jc w:val="both"/>
        <w:rPr>
          <w:rFonts w:cs="Times New Roman"/>
          <w:noProof/>
        </w:rPr>
      </w:pPr>
      <w:r>
        <w:rPr>
          <w:noProof/>
        </w:rPr>
        <w:t>Investīcija ietver digitālās infrastruktūras nodrošināšanu Civilās aizsardzības ģenerālsekretariātam, piemēram, GPS uzraudzības sistēmu, “iesaistes” informācijas sistēmas paplašināšanu, agrīnās brīdināšanas sistēmu, ugunsgrēka atklāšanas un ugunsdzēšanas sistēmas un ārkārtas sakaru stacijas. Investīciju īstenošanu pabeidz līdz 2025. gada 31. decembrim.</w:t>
      </w:r>
    </w:p>
    <w:p w14:paraId="31CFB137" w14:textId="74E218AE" w:rsidR="00CB0FCB" w:rsidRDefault="009D2B11">
      <w:pPr>
        <w:pStyle w:val="P68B1DB1-Normal4"/>
        <w:spacing w:before="120" w:after="120" w:line="240" w:lineRule="auto"/>
        <w:jc w:val="both"/>
        <w:rPr>
          <w:noProof/>
        </w:rPr>
      </w:pPr>
      <w:r>
        <w:rPr>
          <w:b/>
          <w:noProof/>
        </w:rPr>
        <w:t>Ieguldījums:</w:t>
      </w:r>
      <w:r>
        <w:rPr>
          <w:noProof/>
        </w:rPr>
        <w:t xml:space="preserve"> Reģionālo civilās aizsardzības centru (PEKEPP) īstenošana, izmantojot PPP shēmas (pasākums ID: 16283)</w:t>
      </w:r>
    </w:p>
    <w:p w14:paraId="33C19881" w14:textId="5017882B" w:rsidR="00CB0FCB" w:rsidRDefault="009D2B11">
      <w:pPr>
        <w:pStyle w:val="P68B1DB1-Normal4"/>
        <w:spacing w:before="120" w:after="120" w:line="240" w:lineRule="auto"/>
        <w:jc w:val="both"/>
        <w:rPr>
          <w:rFonts w:cs="Times New Roman"/>
          <w:noProof/>
          <w:szCs w:val="24"/>
        </w:rPr>
      </w:pPr>
      <w:r>
        <w:rPr>
          <w:noProof/>
        </w:rPr>
        <w:t>13 reģionālo civilās aizsardzības centru būvniecība, izmantojot publiskā un privātā sektora partnerības. Investīciju mērķis ir nodrošināt savlaicīgu un efektīvu risku un krīžu pārvaldību reģionālā līmenī. Jaunceltajām ēkām jāatbilst primārās enerģijas pieprasījumam (PED), kas ir vismaz par 20 % zemāks nekā GNEĒ prasība (gandrīz nulles enerģijas ēka, valstu direktīvas).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25044D61"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Atkritumu apsaimniekošanas likums, lai īstenotu ilgtspējīgu apglabāšanu poligonos un pārstrādi (pasākums ID: 16772)</w:t>
      </w:r>
    </w:p>
    <w:p w14:paraId="311944C7" w14:textId="04525B8D" w:rsidR="00CB0FCB" w:rsidRDefault="009D2B11">
      <w:pPr>
        <w:pStyle w:val="P68B1DB1-Normal5"/>
        <w:spacing w:before="120" w:after="120" w:line="240" w:lineRule="auto"/>
        <w:jc w:val="both"/>
        <w:rPr>
          <w:rFonts w:cs="Times New Roman"/>
          <w:noProof/>
        </w:rPr>
      </w:pPr>
      <w:r>
        <w:rPr>
          <w:noProof/>
        </w:rPr>
        <w:t>Šī reforma ietver spēkā esošo atkritumu apsaimniekošanas tiesību aktu pārskatīšanu, lai nodrošinātu pāreju uz aprites ekonomiku. Reforma jo īpaši ievieš stimulus pašvaldībām sasniegt augstākus reciklēšanas rādītājus, līdz 2022. gada beigām panākt bioatkritumu un metāla, papīra, stikla un plastmasas dalītu savākšanu, paplašināt ražotāja atbildības shēmu, modernizēt reciklēšanas šķirošanas iekārtu darbību un vienkāršot tiesību aktus par zaļajiem punktiem. Reformas mērķis ir atbalstīt mērķu sasniegšanu, proti, līdz 2030. gadam palielināt cieto sadzīves atkritumu atkalizmantošanas un reciklēšanas rādītājus līdz 60 % un samazināt poligonu īpatsvaru līdz 10 %. Valsts atkritumu pārvaldes iestāde, ko izveido saistībā ar šo reformu, cita starpā ir atbildīga par cenu politikas stabilitātes nodrošināšanu, atkritumu apsaimniekošanas īstenošanas uzraudzību visā valstī un reģionālo un vietējo atkritumu apsaimniekošanas uzņēmumu pareizas darbības uzraudzību. Reformas īstenošanu pabeidz līdz 2025. gada 31. decembrim.</w:t>
      </w:r>
    </w:p>
    <w:p w14:paraId="31704529"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Jaunas ūdens un notekūdeņu regulatīvās iestādes izveide (pasākuma ID: 16979)</w:t>
      </w:r>
    </w:p>
    <w:p w14:paraId="3B19F895" w14:textId="77777777" w:rsidR="00CB0FCB" w:rsidRDefault="009D2B11">
      <w:pPr>
        <w:pStyle w:val="P68B1DB1-Normal5"/>
        <w:spacing w:before="120" w:after="120" w:line="240" w:lineRule="auto"/>
        <w:jc w:val="both"/>
        <w:rPr>
          <w:rFonts w:cs="Times New Roman"/>
          <w:noProof/>
        </w:rPr>
      </w:pPr>
      <w:r>
        <w:rPr>
          <w:noProof/>
        </w:rPr>
        <w:t>Ar reformu izveido vienotu struktūru — Valsts ūdens regulatoru iestādi (NWRA), kas atbild par ūdens resursu racionālas apsaimniekošanas politikas īstenošanu, kuru izstrādājusi Vides un enerģētikas ministrija. Jaunā Iestāde stiprina institucionālo sistēmu un uzrauga nozari, tostarp racionalizējot ūdens tarifu politiku saskaņā ar principu “piesārņotājs maksā” un nodrošinot ūdensapgādes pakalpojumu ilgtspēju Grieķijā. Reformas īstenošanu pabeidz līdz 2023. gada 31. decembrim.</w:t>
      </w:r>
    </w:p>
    <w:p w14:paraId="6E6238EE" w14:textId="77777777" w:rsidR="00CB0FCB" w:rsidRDefault="009D2B11">
      <w:pPr>
        <w:pStyle w:val="P68B1DB1-Normal4"/>
        <w:spacing w:before="120" w:after="120" w:line="240" w:lineRule="auto"/>
        <w:jc w:val="both"/>
        <w:rPr>
          <w:rFonts w:cs="Times New Roman"/>
          <w:noProof/>
          <w:szCs w:val="24"/>
        </w:rPr>
      </w:pPr>
      <w:r>
        <w:rPr>
          <w:b/>
          <w:noProof/>
        </w:rPr>
        <w:t>Ieguldījums:</w:t>
      </w:r>
      <w:r>
        <w:rPr>
          <w:noProof/>
        </w:rPr>
        <w:t xml:space="preserve"> Ēku seismiskās izturības iepriekšēja pārbaude (mērījums ID: 16983)</w:t>
      </w:r>
    </w:p>
    <w:p w14:paraId="6F08CBCE" w14:textId="103029CE" w:rsidR="00CB0FCB" w:rsidRDefault="009D2B11">
      <w:pPr>
        <w:pStyle w:val="P68B1DB1-Normal4"/>
        <w:spacing w:before="120" w:after="120" w:line="240" w:lineRule="auto"/>
        <w:jc w:val="both"/>
        <w:rPr>
          <w:rFonts w:cs="Times New Roman"/>
          <w:noProof/>
        </w:rPr>
        <w:sectPr w:rsidR="00CB0FCB" w:rsidSect="00271D33">
          <w:headerReference w:type="even" r:id="rId79"/>
          <w:headerReference w:type="default" r:id="rId80"/>
          <w:footerReference w:type="even" r:id="rId81"/>
          <w:footerReference w:type="default" r:id="rId82"/>
          <w:headerReference w:type="first" r:id="rId83"/>
          <w:footerReference w:type="first" r:id="rId84"/>
          <w:pgSz w:w="11907" w:h="16839"/>
          <w:pgMar w:top="1134" w:right="1418" w:bottom="1134" w:left="1418" w:header="709" w:footer="327" w:gutter="0"/>
          <w:cols w:space="720"/>
          <w:docGrid w:linePitch="360"/>
        </w:sectPr>
      </w:pPr>
      <w:r>
        <w:rPr>
          <w:noProof/>
        </w:rPr>
        <w:t>Investīcija ietver dažādu kritiski svarīgu ēku (tostarp izglītības ēku, slimnīcu un veselības centru, policijas departamentu, ugunsdzēsēju staciju) seismiskā riska novērtēšanu valstī, lai novērtētu to noturību zemestrīces laikā. To veic, izmantojot civilās inženieru revidentu veiktās ātrās vizuālās pārbaudes (RVI).  Izstrādā papildu tiešsaistes sistēmu, lai reģistrētu ēku pamatdatus galvenajā pirmszemestrīces RVI mākoņrepozitorijā. Investīciju īstenošanu pabeidz līdz 2025. gada 31. martam.</w:t>
      </w:r>
    </w:p>
    <w:p w14:paraId="3F7F94BF" w14:textId="77777777" w:rsidR="00CB0FCB" w:rsidRDefault="009D2B11">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noProof/>
          <w:sz w:val="24"/>
          <w:u w:val="single"/>
        </w:rPr>
        <w:t xml:space="preserve">D.2.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1C7A476B" w14:textId="77777777" w:rsidR="00CB0FCB" w:rsidRDefault="00CB0FCB">
      <w:pPr>
        <w:rPr>
          <w:noProof/>
        </w:rPr>
      </w:pPr>
    </w:p>
    <w:p w14:paraId="1A129A28" w14:textId="77777777" w:rsidR="00CB0FCB" w:rsidRDefault="009D2B11">
      <w:pPr>
        <w:pStyle w:val="P68B1DB1-Normal6"/>
        <w:keepNext/>
        <w:keepLines/>
        <w:spacing w:before="40" w:after="0" w:line="240" w:lineRule="auto"/>
        <w:jc w:val="both"/>
        <w:outlineLvl w:val="4"/>
        <w:rPr>
          <w:rFonts w:eastAsia="Times New Roman"/>
          <w:noProof/>
        </w:rPr>
      </w:pPr>
      <w:r>
        <w:rPr>
          <w:noProof/>
        </w:rPr>
        <w:t>Galvenā reforma Nr. 4: Atkritumu apsaimniekošana un ūdens resursu ilgtspējīgas izmantošanas reforma</w:t>
      </w:r>
    </w:p>
    <w:tbl>
      <w:tblPr>
        <w:tblpPr w:leftFromText="180" w:rightFromText="180" w:vertAnchor="text" w:tblpXSpec="center" w:tblpY="1"/>
        <w:tblOverlap w:val="never"/>
        <w:tblW w:w="15759" w:type="dxa"/>
        <w:tblLayout w:type="fixed"/>
        <w:tblLook w:val="04A0" w:firstRow="1" w:lastRow="0" w:firstColumn="1" w:lastColumn="0" w:noHBand="0" w:noVBand="1"/>
      </w:tblPr>
      <w:tblGrid>
        <w:gridCol w:w="1027"/>
        <w:gridCol w:w="1797"/>
        <w:gridCol w:w="966"/>
        <w:gridCol w:w="1190"/>
        <w:gridCol w:w="1468"/>
        <w:gridCol w:w="1031"/>
        <w:gridCol w:w="857"/>
        <w:gridCol w:w="844"/>
        <w:gridCol w:w="851"/>
        <w:gridCol w:w="709"/>
        <w:gridCol w:w="5019"/>
      </w:tblGrid>
      <w:tr w:rsidR="00CB0FCB" w14:paraId="369BBE76" w14:textId="77777777">
        <w:trPr>
          <w:trHeight w:val="927"/>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B0B28B"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BE594F"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750B3C"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190" w:type="dxa"/>
            <w:vMerge w:val="restart"/>
            <w:tcBorders>
              <w:top w:val="single" w:sz="4" w:space="0" w:color="auto"/>
              <w:left w:val="nil"/>
              <w:bottom w:val="single" w:sz="4" w:space="0" w:color="auto"/>
              <w:right w:val="single" w:sz="4" w:space="0" w:color="auto"/>
            </w:tcBorders>
            <w:shd w:val="clear" w:color="auto" w:fill="BDD7EE"/>
            <w:vAlign w:val="center"/>
            <w:hideMark/>
          </w:tcPr>
          <w:p w14:paraId="4D3CC6FA"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AA37EB"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732" w:type="dxa"/>
            <w:gridSpan w:val="3"/>
            <w:tcBorders>
              <w:top w:val="single" w:sz="4" w:space="0" w:color="auto"/>
              <w:left w:val="nil"/>
              <w:bottom w:val="single" w:sz="4" w:space="0" w:color="auto"/>
              <w:right w:val="single" w:sz="4" w:space="0" w:color="auto"/>
            </w:tcBorders>
            <w:shd w:val="clear" w:color="auto" w:fill="BDD7EE"/>
            <w:vAlign w:val="center"/>
            <w:hideMark/>
          </w:tcPr>
          <w:p w14:paraId="302FF6B5"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14:paraId="3B184A68"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50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EB4AA7"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59D133E4" w14:textId="77777777">
        <w:trPr>
          <w:trHeight w:val="619"/>
          <w:tblHead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FE68DE3" w14:textId="77777777" w:rsidR="00CB0FCB" w:rsidRDefault="00CB0FCB">
            <w:pPr>
              <w:spacing w:after="0" w:line="240" w:lineRule="auto"/>
              <w:rPr>
                <w:rFonts w:ascii="Times New Roman" w:eastAsia="Times New Roman" w:hAnsi="Times New Roman" w:cs="Times New Roman"/>
                <w:b/>
                <w:bCs/>
                <w:noProof/>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1ADDE8DA"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4E3AAD30" w14:textId="77777777" w:rsidR="00CB0FCB" w:rsidRDefault="00CB0FCB">
            <w:pPr>
              <w:spacing w:after="0" w:line="240" w:lineRule="auto"/>
              <w:rPr>
                <w:rFonts w:ascii="Times New Roman" w:eastAsia="Times New Roman" w:hAnsi="Times New Roman" w:cs="Times New Roman"/>
                <w:b/>
                <w:bCs/>
                <w:noProof/>
                <w:sz w:val="18"/>
                <w:szCs w:val="18"/>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3C12FAE8" w14:textId="77777777" w:rsidR="00CB0FCB" w:rsidRDefault="00CB0FCB">
            <w:pPr>
              <w:spacing w:after="0" w:line="240" w:lineRule="auto"/>
              <w:rPr>
                <w:rFonts w:ascii="Times New Roman" w:eastAsia="Times New Roman" w:hAnsi="Times New Roman" w:cs="Times New Roman"/>
                <w:b/>
                <w:bCs/>
                <w:noProof/>
                <w:sz w:val="18"/>
                <w:szCs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3F306269" w14:textId="77777777" w:rsidR="00CB0FCB" w:rsidRDefault="00CB0FCB">
            <w:pPr>
              <w:spacing w:after="0" w:line="240" w:lineRule="auto"/>
              <w:rPr>
                <w:rFonts w:ascii="Times New Roman" w:eastAsia="Times New Roman" w:hAnsi="Times New Roman" w:cs="Times New Roman"/>
                <w:b/>
                <w:bCs/>
                <w:noProof/>
                <w:sz w:val="18"/>
                <w:szCs w:val="18"/>
              </w:rPr>
            </w:pPr>
          </w:p>
        </w:tc>
        <w:tc>
          <w:tcPr>
            <w:tcW w:w="103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3C1E9A"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nil"/>
              <w:left w:val="nil"/>
              <w:bottom w:val="single" w:sz="4" w:space="0" w:color="auto"/>
              <w:right w:val="single" w:sz="4" w:space="0" w:color="auto"/>
            </w:tcBorders>
            <w:shd w:val="clear" w:color="auto" w:fill="BDD7EE"/>
            <w:vAlign w:val="center"/>
            <w:hideMark/>
          </w:tcPr>
          <w:p w14:paraId="236EC639"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44" w:type="dxa"/>
            <w:tcBorders>
              <w:top w:val="nil"/>
              <w:left w:val="nil"/>
              <w:bottom w:val="single" w:sz="4" w:space="0" w:color="auto"/>
              <w:right w:val="single" w:sz="4" w:space="0" w:color="auto"/>
            </w:tcBorders>
            <w:shd w:val="clear" w:color="auto" w:fill="BDD7EE"/>
            <w:vAlign w:val="center"/>
            <w:hideMark/>
          </w:tcPr>
          <w:p w14:paraId="6BB74F19"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51" w:type="dxa"/>
            <w:tcBorders>
              <w:top w:val="nil"/>
              <w:left w:val="nil"/>
              <w:bottom w:val="single" w:sz="4" w:space="0" w:color="auto"/>
              <w:right w:val="single" w:sz="4" w:space="0" w:color="auto"/>
            </w:tcBorders>
            <w:shd w:val="clear" w:color="auto" w:fill="BDD7EE"/>
            <w:vAlign w:val="center"/>
            <w:hideMark/>
          </w:tcPr>
          <w:p w14:paraId="72625C7A"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tcBorders>
              <w:top w:val="nil"/>
              <w:left w:val="nil"/>
              <w:bottom w:val="single" w:sz="4" w:space="0" w:color="auto"/>
              <w:right w:val="single" w:sz="4" w:space="0" w:color="auto"/>
            </w:tcBorders>
            <w:shd w:val="clear" w:color="auto" w:fill="BDD7EE"/>
            <w:vAlign w:val="center"/>
            <w:hideMark/>
          </w:tcPr>
          <w:p w14:paraId="4282B1D3"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5019" w:type="dxa"/>
            <w:vMerge/>
            <w:tcBorders>
              <w:top w:val="single" w:sz="4" w:space="0" w:color="auto"/>
              <w:bottom w:val="single" w:sz="4" w:space="0" w:color="auto"/>
              <w:right w:val="single" w:sz="4" w:space="0" w:color="auto"/>
            </w:tcBorders>
            <w:vAlign w:val="center"/>
            <w:hideMark/>
          </w:tcPr>
          <w:p w14:paraId="2AECCF15"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4DE1973C" w14:textId="77777777">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9C094CF" w14:textId="77777777" w:rsidR="00CB0FCB" w:rsidRDefault="009D2B11">
            <w:pPr>
              <w:pStyle w:val="P68B1DB1-Normal9"/>
              <w:spacing w:after="0" w:line="240" w:lineRule="auto"/>
              <w:rPr>
                <w:rFonts w:eastAsia="Times New Roman" w:cs="Calibri"/>
                <w:noProof/>
                <w:szCs w:val="18"/>
              </w:rPr>
            </w:pPr>
            <w:r>
              <w:rPr>
                <w:noProof/>
              </w:rPr>
              <w:t>56</w:t>
            </w:r>
          </w:p>
        </w:tc>
        <w:tc>
          <w:tcPr>
            <w:tcW w:w="1797" w:type="dxa"/>
            <w:tcBorders>
              <w:top w:val="single" w:sz="4" w:space="0" w:color="auto"/>
              <w:left w:val="nil"/>
              <w:bottom w:val="single" w:sz="4" w:space="0" w:color="auto"/>
              <w:right w:val="single" w:sz="4" w:space="0" w:color="auto"/>
            </w:tcBorders>
            <w:shd w:val="clear" w:color="auto" w:fill="C6EFCE"/>
            <w:noWrap/>
          </w:tcPr>
          <w:p w14:paraId="7C19A103"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16772_Atkritumu apsaimniekošanas likums ilgtspējīgas apglabāšanas un reciklēšanas īstenošanai</w:t>
            </w:r>
          </w:p>
        </w:tc>
        <w:tc>
          <w:tcPr>
            <w:tcW w:w="966" w:type="dxa"/>
            <w:tcBorders>
              <w:top w:val="single" w:sz="4" w:space="0" w:color="auto"/>
              <w:left w:val="nil"/>
              <w:bottom w:val="single" w:sz="4" w:space="0" w:color="auto"/>
              <w:right w:val="single" w:sz="4" w:space="0" w:color="auto"/>
            </w:tcBorders>
            <w:shd w:val="clear" w:color="auto" w:fill="C6EFCE"/>
            <w:noWrap/>
          </w:tcPr>
          <w:p w14:paraId="7E42EBCB"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90" w:type="dxa"/>
            <w:tcBorders>
              <w:top w:val="single" w:sz="4" w:space="0" w:color="auto"/>
              <w:left w:val="nil"/>
              <w:bottom w:val="single" w:sz="4" w:space="0" w:color="auto"/>
              <w:right w:val="single" w:sz="4" w:space="0" w:color="auto"/>
            </w:tcBorders>
            <w:shd w:val="clear" w:color="auto" w:fill="C6EFCE"/>
            <w:noWrap/>
          </w:tcPr>
          <w:p w14:paraId="685CC6C0" w14:textId="77777777" w:rsidR="00CB0FCB" w:rsidRDefault="009D2B11">
            <w:pPr>
              <w:pStyle w:val="P68B1DB1-Normal9"/>
              <w:spacing w:after="0" w:line="240" w:lineRule="auto"/>
              <w:rPr>
                <w:rFonts w:eastAsia="Times New Roman" w:cs="Calibri"/>
                <w:noProof/>
                <w:szCs w:val="18"/>
              </w:rPr>
            </w:pPr>
            <w:r>
              <w:rPr>
                <w:noProof/>
              </w:rPr>
              <w:t>Atkritumu apsaimniekošanas tiesību aktu stāšanās spēkā</w:t>
            </w:r>
          </w:p>
        </w:tc>
        <w:tc>
          <w:tcPr>
            <w:tcW w:w="1468" w:type="dxa"/>
            <w:tcBorders>
              <w:top w:val="single" w:sz="4" w:space="0" w:color="auto"/>
              <w:left w:val="nil"/>
              <w:bottom w:val="single" w:sz="4" w:space="0" w:color="auto"/>
              <w:right w:val="single" w:sz="4" w:space="0" w:color="auto"/>
            </w:tcBorders>
            <w:shd w:val="clear" w:color="auto" w:fill="C6EFCE"/>
            <w:noWrap/>
          </w:tcPr>
          <w:p w14:paraId="4A41A544" w14:textId="77777777" w:rsidR="00CB0FCB" w:rsidRDefault="009D2B11">
            <w:pPr>
              <w:pStyle w:val="P68B1DB1-Normal9"/>
              <w:spacing w:after="0" w:line="240" w:lineRule="auto"/>
              <w:rPr>
                <w:rFonts w:eastAsia="Times New Roman" w:cs="Calibri"/>
                <w:noProof/>
                <w:szCs w:val="18"/>
              </w:rPr>
            </w:pPr>
            <w:r>
              <w:rPr>
                <w:noProof/>
              </w:rPr>
              <w:t>Tiesību aktu stāšanās spēkā</w:t>
            </w:r>
          </w:p>
        </w:tc>
        <w:tc>
          <w:tcPr>
            <w:tcW w:w="1031" w:type="dxa"/>
            <w:tcBorders>
              <w:top w:val="single" w:sz="4" w:space="0" w:color="auto"/>
              <w:left w:val="nil"/>
              <w:bottom w:val="single" w:sz="4" w:space="0" w:color="auto"/>
              <w:right w:val="single" w:sz="4" w:space="0" w:color="auto"/>
            </w:tcBorders>
            <w:shd w:val="clear" w:color="auto" w:fill="C6EFCE"/>
            <w:noWrap/>
          </w:tcPr>
          <w:p w14:paraId="536E02A9"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3E68E8E2" w14:textId="77777777" w:rsidR="00CB0FCB" w:rsidRDefault="00CB0FCB">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59BAF79F"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74BA8093" w14:textId="77777777" w:rsidR="00CB0FCB" w:rsidRDefault="009D2B11">
            <w:pPr>
              <w:pStyle w:val="P68B1DB1-Normal9"/>
              <w:spacing w:after="0" w:line="240" w:lineRule="auto"/>
              <w:rPr>
                <w:rFonts w:eastAsia="Times New Roman" w:cs="Calibri"/>
                <w:noProof/>
                <w:szCs w:val="18"/>
              </w:rPr>
            </w:pPr>
            <w:r>
              <w:rPr>
                <w:noProof/>
              </w:rPr>
              <w:t>CET.</w:t>
            </w:r>
          </w:p>
        </w:tc>
        <w:tc>
          <w:tcPr>
            <w:tcW w:w="709" w:type="dxa"/>
            <w:tcBorders>
              <w:top w:val="nil"/>
              <w:left w:val="nil"/>
              <w:bottom w:val="single" w:sz="4" w:space="0" w:color="auto"/>
              <w:right w:val="single" w:sz="4" w:space="0" w:color="auto"/>
            </w:tcBorders>
            <w:shd w:val="clear" w:color="auto" w:fill="C6EFCE"/>
            <w:noWrap/>
          </w:tcPr>
          <w:p w14:paraId="31E3843C" w14:textId="77777777" w:rsidR="00CB0FCB" w:rsidRDefault="009D2B11">
            <w:pPr>
              <w:pStyle w:val="P68B1DB1-Normal9"/>
              <w:spacing w:after="0" w:line="240" w:lineRule="auto"/>
              <w:rPr>
                <w:rFonts w:eastAsia="Times New Roman" w:cs="Calibri"/>
                <w:noProof/>
                <w:szCs w:val="18"/>
              </w:rPr>
            </w:pPr>
            <w:r>
              <w:rPr>
                <w:noProof/>
              </w:rPr>
              <w:t>2021</w:t>
            </w:r>
          </w:p>
        </w:tc>
        <w:tc>
          <w:tcPr>
            <w:tcW w:w="5019" w:type="dxa"/>
            <w:tcBorders>
              <w:top w:val="single" w:sz="4" w:space="0" w:color="auto"/>
              <w:left w:val="nil"/>
              <w:bottom w:val="single" w:sz="4" w:space="0" w:color="auto"/>
              <w:right w:val="single" w:sz="4" w:space="0" w:color="auto"/>
            </w:tcBorders>
            <w:shd w:val="clear" w:color="auto" w:fill="C6EFCE"/>
            <w:noWrap/>
          </w:tcPr>
          <w:p w14:paraId="0054BCF4" w14:textId="77777777" w:rsidR="00CB0FCB" w:rsidRDefault="009D2B11">
            <w:pPr>
              <w:pStyle w:val="P68B1DB1-Normal9"/>
              <w:spacing w:after="0" w:line="240" w:lineRule="auto"/>
              <w:rPr>
                <w:rFonts w:eastAsia="Times New Roman" w:cs="Calibri"/>
                <w:noProof/>
                <w:szCs w:val="18"/>
              </w:rPr>
            </w:pPr>
            <w:r>
              <w:rPr>
                <w:noProof/>
              </w:rPr>
              <w:t>Stājas spēkā tiesību akts par pārstrādi un apglabāšanu poligonos, kā arī tiek ieviesti stimuli pašvaldībām, lai panāktu augstus atkārtotas izmantošanas un pārstrādes rādītājus, un tiek ieviests atkritumu poligonu nodoklis. Nodokli par apglabāšanu poligonos piemēro no 2022. gada pirmā ceturkšņa, un tarifus pakāpeniski palielina, līdz tie līdz 2024. gada trešajam ceturksnim sasniedz atkritumu apglabāšanas nodokļa augšējo robežvērtību.</w:t>
            </w:r>
          </w:p>
        </w:tc>
      </w:tr>
      <w:tr w:rsidR="00CB0FCB" w14:paraId="2D216134"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6273B449" w14:textId="77777777" w:rsidR="00CB0FCB" w:rsidRDefault="009D2B11">
            <w:pPr>
              <w:pStyle w:val="P68B1DB1-Normal9"/>
              <w:spacing w:after="0" w:line="240" w:lineRule="auto"/>
              <w:rPr>
                <w:rFonts w:eastAsia="Times New Roman" w:cs="Calibri"/>
                <w:noProof/>
                <w:szCs w:val="18"/>
              </w:rPr>
            </w:pPr>
            <w:r>
              <w:rPr>
                <w:noProof/>
              </w:rPr>
              <w:t>57</w:t>
            </w:r>
          </w:p>
        </w:tc>
        <w:tc>
          <w:tcPr>
            <w:tcW w:w="1797" w:type="dxa"/>
            <w:tcBorders>
              <w:top w:val="nil"/>
              <w:left w:val="nil"/>
              <w:bottom w:val="single" w:sz="4" w:space="0" w:color="auto"/>
              <w:right w:val="single" w:sz="4" w:space="0" w:color="auto"/>
            </w:tcBorders>
            <w:shd w:val="clear" w:color="auto" w:fill="C6EFCE"/>
            <w:noWrap/>
          </w:tcPr>
          <w:p w14:paraId="0BD8346E"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16772_Atkritumu apsaimniekošanas likums ilgtspējīgas apglabāšanas un reciklēšanas īstenošanai</w:t>
            </w:r>
          </w:p>
        </w:tc>
        <w:tc>
          <w:tcPr>
            <w:tcW w:w="966" w:type="dxa"/>
            <w:tcBorders>
              <w:top w:val="nil"/>
              <w:left w:val="nil"/>
              <w:bottom w:val="single" w:sz="4" w:space="0" w:color="auto"/>
              <w:right w:val="single" w:sz="4" w:space="0" w:color="auto"/>
            </w:tcBorders>
            <w:shd w:val="clear" w:color="auto" w:fill="C6EFCE"/>
            <w:noWrap/>
          </w:tcPr>
          <w:p w14:paraId="0060269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90" w:type="dxa"/>
            <w:tcBorders>
              <w:top w:val="nil"/>
              <w:left w:val="nil"/>
              <w:bottom w:val="single" w:sz="4" w:space="0" w:color="auto"/>
              <w:right w:val="single" w:sz="4" w:space="0" w:color="auto"/>
            </w:tcBorders>
            <w:shd w:val="clear" w:color="auto" w:fill="C6EFCE"/>
            <w:noWrap/>
          </w:tcPr>
          <w:p w14:paraId="03B66042" w14:textId="77777777" w:rsidR="00CB0FCB" w:rsidRDefault="009D2B11">
            <w:pPr>
              <w:pStyle w:val="P68B1DB1-Normal9"/>
              <w:spacing w:after="0" w:line="240" w:lineRule="auto"/>
              <w:rPr>
                <w:rFonts w:eastAsia="Times New Roman" w:cs="Calibri"/>
                <w:noProof/>
                <w:szCs w:val="18"/>
              </w:rPr>
            </w:pPr>
            <w:r>
              <w:rPr>
                <w:noProof/>
              </w:rPr>
              <w:t>Atkritumu apsaimniekošanas regulatora likuma stāšanās spēkā</w:t>
            </w:r>
          </w:p>
        </w:tc>
        <w:tc>
          <w:tcPr>
            <w:tcW w:w="1468" w:type="dxa"/>
            <w:tcBorders>
              <w:top w:val="nil"/>
              <w:left w:val="nil"/>
              <w:bottom w:val="single" w:sz="4" w:space="0" w:color="auto"/>
              <w:right w:val="single" w:sz="4" w:space="0" w:color="auto"/>
            </w:tcBorders>
            <w:shd w:val="clear" w:color="auto" w:fill="C6EFCE"/>
            <w:noWrap/>
          </w:tcPr>
          <w:p w14:paraId="069763D4" w14:textId="77777777" w:rsidR="00CB0FCB" w:rsidRDefault="009D2B11">
            <w:pPr>
              <w:pStyle w:val="P68B1DB1-Normal9"/>
              <w:spacing w:after="0" w:line="240" w:lineRule="auto"/>
              <w:rPr>
                <w:rFonts w:eastAsia="Times New Roman" w:cs="Calibri"/>
                <w:noProof/>
                <w:szCs w:val="18"/>
              </w:rPr>
            </w:pPr>
            <w:r>
              <w:rPr>
                <w:noProof/>
              </w:rPr>
              <w:t xml:space="preserve">Tiesību aktu stāšanās spēkā </w:t>
            </w:r>
          </w:p>
        </w:tc>
        <w:tc>
          <w:tcPr>
            <w:tcW w:w="1031" w:type="dxa"/>
            <w:tcBorders>
              <w:top w:val="nil"/>
              <w:left w:val="nil"/>
              <w:bottom w:val="single" w:sz="4" w:space="0" w:color="auto"/>
              <w:right w:val="single" w:sz="4" w:space="0" w:color="auto"/>
            </w:tcBorders>
            <w:shd w:val="clear" w:color="auto" w:fill="C6EFCE"/>
            <w:noWrap/>
          </w:tcPr>
          <w:p w14:paraId="78DD5F11"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F94F8CA" w14:textId="77777777" w:rsidR="00CB0FCB" w:rsidRDefault="00CB0FCB">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711952F1"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738FE787" w14:textId="77777777" w:rsidR="00CB0FCB" w:rsidRDefault="009D2B11">
            <w:pPr>
              <w:pStyle w:val="P68B1DB1-Normal9"/>
              <w:spacing w:after="0" w:line="240" w:lineRule="auto"/>
              <w:rPr>
                <w:rFonts w:eastAsia="Times New Roman" w:cs="Calibri"/>
                <w:noProof/>
                <w:szCs w:val="18"/>
              </w:rPr>
            </w:pPr>
            <w:r>
              <w:rPr>
                <w:noProof/>
              </w:rPr>
              <w:t>CET.</w:t>
            </w:r>
          </w:p>
        </w:tc>
        <w:tc>
          <w:tcPr>
            <w:tcW w:w="709" w:type="dxa"/>
            <w:tcBorders>
              <w:top w:val="nil"/>
              <w:left w:val="nil"/>
              <w:bottom w:val="single" w:sz="4" w:space="0" w:color="auto"/>
              <w:right w:val="single" w:sz="4" w:space="0" w:color="auto"/>
            </w:tcBorders>
            <w:shd w:val="clear" w:color="auto" w:fill="C6EFCE"/>
            <w:noWrap/>
          </w:tcPr>
          <w:p w14:paraId="72B2092C" w14:textId="77777777" w:rsidR="00CB0FCB" w:rsidRDefault="009D2B11">
            <w:pPr>
              <w:pStyle w:val="P68B1DB1-Normal9"/>
              <w:spacing w:after="0" w:line="240" w:lineRule="auto"/>
              <w:rPr>
                <w:rFonts w:eastAsia="Times New Roman" w:cs="Calibri"/>
                <w:noProof/>
                <w:szCs w:val="18"/>
              </w:rPr>
            </w:pPr>
            <w:r>
              <w:rPr>
                <w:noProof/>
              </w:rPr>
              <w:t>2022</w:t>
            </w:r>
          </w:p>
        </w:tc>
        <w:tc>
          <w:tcPr>
            <w:tcW w:w="5019" w:type="dxa"/>
            <w:tcBorders>
              <w:top w:val="nil"/>
              <w:left w:val="nil"/>
              <w:bottom w:val="single" w:sz="4" w:space="0" w:color="auto"/>
              <w:right w:val="single" w:sz="4" w:space="0" w:color="auto"/>
            </w:tcBorders>
            <w:shd w:val="clear" w:color="auto" w:fill="C6EFCE"/>
            <w:noWrap/>
          </w:tcPr>
          <w:p w14:paraId="3316C2D0" w14:textId="77777777" w:rsidR="00CB0FCB" w:rsidRDefault="009D2B11">
            <w:pPr>
              <w:pStyle w:val="P68B1DB1-Normal9"/>
              <w:spacing w:after="0" w:line="240" w:lineRule="auto"/>
              <w:jc w:val="both"/>
              <w:rPr>
                <w:rFonts w:eastAsia="Times New Roman" w:cs="Calibri"/>
                <w:noProof/>
                <w:szCs w:val="18"/>
              </w:rPr>
            </w:pPr>
            <w:r>
              <w:rPr>
                <w:noProof/>
              </w:rPr>
              <w:t>Likuma stāšanās spēkā, lai:</w:t>
            </w:r>
          </w:p>
          <w:p w14:paraId="0B3C79B6" w14:textId="77777777" w:rsidR="00CB0FCB" w:rsidRDefault="009D2B11">
            <w:pPr>
              <w:pStyle w:val="P68B1DB1-Normal9"/>
              <w:numPr>
                <w:ilvl w:val="0"/>
                <w:numId w:val="53"/>
              </w:numPr>
              <w:spacing w:after="0" w:line="240" w:lineRule="auto"/>
              <w:jc w:val="both"/>
              <w:rPr>
                <w:rFonts w:eastAsia="Times New Roman" w:cs="Calibri"/>
                <w:noProof/>
                <w:szCs w:val="18"/>
              </w:rPr>
            </w:pPr>
            <w:r>
              <w:rPr>
                <w:noProof/>
              </w:rPr>
              <w:t>izveidot Valsts atkritumu regulatīvo iestādi, tās darbību un pienākumus;</w:t>
            </w:r>
          </w:p>
          <w:p w14:paraId="2A15EDEC" w14:textId="77777777" w:rsidR="00CB0FCB" w:rsidRDefault="009D2B11">
            <w:pPr>
              <w:pStyle w:val="P68B1DB1-Normal9"/>
              <w:numPr>
                <w:ilvl w:val="0"/>
                <w:numId w:val="53"/>
              </w:numPr>
              <w:spacing w:after="0" w:line="240" w:lineRule="auto"/>
              <w:jc w:val="both"/>
              <w:rPr>
                <w:rFonts w:eastAsia="Times New Roman" w:cs="Calibri"/>
                <w:noProof/>
                <w:szCs w:val="18"/>
              </w:rPr>
            </w:pPr>
            <w:r>
              <w:rPr>
                <w:noProof/>
              </w:rPr>
              <w:t>Reģionālo un vietējo atkritumu apsaimniekošanas struktūru (FOSDA) reforma; un</w:t>
            </w:r>
          </w:p>
          <w:p w14:paraId="6BBEA1C7" w14:textId="4CA0FC1B" w:rsidR="00CB0FCB" w:rsidRDefault="009D2B11">
            <w:pPr>
              <w:pStyle w:val="P68B1DB1-Normal17"/>
              <w:numPr>
                <w:ilvl w:val="0"/>
                <w:numId w:val="53"/>
              </w:numPr>
              <w:spacing w:after="0" w:line="240" w:lineRule="auto"/>
              <w:jc w:val="both"/>
              <w:rPr>
                <w:noProof/>
              </w:rPr>
            </w:pPr>
            <w:r>
              <w:rPr>
                <w:noProof/>
              </w:rPr>
              <w:t>Ieviest pārdomātu izmaksu un cenu noteikšanas politiku saskaņā ar principiem “maksā, kad izmet” un “piesārņotājs maksā”.</w:t>
            </w:r>
          </w:p>
          <w:p w14:paraId="2655300E" w14:textId="468F2D79" w:rsidR="00CB0FCB" w:rsidRDefault="00CB0FCB">
            <w:pPr>
              <w:spacing w:after="0" w:line="240" w:lineRule="auto"/>
              <w:ind w:left="720"/>
              <w:jc w:val="both"/>
              <w:rPr>
                <w:noProof/>
              </w:rPr>
            </w:pPr>
          </w:p>
        </w:tc>
      </w:tr>
      <w:tr w:rsidR="00CB0FCB" w14:paraId="2A304879"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49AD2BE" w14:textId="77777777" w:rsidR="00CB0FCB" w:rsidRDefault="009D2B11">
            <w:pPr>
              <w:pStyle w:val="P68B1DB1-Normal9"/>
              <w:spacing w:after="0" w:line="240" w:lineRule="auto"/>
              <w:rPr>
                <w:rFonts w:eastAsia="Times New Roman" w:cs="Calibri"/>
                <w:noProof/>
                <w:szCs w:val="18"/>
              </w:rPr>
            </w:pPr>
            <w:r>
              <w:rPr>
                <w:noProof/>
              </w:rPr>
              <w:t>58</w:t>
            </w:r>
          </w:p>
        </w:tc>
        <w:tc>
          <w:tcPr>
            <w:tcW w:w="1797" w:type="dxa"/>
            <w:tcBorders>
              <w:top w:val="nil"/>
              <w:left w:val="nil"/>
              <w:bottom w:val="single" w:sz="4" w:space="0" w:color="auto"/>
              <w:right w:val="single" w:sz="4" w:space="0" w:color="auto"/>
            </w:tcBorders>
            <w:shd w:val="clear" w:color="auto" w:fill="C6EFCE"/>
            <w:noWrap/>
          </w:tcPr>
          <w:p w14:paraId="7293AE78"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16979_Jaunas ūdens un notekūdeņu regulatīvās iestādes izveide</w:t>
            </w:r>
          </w:p>
        </w:tc>
        <w:tc>
          <w:tcPr>
            <w:tcW w:w="966" w:type="dxa"/>
            <w:tcBorders>
              <w:top w:val="nil"/>
              <w:left w:val="nil"/>
              <w:bottom w:val="single" w:sz="4" w:space="0" w:color="auto"/>
              <w:right w:val="single" w:sz="4" w:space="0" w:color="auto"/>
            </w:tcBorders>
            <w:shd w:val="clear" w:color="auto" w:fill="C6EFCE"/>
            <w:noWrap/>
          </w:tcPr>
          <w:p w14:paraId="26991DB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90" w:type="dxa"/>
            <w:tcBorders>
              <w:top w:val="nil"/>
              <w:left w:val="nil"/>
              <w:bottom w:val="single" w:sz="4" w:space="0" w:color="auto"/>
              <w:right w:val="single" w:sz="4" w:space="0" w:color="auto"/>
            </w:tcBorders>
            <w:shd w:val="clear" w:color="auto" w:fill="C6EFCE"/>
            <w:noWrap/>
          </w:tcPr>
          <w:p w14:paraId="5B15D384" w14:textId="77777777" w:rsidR="00CB0FCB" w:rsidRDefault="009D2B11">
            <w:pPr>
              <w:pStyle w:val="P68B1DB1-Normal9"/>
              <w:spacing w:after="0" w:line="240" w:lineRule="auto"/>
              <w:rPr>
                <w:rFonts w:eastAsia="Times New Roman" w:cs="Calibri"/>
                <w:noProof/>
                <w:szCs w:val="18"/>
              </w:rPr>
            </w:pPr>
            <w:r>
              <w:rPr>
                <w:noProof/>
              </w:rPr>
              <w:t>Ūdens regulatora likuma stāšanās spēkā</w:t>
            </w:r>
          </w:p>
        </w:tc>
        <w:tc>
          <w:tcPr>
            <w:tcW w:w="1468" w:type="dxa"/>
            <w:tcBorders>
              <w:top w:val="nil"/>
              <w:left w:val="nil"/>
              <w:bottom w:val="single" w:sz="4" w:space="0" w:color="auto"/>
              <w:right w:val="single" w:sz="4" w:space="0" w:color="auto"/>
            </w:tcBorders>
            <w:shd w:val="clear" w:color="auto" w:fill="C6EFCE"/>
            <w:noWrap/>
          </w:tcPr>
          <w:p w14:paraId="6F604737" w14:textId="77777777" w:rsidR="00CB0FCB" w:rsidRDefault="009D2B11">
            <w:pPr>
              <w:pStyle w:val="P68B1DB1-Normal9"/>
              <w:spacing w:after="0" w:line="240" w:lineRule="auto"/>
              <w:rPr>
                <w:rFonts w:eastAsia="Times New Roman" w:cs="Calibri"/>
                <w:noProof/>
                <w:szCs w:val="18"/>
              </w:rPr>
            </w:pPr>
            <w:r>
              <w:rPr>
                <w:noProof/>
              </w:rPr>
              <w:t xml:space="preserve">Tiesību aktu stāšanās spēkā </w:t>
            </w:r>
          </w:p>
        </w:tc>
        <w:tc>
          <w:tcPr>
            <w:tcW w:w="1031" w:type="dxa"/>
            <w:tcBorders>
              <w:top w:val="nil"/>
              <w:left w:val="nil"/>
              <w:bottom w:val="single" w:sz="4" w:space="0" w:color="auto"/>
              <w:right w:val="single" w:sz="4" w:space="0" w:color="auto"/>
            </w:tcBorders>
            <w:shd w:val="clear" w:color="auto" w:fill="C6EFCE"/>
            <w:noWrap/>
          </w:tcPr>
          <w:p w14:paraId="5B990822"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8D9E3A2" w14:textId="77777777" w:rsidR="00CB0FCB" w:rsidRDefault="00CB0FCB">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79FE8B2D"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52E2892"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46D7402E" w14:textId="77777777" w:rsidR="00CB0FCB" w:rsidRDefault="009D2B11">
            <w:pPr>
              <w:pStyle w:val="P68B1DB1-Normal9"/>
              <w:spacing w:after="0" w:line="240" w:lineRule="auto"/>
              <w:rPr>
                <w:rFonts w:eastAsia="Times New Roman" w:cs="Calibri"/>
                <w:noProof/>
                <w:szCs w:val="18"/>
              </w:rPr>
            </w:pPr>
            <w:r>
              <w:rPr>
                <w:noProof/>
              </w:rPr>
              <w:t>2022</w:t>
            </w:r>
          </w:p>
        </w:tc>
        <w:tc>
          <w:tcPr>
            <w:tcW w:w="5019" w:type="dxa"/>
            <w:tcBorders>
              <w:top w:val="nil"/>
              <w:left w:val="nil"/>
              <w:bottom w:val="single" w:sz="4" w:space="0" w:color="auto"/>
              <w:right w:val="single" w:sz="4" w:space="0" w:color="auto"/>
            </w:tcBorders>
            <w:shd w:val="clear" w:color="auto" w:fill="C6EFCE"/>
            <w:noWrap/>
          </w:tcPr>
          <w:p w14:paraId="4AC60811" w14:textId="77777777" w:rsidR="00CB0FCB" w:rsidRDefault="009D2B11">
            <w:pPr>
              <w:pStyle w:val="P68B1DB1-Normal9"/>
              <w:spacing w:after="0" w:line="240" w:lineRule="auto"/>
              <w:rPr>
                <w:rFonts w:eastAsia="Times New Roman" w:cs="Calibri"/>
                <w:noProof/>
                <w:szCs w:val="18"/>
              </w:rPr>
            </w:pPr>
            <w:r>
              <w:rPr>
                <w:noProof/>
              </w:rPr>
              <w:t>Stājas spēkā likums par jaunas Ūdens un notekūdeņu regulatīvās iestādes izveidi un darbību.</w:t>
            </w:r>
          </w:p>
        </w:tc>
      </w:tr>
      <w:tr w:rsidR="00CB0FCB" w14:paraId="18A12DC2"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19590AB3" w14:textId="77777777" w:rsidR="00CB0FCB" w:rsidRDefault="009D2B11">
            <w:pPr>
              <w:pStyle w:val="P68B1DB1-Normal9"/>
              <w:spacing w:after="0" w:line="240" w:lineRule="auto"/>
              <w:rPr>
                <w:rFonts w:eastAsia="Times New Roman" w:cs="Calibri"/>
                <w:noProof/>
                <w:szCs w:val="18"/>
              </w:rPr>
            </w:pPr>
            <w:r>
              <w:rPr>
                <w:noProof/>
              </w:rPr>
              <w:t>59</w:t>
            </w:r>
          </w:p>
        </w:tc>
        <w:tc>
          <w:tcPr>
            <w:tcW w:w="1797" w:type="dxa"/>
            <w:tcBorders>
              <w:top w:val="nil"/>
              <w:left w:val="nil"/>
              <w:bottom w:val="single" w:sz="4" w:space="0" w:color="auto"/>
              <w:right w:val="single" w:sz="4" w:space="0" w:color="auto"/>
            </w:tcBorders>
            <w:shd w:val="clear" w:color="auto" w:fill="C6EFCE"/>
            <w:noWrap/>
          </w:tcPr>
          <w:p w14:paraId="07FC261C"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16772_Atkritumu apsaimniekošanas likums ilgtspējīgas apglabāšanas un reciklēšanas īstenošanai</w:t>
            </w:r>
          </w:p>
        </w:tc>
        <w:tc>
          <w:tcPr>
            <w:tcW w:w="966" w:type="dxa"/>
            <w:tcBorders>
              <w:top w:val="nil"/>
              <w:left w:val="nil"/>
              <w:bottom w:val="single" w:sz="4" w:space="0" w:color="auto"/>
              <w:right w:val="single" w:sz="4" w:space="0" w:color="auto"/>
            </w:tcBorders>
            <w:shd w:val="clear" w:color="auto" w:fill="C6EFCE"/>
            <w:noWrap/>
          </w:tcPr>
          <w:p w14:paraId="6F4EB2A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90" w:type="dxa"/>
            <w:tcBorders>
              <w:top w:val="nil"/>
              <w:left w:val="nil"/>
              <w:bottom w:val="single" w:sz="4" w:space="0" w:color="auto"/>
              <w:right w:val="single" w:sz="4" w:space="0" w:color="auto"/>
            </w:tcBorders>
            <w:shd w:val="clear" w:color="auto" w:fill="C6EFCE"/>
            <w:noWrap/>
          </w:tcPr>
          <w:p w14:paraId="39295AA9" w14:textId="77777777" w:rsidR="00CB0FCB" w:rsidRDefault="009D2B11">
            <w:pPr>
              <w:pStyle w:val="P68B1DB1-Normal9"/>
              <w:spacing w:after="0" w:line="240" w:lineRule="auto"/>
              <w:rPr>
                <w:rFonts w:eastAsia="Times New Roman" w:cs="Calibri"/>
                <w:noProof/>
                <w:szCs w:val="18"/>
              </w:rPr>
            </w:pPr>
            <w:r>
              <w:rPr>
                <w:noProof/>
              </w:rPr>
              <w:t>Atkritumu apsaimniekošanas regulatora izveide un darbība</w:t>
            </w:r>
          </w:p>
        </w:tc>
        <w:tc>
          <w:tcPr>
            <w:tcW w:w="1468" w:type="dxa"/>
            <w:tcBorders>
              <w:top w:val="nil"/>
              <w:left w:val="nil"/>
              <w:bottom w:val="single" w:sz="4" w:space="0" w:color="auto"/>
              <w:right w:val="single" w:sz="4" w:space="0" w:color="auto"/>
            </w:tcBorders>
            <w:shd w:val="clear" w:color="auto" w:fill="C6EFCE"/>
            <w:noWrap/>
          </w:tcPr>
          <w:p w14:paraId="0287C7B6" w14:textId="77777777" w:rsidR="00CB0FCB" w:rsidRDefault="009D2B11">
            <w:pPr>
              <w:pStyle w:val="P68B1DB1-Normal9"/>
              <w:spacing w:after="0" w:line="240" w:lineRule="auto"/>
              <w:rPr>
                <w:rFonts w:eastAsia="Times New Roman" w:cs="Calibri"/>
                <w:noProof/>
                <w:szCs w:val="18"/>
              </w:rPr>
            </w:pPr>
            <w:r>
              <w:rPr>
                <w:noProof/>
              </w:rPr>
              <w:t xml:space="preserve">Kopīgā ministru lēmuma stāšanās spēkā un visi administratīvie un likumdošanas pasākumi, kas vajadzīgi Iestādes izveidei </w:t>
            </w:r>
          </w:p>
        </w:tc>
        <w:tc>
          <w:tcPr>
            <w:tcW w:w="1031" w:type="dxa"/>
            <w:tcBorders>
              <w:top w:val="nil"/>
              <w:left w:val="nil"/>
              <w:bottom w:val="single" w:sz="4" w:space="0" w:color="auto"/>
              <w:right w:val="single" w:sz="4" w:space="0" w:color="auto"/>
            </w:tcBorders>
            <w:shd w:val="clear" w:color="auto" w:fill="C6EFCE"/>
            <w:noWrap/>
          </w:tcPr>
          <w:p w14:paraId="2E053B14"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9B83D52" w14:textId="77777777" w:rsidR="00CB0FCB" w:rsidRDefault="00CB0FCB">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4C152F1B"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63BD011D"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64E09B5C" w14:textId="77777777" w:rsidR="00CB0FCB" w:rsidRDefault="009D2B11">
            <w:pPr>
              <w:pStyle w:val="P68B1DB1-Normal9"/>
              <w:spacing w:after="0" w:line="240" w:lineRule="auto"/>
              <w:rPr>
                <w:rFonts w:eastAsia="Times New Roman" w:cs="Calibri"/>
                <w:noProof/>
                <w:szCs w:val="18"/>
              </w:rPr>
            </w:pPr>
            <w:r>
              <w:rPr>
                <w:noProof/>
              </w:rPr>
              <w:t>2023</w:t>
            </w:r>
          </w:p>
        </w:tc>
        <w:tc>
          <w:tcPr>
            <w:tcW w:w="5019" w:type="dxa"/>
            <w:tcBorders>
              <w:top w:val="nil"/>
              <w:left w:val="nil"/>
              <w:bottom w:val="single" w:sz="4" w:space="0" w:color="auto"/>
              <w:right w:val="single" w:sz="4" w:space="0" w:color="auto"/>
            </w:tcBorders>
            <w:shd w:val="clear" w:color="auto" w:fill="C6EFCE"/>
            <w:noWrap/>
          </w:tcPr>
          <w:p w14:paraId="17B512DC" w14:textId="77777777" w:rsidR="00CB0FCB" w:rsidRDefault="009D2B11">
            <w:pPr>
              <w:pStyle w:val="P68B1DB1-Normal9"/>
              <w:spacing w:after="0" w:line="240" w:lineRule="auto"/>
              <w:rPr>
                <w:rFonts w:eastAsia="Times New Roman" w:cs="Calibri"/>
                <w:noProof/>
                <w:szCs w:val="18"/>
              </w:rPr>
            </w:pPr>
            <w:r>
              <w:rPr>
                <w:noProof/>
              </w:rPr>
              <w:t>Jaunajā Valsts atkritumu regulēšanas iestādē ir personāls un telpas.</w:t>
            </w:r>
          </w:p>
        </w:tc>
      </w:tr>
      <w:tr w:rsidR="00CB0FCB" w14:paraId="55675E7B"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A6528EA" w14:textId="77777777" w:rsidR="00CB0FCB" w:rsidRDefault="009D2B11">
            <w:pPr>
              <w:pStyle w:val="P68B1DB1-Normal9"/>
              <w:spacing w:after="0" w:line="240" w:lineRule="auto"/>
              <w:rPr>
                <w:noProof/>
              </w:rPr>
            </w:pPr>
            <w:r>
              <w:rPr>
                <w:noProof/>
              </w:rPr>
              <w:t>59.a</w:t>
            </w:r>
          </w:p>
        </w:tc>
        <w:tc>
          <w:tcPr>
            <w:tcW w:w="1797" w:type="dxa"/>
            <w:tcBorders>
              <w:top w:val="nil"/>
              <w:left w:val="nil"/>
              <w:bottom w:val="single" w:sz="4" w:space="0" w:color="auto"/>
              <w:right w:val="single" w:sz="4" w:space="0" w:color="auto"/>
            </w:tcBorders>
            <w:shd w:val="clear" w:color="auto" w:fill="C6EFCE"/>
            <w:noWrap/>
          </w:tcPr>
          <w:p w14:paraId="15DF971D" w14:textId="77777777" w:rsidR="00CB0FCB" w:rsidRDefault="009D2B11">
            <w:pPr>
              <w:pStyle w:val="P68B1DB1-Normal9"/>
              <w:spacing w:after="0" w:line="240" w:lineRule="auto"/>
              <w:rPr>
                <w:noProof/>
              </w:rPr>
            </w:pPr>
            <w:r>
              <w:rPr>
                <w:noProof/>
              </w:rPr>
              <w:t>4–1.4. Resursu ilgtspējīga izmantošana, klimatnoturība un vides aizsardzība — 16772_Atkritumu apsaimniekošanas likums ilgtspējīgas apglabāšanas un reciklēšanas īstenošanai</w:t>
            </w:r>
          </w:p>
        </w:tc>
        <w:tc>
          <w:tcPr>
            <w:tcW w:w="966" w:type="dxa"/>
            <w:tcBorders>
              <w:top w:val="nil"/>
              <w:left w:val="nil"/>
              <w:bottom w:val="single" w:sz="4" w:space="0" w:color="auto"/>
              <w:right w:val="single" w:sz="4" w:space="0" w:color="auto"/>
            </w:tcBorders>
            <w:shd w:val="clear" w:color="auto" w:fill="C6EFCE"/>
            <w:noWrap/>
          </w:tcPr>
          <w:p w14:paraId="3DB501FC" w14:textId="77777777" w:rsidR="00CB0FCB" w:rsidRDefault="009D2B11">
            <w:pPr>
              <w:pStyle w:val="P68B1DB1-Normal9"/>
              <w:spacing w:after="0" w:line="240" w:lineRule="auto"/>
              <w:rPr>
                <w:noProof/>
              </w:rPr>
            </w:pPr>
            <w:r>
              <w:rPr>
                <w:noProof/>
              </w:rPr>
              <w:t>Atskaites punkts</w:t>
            </w:r>
          </w:p>
        </w:tc>
        <w:tc>
          <w:tcPr>
            <w:tcW w:w="1190" w:type="dxa"/>
            <w:tcBorders>
              <w:top w:val="nil"/>
              <w:left w:val="nil"/>
              <w:bottom w:val="single" w:sz="4" w:space="0" w:color="auto"/>
              <w:right w:val="single" w:sz="4" w:space="0" w:color="auto"/>
            </w:tcBorders>
            <w:shd w:val="clear" w:color="auto" w:fill="C6EFCE"/>
            <w:noWrap/>
          </w:tcPr>
          <w:p w14:paraId="641A0134" w14:textId="77777777" w:rsidR="00CB0FCB" w:rsidRDefault="009D2B11">
            <w:pPr>
              <w:pStyle w:val="P68B1DB1-Normal9"/>
              <w:spacing w:after="0" w:line="240" w:lineRule="auto"/>
              <w:rPr>
                <w:noProof/>
              </w:rPr>
            </w:pPr>
            <w:r>
              <w:rPr>
                <w:noProof/>
              </w:rPr>
              <w:t>Cieto atkritumu apsaimniekošanas struktūru (FODSA) sertifikācija, ko veic regulatīvā iestāde</w:t>
            </w:r>
          </w:p>
        </w:tc>
        <w:tc>
          <w:tcPr>
            <w:tcW w:w="1468" w:type="dxa"/>
            <w:tcBorders>
              <w:top w:val="nil"/>
              <w:left w:val="nil"/>
              <w:bottom w:val="single" w:sz="4" w:space="0" w:color="auto"/>
              <w:right w:val="single" w:sz="4" w:space="0" w:color="auto"/>
            </w:tcBorders>
            <w:shd w:val="clear" w:color="auto" w:fill="C6EFCE"/>
            <w:noWrap/>
          </w:tcPr>
          <w:p w14:paraId="54AD0DDE" w14:textId="46F507FD" w:rsidR="00CB0FCB" w:rsidRDefault="009D2B11">
            <w:pPr>
              <w:spacing w:after="0" w:line="240" w:lineRule="auto"/>
              <w:rPr>
                <w:noProof/>
                <w:color w:val="006100"/>
                <w:sz w:val="18"/>
              </w:rPr>
            </w:pPr>
            <w:r>
              <w:rPr>
                <w:noProof/>
                <w:color w:val="006100"/>
                <w:sz w:val="18"/>
              </w:rPr>
              <w:t>Cieto atkritumu apsaimniekošanas struktūru (FODSA) sertifikācija, ko veic regulatīvā iestāde</w:t>
            </w:r>
          </w:p>
          <w:p w14:paraId="0DF9DFA8" w14:textId="6E7DD342" w:rsidR="00CB0FCB" w:rsidRDefault="00CB0FCB">
            <w:pPr>
              <w:spacing w:after="0" w:line="240" w:lineRule="auto"/>
              <w:rPr>
                <w:noProof/>
                <w:color w:val="006100"/>
                <w:sz w:val="18"/>
              </w:rPr>
            </w:pPr>
          </w:p>
        </w:tc>
        <w:tc>
          <w:tcPr>
            <w:tcW w:w="1031" w:type="dxa"/>
            <w:tcBorders>
              <w:top w:val="nil"/>
              <w:left w:val="nil"/>
              <w:bottom w:val="single" w:sz="4" w:space="0" w:color="auto"/>
              <w:right w:val="single" w:sz="4" w:space="0" w:color="auto"/>
            </w:tcBorders>
            <w:shd w:val="clear" w:color="auto" w:fill="C6EFCE"/>
            <w:noWrap/>
          </w:tcPr>
          <w:p w14:paraId="4605F9FC"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E541D19" w14:textId="77777777" w:rsidR="00CB0FCB" w:rsidRDefault="00CB0FCB">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2BED3F25"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479C3A0B" w14:textId="77777777" w:rsidR="00CB0FCB" w:rsidRDefault="009D2B11">
            <w:pPr>
              <w:pStyle w:val="P68B1DB1-Normal9"/>
              <w:spacing w:after="0" w:line="240" w:lineRule="auto"/>
              <w:rPr>
                <w:noProof/>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4F6B9C66" w14:textId="77777777" w:rsidR="00CB0FCB" w:rsidRDefault="009D2B11">
            <w:pPr>
              <w:pStyle w:val="P68B1DB1-Normal9"/>
              <w:spacing w:after="0" w:line="240" w:lineRule="auto"/>
              <w:rPr>
                <w:noProof/>
              </w:rPr>
            </w:pPr>
            <w:r>
              <w:rPr>
                <w:noProof/>
              </w:rPr>
              <w:t>2025</w:t>
            </w:r>
          </w:p>
        </w:tc>
        <w:tc>
          <w:tcPr>
            <w:tcW w:w="5019" w:type="dxa"/>
            <w:tcBorders>
              <w:top w:val="nil"/>
              <w:left w:val="nil"/>
              <w:bottom w:val="single" w:sz="4" w:space="0" w:color="auto"/>
              <w:right w:val="single" w:sz="4" w:space="0" w:color="auto"/>
            </w:tcBorders>
            <w:shd w:val="clear" w:color="auto" w:fill="C6EFCE"/>
            <w:noWrap/>
          </w:tcPr>
          <w:p w14:paraId="6E5BDE2D" w14:textId="08064D23" w:rsidR="00CB0FCB" w:rsidRDefault="009D2B11">
            <w:pPr>
              <w:spacing w:after="0" w:line="240" w:lineRule="auto"/>
              <w:rPr>
                <w:noProof/>
                <w:color w:val="006100"/>
                <w:sz w:val="18"/>
              </w:rPr>
            </w:pPr>
            <w:r>
              <w:rPr>
                <w:noProof/>
                <w:color w:val="006100"/>
                <w:sz w:val="18"/>
              </w:rPr>
              <w:t xml:space="preserve">Atkritumu, enerģijas un ūdens regulatīvā iestāde (RAAEY) </w:t>
            </w:r>
            <w:r>
              <w:rPr>
                <w:noProof/>
              </w:rPr>
              <w:t xml:space="preserve"> </w:t>
            </w:r>
            <w:r>
              <w:rPr>
                <w:noProof/>
                <w:color w:val="006100"/>
                <w:sz w:val="18"/>
              </w:rPr>
              <w:t>izdod ziņojumu, kurā pamato, ka FODSA atbilst minimālajiem jaudas līmeņiem saskaņā ar kritērijiem, kas noteikti to novērtēšanai saskaņā ar valsts tiesību aktiem.</w:t>
            </w:r>
          </w:p>
        </w:tc>
      </w:tr>
      <w:tr w:rsidR="00CB0FCB" w14:paraId="6A6FB2CB"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9A07184" w14:textId="77777777" w:rsidR="00CB0FCB" w:rsidRDefault="009D2B11">
            <w:pPr>
              <w:pStyle w:val="P68B1DB1-Normal9"/>
              <w:spacing w:after="0" w:line="240" w:lineRule="auto"/>
              <w:rPr>
                <w:rFonts w:eastAsia="Times New Roman" w:cs="Calibri"/>
                <w:noProof/>
                <w:szCs w:val="18"/>
              </w:rPr>
            </w:pPr>
            <w:r>
              <w:rPr>
                <w:noProof/>
              </w:rPr>
              <w:t>60</w:t>
            </w:r>
          </w:p>
        </w:tc>
        <w:tc>
          <w:tcPr>
            <w:tcW w:w="1797" w:type="dxa"/>
            <w:tcBorders>
              <w:top w:val="nil"/>
              <w:left w:val="nil"/>
              <w:bottom w:val="single" w:sz="4" w:space="0" w:color="auto"/>
              <w:right w:val="single" w:sz="4" w:space="0" w:color="auto"/>
            </w:tcBorders>
            <w:shd w:val="clear" w:color="auto" w:fill="C6EFCE"/>
            <w:noWrap/>
          </w:tcPr>
          <w:p w14:paraId="1B2FD72E"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16979_Jaunas ūdens un notekūdeņu regulatīvās iestādes izveide</w:t>
            </w:r>
          </w:p>
        </w:tc>
        <w:tc>
          <w:tcPr>
            <w:tcW w:w="966" w:type="dxa"/>
            <w:tcBorders>
              <w:top w:val="nil"/>
              <w:left w:val="nil"/>
              <w:bottom w:val="single" w:sz="4" w:space="0" w:color="auto"/>
              <w:right w:val="single" w:sz="4" w:space="0" w:color="auto"/>
            </w:tcBorders>
            <w:shd w:val="clear" w:color="auto" w:fill="C6EFCE"/>
            <w:noWrap/>
          </w:tcPr>
          <w:p w14:paraId="155ECDD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90" w:type="dxa"/>
            <w:tcBorders>
              <w:top w:val="nil"/>
              <w:left w:val="nil"/>
              <w:bottom w:val="single" w:sz="4" w:space="0" w:color="auto"/>
              <w:right w:val="single" w:sz="4" w:space="0" w:color="auto"/>
            </w:tcBorders>
            <w:shd w:val="clear" w:color="auto" w:fill="C6EFCE"/>
            <w:noWrap/>
          </w:tcPr>
          <w:p w14:paraId="710C5C11" w14:textId="77777777" w:rsidR="00CB0FCB" w:rsidRDefault="009D2B11">
            <w:pPr>
              <w:pStyle w:val="P68B1DB1-Normal9"/>
              <w:spacing w:after="0" w:line="240" w:lineRule="auto"/>
              <w:rPr>
                <w:rFonts w:eastAsia="Times New Roman" w:cs="Calibri"/>
                <w:noProof/>
                <w:szCs w:val="18"/>
              </w:rPr>
            </w:pPr>
            <w:r>
              <w:rPr>
                <w:noProof/>
              </w:rPr>
              <w:t>Ūdens apsaimniekošanas regulatora izveide un darbība</w:t>
            </w:r>
          </w:p>
        </w:tc>
        <w:tc>
          <w:tcPr>
            <w:tcW w:w="1468" w:type="dxa"/>
            <w:tcBorders>
              <w:top w:val="nil"/>
              <w:left w:val="nil"/>
              <w:bottom w:val="single" w:sz="4" w:space="0" w:color="auto"/>
              <w:right w:val="single" w:sz="4" w:space="0" w:color="auto"/>
            </w:tcBorders>
            <w:shd w:val="clear" w:color="auto" w:fill="C6EFCE"/>
            <w:noWrap/>
          </w:tcPr>
          <w:p w14:paraId="0234EEA4" w14:textId="77777777" w:rsidR="00CB0FCB" w:rsidRDefault="009D2B11">
            <w:pPr>
              <w:pStyle w:val="P68B1DB1-Normal9"/>
              <w:spacing w:after="0" w:line="240" w:lineRule="auto"/>
              <w:rPr>
                <w:rFonts w:eastAsia="Times New Roman" w:cs="Calibri"/>
                <w:noProof/>
                <w:szCs w:val="18"/>
              </w:rPr>
            </w:pPr>
            <w:r>
              <w:rPr>
                <w:noProof/>
              </w:rPr>
              <w:t xml:space="preserve">Kopīgā ministru lēmuma stāšanās spēkā un visi administratīvie un likumdošanas pasākumi, kas vajadzīgi Iestādes izveidei </w:t>
            </w:r>
          </w:p>
        </w:tc>
        <w:tc>
          <w:tcPr>
            <w:tcW w:w="1031" w:type="dxa"/>
            <w:tcBorders>
              <w:top w:val="nil"/>
              <w:left w:val="nil"/>
              <w:bottom w:val="single" w:sz="4" w:space="0" w:color="auto"/>
              <w:right w:val="single" w:sz="4" w:space="0" w:color="auto"/>
            </w:tcBorders>
            <w:shd w:val="clear" w:color="auto" w:fill="C6EFCE"/>
            <w:noWrap/>
          </w:tcPr>
          <w:p w14:paraId="43B3C3CC"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26B481E" w14:textId="77777777" w:rsidR="00CB0FCB" w:rsidRDefault="00CB0FCB">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48BAA407"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B33876C"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42DEFCC5" w14:textId="77777777" w:rsidR="00CB0FCB" w:rsidRDefault="009D2B11">
            <w:pPr>
              <w:pStyle w:val="P68B1DB1-Normal9"/>
              <w:spacing w:after="0" w:line="240" w:lineRule="auto"/>
              <w:rPr>
                <w:rFonts w:eastAsia="Times New Roman" w:cs="Calibri"/>
                <w:noProof/>
                <w:szCs w:val="18"/>
              </w:rPr>
            </w:pPr>
            <w:r>
              <w:rPr>
                <w:noProof/>
              </w:rPr>
              <w:t>2023</w:t>
            </w:r>
          </w:p>
        </w:tc>
        <w:tc>
          <w:tcPr>
            <w:tcW w:w="5019" w:type="dxa"/>
            <w:tcBorders>
              <w:top w:val="nil"/>
              <w:left w:val="nil"/>
              <w:bottom w:val="single" w:sz="4" w:space="0" w:color="auto"/>
              <w:right w:val="single" w:sz="4" w:space="0" w:color="auto"/>
            </w:tcBorders>
            <w:shd w:val="clear" w:color="auto" w:fill="C6EFCE"/>
            <w:noWrap/>
          </w:tcPr>
          <w:p w14:paraId="7F93F6CA" w14:textId="77777777" w:rsidR="00CB0FCB" w:rsidRDefault="009D2B11">
            <w:pPr>
              <w:pStyle w:val="P68B1DB1-Normal9"/>
              <w:spacing w:after="0" w:line="240" w:lineRule="auto"/>
              <w:rPr>
                <w:rFonts w:eastAsia="Times New Roman" w:cs="Calibri"/>
                <w:noProof/>
                <w:szCs w:val="18"/>
              </w:rPr>
            </w:pPr>
            <w:r>
              <w:rPr>
                <w:noProof/>
              </w:rPr>
              <w:t>Jaunajai Valsts ūdens un notekūdeņu regulatīvajai iestādei ir personāls un telpas.</w:t>
            </w:r>
          </w:p>
        </w:tc>
      </w:tr>
    </w:tbl>
    <w:p w14:paraId="5A2B090F" w14:textId="77777777" w:rsidR="00CB0FCB" w:rsidRDefault="00CB0FCB">
      <w:pPr>
        <w:spacing w:before="120" w:after="120" w:line="240" w:lineRule="auto"/>
        <w:ind w:left="709"/>
        <w:jc w:val="both"/>
        <w:rPr>
          <w:rFonts w:ascii="Times New Roman" w:hAnsi="Times New Roman" w:cs="Times New Roman"/>
          <w:noProof/>
          <w:sz w:val="24"/>
          <w:szCs w:val="24"/>
        </w:rPr>
      </w:pPr>
    </w:p>
    <w:p w14:paraId="40077332" w14:textId="77777777" w:rsidR="00CB0FCB" w:rsidRDefault="009D2B11">
      <w:pPr>
        <w:pStyle w:val="P68B1DB1-Normal6"/>
        <w:keepNext/>
        <w:keepLines/>
        <w:spacing w:before="40" w:after="0" w:line="240" w:lineRule="auto"/>
        <w:jc w:val="both"/>
        <w:outlineLvl w:val="4"/>
        <w:rPr>
          <w:rFonts w:eastAsia="Times New Roman"/>
          <w:noProof/>
        </w:rPr>
      </w:pPr>
      <w:r>
        <w:rPr>
          <w:noProof/>
        </w:rPr>
        <w:t>Grupa: Nacionālais meža atjaunošanas plāns un bioloģiskās daudzveidības aizsardzība</w:t>
      </w:r>
    </w:p>
    <w:p w14:paraId="78DB0A78" w14:textId="77777777" w:rsidR="00CB0FCB" w:rsidRDefault="009D2B11">
      <w:pPr>
        <w:pStyle w:val="P68B1DB1-Normal4"/>
        <w:spacing w:before="120" w:after="120" w:line="240" w:lineRule="auto"/>
        <w:rPr>
          <w:rFonts w:cs="Times New Roman"/>
          <w:noProof/>
        </w:rPr>
      </w:pPr>
      <w:r>
        <w:rPr>
          <w:noProof/>
        </w:rPr>
        <w:t>Šajā grupā ietilpst šādi pasākumi:</w:t>
      </w:r>
    </w:p>
    <w:p w14:paraId="062D9E79" w14:textId="77777777" w:rsidR="00CB0FCB" w:rsidRDefault="009D2B11">
      <w:pPr>
        <w:spacing w:before="120" w:after="120" w:line="240" w:lineRule="auto"/>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4"/>
        </w:rPr>
        <w:t xml:space="preserve"> Nacionālais meža atjaunošanas plāns, atjaunošana un novēršana (“antiNERO”), preterozijas un pretplūdu aizsardzības pasākumi (ID: 16849)</w:t>
      </w:r>
    </w:p>
    <w:p w14:paraId="1F254B9F"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 xml:space="preserve">Bioloģiskās daudzveidības aizsardzība kā ilgtspējīgas izaugsmes virzītājspēks (ID: 16851) </w:t>
      </w:r>
    </w:p>
    <w:tbl>
      <w:tblPr>
        <w:tblpPr w:leftFromText="180" w:rightFromText="180" w:vertAnchor="text" w:tblpXSpec="center" w:tblpY="1"/>
        <w:tblOverlap w:val="never"/>
        <w:tblW w:w="15304" w:type="dxa"/>
        <w:tblLook w:val="04A0" w:firstRow="1" w:lastRow="0" w:firstColumn="1" w:lastColumn="0" w:noHBand="0" w:noVBand="1"/>
      </w:tblPr>
      <w:tblGrid>
        <w:gridCol w:w="983"/>
        <w:gridCol w:w="1727"/>
        <w:gridCol w:w="1660"/>
        <w:gridCol w:w="2067"/>
        <w:gridCol w:w="1435"/>
        <w:gridCol w:w="920"/>
        <w:gridCol w:w="1287"/>
        <w:gridCol w:w="715"/>
        <w:gridCol w:w="952"/>
        <w:gridCol w:w="767"/>
        <w:gridCol w:w="2876"/>
      </w:tblGrid>
      <w:tr w:rsidR="00CB0FCB" w14:paraId="4D669FCE" w14:textId="77777777">
        <w:trPr>
          <w:trHeight w:val="328"/>
          <w:tblHeader/>
        </w:trPr>
        <w:tc>
          <w:tcPr>
            <w:tcW w:w="106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4D2C70F" w14:textId="77777777" w:rsidR="00CB0FCB" w:rsidRDefault="009D2B11">
            <w:pPr>
              <w:pStyle w:val="P68B1DB1-Normal7"/>
              <w:spacing w:after="0" w:line="240" w:lineRule="auto"/>
              <w:jc w:val="center"/>
              <w:rPr>
                <w:noProof/>
              </w:rPr>
            </w:pPr>
            <w:r>
              <w:rPr>
                <w:noProof/>
              </w:rPr>
              <w:t>Kārtas numurs</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52B8269" w14:textId="77777777" w:rsidR="00CB0FCB" w:rsidRDefault="009D2B11">
            <w:pPr>
              <w:pStyle w:val="P68B1DB1-Normal7"/>
              <w:spacing w:after="0" w:line="240" w:lineRule="auto"/>
              <w:jc w:val="center"/>
              <w:rPr>
                <w:noProof/>
              </w:rPr>
            </w:pPr>
            <w:r>
              <w:rPr>
                <w:noProof/>
              </w:rPr>
              <w:t>Saistītais pasākums (reforma vai ieguldījums)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0136C8A5" w14:textId="77777777" w:rsidR="00CB0FCB" w:rsidRDefault="009D2B11">
            <w:pPr>
              <w:pStyle w:val="P68B1DB1-Normal7"/>
              <w:spacing w:after="0" w:line="240" w:lineRule="auto"/>
              <w:jc w:val="center"/>
              <w:rPr>
                <w:noProof/>
              </w:rPr>
            </w:pPr>
            <w:r>
              <w:rPr>
                <w:noProof/>
              </w:rPr>
              <w:t>Atskaites punkts/mērķrādītājs</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DBC14E5" w14:textId="77777777" w:rsidR="00CB0FCB" w:rsidRDefault="009D2B11">
            <w:pPr>
              <w:pStyle w:val="P68B1DB1-Normal7"/>
              <w:spacing w:after="0" w:line="240" w:lineRule="auto"/>
              <w:jc w:val="center"/>
              <w:rPr>
                <w:noProof/>
              </w:rPr>
            </w:pPr>
            <w:r>
              <w:rPr>
                <w:noProof/>
              </w:rPr>
              <w:t>Nosaukums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37A5C74" w14:textId="77777777" w:rsidR="00CB0FCB" w:rsidRDefault="009D2B11">
            <w:pPr>
              <w:pStyle w:val="P68B1DB1-Normal7"/>
              <w:spacing w:after="0" w:line="240" w:lineRule="auto"/>
              <w:jc w:val="center"/>
              <w:rPr>
                <w:noProof/>
              </w:rPr>
            </w:pPr>
            <w:r>
              <w:rPr>
                <w:noProof/>
              </w:rPr>
              <w:t>Kvalitatīvie rādītāji (atskaites punktiem)</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8398327" w14:textId="77777777" w:rsidR="00CB0FCB" w:rsidRDefault="009D2B11">
            <w:pPr>
              <w:pStyle w:val="P68B1DB1-Normal7"/>
              <w:spacing w:after="0" w:line="240" w:lineRule="auto"/>
              <w:jc w:val="center"/>
              <w:rPr>
                <w:noProof/>
              </w:rPr>
            </w:pPr>
            <w:r>
              <w:rPr>
                <w:noProof/>
              </w:rPr>
              <w:t>Kvantitatīvie rādītāji (mērķrādītājiem)</w:t>
            </w:r>
          </w:p>
        </w:tc>
        <w:tc>
          <w:tcPr>
            <w:tcW w:w="1711" w:type="dxa"/>
            <w:gridSpan w:val="2"/>
            <w:tcBorders>
              <w:top w:val="single" w:sz="4" w:space="0" w:color="auto"/>
              <w:left w:val="nil"/>
              <w:bottom w:val="single" w:sz="4" w:space="0" w:color="auto"/>
              <w:right w:val="single" w:sz="4" w:space="0" w:color="auto"/>
            </w:tcBorders>
            <w:shd w:val="clear" w:color="auto" w:fill="B8CCE4" w:themeFill="accent1" w:themeFillTint="66"/>
            <w:noWrap/>
          </w:tcPr>
          <w:p w14:paraId="4169496B" w14:textId="77777777" w:rsidR="00CB0FCB" w:rsidRDefault="009D2B11">
            <w:pPr>
              <w:pStyle w:val="P68B1DB1-Normal7"/>
              <w:spacing w:after="0" w:line="240" w:lineRule="auto"/>
              <w:jc w:val="center"/>
              <w:rPr>
                <w:noProof/>
              </w:rPr>
            </w:pPr>
            <w:r>
              <w:rPr>
                <w:noProof/>
              </w:rPr>
              <w:t>Orientējošs pabeigšanas termiņš</w:t>
            </w:r>
          </w:p>
        </w:tc>
        <w:tc>
          <w:tcPr>
            <w:tcW w:w="3148" w:type="dxa"/>
            <w:vMerge w:val="restar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7F3272AF" w14:textId="77777777" w:rsidR="00CB0FCB" w:rsidRDefault="009D2B11">
            <w:pPr>
              <w:pStyle w:val="P68B1DB1-Normal7"/>
              <w:spacing w:after="0" w:line="240" w:lineRule="auto"/>
              <w:jc w:val="center"/>
              <w:rPr>
                <w:noProof/>
              </w:rPr>
            </w:pPr>
            <w:r>
              <w:rPr>
                <w:noProof/>
              </w:rPr>
              <w:t>Apraksts par katru atskaites punktu un mērķrādītāju</w:t>
            </w:r>
          </w:p>
        </w:tc>
      </w:tr>
      <w:tr w:rsidR="00CB0FCB" w14:paraId="3F9601F5" w14:textId="77777777">
        <w:trPr>
          <w:trHeight w:val="328"/>
          <w:tblHeader/>
        </w:trPr>
        <w:tc>
          <w:tcPr>
            <w:tcW w:w="1062" w:type="dxa"/>
            <w:vMerge/>
            <w:tcBorders>
              <w:top w:val="single" w:sz="4" w:space="0" w:color="auto"/>
              <w:left w:val="single" w:sz="4" w:space="0" w:color="auto"/>
              <w:bottom w:val="single" w:sz="4" w:space="0" w:color="auto"/>
              <w:right w:val="single" w:sz="4" w:space="0" w:color="auto"/>
            </w:tcBorders>
            <w:noWrap/>
            <w:vAlign w:val="center"/>
          </w:tcPr>
          <w:p w14:paraId="750D81F7" w14:textId="77777777" w:rsidR="00CB0FCB" w:rsidRDefault="00CB0FCB">
            <w:pPr>
              <w:spacing w:after="0" w:line="240" w:lineRule="auto"/>
              <w:rPr>
                <w:rFonts w:ascii="Times New Roman" w:eastAsia="Times New Roman" w:hAnsi="Times New Roman" w:cs="Times New Roman"/>
                <w:b/>
                <w:bCs/>
                <w:noProof/>
                <w:sz w:val="18"/>
                <w:szCs w:val="18"/>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14:paraId="223FE2A9" w14:textId="77777777" w:rsidR="00CB0FCB" w:rsidRDefault="00CB0FCB">
            <w:pPr>
              <w:spacing w:after="0" w:line="240" w:lineRule="auto"/>
              <w:rPr>
                <w:rFonts w:ascii="Times New Roman" w:eastAsia="Times New Roman" w:hAnsi="Times New Roman" w:cs="Times New Roman"/>
                <w:b/>
                <w:bCs/>
                <w:noProof/>
                <w:sz w:val="18"/>
                <w:szCs w:val="18"/>
              </w:rPr>
            </w:pPr>
          </w:p>
        </w:tc>
        <w:tc>
          <w:tcPr>
            <w:tcW w:w="993" w:type="dxa"/>
            <w:vMerge/>
            <w:tcBorders>
              <w:top w:val="single" w:sz="4" w:space="0" w:color="auto"/>
              <w:left w:val="single" w:sz="4" w:space="0" w:color="auto"/>
              <w:bottom w:val="single" w:sz="4" w:space="0" w:color="auto"/>
              <w:right w:val="single" w:sz="4" w:space="0" w:color="auto"/>
            </w:tcBorders>
            <w:noWrap/>
            <w:vAlign w:val="center"/>
          </w:tcPr>
          <w:p w14:paraId="07E71FAD" w14:textId="77777777" w:rsidR="00CB0FCB" w:rsidRDefault="00CB0FCB">
            <w:pPr>
              <w:spacing w:after="0" w:line="240" w:lineRule="auto"/>
              <w:rPr>
                <w:rFonts w:ascii="Times New Roman" w:eastAsia="Times New Roman" w:hAnsi="Times New Roman" w:cs="Times New Roman"/>
                <w:b/>
                <w:bCs/>
                <w:noProof/>
                <w:sz w:val="18"/>
                <w:szCs w:val="18"/>
              </w:rPr>
            </w:pPr>
          </w:p>
        </w:tc>
        <w:tc>
          <w:tcPr>
            <w:tcW w:w="2256" w:type="dxa"/>
            <w:vMerge/>
            <w:tcBorders>
              <w:top w:val="single" w:sz="4" w:space="0" w:color="auto"/>
              <w:left w:val="single" w:sz="4" w:space="0" w:color="auto"/>
              <w:bottom w:val="single" w:sz="4" w:space="0" w:color="auto"/>
              <w:right w:val="single" w:sz="4" w:space="0" w:color="auto"/>
            </w:tcBorders>
            <w:noWrap/>
            <w:vAlign w:val="center"/>
          </w:tcPr>
          <w:p w14:paraId="48B6DEC1" w14:textId="77777777" w:rsidR="00CB0FCB" w:rsidRDefault="00CB0FCB">
            <w:pPr>
              <w:spacing w:after="0" w:line="240" w:lineRule="auto"/>
              <w:rPr>
                <w:rFonts w:ascii="Times New Roman" w:eastAsia="Times New Roman" w:hAnsi="Times New Roman" w:cs="Times New Roman"/>
                <w:b/>
                <w:bCs/>
                <w:noProof/>
                <w:sz w:val="18"/>
                <w:szCs w:val="18"/>
              </w:rPr>
            </w:pPr>
          </w:p>
        </w:tc>
        <w:tc>
          <w:tcPr>
            <w:tcW w:w="1560" w:type="dxa"/>
            <w:vMerge/>
            <w:tcBorders>
              <w:top w:val="single" w:sz="4" w:space="0" w:color="auto"/>
              <w:left w:val="single" w:sz="4" w:space="0" w:color="auto"/>
              <w:bottom w:val="single" w:sz="4" w:space="0" w:color="auto"/>
              <w:right w:val="single" w:sz="4" w:space="0" w:color="auto"/>
            </w:tcBorders>
            <w:noWrap/>
            <w:vAlign w:val="center"/>
          </w:tcPr>
          <w:p w14:paraId="2A8C60B7" w14:textId="77777777" w:rsidR="00CB0FCB" w:rsidRDefault="00CB0FCB">
            <w:pPr>
              <w:spacing w:after="0" w:line="240" w:lineRule="auto"/>
              <w:rPr>
                <w:rFonts w:ascii="Times New Roman" w:eastAsia="Times New Roman" w:hAnsi="Times New Roman" w:cs="Times New Roman"/>
                <w:b/>
                <w:bCs/>
                <w:noProo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666714B6" w14:textId="77777777" w:rsidR="00CB0FCB" w:rsidRDefault="009D2B11">
            <w:pPr>
              <w:pStyle w:val="P68B1DB1-Normal7"/>
              <w:spacing w:after="0" w:line="240" w:lineRule="auto"/>
              <w:rPr>
                <w:rFonts w:eastAsia="Times New Roman" w:cs="Times New Roman"/>
                <w:bCs/>
                <w:noProof/>
                <w:szCs w:val="18"/>
              </w:rPr>
            </w:pPr>
            <w:r>
              <w:rPr>
                <w:noProof/>
              </w:rPr>
              <w:t>Mēra vienība</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9267DB" w14:textId="77777777" w:rsidR="00CB0FCB" w:rsidRDefault="009D2B11">
            <w:pPr>
              <w:pStyle w:val="P68B1DB1-Normal7"/>
              <w:spacing w:after="0" w:line="240" w:lineRule="auto"/>
              <w:rPr>
                <w:rFonts w:eastAsia="Times New Roman" w:cs="Times New Roman"/>
                <w:bCs/>
                <w:noProof/>
                <w:szCs w:val="18"/>
              </w:rPr>
            </w:pPr>
            <w:r>
              <w:rPr>
                <w:noProof/>
              </w:rPr>
              <w:t>Pamatscenārijs</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A6F8F3" w14:textId="77777777" w:rsidR="00CB0FCB" w:rsidRDefault="009D2B11">
            <w:pPr>
              <w:pStyle w:val="P68B1DB1-Normal7"/>
              <w:spacing w:after="0" w:line="240" w:lineRule="auto"/>
              <w:rPr>
                <w:rFonts w:eastAsia="Times New Roman" w:cs="Times New Roman"/>
                <w:bCs/>
                <w:noProof/>
                <w:szCs w:val="18"/>
              </w:rPr>
            </w:pPr>
            <w:r>
              <w:rPr>
                <w:noProof/>
              </w:rPr>
              <w:t xml:space="preserve">Mērķis </w:t>
            </w:r>
          </w:p>
        </w:tc>
        <w:tc>
          <w:tcPr>
            <w:tcW w:w="88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2A96B8D"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8FE1EE"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148" w:type="dxa"/>
            <w:vMerge/>
            <w:tcBorders>
              <w:top w:val="single" w:sz="4" w:space="0" w:color="auto"/>
              <w:bottom w:val="single" w:sz="4" w:space="0" w:color="auto"/>
              <w:right w:val="single" w:sz="4" w:space="0" w:color="auto"/>
            </w:tcBorders>
            <w:noWrap/>
            <w:vAlign w:val="center"/>
          </w:tcPr>
          <w:p w14:paraId="52DB3BE8"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65792085" w14:textId="77777777">
        <w:trPr>
          <w:trHeight w:val="313"/>
          <w:tblHead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78D5E333" w14:textId="77777777" w:rsidR="00CB0FCB" w:rsidRDefault="009D2B11">
            <w:pPr>
              <w:pStyle w:val="P68B1DB1-Normal9"/>
              <w:spacing w:after="0" w:line="240" w:lineRule="auto"/>
              <w:rPr>
                <w:rFonts w:eastAsia="Times New Roman" w:cs="Calibri"/>
                <w:noProof/>
                <w:szCs w:val="18"/>
              </w:rPr>
            </w:pPr>
            <w:r>
              <w:rPr>
                <w:noProof/>
              </w:rPr>
              <w:t>61</w:t>
            </w:r>
          </w:p>
        </w:tc>
        <w:tc>
          <w:tcPr>
            <w:tcW w:w="1881" w:type="dxa"/>
            <w:tcBorders>
              <w:top w:val="single" w:sz="4" w:space="0" w:color="auto"/>
              <w:left w:val="nil"/>
              <w:bottom w:val="single" w:sz="4" w:space="0" w:color="auto"/>
              <w:right w:val="single" w:sz="4" w:space="0" w:color="auto"/>
            </w:tcBorders>
            <w:shd w:val="clear" w:color="auto" w:fill="C6EFCE"/>
            <w:noWrap/>
          </w:tcPr>
          <w:p w14:paraId="407A1B81"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16849_ Valsts meža atjaunošanas plāns, atjaunošana un novēršana (“antiNERO”), preterozijas un pretplūdu aizsardzības pasākumi</w:t>
            </w:r>
          </w:p>
        </w:tc>
        <w:tc>
          <w:tcPr>
            <w:tcW w:w="993" w:type="dxa"/>
            <w:tcBorders>
              <w:top w:val="single" w:sz="4" w:space="0" w:color="auto"/>
              <w:left w:val="nil"/>
              <w:bottom w:val="single" w:sz="4" w:space="0" w:color="auto"/>
              <w:right w:val="single" w:sz="4" w:space="0" w:color="auto"/>
            </w:tcBorders>
            <w:shd w:val="clear" w:color="auto" w:fill="C6EFCE"/>
            <w:noWrap/>
          </w:tcPr>
          <w:p w14:paraId="277E06F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2256" w:type="dxa"/>
            <w:tcBorders>
              <w:top w:val="single" w:sz="4" w:space="0" w:color="auto"/>
              <w:left w:val="nil"/>
              <w:bottom w:val="single" w:sz="4" w:space="0" w:color="auto"/>
              <w:right w:val="single" w:sz="4" w:space="0" w:color="auto"/>
            </w:tcBorders>
            <w:shd w:val="clear" w:color="auto" w:fill="C6EFCE"/>
            <w:noWrap/>
          </w:tcPr>
          <w:p w14:paraId="28DF2407" w14:textId="77777777" w:rsidR="00CB0FCB" w:rsidRDefault="009D2B11">
            <w:pPr>
              <w:pStyle w:val="P68B1DB1-Normal9"/>
              <w:spacing w:after="0" w:line="240" w:lineRule="auto"/>
              <w:rPr>
                <w:rFonts w:eastAsia="Times New Roman" w:cs="Calibri"/>
                <w:noProof/>
                <w:szCs w:val="18"/>
              </w:rPr>
            </w:pPr>
            <w:r>
              <w:rPr>
                <w:noProof/>
              </w:rPr>
              <w:t>Meža atjaunošana, atjaunošana un profilakse — līgumi 1</w:t>
            </w:r>
          </w:p>
        </w:tc>
        <w:tc>
          <w:tcPr>
            <w:tcW w:w="1560" w:type="dxa"/>
            <w:tcBorders>
              <w:top w:val="single" w:sz="4" w:space="0" w:color="auto"/>
              <w:left w:val="nil"/>
              <w:bottom w:val="single" w:sz="4" w:space="0" w:color="auto"/>
              <w:right w:val="single" w:sz="4" w:space="0" w:color="auto"/>
            </w:tcBorders>
            <w:shd w:val="clear" w:color="auto" w:fill="C6EFCE"/>
            <w:noWrap/>
          </w:tcPr>
          <w:p w14:paraId="1375EDA6" w14:textId="77777777" w:rsidR="00CB0FCB" w:rsidRDefault="009D2B11">
            <w:pPr>
              <w:pStyle w:val="P68B1DB1-Normal9"/>
              <w:spacing w:after="0" w:line="240" w:lineRule="auto"/>
              <w:rPr>
                <w:rFonts w:eastAsia="Times New Roman" w:cs="Calibri"/>
                <w:noProof/>
                <w:szCs w:val="18"/>
              </w:rPr>
            </w:pPr>
            <w:r>
              <w:rPr>
                <w:noProof/>
              </w:rPr>
              <w:t>Paziņojums par līgumu slēgšanas tiesību piešķiršanu</w:t>
            </w:r>
          </w:p>
        </w:tc>
        <w:tc>
          <w:tcPr>
            <w:tcW w:w="992" w:type="dxa"/>
            <w:tcBorders>
              <w:top w:val="single" w:sz="4" w:space="0" w:color="auto"/>
              <w:left w:val="nil"/>
              <w:bottom w:val="single" w:sz="4" w:space="0" w:color="auto"/>
              <w:right w:val="single" w:sz="4" w:space="0" w:color="auto"/>
            </w:tcBorders>
            <w:shd w:val="clear" w:color="auto" w:fill="C6EFCE"/>
            <w:noWrap/>
          </w:tcPr>
          <w:p w14:paraId="2E2AA943"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5AC2C68" w14:textId="77777777" w:rsidR="00CB0FCB" w:rsidRDefault="00CB0FCB">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29306D0C" w14:textId="77777777" w:rsidR="00CB0FCB" w:rsidRDefault="00CB0FCB">
            <w:pPr>
              <w:spacing w:after="0" w:line="240" w:lineRule="auto"/>
              <w:rPr>
                <w:rFonts w:eastAsia="Times New Roman" w:cs="Calibri"/>
                <w:noProof/>
                <w:color w:val="006100"/>
                <w:sz w:val="18"/>
                <w:szCs w:val="18"/>
              </w:rPr>
            </w:pPr>
          </w:p>
        </w:tc>
        <w:tc>
          <w:tcPr>
            <w:tcW w:w="888" w:type="dxa"/>
            <w:tcBorders>
              <w:top w:val="single" w:sz="4" w:space="0" w:color="auto"/>
              <w:left w:val="nil"/>
              <w:bottom w:val="single" w:sz="4" w:space="0" w:color="auto"/>
              <w:right w:val="single" w:sz="4" w:space="0" w:color="auto"/>
            </w:tcBorders>
            <w:shd w:val="clear" w:color="auto" w:fill="C6EFCE"/>
            <w:noWrap/>
          </w:tcPr>
          <w:p w14:paraId="41D421FA" w14:textId="77777777" w:rsidR="00CB0FCB" w:rsidRDefault="009D2B11">
            <w:pPr>
              <w:pStyle w:val="P68B1DB1-Normal9"/>
              <w:spacing w:after="0" w:line="240" w:lineRule="auto"/>
              <w:rPr>
                <w:rFonts w:eastAsia="Times New Roman" w:cs="Calibri"/>
                <w:noProof/>
                <w:szCs w:val="18"/>
              </w:rPr>
            </w:pPr>
            <w:r>
              <w:rPr>
                <w:noProof/>
              </w:rPr>
              <w:t>2. CET.</w:t>
            </w:r>
          </w:p>
        </w:tc>
        <w:tc>
          <w:tcPr>
            <w:tcW w:w="823" w:type="dxa"/>
            <w:tcBorders>
              <w:top w:val="single" w:sz="4" w:space="0" w:color="auto"/>
              <w:left w:val="nil"/>
              <w:bottom w:val="single" w:sz="4" w:space="0" w:color="auto"/>
              <w:right w:val="single" w:sz="4" w:space="0" w:color="auto"/>
            </w:tcBorders>
            <w:shd w:val="clear" w:color="auto" w:fill="C6EFCE"/>
            <w:noWrap/>
          </w:tcPr>
          <w:p w14:paraId="02284BA4" w14:textId="77777777" w:rsidR="00CB0FCB" w:rsidRDefault="009D2B11">
            <w:pPr>
              <w:pStyle w:val="P68B1DB1-Normal9"/>
              <w:spacing w:after="0" w:line="240" w:lineRule="auto"/>
              <w:rPr>
                <w:rFonts w:eastAsia="Times New Roman" w:cs="Calibri"/>
                <w:noProof/>
                <w:szCs w:val="18"/>
              </w:rPr>
            </w:pPr>
            <w:r>
              <w:rPr>
                <w:noProof/>
              </w:rPr>
              <w:t>2023</w:t>
            </w:r>
          </w:p>
        </w:tc>
        <w:tc>
          <w:tcPr>
            <w:tcW w:w="3148" w:type="dxa"/>
            <w:tcBorders>
              <w:top w:val="single" w:sz="4" w:space="0" w:color="auto"/>
              <w:left w:val="nil"/>
              <w:bottom w:val="single" w:sz="4" w:space="0" w:color="auto"/>
              <w:right w:val="single" w:sz="4" w:space="0" w:color="auto"/>
            </w:tcBorders>
            <w:shd w:val="clear" w:color="auto" w:fill="C6EFCE"/>
            <w:noWrap/>
          </w:tcPr>
          <w:p w14:paraId="5EEA818E" w14:textId="55509D59" w:rsidR="00CB0FCB" w:rsidRDefault="009D2B11">
            <w:pPr>
              <w:pStyle w:val="P68B1DB1-Normal9"/>
              <w:spacing w:after="0" w:line="240" w:lineRule="auto"/>
              <w:rPr>
                <w:rFonts w:eastAsia="Times New Roman" w:cs="Calibri"/>
                <w:noProof/>
                <w:szCs w:val="18"/>
              </w:rPr>
            </w:pPr>
            <w:r>
              <w:rPr>
                <w:noProof/>
              </w:rPr>
              <w:t xml:space="preserve">Paziņojums par visu līgumu slēgšanas tiesību piešķiršanu attiecībā uz Antinero I un II programmu, lai modernizētu 37 500 ha degradētu meža ekosistēmu, tostarp mežu un mežu izciršanu, un uzturētu meža ceļu tīklu un esošās ugunsdrošības zonas. </w:t>
            </w:r>
          </w:p>
        </w:tc>
      </w:tr>
      <w:tr w:rsidR="00CB0FCB" w14:paraId="6D0994C5" w14:textId="77777777">
        <w:trPr>
          <w:trHeight w:val="313"/>
          <w:tblHead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5E4DC2A7" w14:textId="2C4C56CB" w:rsidR="00CB0FCB" w:rsidRDefault="009D2B11">
            <w:pPr>
              <w:pStyle w:val="P68B1DB1-Normal9"/>
              <w:spacing w:after="0" w:line="240" w:lineRule="auto"/>
              <w:rPr>
                <w:noProof/>
              </w:rPr>
            </w:pPr>
            <w:r>
              <w:rPr>
                <w:noProof/>
              </w:rPr>
              <w:t>62</w:t>
            </w:r>
          </w:p>
        </w:tc>
        <w:tc>
          <w:tcPr>
            <w:tcW w:w="1881" w:type="dxa"/>
            <w:tcBorders>
              <w:top w:val="single" w:sz="4" w:space="0" w:color="auto"/>
              <w:left w:val="nil"/>
              <w:bottom w:val="single" w:sz="4" w:space="0" w:color="auto"/>
              <w:right w:val="single" w:sz="4" w:space="0" w:color="auto"/>
            </w:tcBorders>
            <w:shd w:val="clear" w:color="auto" w:fill="C6EFCE"/>
            <w:noWrap/>
          </w:tcPr>
          <w:p w14:paraId="07AA6D7C" w14:textId="77777777" w:rsidR="00CB0FCB" w:rsidRDefault="009D2B11">
            <w:pPr>
              <w:pStyle w:val="P68B1DB1-Normal9"/>
              <w:spacing w:after="0" w:line="240" w:lineRule="auto"/>
              <w:rPr>
                <w:noProof/>
              </w:rPr>
            </w:pPr>
            <w:r>
              <w:rPr>
                <w:noProof/>
              </w:rPr>
              <w:t>4–1.4. Resursu ilgtspējīga izmantošana, klimatnoturība un vides aizsardzība — 16849_ Valsts meža atjaunošanas plāns, atjaunošana un novēršana (“antiNERO”), preterozijas un pretplūdu aizsardzības pasākumi</w:t>
            </w:r>
          </w:p>
          <w:p w14:paraId="06685455" w14:textId="77777777" w:rsidR="00CB0FCB" w:rsidRDefault="00CB0FCB">
            <w:pPr>
              <w:rPr>
                <w:noProof/>
                <w:sz w:val="18"/>
              </w:rPr>
            </w:pPr>
          </w:p>
          <w:p w14:paraId="683161FF" w14:textId="77777777" w:rsidR="00CB0FCB" w:rsidRDefault="00CB0FCB">
            <w:pPr>
              <w:spacing w:after="0" w:line="240" w:lineRule="auto"/>
              <w:rPr>
                <w:noProof/>
                <w:color w:val="006100"/>
                <w:sz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498971F7" w14:textId="6B77FE65" w:rsidR="00CB0FCB" w:rsidRDefault="009D2B11">
            <w:pPr>
              <w:pStyle w:val="P68B1DB1-Normal9"/>
              <w:spacing w:after="0" w:line="240" w:lineRule="auto"/>
              <w:rPr>
                <w:noProof/>
              </w:rPr>
            </w:pPr>
            <w:r>
              <w:rPr>
                <w:noProof/>
              </w:rPr>
              <w:t>Atskaites punkts</w:t>
            </w:r>
          </w:p>
        </w:tc>
        <w:tc>
          <w:tcPr>
            <w:tcW w:w="2256" w:type="dxa"/>
            <w:tcBorders>
              <w:top w:val="single" w:sz="4" w:space="0" w:color="auto"/>
              <w:left w:val="nil"/>
              <w:bottom w:val="single" w:sz="4" w:space="0" w:color="auto"/>
              <w:right w:val="single" w:sz="4" w:space="0" w:color="auto"/>
            </w:tcBorders>
            <w:shd w:val="clear" w:color="auto" w:fill="C6EFCE"/>
            <w:noWrap/>
          </w:tcPr>
          <w:p w14:paraId="38E5F403" w14:textId="75674766" w:rsidR="00CB0FCB" w:rsidRDefault="009D2B11">
            <w:pPr>
              <w:pStyle w:val="P68B1DB1-Normal9"/>
              <w:spacing w:after="0" w:line="240" w:lineRule="auto"/>
              <w:rPr>
                <w:noProof/>
              </w:rPr>
            </w:pPr>
            <w:r>
              <w:rPr>
                <w:noProof/>
              </w:rPr>
              <w:t>Meža atjaunošana, atjaunošana un profilakse — līgumi 2</w:t>
            </w:r>
          </w:p>
        </w:tc>
        <w:tc>
          <w:tcPr>
            <w:tcW w:w="1560" w:type="dxa"/>
            <w:tcBorders>
              <w:top w:val="single" w:sz="4" w:space="0" w:color="auto"/>
              <w:left w:val="nil"/>
              <w:bottom w:val="single" w:sz="4" w:space="0" w:color="auto"/>
              <w:right w:val="single" w:sz="4" w:space="0" w:color="auto"/>
            </w:tcBorders>
            <w:shd w:val="clear" w:color="auto" w:fill="C6EFCE"/>
            <w:noWrap/>
          </w:tcPr>
          <w:p w14:paraId="68CEE46A" w14:textId="162B04AD" w:rsidR="00CB0FCB" w:rsidRDefault="009D2B11">
            <w:pPr>
              <w:pStyle w:val="P68B1DB1-Normal9"/>
              <w:spacing w:after="0" w:line="240" w:lineRule="auto"/>
              <w:rPr>
                <w:noProof/>
              </w:rPr>
            </w:pPr>
            <w:r>
              <w:rPr>
                <w:noProof/>
              </w:rPr>
              <w:t>Paziņojums par līgumu slēgšanas tiesību piešķiršanu</w:t>
            </w:r>
          </w:p>
        </w:tc>
        <w:tc>
          <w:tcPr>
            <w:tcW w:w="992" w:type="dxa"/>
            <w:tcBorders>
              <w:top w:val="single" w:sz="4" w:space="0" w:color="auto"/>
              <w:left w:val="nil"/>
              <w:bottom w:val="single" w:sz="4" w:space="0" w:color="auto"/>
              <w:right w:val="single" w:sz="4" w:space="0" w:color="auto"/>
            </w:tcBorders>
            <w:shd w:val="clear" w:color="auto" w:fill="C6EFCE"/>
            <w:noWrap/>
          </w:tcPr>
          <w:p w14:paraId="641DA1BA"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5FD25A00" w14:textId="77777777" w:rsidR="00CB0FCB" w:rsidRDefault="00CB0FCB">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23D38E63" w14:textId="77777777" w:rsidR="00CB0FCB" w:rsidRDefault="00CB0FCB">
            <w:pPr>
              <w:spacing w:after="0" w:line="240" w:lineRule="auto"/>
              <w:rPr>
                <w:rFonts w:eastAsia="Times New Roman" w:cs="Calibri"/>
                <w:noProof/>
                <w:color w:val="006100"/>
                <w:sz w:val="18"/>
                <w:szCs w:val="18"/>
              </w:rPr>
            </w:pPr>
          </w:p>
        </w:tc>
        <w:tc>
          <w:tcPr>
            <w:tcW w:w="888" w:type="dxa"/>
            <w:tcBorders>
              <w:top w:val="single" w:sz="4" w:space="0" w:color="auto"/>
              <w:left w:val="nil"/>
              <w:bottom w:val="single" w:sz="4" w:space="0" w:color="auto"/>
              <w:right w:val="single" w:sz="4" w:space="0" w:color="auto"/>
            </w:tcBorders>
            <w:shd w:val="clear" w:color="auto" w:fill="C6EFCE"/>
            <w:noWrap/>
          </w:tcPr>
          <w:p w14:paraId="060A4462" w14:textId="0B5F14A0" w:rsidR="00CB0FCB" w:rsidRDefault="009D2B11">
            <w:pPr>
              <w:pStyle w:val="P68B1DB1-Normal9"/>
              <w:spacing w:after="0" w:line="240" w:lineRule="auto"/>
              <w:rPr>
                <w:noProof/>
              </w:rPr>
            </w:pPr>
            <w:r>
              <w:rPr>
                <w:noProof/>
              </w:rPr>
              <w:t>4. CET.</w:t>
            </w:r>
          </w:p>
        </w:tc>
        <w:tc>
          <w:tcPr>
            <w:tcW w:w="823" w:type="dxa"/>
            <w:tcBorders>
              <w:top w:val="single" w:sz="4" w:space="0" w:color="auto"/>
              <w:left w:val="nil"/>
              <w:bottom w:val="single" w:sz="4" w:space="0" w:color="auto"/>
              <w:right w:val="single" w:sz="4" w:space="0" w:color="auto"/>
            </w:tcBorders>
            <w:shd w:val="clear" w:color="auto" w:fill="C6EFCE"/>
            <w:noWrap/>
          </w:tcPr>
          <w:p w14:paraId="52EE23F7" w14:textId="59A7054E" w:rsidR="00CB0FCB" w:rsidRDefault="009D2B11">
            <w:pPr>
              <w:pStyle w:val="P68B1DB1-Normal9"/>
              <w:spacing w:after="0" w:line="240" w:lineRule="auto"/>
              <w:rPr>
                <w:noProof/>
              </w:rPr>
            </w:pPr>
            <w:r>
              <w:rPr>
                <w:noProof/>
              </w:rPr>
              <w:t>2023</w:t>
            </w:r>
          </w:p>
        </w:tc>
        <w:tc>
          <w:tcPr>
            <w:tcW w:w="3148" w:type="dxa"/>
            <w:tcBorders>
              <w:top w:val="single" w:sz="4" w:space="0" w:color="auto"/>
              <w:left w:val="nil"/>
              <w:bottom w:val="single" w:sz="4" w:space="0" w:color="auto"/>
              <w:right w:val="single" w:sz="4" w:space="0" w:color="auto"/>
            </w:tcBorders>
            <w:shd w:val="clear" w:color="auto" w:fill="C6EFCE"/>
            <w:noWrap/>
          </w:tcPr>
          <w:p w14:paraId="7783709A" w14:textId="77777777" w:rsidR="00CB0FCB" w:rsidRDefault="009D2B11">
            <w:pPr>
              <w:pStyle w:val="P68B1DB1-Normal9"/>
              <w:spacing w:after="0" w:line="240" w:lineRule="auto"/>
              <w:rPr>
                <w:rFonts w:eastAsia="Times New Roman" w:cs="Calibri"/>
                <w:noProof/>
                <w:szCs w:val="18"/>
              </w:rPr>
            </w:pPr>
            <w:r>
              <w:rPr>
                <w:noProof/>
              </w:rPr>
              <w:t xml:space="preserve"> Paziņojums par visu līgumu slēgšanas tiesību piešķiršanu attiecībā uz:</w:t>
            </w:r>
          </w:p>
          <w:p w14:paraId="0883BA09" w14:textId="77777777" w:rsidR="00CB0FCB" w:rsidRDefault="009D2B11">
            <w:pPr>
              <w:pStyle w:val="P68B1DB1-Normal9"/>
              <w:spacing w:after="0" w:line="240" w:lineRule="auto"/>
              <w:rPr>
                <w:rFonts w:eastAsia="Times New Roman" w:cs="Calibri"/>
                <w:noProof/>
                <w:szCs w:val="18"/>
              </w:rPr>
            </w:pPr>
            <w:r>
              <w:rPr>
                <w:noProof/>
              </w:rPr>
              <w:t>1. Grieķijā atjaunot noplicinātas meža ekosistēmas 5 700 ha platībā, stādot stādījumus, kuros izmanto vismaz 50 % vietējo sugu; un</w:t>
            </w:r>
          </w:p>
          <w:p w14:paraId="4084A8F0" w14:textId="77777777" w:rsidR="00CB0FCB" w:rsidRDefault="009D2B11">
            <w:pPr>
              <w:pStyle w:val="P68B1DB1-Normal9"/>
              <w:spacing w:after="0" w:line="240" w:lineRule="auto"/>
              <w:rPr>
                <w:rFonts w:eastAsia="Times New Roman" w:cs="Calibri"/>
                <w:noProof/>
                <w:szCs w:val="18"/>
              </w:rPr>
            </w:pPr>
            <w:r>
              <w:rPr>
                <w:noProof/>
              </w:rPr>
              <w:t>2. Četru meža stādaudzētavu modernizācija un modernizācija; un</w:t>
            </w:r>
          </w:p>
          <w:p w14:paraId="3C51C579" w14:textId="77777777" w:rsidR="00CB0FCB" w:rsidRDefault="009D2B11">
            <w:pPr>
              <w:pStyle w:val="P68B1DB1-Normal9"/>
              <w:spacing w:after="0" w:line="240" w:lineRule="auto"/>
              <w:rPr>
                <w:rFonts w:eastAsia="Times New Roman" w:cs="Calibri"/>
                <w:noProof/>
                <w:szCs w:val="18"/>
              </w:rPr>
            </w:pPr>
            <w:r>
              <w:rPr>
                <w:noProof/>
              </w:rPr>
              <w:t xml:space="preserve">3. Valsts meža atjaunošanas plāna izmēģinājuma īstenošana; un </w:t>
            </w:r>
          </w:p>
          <w:p w14:paraId="14E695B2" w14:textId="281174F8" w:rsidR="00CB0FCB" w:rsidRDefault="009D2B11">
            <w:pPr>
              <w:pStyle w:val="P68B1DB1-Normal9"/>
              <w:spacing w:after="0" w:line="240" w:lineRule="auto"/>
              <w:rPr>
                <w:noProof/>
              </w:rPr>
            </w:pPr>
            <w:r>
              <w:rPr>
                <w:noProof/>
              </w:rPr>
              <w:t xml:space="preserve">4. Preterozijas un plūdu novēršanas pasākumi Evrā un Rodopē, kas kopā aptver 5000 hektārus erozijas novēršanas darbu un 175 000 m² pretplūdu aizsardzības darbu. </w:t>
            </w:r>
          </w:p>
        </w:tc>
      </w:tr>
      <w:tr w:rsidR="00CB0FCB" w14:paraId="0F376B88" w14:textId="77777777">
        <w:trPr>
          <w:trHeight w:val="313"/>
          <w:tblHead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23263388" w14:textId="2AB6D70B" w:rsidR="00CB0FCB" w:rsidRDefault="009D2B11">
            <w:pPr>
              <w:pStyle w:val="P68B1DB1-Normal9"/>
              <w:spacing w:after="0" w:line="240" w:lineRule="auto"/>
              <w:rPr>
                <w:noProof/>
              </w:rPr>
            </w:pPr>
            <w:r>
              <w:rPr>
                <w:noProof/>
              </w:rPr>
              <w:t>62a</w:t>
            </w:r>
          </w:p>
        </w:tc>
        <w:tc>
          <w:tcPr>
            <w:tcW w:w="1881" w:type="dxa"/>
            <w:tcBorders>
              <w:top w:val="single" w:sz="4" w:space="0" w:color="auto"/>
              <w:left w:val="nil"/>
              <w:bottom w:val="single" w:sz="4" w:space="0" w:color="auto"/>
              <w:right w:val="single" w:sz="4" w:space="0" w:color="auto"/>
            </w:tcBorders>
            <w:shd w:val="clear" w:color="auto" w:fill="C6EFCE"/>
            <w:noWrap/>
          </w:tcPr>
          <w:p w14:paraId="0B93C073" w14:textId="150373F6" w:rsidR="00CB0FCB" w:rsidRDefault="009D2B11">
            <w:pPr>
              <w:spacing w:after="0" w:line="240" w:lineRule="auto"/>
              <w:rPr>
                <w:noProof/>
                <w:color w:val="006100"/>
                <w:sz w:val="18"/>
              </w:rPr>
            </w:pPr>
            <w:r>
              <w:rPr>
                <w:rStyle w:val="normaltextrun"/>
                <w:rFonts w:cs="Calibri"/>
                <w:noProof/>
                <w:color w:val="006100"/>
                <w:sz w:val="18"/>
                <w:szCs w:val="18"/>
                <w:bdr w:val="none" w:sz="0" w:space="0" w:color="auto" w:frame="1"/>
              </w:rPr>
              <w:t>4–1.4. Resursu ilgtspējīga izmantošana, klimatnoturība un vides aizsardzība — 16849_ Valsts meža atjaunošanas plāns, atjaunošana un novēršana (“antiNERO”), preterozijas un pretplūdu aizsardzības pasākumi</w:t>
            </w:r>
          </w:p>
        </w:tc>
        <w:tc>
          <w:tcPr>
            <w:tcW w:w="993" w:type="dxa"/>
            <w:tcBorders>
              <w:top w:val="single" w:sz="4" w:space="0" w:color="auto"/>
              <w:left w:val="nil"/>
              <w:bottom w:val="single" w:sz="4" w:space="0" w:color="auto"/>
              <w:right w:val="single" w:sz="4" w:space="0" w:color="auto"/>
            </w:tcBorders>
            <w:shd w:val="clear" w:color="auto" w:fill="C6EFCE"/>
            <w:noWrap/>
          </w:tcPr>
          <w:p w14:paraId="3E4ABFAA" w14:textId="75A78B68" w:rsidR="00CB0FCB" w:rsidRDefault="009D2B11">
            <w:pPr>
              <w:spacing w:after="0" w:line="240" w:lineRule="auto"/>
              <w:rPr>
                <w:noProof/>
                <w:color w:val="006100"/>
                <w:sz w:val="18"/>
              </w:rPr>
            </w:pPr>
            <w:r>
              <w:rPr>
                <w:rStyle w:val="normaltextrun"/>
                <w:rFonts w:cs="Calibri"/>
                <w:noProof/>
                <w:color w:val="006100"/>
                <w:sz w:val="18"/>
                <w:szCs w:val="18"/>
              </w:rPr>
              <w:t>Atskaites punkts</w:t>
            </w:r>
          </w:p>
        </w:tc>
        <w:tc>
          <w:tcPr>
            <w:tcW w:w="2256" w:type="dxa"/>
            <w:tcBorders>
              <w:top w:val="single" w:sz="4" w:space="0" w:color="auto"/>
              <w:left w:val="nil"/>
              <w:bottom w:val="single" w:sz="4" w:space="0" w:color="auto"/>
              <w:right w:val="single" w:sz="4" w:space="0" w:color="auto"/>
            </w:tcBorders>
            <w:shd w:val="clear" w:color="auto" w:fill="C6EFCE"/>
            <w:noWrap/>
          </w:tcPr>
          <w:p w14:paraId="54A7A5F6" w14:textId="2E802397" w:rsidR="00CB0FCB" w:rsidRDefault="009D2B11">
            <w:pPr>
              <w:spacing w:after="0" w:line="240" w:lineRule="auto"/>
              <w:rPr>
                <w:rStyle w:val="normaltextrun"/>
                <w:rFonts w:cs="Calibri"/>
                <w:noProof/>
                <w:szCs w:val="18"/>
                <w:bdr w:val="none" w:sz="0" w:space="0" w:color="auto" w:frame="1"/>
              </w:rPr>
            </w:pPr>
            <w:r>
              <w:rPr>
                <w:rStyle w:val="normaltextrun"/>
                <w:rFonts w:cs="Calibri"/>
                <w:noProof/>
                <w:color w:val="006100"/>
                <w:sz w:val="18"/>
                <w:szCs w:val="18"/>
                <w:bdr w:val="none" w:sz="0" w:space="0" w:color="auto" w:frame="1"/>
              </w:rPr>
              <w:t>Meža atjaunošana, atjaunošana un profilakse — līgumi 3</w:t>
            </w:r>
            <w:r>
              <w:rPr>
                <w:rStyle w:val="normaltextrun"/>
                <w:noProof/>
                <w:bdr w:val="none" w:sz="0" w:space="0" w:color="auto" w:frame="1"/>
              </w:rPr>
              <w:t> </w:t>
            </w:r>
          </w:p>
        </w:tc>
        <w:tc>
          <w:tcPr>
            <w:tcW w:w="1560" w:type="dxa"/>
            <w:tcBorders>
              <w:top w:val="single" w:sz="4" w:space="0" w:color="auto"/>
              <w:left w:val="nil"/>
              <w:bottom w:val="single" w:sz="4" w:space="0" w:color="auto"/>
              <w:right w:val="single" w:sz="4" w:space="0" w:color="auto"/>
            </w:tcBorders>
            <w:shd w:val="clear" w:color="auto" w:fill="C6EFCE"/>
            <w:noWrap/>
          </w:tcPr>
          <w:p w14:paraId="3E96B9F7" w14:textId="634B64B3" w:rsidR="00CB0FCB" w:rsidRDefault="009D2B11">
            <w:pPr>
              <w:spacing w:after="0" w:line="240" w:lineRule="auto"/>
              <w:rPr>
                <w:rStyle w:val="normaltextrun"/>
                <w:rFonts w:cs="Calibri"/>
                <w:noProof/>
                <w:szCs w:val="18"/>
                <w:bdr w:val="none" w:sz="0" w:space="0" w:color="auto" w:frame="1"/>
              </w:rPr>
            </w:pPr>
            <w:r>
              <w:rPr>
                <w:rStyle w:val="normaltextrun"/>
                <w:rFonts w:cs="Calibri"/>
                <w:noProof/>
                <w:color w:val="006100"/>
                <w:sz w:val="18"/>
                <w:szCs w:val="18"/>
                <w:bdr w:val="none" w:sz="0" w:space="0" w:color="auto" w:frame="1"/>
              </w:rPr>
              <w:t>Paziņojums par līgumu slēgšanas tiesību piešķiršanu</w:t>
            </w:r>
            <w:r>
              <w:rPr>
                <w:rStyle w:val="normaltextrun"/>
                <w:noProof/>
                <w:bdr w:val="none" w:sz="0" w:space="0" w:color="auto" w:frame="1"/>
              </w:rPr>
              <w:t> </w:t>
            </w:r>
          </w:p>
        </w:tc>
        <w:tc>
          <w:tcPr>
            <w:tcW w:w="992" w:type="dxa"/>
            <w:tcBorders>
              <w:top w:val="single" w:sz="4" w:space="0" w:color="auto"/>
              <w:left w:val="nil"/>
              <w:bottom w:val="single" w:sz="4" w:space="0" w:color="auto"/>
              <w:right w:val="single" w:sz="4" w:space="0" w:color="auto"/>
            </w:tcBorders>
            <w:shd w:val="clear" w:color="auto" w:fill="C6EFCE"/>
            <w:noWrap/>
          </w:tcPr>
          <w:p w14:paraId="37690C47" w14:textId="77777777" w:rsidR="00CB0FCB" w:rsidRDefault="00CB0FCB">
            <w:pPr>
              <w:spacing w:after="0" w:line="240" w:lineRule="auto"/>
              <w:rPr>
                <w:rStyle w:val="normaltextrun"/>
                <w:noProof/>
                <w:bdr w:val="none" w:sz="0" w:space="0" w:color="auto" w:frame="1"/>
              </w:rPr>
            </w:pPr>
          </w:p>
        </w:tc>
        <w:tc>
          <w:tcPr>
            <w:tcW w:w="992" w:type="dxa"/>
            <w:tcBorders>
              <w:top w:val="single" w:sz="4" w:space="0" w:color="auto"/>
              <w:left w:val="nil"/>
              <w:bottom w:val="single" w:sz="4" w:space="0" w:color="auto"/>
              <w:right w:val="single" w:sz="4" w:space="0" w:color="auto"/>
            </w:tcBorders>
            <w:shd w:val="clear" w:color="auto" w:fill="C6EFCE"/>
            <w:noWrap/>
          </w:tcPr>
          <w:p w14:paraId="5408C793" w14:textId="77777777" w:rsidR="00CB0FCB" w:rsidRDefault="00CB0FCB">
            <w:pPr>
              <w:spacing w:after="0" w:line="240" w:lineRule="auto"/>
              <w:rPr>
                <w:rStyle w:val="normaltextrun"/>
                <w:noProof/>
                <w:bdr w:val="none" w:sz="0" w:space="0" w:color="auto" w:frame="1"/>
              </w:rPr>
            </w:pPr>
          </w:p>
        </w:tc>
        <w:tc>
          <w:tcPr>
            <w:tcW w:w="709" w:type="dxa"/>
            <w:tcBorders>
              <w:top w:val="single" w:sz="4" w:space="0" w:color="auto"/>
              <w:left w:val="nil"/>
              <w:bottom w:val="single" w:sz="4" w:space="0" w:color="auto"/>
              <w:right w:val="single" w:sz="4" w:space="0" w:color="auto"/>
            </w:tcBorders>
            <w:shd w:val="clear" w:color="auto" w:fill="C6EFCE"/>
            <w:noWrap/>
          </w:tcPr>
          <w:p w14:paraId="6FDD2CB0" w14:textId="77777777" w:rsidR="00CB0FCB" w:rsidRDefault="00CB0FCB">
            <w:pPr>
              <w:spacing w:after="0" w:line="240" w:lineRule="auto"/>
              <w:rPr>
                <w:rStyle w:val="normaltextrun"/>
                <w:noProof/>
                <w:bdr w:val="none" w:sz="0" w:space="0" w:color="auto" w:frame="1"/>
              </w:rPr>
            </w:pPr>
          </w:p>
        </w:tc>
        <w:tc>
          <w:tcPr>
            <w:tcW w:w="888" w:type="dxa"/>
            <w:tcBorders>
              <w:top w:val="single" w:sz="4" w:space="0" w:color="auto"/>
              <w:left w:val="nil"/>
              <w:bottom w:val="single" w:sz="4" w:space="0" w:color="auto"/>
              <w:right w:val="single" w:sz="4" w:space="0" w:color="auto"/>
            </w:tcBorders>
            <w:shd w:val="clear" w:color="auto" w:fill="C6EFCE"/>
            <w:noWrap/>
          </w:tcPr>
          <w:p w14:paraId="1308576C" w14:textId="4EC7F47A" w:rsidR="00CB0FCB" w:rsidRDefault="009D2B11">
            <w:pPr>
              <w:spacing w:after="0" w:line="240" w:lineRule="auto"/>
              <w:rPr>
                <w:rStyle w:val="normaltextrun"/>
                <w:rFonts w:cs="Calibri"/>
                <w:noProof/>
                <w:szCs w:val="18"/>
                <w:bdr w:val="none" w:sz="0" w:space="0" w:color="auto" w:frame="1"/>
              </w:rPr>
            </w:pPr>
            <w:r>
              <w:rPr>
                <w:rStyle w:val="normaltextrun"/>
                <w:rFonts w:cs="Calibri"/>
                <w:noProof/>
                <w:color w:val="006100"/>
                <w:sz w:val="18"/>
                <w:szCs w:val="18"/>
                <w:bdr w:val="none" w:sz="0" w:space="0" w:color="auto" w:frame="1"/>
              </w:rPr>
              <w:t>4. CET.</w:t>
            </w:r>
            <w:r>
              <w:rPr>
                <w:rStyle w:val="normaltextrun"/>
                <w:noProof/>
                <w:bdr w:val="none" w:sz="0" w:space="0" w:color="auto" w:frame="1"/>
              </w:rPr>
              <w:t> </w:t>
            </w:r>
          </w:p>
        </w:tc>
        <w:tc>
          <w:tcPr>
            <w:tcW w:w="823" w:type="dxa"/>
            <w:tcBorders>
              <w:top w:val="single" w:sz="4" w:space="0" w:color="auto"/>
              <w:left w:val="nil"/>
              <w:bottom w:val="single" w:sz="4" w:space="0" w:color="auto"/>
              <w:right w:val="single" w:sz="4" w:space="0" w:color="auto"/>
            </w:tcBorders>
            <w:shd w:val="clear" w:color="auto" w:fill="C6EFCE"/>
            <w:noWrap/>
          </w:tcPr>
          <w:p w14:paraId="420E8AE6" w14:textId="1FC4DC16" w:rsidR="00CB0FCB" w:rsidRDefault="009D2B11">
            <w:pPr>
              <w:spacing w:after="0" w:line="240" w:lineRule="auto"/>
              <w:rPr>
                <w:rStyle w:val="normaltextrun"/>
                <w:rFonts w:cs="Calibri"/>
                <w:noProof/>
                <w:szCs w:val="18"/>
                <w:bdr w:val="none" w:sz="0" w:space="0" w:color="auto" w:frame="1"/>
              </w:rPr>
            </w:pPr>
            <w:r>
              <w:rPr>
                <w:rStyle w:val="normaltextrun"/>
                <w:rFonts w:cs="Calibri"/>
                <w:noProof/>
                <w:color w:val="006100"/>
                <w:sz w:val="18"/>
                <w:szCs w:val="18"/>
                <w:bdr w:val="none" w:sz="0" w:space="0" w:color="auto" w:frame="1"/>
              </w:rPr>
              <w:t>2024</w:t>
            </w:r>
            <w:r>
              <w:rPr>
                <w:rStyle w:val="normaltextrun"/>
                <w:noProof/>
                <w:bdr w:val="none" w:sz="0" w:space="0" w:color="auto" w:frame="1"/>
              </w:rPr>
              <w:t> </w:t>
            </w:r>
          </w:p>
        </w:tc>
        <w:tc>
          <w:tcPr>
            <w:tcW w:w="3148" w:type="dxa"/>
            <w:tcBorders>
              <w:top w:val="single" w:sz="4" w:space="0" w:color="auto"/>
              <w:left w:val="nil"/>
              <w:bottom w:val="single" w:sz="4" w:space="0" w:color="auto"/>
              <w:right w:val="single" w:sz="4" w:space="0" w:color="auto"/>
            </w:tcBorders>
            <w:shd w:val="clear" w:color="auto" w:fill="C6EFCE"/>
            <w:noWrap/>
          </w:tcPr>
          <w:p w14:paraId="42F36A07" w14:textId="34E466EE" w:rsidR="00CB0FCB" w:rsidRDefault="009D2B11">
            <w:pPr>
              <w:spacing w:after="0" w:line="240" w:lineRule="auto"/>
              <w:rPr>
                <w:rStyle w:val="normaltextrun"/>
                <w:rFonts w:cs="Calibri"/>
                <w:noProof/>
                <w:bdr w:val="none" w:sz="0" w:space="0" w:color="auto" w:frame="1"/>
              </w:rPr>
            </w:pPr>
            <w:r>
              <w:rPr>
                <w:rStyle w:val="normaltextrun"/>
                <w:rFonts w:cs="Calibri"/>
                <w:noProof/>
                <w:color w:val="006100"/>
                <w:sz w:val="18"/>
                <w:szCs w:val="18"/>
              </w:rPr>
              <w:t>Paziņojums par visu līgumu slēgšanas tiesību piešķiršanu saistībā ar Antinero III par 41 200 ha degradētu meža ekosistēmu modernizāciju, tostarp mežu un mežu izciršanu, meža ceļu tīkla un esošās ugunsdrošības zonas uzturēšanu, jauktu ugunsdrošības zonu izveidi un tādu papildu darbu plūsmu izveidi kā biomasas apsaimniekošana, betona grāvji, caurtekas, Īrijas krustojumi, uzbērumi, ugunsdzēsēju torņi, ceļa gultnes būvniecība, ūdens tvertnes.</w:t>
            </w:r>
          </w:p>
        </w:tc>
      </w:tr>
      <w:tr w:rsidR="00CB0FCB" w14:paraId="3408F59B" w14:textId="77777777">
        <w:trPr>
          <w:trHeight w:val="313"/>
          <w:tblHead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6DA16859" w14:textId="180C5995" w:rsidR="00CB0FCB" w:rsidRDefault="009D2B11">
            <w:pPr>
              <w:pStyle w:val="P68B1DB1-Normal9"/>
              <w:spacing w:after="0" w:line="240" w:lineRule="auto"/>
              <w:rPr>
                <w:noProof/>
              </w:rPr>
            </w:pPr>
            <w:r>
              <w:rPr>
                <w:noProof/>
              </w:rPr>
              <w:t>63</w:t>
            </w:r>
          </w:p>
        </w:tc>
        <w:tc>
          <w:tcPr>
            <w:tcW w:w="1881" w:type="dxa"/>
            <w:tcBorders>
              <w:top w:val="single" w:sz="4" w:space="0" w:color="auto"/>
              <w:left w:val="nil"/>
              <w:bottom w:val="single" w:sz="4" w:space="0" w:color="auto"/>
              <w:right w:val="single" w:sz="4" w:space="0" w:color="auto"/>
            </w:tcBorders>
            <w:shd w:val="clear" w:color="auto" w:fill="C6EFCE"/>
            <w:noWrap/>
          </w:tcPr>
          <w:p w14:paraId="642D1025" w14:textId="085A300B" w:rsidR="00CB0FCB" w:rsidRDefault="009D2B11">
            <w:pPr>
              <w:pStyle w:val="P68B1DB1-Normal9"/>
              <w:spacing w:after="0" w:line="240" w:lineRule="auto"/>
              <w:rPr>
                <w:noProof/>
              </w:rPr>
            </w:pPr>
            <w:r>
              <w:rPr>
                <w:noProof/>
              </w:rPr>
              <w:t>4–1.4. Resursu ilgtspējīga izmantošana, klimatnoturība un vides aizsardzība — 16849_ Valsts meža atjaunošanas plāns, atjaunošana un novēršana (“antiNERO”), preterozijas un pretplūdu aizsardzības pasākumi</w:t>
            </w:r>
          </w:p>
        </w:tc>
        <w:tc>
          <w:tcPr>
            <w:tcW w:w="993" w:type="dxa"/>
            <w:tcBorders>
              <w:top w:val="single" w:sz="4" w:space="0" w:color="auto"/>
              <w:left w:val="nil"/>
              <w:bottom w:val="single" w:sz="4" w:space="0" w:color="auto"/>
              <w:right w:val="single" w:sz="4" w:space="0" w:color="auto"/>
            </w:tcBorders>
            <w:shd w:val="clear" w:color="auto" w:fill="C6EFCE"/>
            <w:noWrap/>
          </w:tcPr>
          <w:p w14:paraId="2FD15859" w14:textId="061FFA30" w:rsidR="00CB0FCB" w:rsidRDefault="009D2B11">
            <w:pPr>
              <w:pStyle w:val="P68B1DB1-Normal9"/>
              <w:spacing w:after="0" w:line="240" w:lineRule="auto"/>
              <w:rPr>
                <w:noProof/>
              </w:rPr>
            </w:pPr>
            <w:r>
              <w:rPr>
                <w:noProof/>
              </w:rPr>
              <w:t>Atskaites punkts</w:t>
            </w:r>
          </w:p>
        </w:tc>
        <w:tc>
          <w:tcPr>
            <w:tcW w:w="2256" w:type="dxa"/>
            <w:tcBorders>
              <w:top w:val="single" w:sz="4" w:space="0" w:color="auto"/>
              <w:left w:val="nil"/>
              <w:bottom w:val="single" w:sz="4" w:space="0" w:color="auto"/>
              <w:right w:val="single" w:sz="4" w:space="0" w:color="auto"/>
            </w:tcBorders>
            <w:shd w:val="clear" w:color="auto" w:fill="C6EFCE"/>
            <w:noWrap/>
          </w:tcPr>
          <w:p w14:paraId="0D37204F" w14:textId="58B220DD" w:rsidR="00CB0FCB" w:rsidRDefault="009D2B11">
            <w:pPr>
              <w:pStyle w:val="P68B1DB1-Normal9"/>
              <w:spacing w:after="0" w:line="240" w:lineRule="auto"/>
              <w:rPr>
                <w:noProof/>
              </w:rPr>
            </w:pPr>
            <w:r>
              <w:rPr>
                <w:noProof/>
              </w:rPr>
              <w:t xml:space="preserve"> Meža atjaunošana, atjaunošana un profilakse — darbu pabeigšana</w:t>
            </w:r>
          </w:p>
        </w:tc>
        <w:tc>
          <w:tcPr>
            <w:tcW w:w="1560" w:type="dxa"/>
            <w:tcBorders>
              <w:top w:val="single" w:sz="4" w:space="0" w:color="auto"/>
              <w:left w:val="nil"/>
              <w:bottom w:val="single" w:sz="4" w:space="0" w:color="auto"/>
              <w:right w:val="single" w:sz="4" w:space="0" w:color="auto"/>
            </w:tcBorders>
            <w:shd w:val="clear" w:color="auto" w:fill="C6EFCE"/>
            <w:noWrap/>
          </w:tcPr>
          <w:p w14:paraId="16DF1F3D" w14:textId="564BB00D" w:rsidR="00CB0FCB" w:rsidRDefault="009D2B11">
            <w:pPr>
              <w:pStyle w:val="P68B1DB1-Normal9"/>
              <w:spacing w:after="0" w:line="240" w:lineRule="auto"/>
              <w:rPr>
                <w:noProof/>
              </w:rPr>
            </w:pPr>
            <w:r>
              <w:rPr>
                <w:noProof/>
              </w:rPr>
              <w:t>Vides ministrijas sertifikāts par projektu pabeigšanu</w:t>
            </w:r>
          </w:p>
        </w:tc>
        <w:tc>
          <w:tcPr>
            <w:tcW w:w="992" w:type="dxa"/>
            <w:tcBorders>
              <w:top w:val="single" w:sz="4" w:space="0" w:color="auto"/>
              <w:left w:val="nil"/>
              <w:bottom w:val="single" w:sz="4" w:space="0" w:color="auto"/>
              <w:right w:val="single" w:sz="4" w:space="0" w:color="auto"/>
            </w:tcBorders>
            <w:shd w:val="clear" w:color="auto" w:fill="C6EFCE"/>
            <w:noWrap/>
          </w:tcPr>
          <w:p w14:paraId="08BE24E8"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019A7F2C" w14:textId="77777777" w:rsidR="00CB0FCB" w:rsidRDefault="00CB0FCB">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1F0D78E1" w14:textId="77777777" w:rsidR="00CB0FCB" w:rsidRDefault="00CB0FCB">
            <w:pPr>
              <w:spacing w:after="0" w:line="240" w:lineRule="auto"/>
              <w:rPr>
                <w:rFonts w:eastAsia="Times New Roman" w:cs="Calibri"/>
                <w:noProof/>
                <w:color w:val="006100"/>
                <w:sz w:val="18"/>
                <w:szCs w:val="18"/>
              </w:rPr>
            </w:pPr>
          </w:p>
        </w:tc>
        <w:tc>
          <w:tcPr>
            <w:tcW w:w="888" w:type="dxa"/>
            <w:tcBorders>
              <w:top w:val="single" w:sz="4" w:space="0" w:color="auto"/>
              <w:left w:val="nil"/>
              <w:bottom w:val="single" w:sz="4" w:space="0" w:color="auto"/>
              <w:right w:val="single" w:sz="4" w:space="0" w:color="auto"/>
            </w:tcBorders>
            <w:shd w:val="clear" w:color="auto" w:fill="C6EFCE"/>
            <w:noWrap/>
          </w:tcPr>
          <w:p w14:paraId="62E30490" w14:textId="30ADBE83" w:rsidR="00CB0FCB" w:rsidRDefault="009D2B11">
            <w:pPr>
              <w:pStyle w:val="P68B1DB1-Normal9"/>
              <w:spacing w:after="0" w:line="240" w:lineRule="auto"/>
              <w:rPr>
                <w:noProof/>
              </w:rPr>
            </w:pPr>
            <w:r>
              <w:rPr>
                <w:noProof/>
              </w:rPr>
              <w:t>4. CET.</w:t>
            </w:r>
          </w:p>
        </w:tc>
        <w:tc>
          <w:tcPr>
            <w:tcW w:w="823" w:type="dxa"/>
            <w:tcBorders>
              <w:top w:val="single" w:sz="4" w:space="0" w:color="auto"/>
              <w:left w:val="nil"/>
              <w:bottom w:val="single" w:sz="4" w:space="0" w:color="auto"/>
              <w:right w:val="single" w:sz="4" w:space="0" w:color="auto"/>
            </w:tcBorders>
            <w:shd w:val="clear" w:color="auto" w:fill="C6EFCE"/>
            <w:noWrap/>
          </w:tcPr>
          <w:p w14:paraId="3A32EFD4" w14:textId="394D7CB9" w:rsidR="00CB0FCB" w:rsidRDefault="009D2B11">
            <w:pPr>
              <w:pStyle w:val="P68B1DB1-Normal9"/>
              <w:spacing w:after="0" w:line="240" w:lineRule="auto"/>
              <w:rPr>
                <w:noProof/>
              </w:rPr>
            </w:pPr>
            <w:r>
              <w:rPr>
                <w:noProof/>
              </w:rPr>
              <w:t>2025</w:t>
            </w:r>
          </w:p>
        </w:tc>
        <w:tc>
          <w:tcPr>
            <w:tcW w:w="3148" w:type="dxa"/>
            <w:tcBorders>
              <w:top w:val="single" w:sz="4" w:space="0" w:color="auto"/>
              <w:left w:val="nil"/>
              <w:bottom w:val="single" w:sz="4" w:space="0" w:color="auto"/>
              <w:right w:val="single" w:sz="4" w:space="0" w:color="auto"/>
            </w:tcBorders>
            <w:shd w:val="clear" w:color="auto" w:fill="C6EFCE"/>
            <w:noWrap/>
          </w:tcPr>
          <w:p w14:paraId="050AAB19" w14:textId="77777777" w:rsidR="00CB0FCB" w:rsidRDefault="009D2B11">
            <w:pPr>
              <w:pStyle w:val="P68B1DB1-Normal10"/>
              <w:spacing w:after="0" w:line="240" w:lineRule="auto"/>
              <w:rPr>
                <w:rFonts w:eastAsia="Times New Roman" w:cs="Calibri"/>
                <w:noProof/>
              </w:rPr>
            </w:pPr>
            <w:r>
              <w:rPr>
                <w:noProof/>
              </w:rPr>
              <w:t>Visu darbu pabeigšana attiecībā uz:</w:t>
            </w:r>
          </w:p>
          <w:p w14:paraId="05528FB0" w14:textId="77777777" w:rsidR="00CB0FCB" w:rsidRDefault="009D2B11">
            <w:pPr>
              <w:pStyle w:val="P68B1DB1-Normal9"/>
              <w:spacing w:after="0" w:line="240" w:lineRule="auto"/>
              <w:rPr>
                <w:rFonts w:eastAsia="Times New Roman" w:cs="Calibri"/>
                <w:noProof/>
                <w:szCs w:val="18"/>
              </w:rPr>
            </w:pPr>
            <w:r>
              <w:rPr>
                <w:noProof/>
              </w:rPr>
              <w:t xml:space="preserve">— 5 700 ha degradētu meža ekosistēmu atjaunošana Grieķijā, stādot stādījumus, kuros izmanto vismaz 50 % vietējo sugu. (Meža atjaunošana — pirmais apakšprojekts). </w:t>
            </w:r>
          </w:p>
          <w:p w14:paraId="4B5F0FDB" w14:textId="77777777" w:rsidR="00CB0FCB" w:rsidRDefault="009D2B11">
            <w:pPr>
              <w:pStyle w:val="P68B1DB1-Normal9"/>
              <w:spacing w:after="0" w:line="240" w:lineRule="auto"/>
              <w:rPr>
                <w:rFonts w:eastAsia="Times New Roman" w:cs="Calibri"/>
                <w:noProof/>
                <w:szCs w:val="18"/>
              </w:rPr>
            </w:pPr>
            <w:r>
              <w:rPr>
                <w:noProof/>
              </w:rPr>
              <w:t xml:space="preserve">— četru meža stādaudzētavu modernizācija un modernizācija; </w:t>
            </w:r>
          </w:p>
          <w:p w14:paraId="18F011E3" w14:textId="77777777" w:rsidR="00CB0FCB" w:rsidRDefault="009D2B11">
            <w:pPr>
              <w:pStyle w:val="P68B1DB1-Normal9"/>
              <w:spacing w:after="0" w:line="240" w:lineRule="auto"/>
              <w:rPr>
                <w:rFonts w:eastAsia="Times New Roman" w:cs="Calibri"/>
                <w:noProof/>
                <w:szCs w:val="18"/>
              </w:rPr>
            </w:pPr>
            <w:r>
              <w:rPr>
                <w:noProof/>
              </w:rPr>
              <w:t>valsts meža atjaunošanas plāna izmēģinājuma īstenošana</w:t>
            </w:r>
          </w:p>
          <w:p w14:paraId="4CEAF653" w14:textId="353A057C" w:rsidR="00CB0FCB" w:rsidRDefault="009D2B11">
            <w:pPr>
              <w:pStyle w:val="P68B1DB1-Normal10"/>
              <w:spacing w:after="0" w:line="240" w:lineRule="auto"/>
              <w:rPr>
                <w:noProof/>
              </w:rPr>
            </w:pPr>
            <w:r>
              <w:rPr>
                <w:noProof/>
              </w:rPr>
              <w:t>AntiNERO I, II, III &amp; IV (par 87 900 ha degradētu ekosistēmu modernizāciju, izmantojot mežu un mežu izciršanu, meža ceļu un esošo ugunsdrošības zonu uzturēšanu, jauktu ugunsdrošības zonu izveidi un tādu papildu darba plūsmu izveidi kā biomasas apsaimniekošana, betona grāvji, caurtekas, Īrijas krustojumi, uzbērumi, ugunsdzēsēju torņi, ceļa gultnes būvniecība, ūdens tvertnes). . Kopējais šo programmu budžets pasākuma darbības laikā ir vismaz EUR 411300000.</w:t>
            </w:r>
          </w:p>
          <w:p w14:paraId="4F275C33" w14:textId="6CF8A537" w:rsidR="00CB0FCB" w:rsidRDefault="009D2B11">
            <w:pPr>
              <w:pStyle w:val="P68B1DB1-Normal10"/>
              <w:spacing w:after="0" w:line="240" w:lineRule="auto"/>
              <w:rPr>
                <w:noProof/>
              </w:rPr>
            </w:pPr>
            <w:r>
              <w:rPr>
                <w:noProof/>
              </w:rPr>
              <w:t>— Preterozijas un plūdu novēršanas pasākumi Evrā un Rodopē, kas kopā aptver 5 000 ha erozijas novēršanas darbu un 175 000 m² pretplūdu aizsardzības darbu. Papildu atjaunošanas darbi ietver preterozijas un pretplūdu aizsardzības pasākumus visā Grieķijā, kas aptver 1 221 ha erozijas novēršanas darbu un 226 437 m² pretplūdu aizsardzības darbu.</w:t>
            </w:r>
          </w:p>
        </w:tc>
      </w:tr>
    </w:tbl>
    <w:p w14:paraId="585A6A42" w14:textId="7EF53F5B" w:rsidR="00CB0FCB" w:rsidRDefault="00CB0FCB">
      <w:pPr>
        <w:rPr>
          <w:noProof/>
        </w:rPr>
      </w:pPr>
    </w:p>
    <w:tbl>
      <w:tblPr>
        <w:tblpPr w:leftFromText="180" w:rightFromText="180" w:vertAnchor="text" w:tblpXSpec="center" w:tblpY="1"/>
        <w:tblOverlap w:val="neve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710"/>
        <w:gridCol w:w="1659"/>
        <w:gridCol w:w="2047"/>
        <w:gridCol w:w="1421"/>
        <w:gridCol w:w="1018"/>
        <w:gridCol w:w="1286"/>
        <w:gridCol w:w="715"/>
        <w:gridCol w:w="951"/>
        <w:gridCol w:w="760"/>
        <w:gridCol w:w="2846"/>
      </w:tblGrid>
      <w:tr w:rsidR="00CB0FCB" w14:paraId="1476D068" w14:textId="77777777">
        <w:trPr>
          <w:trHeight w:val="599"/>
          <w:tblHeader/>
        </w:trPr>
        <w:tc>
          <w:tcPr>
            <w:tcW w:w="1054" w:type="dxa"/>
            <w:vMerge w:val="restart"/>
            <w:shd w:val="clear" w:color="auto" w:fill="B8CCE4" w:themeFill="accent1" w:themeFillTint="66"/>
            <w:noWrap/>
            <w:vAlign w:val="center"/>
          </w:tcPr>
          <w:p w14:paraId="2F0046D1" w14:textId="724B932F" w:rsidR="00CB0FCB" w:rsidRDefault="009D2B11">
            <w:pPr>
              <w:pStyle w:val="P68B1DB1-Normal7"/>
              <w:spacing w:after="0" w:line="240" w:lineRule="auto"/>
              <w:jc w:val="center"/>
              <w:rPr>
                <w:noProof/>
                <w:color w:val="006100"/>
              </w:rPr>
            </w:pPr>
            <w:r>
              <w:rPr>
                <w:noProof/>
              </w:rPr>
              <w:t>Kārtas numurs</w:t>
            </w:r>
          </w:p>
        </w:tc>
        <w:tc>
          <w:tcPr>
            <w:tcW w:w="1864" w:type="dxa"/>
            <w:vMerge w:val="restart"/>
            <w:shd w:val="clear" w:color="auto" w:fill="B8CCE4" w:themeFill="accent1" w:themeFillTint="66"/>
            <w:noWrap/>
            <w:vAlign w:val="center"/>
          </w:tcPr>
          <w:p w14:paraId="38A9902D" w14:textId="77777777" w:rsidR="00CB0FCB" w:rsidRDefault="009D2B11">
            <w:pPr>
              <w:pStyle w:val="P68B1DB1-Normal7"/>
              <w:spacing w:after="0" w:line="240" w:lineRule="auto"/>
              <w:jc w:val="center"/>
              <w:rPr>
                <w:noProof/>
                <w:color w:val="006100"/>
              </w:rPr>
            </w:pPr>
            <w:r>
              <w:rPr>
                <w:noProof/>
              </w:rPr>
              <w:t>Saistītais pasākums (reforma vai ieguldījums)</w:t>
            </w:r>
          </w:p>
        </w:tc>
        <w:tc>
          <w:tcPr>
            <w:tcW w:w="985" w:type="dxa"/>
            <w:vMerge w:val="restart"/>
            <w:shd w:val="clear" w:color="auto" w:fill="B8CCE4" w:themeFill="accent1" w:themeFillTint="66"/>
            <w:noWrap/>
            <w:vAlign w:val="center"/>
          </w:tcPr>
          <w:p w14:paraId="5C0CD66D" w14:textId="77777777" w:rsidR="00CB0FCB" w:rsidRDefault="009D2B11">
            <w:pPr>
              <w:pStyle w:val="P68B1DB1-Normal7"/>
              <w:spacing w:after="0" w:line="240" w:lineRule="auto"/>
              <w:jc w:val="center"/>
              <w:rPr>
                <w:noProof/>
                <w:color w:val="006100"/>
              </w:rPr>
            </w:pPr>
            <w:r>
              <w:rPr>
                <w:noProof/>
              </w:rPr>
              <w:t>Atskaites punkts/mērķrādītājs</w:t>
            </w:r>
          </w:p>
        </w:tc>
        <w:tc>
          <w:tcPr>
            <w:tcW w:w="2235" w:type="dxa"/>
            <w:vMerge w:val="restart"/>
            <w:shd w:val="clear" w:color="auto" w:fill="B8CCE4" w:themeFill="accent1" w:themeFillTint="66"/>
            <w:noWrap/>
            <w:vAlign w:val="center"/>
          </w:tcPr>
          <w:p w14:paraId="738B09C2" w14:textId="77777777" w:rsidR="00CB0FCB" w:rsidRDefault="009D2B11">
            <w:pPr>
              <w:pStyle w:val="P68B1DB1-Normal7"/>
              <w:spacing w:after="0" w:line="240" w:lineRule="auto"/>
              <w:jc w:val="center"/>
              <w:rPr>
                <w:noProof/>
                <w:color w:val="006100"/>
              </w:rPr>
            </w:pPr>
            <w:r>
              <w:rPr>
                <w:noProof/>
              </w:rPr>
              <w:t>Nosaukums</w:t>
            </w:r>
          </w:p>
        </w:tc>
        <w:tc>
          <w:tcPr>
            <w:tcW w:w="1545" w:type="dxa"/>
            <w:vMerge w:val="restart"/>
            <w:shd w:val="clear" w:color="auto" w:fill="B8CCE4" w:themeFill="accent1" w:themeFillTint="66"/>
            <w:noWrap/>
            <w:vAlign w:val="center"/>
          </w:tcPr>
          <w:p w14:paraId="3802427A" w14:textId="77777777" w:rsidR="00CB0FCB" w:rsidRDefault="009D2B11">
            <w:pPr>
              <w:pStyle w:val="P68B1DB1-Normal7"/>
              <w:spacing w:after="0" w:line="240" w:lineRule="auto"/>
              <w:jc w:val="center"/>
              <w:rPr>
                <w:noProof/>
                <w:color w:val="006100"/>
              </w:rPr>
            </w:pPr>
            <w:r>
              <w:rPr>
                <w:noProof/>
              </w:rPr>
              <w:t>Kvalitatīvie rādītāji (atskaites punktiem)</w:t>
            </w:r>
          </w:p>
        </w:tc>
        <w:tc>
          <w:tcPr>
            <w:tcW w:w="2893" w:type="dxa"/>
            <w:gridSpan w:val="3"/>
            <w:shd w:val="clear" w:color="auto" w:fill="B8CCE4" w:themeFill="accent1" w:themeFillTint="66"/>
            <w:noWrap/>
            <w:vAlign w:val="center"/>
          </w:tcPr>
          <w:p w14:paraId="49BD047B" w14:textId="77777777" w:rsidR="00CB0FCB" w:rsidRDefault="009D2B11">
            <w:pPr>
              <w:pStyle w:val="P68B1DB1-Normal7"/>
              <w:spacing w:after="0" w:line="240" w:lineRule="auto"/>
              <w:jc w:val="center"/>
              <w:rPr>
                <w:rFonts w:eastAsia="Times New Roman" w:cs="Calibri"/>
                <w:noProof/>
                <w:color w:val="006100"/>
                <w:szCs w:val="18"/>
              </w:rPr>
            </w:pPr>
            <w:r>
              <w:rPr>
                <w:noProof/>
              </w:rPr>
              <w:t>Kvantitatīvie rādītāji (mērķiem)</w:t>
            </w:r>
          </w:p>
        </w:tc>
        <w:tc>
          <w:tcPr>
            <w:tcW w:w="1697" w:type="dxa"/>
            <w:gridSpan w:val="2"/>
            <w:shd w:val="clear" w:color="auto" w:fill="B8CCE4" w:themeFill="accent1" w:themeFillTint="66"/>
            <w:noWrap/>
            <w:vAlign w:val="center"/>
          </w:tcPr>
          <w:p w14:paraId="7361CB6E" w14:textId="77777777" w:rsidR="00CB0FCB" w:rsidRDefault="009D2B11">
            <w:pPr>
              <w:pStyle w:val="P68B1DB1-Normal7"/>
              <w:spacing w:after="0" w:line="240" w:lineRule="auto"/>
              <w:jc w:val="center"/>
              <w:rPr>
                <w:noProof/>
                <w:color w:val="006100"/>
              </w:rPr>
            </w:pPr>
            <w:r>
              <w:rPr>
                <w:noProof/>
              </w:rPr>
              <w:t>Orientējošs pabeigšanas termiņš</w:t>
            </w:r>
          </w:p>
        </w:tc>
        <w:tc>
          <w:tcPr>
            <w:tcW w:w="3116" w:type="dxa"/>
            <w:vMerge w:val="restart"/>
            <w:shd w:val="clear" w:color="auto" w:fill="B8CCE4" w:themeFill="accent1" w:themeFillTint="66"/>
            <w:noWrap/>
            <w:vAlign w:val="center"/>
          </w:tcPr>
          <w:p w14:paraId="09C6389F" w14:textId="77777777" w:rsidR="00CB0FCB" w:rsidRDefault="009D2B11">
            <w:pPr>
              <w:pStyle w:val="P68B1DB1-Normal7"/>
              <w:spacing w:after="0" w:line="240" w:lineRule="auto"/>
              <w:jc w:val="center"/>
              <w:rPr>
                <w:noProof/>
                <w:color w:val="006100"/>
              </w:rPr>
            </w:pPr>
            <w:r>
              <w:rPr>
                <w:noProof/>
              </w:rPr>
              <w:t>Apraksts par katru atskaites punktu un mērķrādītāju</w:t>
            </w:r>
          </w:p>
        </w:tc>
      </w:tr>
      <w:tr w:rsidR="00CB0FCB" w14:paraId="50A0582B" w14:textId="77777777">
        <w:trPr>
          <w:trHeight w:val="548"/>
          <w:tblHeader/>
        </w:trPr>
        <w:tc>
          <w:tcPr>
            <w:tcW w:w="1054" w:type="dxa"/>
            <w:vMerge/>
            <w:noWrap/>
            <w:vAlign w:val="center"/>
          </w:tcPr>
          <w:p w14:paraId="2D25D271" w14:textId="77777777" w:rsidR="00CB0FCB" w:rsidRDefault="00CB0FCB">
            <w:pPr>
              <w:spacing w:after="0" w:line="240" w:lineRule="auto"/>
              <w:rPr>
                <w:rFonts w:ascii="Times New Roman" w:hAnsi="Times New Roman"/>
                <w:b/>
                <w:noProof/>
                <w:sz w:val="18"/>
              </w:rPr>
            </w:pPr>
          </w:p>
        </w:tc>
        <w:tc>
          <w:tcPr>
            <w:tcW w:w="1864" w:type="dxa"/>
            <w:vMerge/>
            <w:noWrap/>
            <w:vAlign w:val="center"/>
          </w:tcPr>
          <w:p w14:paraId="1F06F66B" w14:textId="77777777" w:rsidR="00CB0FCB" w:rsidRDefault="00CB0FCB">
            <w:pPr>
              <w:spacing w:after="0" w:line="240" w:lineRule="auto"/>
              <w:rPr>
                <w:rFonts w:ascii="Times New Roman" w:hAnsi="Times New Roman"/>
                <w:b/>
                <w:noProof/>
                <w:sz w:val="18"/>
              </w:rPr>
            </w:pPr>
          </w:p>
        </w:tc>
        <w:tc>
          <w:tcPr>
            <w:tcW w:w="985" w:type="dxa"/>
            <w:vMerge/>
            <w:noWrap/>
            <w:vAlign w:val="center"/>
          </w:tcPr>
          <w:p w14:paraId="692837A4" w14:textId="77777777" w:rsidR="00CB0FCB" w:rsidRDefault="00CB0FCB">
            <w:pPr>
              <w:spacing w:after="0" w:line="240" w:lineRule="auto"/>
              <w:rPr>
                <w:rFonts w:ascii="Times New Roman" w:hAnsi="Times New Roman"/>
                <w:b/>
                <w:noProof/>
                <w:sz w:val="18"/>
              </w:rPr>
            </w:pPr>
          </w:p>
        </w:tc>
        <w:tc>
          <w:tcPr>
            <w:tcW w:w="2235" w:type="dxa"/>
            <w:vMerge/>
            <w:noWrap/>
            <w:vAlign w:val="center"/>
          </w:tcPr>
          <w:p w14:paraId="46EB8770" w14:textId="77777777" w:rsidR="00CB0FCB" w:rsidRDefault="00CB0FCB">
            <w:pPr>
              <w:spacing w:after="0" w:line="240" w:lineRule="auto"/>
              <w:rPr>
                <w:rFonts w:ascii="Times New Roman" w:hAnsi="Times New Roman"/>
                <w:b/>
                <w:noProof/>
                <w:sz w:val="18"/>
              </w:rPr>
            </w:pPr>
          </w:p>
        </w:tc>
        <w:tc>
          <w:tcPr>
            <w:tcW w:w="1545" w:type="dxa"/>
            <w:vMerge/>
            <w:noWrap/>
            <w:vAlign w:val="center"/>
          </w:tcPr>
          <w:p w14:paraId="54B7AD00" w14:textId="77777777" w:rsidR="00CB0FCB" w:rsidRDefault="00CB0FCB">
            <w:pPr>
              <w:spacing w:after="0" w:line="240" w:lineRule="auto"/>
              <w:rPr>
                <w:rFonts w:ascii="Times New Roman" w:hAnsi="Times New Roman"/>
                <w:b/>
                <w:noProof/>
                <w:sz w:val="18"/>
              </w:rPr>
            </w:pPr>
          </w:p>
        </w:tc>
        <w:tc>
          <w:tcPr>
            <w:tcW w:w="1101" w:type="dxa"/>
            <w:shd w:val="clear" w:color="auto" w:fill="B8CCE4" w:themeFill="accent1" w:themeFillTint="66"/>
            <w:noWrap/>
            <w:vAlign w:val="center"/>
          </w:tcPr>
          <w:p w14:paraId="2574C69F" w14:textId="77777777" w:rsidR="00CB0FCB" w:rsidRDefault="009D2B11">
            <w:pPr>
              <w:pStyle w:val="P68B1DB1-Normal7"/>
              <w:spacing w:after="0" w:line="240" w:lineRule="auto"/>
              <w:jc w:val="center"/>
              <w:rPr>
                <w:rFonts w:eastAsia="Times New Roman" w:cs="Calibri"/>
                <w:noProof/>
                <w:color w:val="006100"/>
                <w:szCs w:val="18"/>
              </w:rPr>
            </w:pPr>
            <w:r>
              <w:rPr>
                <w:noProof/>
              </w:rPr>
              <w:t>Mēra vienība</w:t>
            </w:r>
          </w:p>
        </w:tc>
        <w:tc>
          <w:tcPr>
            <w:tcW w:w="1120" w:type="dxa"/>
            <w:shd w:val="clear" w:color="auto" w:fill="B8CCE4" w:themeFill="accent1" w:themeFillTint="66"/>
            <w:vAlign w:val="center"/>
          </w:tcPr>
          <w:p w14:paraId="0BF491A4" w14:textId="77777777" w:rsidR="00CB0FCB" w:rsidRDefault="009D2B11">
            <w:pPr>
              <w:pStyle w:val="P68B1DB1-Normal7"/>
              <w:spacing w:after="0" w:line="240" w:lineRule="auto"/>
              <w:jc w:val="center"/>
              <w:rPr>
                <w:rFonts w:eastAsia="Times New Roman" w:cs="Calibri"/>
                <w:noProof/>
                <w:color w:val="006100"/>
                <w:szCs w:val="18"/>
              </w:rPr>
            </w:pPr>
            <w:r>
              <w:rPr>
                <w:noProof/>
              </w:rPr>
              <w:t>Pamatscenārijs</w:t>
            </w:r>
          </w:p>
        </w:tc>
        <w:tc>
          <w:tcPr>
            <w:tcW w:w="672" w:type="dxa"/>
            <w:shd w:val="clear" w:color="auto" w:fill="B8CCE4" w:themeFill="accent1" w:themeFillTint="66"/>
            <w:vAlign w:val="center"/>
          </w:tcPr>
          <w:p w14:paraId="4083E5D1" w14:textId="77777777" w:rsidR="00CB0FCB" w:rsidRDefault="009D2B11">
            <w:pPr>
              <w:pStyle w:val="P68B1DB1-Normal7"/>
              <w:spacing w:after="0" w:line="240" w:lineRule="auto"/>
              <w:jc w:val="center"/>
              <w:rPr>
                <w:rFonts w:eastAsia="Times New Roman" w:cs="Calibri"/>
                <w:noProof/>
                <w:color w:val="006100"/>
                <w:szCs w:val="18"/>
              </w:rPr>
            </w:pPr>
            <w:r>
              <w:rPr>
                <w:noProof/>
              </w:rPr>
              <w:t>Mērķis</w:t>
            </w:r>
          </w:p>
        </w:tc>
        <w:tc>
          <w:tcPr>
            <w:tcW w:w="881" w:type="dxa"/>
            <w:shd w:val="clear" w:color="auto" w:fill="B8CCE4" w:themeFill="accent1" w:themeFillTint="66"/>
            <w:noWrap/>
            <w:vAlign w:val="center"/>
          </w:tcPr>
          <w:p w14:paraId="1F146755" w14:textId="77777777" w:rsidR="00CB0FCB" w:rsidRDefault="009D2B11">
            <w:pPr>
              <w:pStyle w:val="P68B1DB1-Normal7"/>
              <w:spacing w:after="0" w:line="240" w:lineRule="auto"/>
              <w:jc w:val="center"/>
              <w:rPr>
                <w:noProof/>
                <w:color w:val="006100"/>
              </w:rPr>
            </w:pPr>
            <w:r>
              <w:rPr>
                <w:noProof/>
              </w:rPr>
              <w:t>Ceturkšņa laikā</w:t>
            </w:r>
          </w:p>
        </w:tc>
        <w:tc>
          <w:tcPr>
            <w:tcW w:w="816" w:type="dxa"/>
            <w:shd w:val="clear" w:color="auto" w:fill="B8CCE4" w:themeFill="accent1" w:themeFillTint="66"/>
            <w:vAlign w:val="center"/>
          </w:tcPr>
          <w:p w14:paraId="6CCCEAA3" w14:textId="77777777" w:rsidR="00CB0FCB" w:rsidRDefault="009D2B11">
            <w:pPr>
              <w:pStyle w:val="P68B1DB1-Normal7"/>
              <w:spacing w:after="0" w:line="240" w:lineRule="auto"/>
              <w:jc w:val="center"/>
              <w:rPr>
                <w:noProof/>
                <w:color w:val="006100"/>
              </w:rPr>
            </w:pPr>
            <w:r>
              <w:rPr>
                <w:noProof/>
              </w:rPr>
              <w:t>Gadu</w:t>
            </w:r>
          </w:p>
        </w:tc>
        <w:tc>
          <w:tcPr>
            <w:tcW w:w="3116" w:type="dxa"/>
            <w:vMerge/>
            <w:noWrap/>
          </w:tcPr>
          <w:p w14:paraId="0C52695A" w14:textId="77777777" w:rsidR="00CB0FCB" w:rsidRDefault="00CB0FCB">
            <w:pPr>
              <w:spacing w:after="0" w:line="240" w:lineRule="auto"/>
              <w:rPr>
                <w:noProof/>
                <w:color w:val="006100"/>
                <w:sz w:val="18"/>
              </w:rPr>
            </w:pPr>
          </w:p>
        </w:tc>
      </w:tr>
      <w:tr w:rsidR="00CB0FCB" w14:paraId="7417F5E4" w14:textId="77777777">
        <w:trPr>
          <w:trHeight w:val="313"/>
          <w:tblHeader/>
        </w:trPr>
        <w:tc>
          <w:tcPr>
            <w:tcW w:w="1054" w:type="dxa"/>
            <w:shd w:val="clear" w:color="auto" w:fill="C6EFCE"/>
            <w:noWrap/>
          </w:tcPr>
          <w:p w14:paraId="3263457C" w14:textId="77777777" w:rsidR="00CB0FCB" w:rsidRDefault="009D2B11">
            <w:pPr>
              <w:pStyle w:val="P68B1DB1-Normal9"/>
              <w:spacing w:after="0" w:line="240" w:lineRule="auto"/>
              <w:rPr>
                <w:rFonts w:eastAsia="Times New Roman" w:cs="Calibri"/>
                <w:noProof/>
                <w:szCs w:val="18"/>
              </w:rPr>
            </w:pPr>
            <w:r>
              <w:rPr>
                <w:noProof/>
              </w:rPr>
              <w:t>64</w:t>
            </w:r>
          </w:p>
        </w:tc>
        <w:tc>
          <w:tcPr>
            <w:tcW w:w="1864" w:type="dxa"/>
            <w:shd w:val="clear" w:color="auto" w:fill="C6EFCE"/>
            <w:noWrap/>
          </w:tcPr>
          <w:p w14:paraId="256D740D"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16851_Bioloģiskās daudzveidības aizsardzība kā ilgtspējīgas izaugsmes virzītājspēks</w:t>
            </w:r>
          </w:p>
        </w:tc>
        <w:tc>
          <w:tcPr>
            <w:tcW w:w="985" w:type="dxa"/>
            <w:shd w:val="clear" w:color="auto" w:fill="C6EFCE"/>
            <w:noWrap/>
          </w:tcPr>
          <w:p w14:paraId="7309CD9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2235" w:type="dxa"/>
            <w:shd w:val="clear" w:color="auto" w:fill="C6EFCE"/>
            <w:noWrap/>
          </w:tcPr>
          <w:p w14:paraId="5A203261" w14:textId="77777777" w:rsidR="00CB0FCB" w:rsidRDefault="009D2B11">
            <w:pPr>
              <w:pStyle w:val="P68B1DB1-Normal9"/>
              <w:spacing w:after="0" w:line="240" w:lineRule="auto"/>
              <w:rPr>
                <w:rFonts w:eastAsia="Times New Roman" w:cs="Calibri"/>
                <w:noProof/>
                <w:szCs w:val="18"/>
              </w:rPr>
            </w:pPr>
            <w:r>
              <w:rPr>
                <w:noProof/>
              </w:rPr>
              <w:t>Bioloģiskā daudzveidība — pabeigšana</w:t>
            </w:r>
          </w:p>
        </w:tc>
        <w:tc>
          <w:tcPr>
            <w:tcW w:w="1545" w:type="dxa"/>
            <w:shd w:val="clear" w:color="auto" w:fill="C6EFCE"/>
            <w:noWrap/>
          </w:tcPr>
          <w:p w14:paraId="20399313" w14:textId="370E29C7" w:rsidR="00CB0FCB" w:rsidRDefault="009D2B11">
            <w:pPr>
              <w:pStyle w:val="P68B1DB1-Normal9"/>
              <w:spacing w:after="0" w:line="240" w:lineRule="auto"/>
              <w:rPr>
                <w:noProof/>
              </w:rPr>
            </w:pPr>
            <w:r>
              <w:rPr>
                <w:noProof/>
              </w:rPr>
              <w:t>Darbu pabeigšana</w:t>
            </w:r>
          </w:p>
        </w:tc>
        <w:tc>
          <w:tcPr>
            <w:tcW w:w="1101" w:type="dxa"/>
            <w:shd w:val="clear" w:color="auto" w:fill="C6EFCE"/>
            <w:noWrap/>
          </w:tcPr>
          <w:p w14:paraId="5BCBFF97" w14:textId="77777777" w:rsidR="00CB0FCB" w:rsidRDefault="00CB0FCB">
            <w:pPr>
              <w:spacing w:after="0" w:line="240" w:lineRule="auto"/>
              <w:rPr>
                <w:rFonts w:eastAsia="Times New Roman" w:cs="Calibri"/>
                <w:noProof/>
                <w:color w:val="006100"/>
                <w:sz w:val="18"/>
                <w:szCs w:val="18"/>
              </w:rPr>
            </w:pPr>
          </w:p>
        </w:tc>
        <w:tc>
          <w:tcPr>
            <w:tcW w:w="1120" w:type="dxa"/>
            <w:shd w:val="clear" w:color="auto" w:fill="C6EFCE"/>
            <w:noWrap/>
          </w:tcPr>
          <w:p w14:paraId="3C192CD5" w14:textId="77777777" w:rsidR="00CB0FCB" w:rsidRDefault="00CB0FCB">
            <w:pPr>
              <w:spacing w:after="0" w:line="240" w:lineRule="auto"/>
              <w:rPr>
                <w:rFonts w:eastAsia="Times New Roman" w:cs="Calibri"/>
                <w:noProof/>
                <w:color w:val="006100"/>
                <w:sz w:val="18"/>
                <w:szCs w:val="18"/>
              </w:rPr>
            </w:pPr>
          </w:p>
        </w:tc>
        <w:tc>
          <w:tcPr>
            <w:tcW w:w="672" w:type="dxa"/>
            <w:shd w:val="clear" w:color="auto" w:fill="C6EFCE"/>
            <w:noWrap/>
          </w:tcPr>
          <w:p w14:paraId="2CD9AD37" w14:textId="77777777" w:rsidR="00CB0FCB" w:rsidRDefault="00CB0FCB">
            <w:pPr>
              <w:spacing w:after="0" w:line="240" w:lineRule="auto"/>
              <w:rPr>
                <w:rFonts w:eastAsia="Times New Roman" w:cs="Calibri"/>
                <w:noProof/>
                <w:color w:val="006100"/>
                <w:sz w:val="18"/>
                <w:szCs w:val="18"/>
              </w:rPr>
            </w:pPr>
          </w:p>
        </w:tc>
        <w:tc>
          <w:tcPr>
            <w:tcW w:w="881" w:type="dxa"/>
            <w:shd w:val="clear" w:color="auto" w:fill="C6EFCE"/>
            <w:noWrap/>
          </w:tcPr>
          <w:p w14:paraId="35D6D58C" w14:textId="77777777" w:rsidR="00CB0FCB" w:rsidRDefault="009D2B11">
            <w:pPr>
              <w:pStyle w:val="P68B1DB1-Normal9"/>
              <w:spacing w:after="0" w:line="240" w:lineRule="auto"/>
              <w:rPr>
                <w:rFonts w:eastAsia="Times New Roman" w:cs="Calibri"/>
                <w:noProof/>
                <w:szCs w:val="18"/>
              </w:rPr>
            </w:pPr>
            <w:r>
              <w:rPr>
                <w:noProof/>
              </w:rPr>
              <w:t>4. CET.</w:t>
            </w:r>
          </w:p>
        </w:tc>
        <w:tc>
          <w:tcPr>
            <w:tcW w:w="816" w:type="dxa"/>
            <w:shd w:val="clear" w:color="auto" w:fill="C6EFCE"/>
            <w:noWrap/>
          </w:tcPr>
          <w:p w14:paraId="0DCB290A" w14:textId="77777777" w:rsidR="00CB0FCB" w:rsidRDefault="009D2B11">
            <w:pPr>
              <w:pStyle w:val="P68B1DB1-Normal9"/>
              <w:spacing w:after="0" w:line="240" w:lineRule="auto"/>
              <w:rPr>
                <w:rFonts w:eastAsia="Times New Roman" w:cs="Calibri"/>
                <w:noProof/>
                <w:szCs w:val="18"/>
              </w:rPr>
            </w:pPr>
            <w:r>
              <w:rPr>
                <w:noProof/>
              </w:rPr>
              <w:t>2025</w:t>
            </w:r>
          </w:p>
        </w:tc>
        <w:tc>
          <w:tcPr>
            <w:tcW w:w="3116" w:type="dxa"/>
            <w:shd w:val="clear" w:color="auto" w:fill="C6EFCE"/>
            <w:noWrap/>
          </w:tcPr>
          <w:p w14:paraId="45F21B8E" w14:textId="7EFDEA54" w:rsidR="00CB0FCB" w:rsidRDefault="009D2B11">
            <w:pPr>
              <w:pStyle w:val="P68B1DB1-Normal9"/>
              <w:spacing w:after="0" w:line="240" w:lineRule="auto"/>
              <w:rPr>
                <w:rFonts w:eastAsia="Times New Roman" w:cs="Calibri"/>
                <w:noProof/>
                <w:szCs w:val="18"/>
              </w:rPr>
            </w:pPr>
            <w:r>
              <w:rPr>
                <w:noProof/>
              </w:rPr>
              <w:t>Visu bioloģiskās daudzveidības aizsardzības apakšprojektu pabeigšana: valsts ceļu un pārgājienu takas tīkla izveide, Nacionālā dabas vēstures muzeja izveide un Krētas Dabas vēstures muzeja modernizācija, Grieķijas dabas vēstures kolekciju digitalizācija, ar grieķu dabu saistītu produktu korporatīvās identitātes izveide, darbības sistēmas izveide, kas atbalsta horizontālās uzraudzības un patrulēšanas sistēmas plānu visām Grieķijas aizsargājamām teritorijām.</w:t>
            </w:r>
          </w:p>
        </w:tc>
      </w:tr>
    </w:tbl>
    <w:p w14:paraId="56412DD4" w14:textId="77777777" w:rsidR="00CB0FCB" w:rsidRDefault="00CB0FCB">
      <w:pPr>
        <w:keepNext/>
        <w:keepLines/>
        <w:spacing w:before="240" w:after="0" w:line="240" w:lineRule="auto"/>
        <w:jc w:val="both"/>
        <w:outlineLvl w:val="4"/>
        <w:rPr>
          <w:rFonts w:ascii="Cambria" w:hAnsi="Cambria"/>
          <w:noProof/>
          <w:color w:val="365F91"/>
          <w:sz w:val="24"/>
        </w:rPr>
        <w:sectPr w:rsidR="00CB0FCB" w:rsidSect="00271D33">
          <w:headerReference w:type="even" r:id="rId85"/>
          <w:headerReference w:type="default" r:id="rId86"/>
          <w:footerReference w:type="even" r:id="rId87"/>
          <w:footerReference w:type="default" r:id="rId88"/>
          <w:headerReference w:type="first" r:id="rId89"/>
          <w:footerReference w:type="first" r:id="rId90"/>
          <w:pgSz w:w="16839" w:h="11907" w:orient="landscape"/>
          <w:pgMar w:top="720" w:right="720" w:bottom="720" w:left="720" w:header="709" w:footer="709" w:gutter="0"/>
          <w:cols w:space="720"/>
          <w:docGrid w:linePitch="360"/>
        </w:sectPr>
      </w:pPr>
    </w:p>
    <w:p w14:paraId="1D87FD8D" w14:textId="77777777" w:rsidR="00CB0FCB" w:rsidRDefault="009D2B11">
      <w:pPr>
        <w:pStyle w:val="P68B1DB1-Normal6"/>
        <w:keepNext/>
        <w:keepLines/>
        <w:spacing w:before="240" w:after="0" w:line="240" w:lineRule="auto"/>
        <w:jc w:val="both"/>
        <w:outlineLvl w:val="4"/>
        <w:rPr>
          <w:rFonts w:eastAsia="Times New Roman"/>
          <w:noProof/>
        </w:rPr>
      </w:pPr>
      <w:r>
        <w:rPr>
          <w:noProof/>
        </w:rPr>
        <w:t>Grupa: Notekūdeņu un ūdens infrastruktūra, ūdens ietaupījums</w:t>
      </w:r>
    </w:p>
    <w:p w14:paraId="0516D468" w14:textId="77777777" w:rsidR="00CB0FCB" w:rsidRDefault="009D2B11">
      <w:pPr>
        <w:pStyle w:val="P68B1DB1-Normal4"/>
        <w:spacing w:before="120" w:after="120" w:line="240" w:lineRule="auto"/>
        <w:rPr>
          <w:rFonts w:cs="Times New Roman"/>
          <w:noProof/>
        </w:rPr>
      </w:pPr>
      <w:r>
        <w:rPr>
          <w:noProof/>
        </w:rPr>
        <w:t>Šajā grupā ietilpst šādi pasākumi:</w:t>
      </w:r>
    </w:p>
    <w:p w14:paraId="57DF4683"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Komunālo notekūdeņu un dūņu apsaimniekošanas infrastruktūras (ID: 16846)</w:t>
      </w:r>
    </w:p>
    <w:p w14:paraId="2BA0FA4A"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Dzeramā ūdens apgādes un taupīšanas infrastruktūra (ID: 16850)</w:t>
      </w:r>
    </w:p>
    <w:tbl>
      <w:tblPr>
        <w:tblpPr w:leftFromText="180" w:rightFromText="180" w:vertAnchor="text" w:tblpXSpec="center" w:tblpY="1"/>
        <w:tblOverlap w:val="never"/>
        <w:tblW w:w="15276" w:type="dxa"/>
        <w:tblLayout w:type="fixed"/>
        <w:tblLook w:val="04A0" w:firstRow="1" w:lastRow="0" w:firstColumn="1" w:lastColumn="0" w:noHBand="0" w:noVBand="1"/>
      </w:tblPr>
      <w:tblGrid>
        <w:gridCol w:w="1027"/>
        <w:gridCol w:w="1374"/>
        <w:gridCol w:w="1042"/>
        <w:gridCol w:w="1302"/>
        <w:gridCol w:w="1778"/>
        <w:gridCol w:w="866"/>
        <w:gridCol w:w="857"/>
        <w:gridCol w:w="587"/>
        <w:gridCol w:w="1134"/>
        <w:gridCol w:w="709"/>
        <w:gridCol w:w="4600"/>
      </w:tblGrid>
      <w:tr w:rsidR="00CB0FCB" w14:paraId="22B2565B" w14:textId="77777777">
        <w:trPr>
          <w:trHeight w:val="939"/>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AEB589"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771BA5"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6C385F"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BB6D88"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65A5CB"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31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79616BE"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14:paraId="63F34120"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165B1F"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242DCA2B" w14:textId="77777777">
        <w:trPr>
          <w:trHeight w:val="609"/>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EA7AD56" w14:textId="77777777" w:rsidR="00CB0FCB" w:rsidRDefault="00CB0FCB">
            <w:pPr>
              <w:spacing w:after="0" w:line="240" w:lineRule="auto"/>
              <w:rPr>
                <w:rFonts w:ascii="Times New Roman" w:eastAsia="Times New Roman" w:hAnsi="Times New Roman" w:cs="Times New Roman"/>
                <w:b/>
                <w:bCs/>
                <w:noProof/>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71B192A2" w14:textId="77777777" w:rsidR="00CB0FCB" w:rsidRDefault="00CB0FCB">
            <w:pPr>
              <w:spacing w:after="0" w:line="240" w:lineRule="auto"/>
              <w:rPr>
                <w:rFonts w:ascii="Times New Roman" w:eastAsia="Times New Roman" w:hAnsi="Times New Roman" w:cs="Times New Roman"/>
                <w:b/>
                <w:bCs/>
                <w:noProof/>
                <w:sz w:val="18"/>
                <w:szCs w:val="18"/>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44533B40" w14:textId="77777777" w:rsidR="00CB0FCB" w:rsidRDefault="00CB0FCB">
            <w:pPr>
              <w:spacing w:after="0" w:line="240" w:lineRule="auto"/>
              <w:rPr>
                <w:rFonts w:ascii="Times New Roman" w:eastAsia="Times New Roman" w:hAnsi="Times New Roman" w:cs="Times New Roman"/>
                <w:b/>
                <w:bCs/>
                <w:noProof/>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4814DD64" w14:textId="77777777" w:rsidR="00CB0FCB" w:rsidRDefault="00CB0FCB">
            <w:pPr>
              <w:spacing w:after="0" w:line="240" w:lineRule="auto"/>
              <w:rPr>
                <w:rFonts w:ascii="Times New Roman" w:eastAsia="Times New Roman" w:hAnsi="Times New Roman" w:cs="Times New Roman"/>
                <w:b/>
                <w:bCs/>
                <w:noProof/>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637E28AE" w14:textId="77777777" w:rsidR="00CB0FCB" w:rsidRDefault="00CB0FCB">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9EB95DE"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DE14CC0"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58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74A3931"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1134" w:type="dxa"/>
            <w:tcBorders>
              <w:top w:val="nil"/>
              <w:left w:val="nil"/>
              <w:bottom w:val="single" w:sz="4" w:space="0" w:color="auto"/>
              <w:right w:val="single" w:sz="4" w:space="0" w:color="auto"/>
            </w:tcBorders>
            <w:shd w:val="clear" w:color="auto" w:fill="BDD7EE"/>
            <w:vAlign w:val="center"/>
            <w:hideMark/>
          </w:tcPr>
          <w:p w14:paraId="6580E5AA"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tcBorders>
              <w:top w:val="nil"/>
              <w:left w:val="nil"/>
              <w:bottom w:val="single" w:sz="4" w:space="0" w:color="auto"/>
              <w:right w:val="single" w:sz="4" w:space="0" w:color="auto"/>
            </w:tcBorders>
            <w:shd w:val="clear" w:color="auto" w:fill="BDD7EE"/>
            <w:vAlign w:val="center"/>
            <w:hideMark/>
          </w:tcPr>
          <w:p w14:paraId="1CF794EF"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600" w:type="dxa"/>
            <w:vMerge/>
            <w:vAlign w:val="center"/>
            <w:hideMark/>
          </w:tcPr>
          <w:p w14:paraId="6119570F"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C35C22C"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BB1A6CC" w14:textId="77777777" w:rsidR="00CB0FCB" w:rsidRDefault="009D2B11">
            <w:pPr>
              <w:pStyle w:val="P68B1DB1-Normal9"/>
              <w:spacing w:after="0" w:line="240" w:lineRule="auto"/>
              <w:rPr>
                <w:rFonts w:eastAsia="Times New Roman" w:cs="Calibri"/>
                <w:noProof/>
                <w:szCs w:val="18"/>
              </w:rPr>
            </w:pPr>
            <w:r>
              <w:rPr>
                <w:noProof/>
              </w:rPr>
              <w:t>66</w:t>
            </w:r>
          </w:p>
        </w:tc>
        <w:tc>
          <w:tcPr>
            <w:tcW w:w="1374" w:type="dxa"/>
            <w:tcBorders>
              <w:top w:val="single" w:sz="4" w:space="0" w:color="auto"/>
              <w:left w:val="nil"/>
              <w:bottom w:val="single" w:sz="4" w:space="0" w:color="auto"/>
              <w:right w:val="single" w:sz="4" w:space="0" w:color="auto"/>
            </w:tcBorders>
            <w:shd w:val="clear" w:color="auto" w:fill="C6EFCE"/>
            <w:noWrap/>
          </w:tcPr>
          <w:p w14:paraId="3958850D"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16850_Ūdensapgādes un taupīšanas infrastruktūras</w:t>
            </w:r>
          </w:p>
        </w:tc>
        <w:tc>
          <w:tcPr>
            <w:tcW w:w="1042" w:type="dxa"/>
            <w:tcBorders>
              <w:top w:val="single" w:sz="4" w:space="0" w:color="auto"/>
              <w:left w:val="nil"/>
              <w:bottom w:val="single" w:sz="4" w:space="0" w:color="auto"/>
              <w:right w:val="single" w:sz="4" w:space="0" w:color="auto"/>
            </w:tcBorders>
            <w:shd w:val="clear" w:color="auto" w:fill="C6EFCE"/>
            <w:noWrap/>
          </w:tcPr>
          <w:p w14:paraId="13F50C4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02" w:type="dxa"/>
            <w:tcBorders>
              <w:top w:val="single" w:sz="4" w:space="0" w:color="auto"/>
              <w:left w:val="nil"/>
              <w:bottom w:val="single" w:sz="4" w:space="0" w:color="auto"/>
              <w:right w:val="single" w:sz="4" w:space="0" w:color="auto"/>
            </w:tcBorders>
            <w:shd w:val="clear" w:color="auto" w:fill="C6EFCE"/>
            <w:noWrap/>
          </w:tcPr>
          <w:p w14:paraId="3AE3ECDC" w14:textId="77777777" w:rsidR="00CB0FCB" w:rsidRDefault="009D2B11">
            <w:pPr>
              <w:pStyle w:val="P68B1DB1-Normal9"/>
              <w:spacing w:after="0" w:line="240" w:lineRule="auto"/>
              <w:rPr>
                <w:rFonts w:eastAsia="Times New Roman" w:cs="Calibri"/>
                <w:noProof/>
                <w:szCs w:val="18"/>
              </w:rPr>
            </w:pPr>
            <w:r>
              <w:rPr>
                <w:noProof/>
              </w:rPr>
              <w:t>Ūdens infrastruktūras pieteikumu apstiprināšana</w:t>
            </w:r>
          </w:p>
        </w:tc>
        <w:tc>
          <w:tcPr>
            <w:tcW w:w="1778" w:type="dxa"/>
            <w:tcBorders>
              <w:top w:val="single" w:sz="4" w:space="0" w:color="auto"/>
              <w:left w:val="nil"/>
              <w:bottom w:val="single" w:sz="4" w:space="0" w:color="auto"/>
              <w:right w:val="single" w:sz="4" w:space="0" w:color="auto"/>
            </w:tcBorders>
            <w:shd w:val="clear" w:color="auto" w:fill="C6EFCE"/>
            <w:noWrap/>
          </w:tcPr>
          <w:p w14:paraId="55028631" w14:textId="77777777" w:rsidR="00CB0FCB" w:rsidRDefault="009D2B11">
            <w:pPr>
              <w:pStyle w:val="P68B1DB1-Normal9"/>
              <w:spacing w:after="0" w:line="240" w:lineRule="auto"/>
              <w:rPr>
                <w:rFonts w:eastAsia="Times New Roman" w:cs="Calibri"/>
                <w:noProof/>
                <w:szCs w:val="18"/>
              </w:rPr>
            </w:pPr>
            <w:r>
              <w:rPr>
                <w:noProof/>
              </w:rPr>
              <w:t>Vides un enerģētikas ministrijas apstiprinātie pieteikumi</w:t>
            </w:r>
          </w:p>
        </w:tc>
        <w:tc>
          <w:tcPr>
            <w:tcW w:w="866" w:type="dxa"/>
            <w:tcBorders>
              <w:top w:val="single" w:sz="4" w:space="0" w:color="auto"/>
              <w:left w:val="nil"/>
              <w:bottom w:val="single" w:sz="4" w:space="0" w:color="auto"/>
              <w:right w:val="single" w:sz="4" w:space="0" w:color="auto"/>
            </w:tcBorders>
            <w:shd w:val="clear" w:color="auto" w:fill="C6EFCE"/>
            <w:noWrap/>
          </w:tcPr>
          <w:p w14:paraId="5CE2F092"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9340B07"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2C97B3EE" w14:textId="77777777" w:rsidR="00CB0FCB" w:rsidRDefault="00CB0FCB">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52DE87A1" w14:textId="77777777" w:rsidR="00CB0FCB" w:rsidRDefault="009D2B11">
            <w:pPr>
              <w:pStyle w:val="P68B1DB1-Normal9"/>
              <w:spacing w:after="0" w:line="240" w:lineRule="auto"/>
              <w:rPr>
                <w:rFonts w:eastAsia="Times New Roman" w:cs="Calibri"/>
                <w:noProof/>
                <w:szCs w:val="18"/>
              </w:rPr>
            </w:pPr>
            <w:r>
              <w:rPr>
                <w:noProof/>
              </w:rPr>
              <w:t>2. CET.</w:t>
            </w:r>
          </w:p>
        </w:tc>
        <w:tc>
          <w:tcPr>
            <w:tcW w:w="709" w:type="dxa"/>
            <w:tcBorders>
              <w:top w:val="nil"/>
              <w:left w:val="nil"/>
              <w:bottom w:val="single" w:sz="4" w:space="0" w:color="auto"/>
              <w:right w:val="single" w:sz="4" w:space="0" w:color="auto"/>
            </w:tcBorders>
            <w:shd w:val="clear" w:color="auto" w:fill="C6EFCE"/>
            <w:noWrap/>
          </w:tcPr>
          <w:p w14:paraId="3E0600FB" w14:textId="77777777" w:rsidR="00CB0FCB" w:rsidRDefault="009D2B11">
            <w:pPr>
              <w:pStyle w:val="P68B1DB1-Normal9"/>
              <w:spacing w:after="0" w:line="240" w:lineRule="auto"/>
              <w:rPr>
                <w:rFonts w:eastAsia="Times New Roman" w:cs="Calibri"/>
                <w:noProof/>
                <w:szCs w:val="18"/>
              </w:rPr>
            </w:pPr>
            <w:r>
              <w:rPr>
                <w:noProof/>
              </w:rPr>
              <w:t>2023</w:t>
            </w:r>
          </w:p>
        </w:tc>
        <w:tc>
          <w:tcPr>
            <w:tcW w:w="4600" w:type="dxa"/>
            <w:tcBorders>
              <w:top w:val="single" w:sz="4" w:space="0" w:color="auto"/>
              <w:left w:val="nil"/>
              <w:bottom w:val="single" w:sz="4" w:space="0" w:color="auto"/>
              <w:right w:val="single" w:sz="4" w:space="0" w:color="auto"/>
            </w:tcBorders>
            <w:shd w:val="clear" w:color="auto" w:fill="C6EFCE"/>
            <w:noWrap/>
          </w:tcPr>
          <w:p w14:paraId="076080B1" w14:textId="77777777" w:rsidR="00CB0FCB" w:rsidRDefault="009D2B11">
            <w:pPr>
              <w:pStyle w:val="P68B1DB1-Normal10"/>
              <w:spacing w:after="0" w:line="240" w:lineRule="auto"/>
              <w:rPr>
                <w:rFonts w:asciiTheme="minorHAnsi" w:eastAsiaTheme="minorEastAsia" w:hAnsiTheme="minorHAnsi" w:cstheme="minorBidi"/>
                <w:noProof/>
              </w:rPr>
            </w:pPr>
            <w:r>
              <w:rPr>
                <w:noProof/>
              </w:rPr>
              <w:t>Uzaicinājums izteikt ieinteresētību par ūdens infrastruktūras projektiem, lai iekļautu šādas prasības:  I) jaunbūvētām sistēmām infrastruktūras noplūžu indekss (ILI), kas ir mazāks vai vienāds ar 1,5 ii) renovācijas darbībām, lai samazinātu noplūdi par vairāk nekā 20 % vai samazinātu vidējo enerģijas patēriņu par vairāk nekā 20 %, un iii) atsāļošanas iekārtām, kuras jāpieslēdz atjaunojamiem energoresursiem un kuru vidējais enerģijas patēriņš ir mazāks vai vienāds ar 0,5 kWh.</w:t>
            </w:r>
          </w:p>
        </w:tc>
      </w:tr>
      <w:tr w:rsidR="00CB0FCB" w14:paraId="046D10FB" w14:textId="77777777">
        <w:trPr>
          <w:trHeight w:val="313"/>
        </w:trPr>
        <w:tc>
          <w:tcPr>
            <w:tcW w:w="1027" w:type="dxa"/>
            <w:tcBorders>
              <w:top w:val="nil"/>
              <w:left w:val="single" w:sz="4" w:space="0" w:color="auto"/>
              <w:bottom w:val="single" w:sz="4" w:space="0" w:color="auto"/>
              <w:right w:val="single" w:sz="4" w:space="0" w:color="auto"/>
            </w:tcBorders>
            <w:shd w:val="clear" w:color="auto" w:fill="C6EFCE"/>
            <w:noWrap/>
          </w:tcPr>
          <w:p w14:paraId="5566CA7B" w14:textId="77777777" w:rsidR="00CB0FCB" w:rsidRDefault="009D2B11">
            <w:pPr>
              <w:pStyle w:val="P68B1DB1-Normal9"/>
              <w:spacing w:after="0" w:line="240" w:lineRule="auto"/>
              <w:rPr>
                <w:rFonts w:eastAsia="Times New Roman" w:cs="Calibri"/>
                <w:noProof/>
                <w:szCs w:val="18"/>
              </w:rPr>
            </w:pPr>
            <w:r>
              <w:rPr>
                <w:noProof/>
              </w:rPr>
              <w:t>68</w:t>
            </w:r>
          </w:p>
        </w:tc>
        <w:tc>
          <w:tcPr>
            <w:tcW w:w="1374" w:type="dxa"/>
            <w:tcBorders>
              <w:top w:val="nil"/>
              <w:left w:val="nil"/>
              <w:bottom w:val="single" w:sz="4" w:space="0" w:color="auto"/>
              <w:right w:val="single" w:sz="4" w:space="0" w:color="auto"/>
            </w:tcBorders>
            <w:shd w:val="clear" w:color="auto" w:fill="C6EFCE"/>
            <w:noWrap/>
          </w:tcPr>
          <w:p w14:paraId="6372A8DF" w14:textId="77777777" w:rsidR="00CB0FCB" w:rsidRDefault="009D2B11">
            <w:pPr>
              <w:pStyle w:val="P68B1DB1-Normal9"/>
              <w:spacing w:after="0" w:line="240" w:lineRule="auto"/>
              <w:rPr>
                <w:rFonts w:eastAsia="Times New Roman" w:cs="Calibri"/>
                <w:noProof/>
                <w:szCs w:val="18"/>
              </w:rPr>
            </w:pPr>
            <w:r>
              <w:rPr>
                <w:noProof/>
              </w:rPr>
              <w:t>4–1.4. Ilgtspējīga resursu izmantošana, klimatnoturība un vides aizsardzība — 16846_ Komunālo notekūdeņu un dūņu apsaimniekošanas infrastruktūras no notekūdeņu attīrīšanas</w:t>
            </w:r>
          </w:p>
        </w:tc>
        <w:tc>
          <w:tcPr>
            <w:tcW w:w="1042" w:type="dxa"/>
            <w:tcBorders>
              <w:top w:val="nil"/>
              <w:left w:val="nil"/>
              <w:bottom w:val="single" w:sz="4" w:space="0" w:color="auto"/>
              <w:right w:val="single" w:sz="4" w:space="0" w:color="auto"/>
            </w:tcBorders>
            <w:shd w:val="clear" w:color="auto" w:fill="C6EFCE"/>
            <w:noWrap/>
          </w:tcPr>
          <w:p w14:paraId="40C56B3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02" w:type="dxa"/>
            <w:tcBorders>
              <w:top w:val="nil"/>
              <w:left w:val="nil"/>
              <w:bottom w:val="single" w:sz="4" w:space="0" w:color="auto"/>
              <w:right w:val="single" w:sz="4" w:space="0" w:color="auto"/>
            </w:tcBorders>
            <w:shd w:val="clear" w:color="auto" w:fill="C6EFCE"/>
            <w:noWrap/>
          </w:tcPr>
          <w:p w14:paraId="70AE447D"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 notekūdeņu projektiem</w:t>
            </w:r>
          </w:p>
        </w:tc>
        <w:tc>
          <w:tcPr>
            <w:tcW w:w="1778" w:type="dxa"/>
            <w:tcBorders>
              <w:top w:val="nil"/>
              <w:left w:val="nil"/>
              <w:bottom w:val="single" w:sz="4" w:space="0" w:color="auto"/>
              <w:right w:val="single" w:sz="4" w:space="0" w:color="auto"/>
            </w:tcBorders>
            <w:shd w:val="clear" w:color="auto" w:fill="C6EFCE"/>
            <w:noWrap/>
          </w:tcPr>
          <w:p w14:paraId="68865BC1" w14:textId="77777777" w:rsidR="00CB0FCB" w:rsidRDefault="009D2B11">
            <w:pPr>
              <w:pStyle w:val="P68B1DB1-Normal9"/>
              <w:spacing w:after="0" w:line="240" w:lineRule="auto"/>
              <w:rPr>
                <w:rFonts w:eastAsia="Times New Roman" w:cs="Calibri"/>
                <w:noProof/>
                <w:szCs w:val="18"/>
              </w:rPr>
            </w:pPr>
            <w:r>
              <w:rPr>
                <w:noProof/>
              </w:rPr>
              <w:t>Paziņojums par visu līgumu slēgšanas tiesību piešķiršanu</w:t>
            </w:r>
          </w:p>
        </w:tc>
        <w:tc>
          <w:tcPr>
            <w:tcW w:w="866" w:type="dxa"/>
            <w:tcBorders>
              <w:top w:val="nil"/>
              <w:left w:val="nil"/>
              <w:bottom w:val="single" w:sz="4" w:space="0" w:color="auto"/>
              <w:right w:val="single" w:sz="4" w:space="0" w:color="auto"/>
            </w:tcBorders>
            <w:shd w:val="clear" w:color="auto" w:fill="C6EFCE"/>
            <w:noWrap/>
          </w:tcPr>
          <w:p w14:paraId="057AEE22"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80E3ADC"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34F4DFB7" w14:textId="77777777" w:rsidR="00CB0FCB" w:rsidRDefault="00CB0FCB">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3137487F"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30E501E2" w14:textId="77777777" w:rsidR="00CB0FCB" w:rsidRDefault="009D2B11">
            <w:pPr>
              <w:pStyle w:val="P68B1DB1-Normal9"/>
              <w:spacing w:after="0" w:line="240" w:lineRule="auto"/>
              <w:rPr>
                <w:rFonts w:eastAsia="Times New Roman" w:cs="Calibri"/>
                <w:noProof/>
                <w:szCs w:val="18"/>
              </w:rPr>
            </w:pPr>
            <w:r>
              <w:rPr>
                <w:noProof/>
              </w:rPr>
              <w:t>2023</w:t>
            </w:r>
          </w:p>
        </w:tc>
        <w:tc>
          <w:tcPr>
            <w:tcW w:w="4600" w:type="dxa"/>
            <w:tcBorders>
              <w:top w:val="nil"/>
              <w:left w:val="nil"/>
              <w:bottom w:val="single" w:sz="4" w:space="0" w:color="auto"/>
              <w:right w:val="single" w:sz="4" w:space="0" w:color="auto"/>
            </w:tcBorders>
            <w:shd w:val="clear" w:color="auto" w:fill="C6EFCE"/>
            <w:noWrap/>
          </w:tcPr>
          <w:p w14:paraId="5C861B75"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 notekūdeņu un dūņu apsaimniekošanas projektiem:</w:t>
            </w:r>
          </w:p>
          <w:p w14:paraId="1FD847F9" w14:textId="77777777" w:rsidR="00CB0FCB" w:rsidRDefault="009D2B11">
            <w:pPr>
              <w:pStyle w:val="P68B1DB1-Normal9"/>
              <w:spacing w:after="0" w:line="240" w:lineRule="auto"/>
              <w:rPr>
                <w:rFonts w:eastAsia="Times New Roman" w:cs="Calibri"/>
                <w:noProof/>
                <w:szCs w:val="18"/>
              </w:rPr>
            </w:pPr>
            <w:r>
              <w:rPr>
                <w:noProof/>
              </w:rPr>
              <w:t>1. Notekūdeņu tīkla infrastruktūra un notekūdeņu attīrīšanas iekārtas (WWTP).</w:t>
            </w:r>
          </w:p>
          <w:p w14:paraId="474DE796" w14:textId="77777777" w:rsidR="00CB0FCB" w:rsidRDefault="009D2B11">
            <w:pPr>
              <w:pStyle w:val="P68B1DB1-Normal9"/>
              <w:spacing w:after="0" w:line="240" w:lineRule="auto"/>
              <w:rPr>
                <w:rFonts w:eastAsia="Times New Roman" w:cs="Calibri"/>
                <w:noProof/>
                <w:szCs w:val="18"/>
              </w:rPr>
            </w:pPr>
            <w:r>
              <w:rPr>
                <w:noProof/>
              </w:rPr>
              <w:t>2. Notekūdeņu attīrīšanas iekārtu modernizācija, paplašināšana un modernizācija un attīrīta ūdens atkalizmantošana.</w:t>
            </w:r>
          </w:p>
          <w:p w14:paraId="12BA2DF3" w14:textId="77777777" w:rsidR="00CB0FCB" w:rsidRDefault="009D2B11">
            <w:pPr>
              <w:pStyle w:val="P68B1DB1-Normal9"/>
              <w:spacing w:after="0" w:line="240" w:lineRule="auto"/>
              <w:rPr>
                <w:rFonts w:eastAsia="Times New Roman" w:cs="Calibri"/>
                <w:noProof/>
                <w:szCs w:val="18"/>
              </w:rPr>
            </w:pPr>
            <w:r>
              <w:rPr>
                <w:noProof/>
              </w:rPr>
              <w:t>3. Notekūdeņu attīrīšanas iekārtu dūņu apsaimniekošanas infrastruktūras ieviešana.</w:t>
            </w:r>
          </w:p>
          <w:p w14:paraId="0B818F8F" w14:textId="77777777" w:rsidR="00CB0FCB" w:rsidRDefault="00CB0FCB">
            <w:pPr>
              <w:spacing w:after="0" w:line="240" w:lineRule="auto"/>
              <w:rPr>
                <w:rFonts w:eastAsia="Times New Roman" w:cs="Calibri"/>
                <w:noProof/>
                <w:color w:val="006100"/>
                <w:sz w:val="18"/>
                <w:szCs w:val="18"/>
              </w:rPr>
            </w:pPr>
          </w:p>
        </w:tc>
      </w:tr>
      <w:tr w:rsidR="00CB0FCB" w14:paraId="20A9F924" w14:textId="77777777">
        <w:trPr>
          <w:trHeight w:val="313"/>
        </w:trPr>
        <w:tc>
          <w:tcPr>
            <w:tcW w:w="1027" w:type="dxa"/>
            <w:tcBorders>
              <w:top w:val="nil"/>
              <w:left w:val="single" w:sz="4" w:space="0" w:color="auto"/>
              <w:bottom w:val="single" w:sz="4" w:space="0" w:color="auto"/>
              <w:right w:val="single" w:sz="4" w:space="0" w:color="auto"/>
            </w:tcBorders>
            <w:shd w:val="clear" w:color="auto" w:fill="C6EFCE"/>
            <w:noWrap/>
          </w:tcPr>
          <w:p w14:paraId="47514CD4" w14:textId="77777777" w:rsidR="00CB0FCB" w:rsidRDefault="009D2B11">
            <w:pPr>
              <w:pStyle w:val="P68B1DB1-Normal9"/>
              <w:spacing w:after="0" w:line="240" w:lineRule="auto"/>
              <w:rPr>
                <w:rFonts w:eastAsia="Times New Roman" w:cs="Calibri"/>
                <w:noProof/>
                <w:szCs w:val="18"/>
              </w:rPr>
            </w:pPr>
            <w:r>
              <w:rPr>
                <w:noProof/>
              </w:rPr>
              <w:t>73</w:t>
            </w:r>
          </w:p>
        </w:tc>
        <w:tc>
          <w:tcPr>
            <w:tcW w:w="1374" w:type="dxa"/>
            <w:tcBorders>
              <w:top w:val="nil"/>
              <w:left w:val="nil"/>
              <w:bottom w:val="single" w:sz="4" w:space="0" w:color="auto"/>
              <w:right w:val="single" w:sz="4" w:space="0" w:color="auto"/>
            </w:tcBorders>
            <w:shd w:val="clear" w:color="auto" w:fill="C6EFCE"/>
            <w:noWrap/>
          </w:tcPr>
          <w:p w14:paraId="14FD4619" w14:textId="77777777" w:rsidR="00CB0FCB" w:rsidRDefault="009D2B11">
            <w:pPr>
              <w:pStyle w:val="P68B1DB1-Normal9"/>
              <w:spacing w:after="0" w:line="240" w:lineRule="auto"/>
              <w:rPr>
                <w:rFonts w:eastAsia="Times New Roman" w:cs="Calibri"/>
                <w:noProof/>
                <w:szCs w:val="18"/>
              </w:rPr>
            </w:pPr>
            <w:r>
              <w:rPr>
                <w:noProof/>
              </w:rPr>
              <w:t>4–1.4. Ilgtspējīga resursu izmantošana, klimatnoturība un vides aizsardzība — 16846_ Komunālo notekūdeņu un dūņu apsaimniekošanas infrastruktūras no notekūdeņu attīrīšanas</w:t>
            </w:r>
          </w:p>
        </w:tc>
        <w:tc>
          <w:tcPr>
            <w:tcW w:w="1042" w:type="dxa"/>
            <w:tcBorders>
              <w:top w:val="nil"/>
              <w:left w:val="nil"/>
              <w:bottom w:val="single" w:sz="4" w:space="0" w:color="auto"/>
              <w:right w:val="single" w:sz="4" w:space="0" w:color="auto"/>
            </w:tcBorders>
            <w:shd w:val="clear" w:color="auto" w:fill="C6EFCE"/>
            <w:noWrap/>
          </w:tcPr>
          <w:p w14:paraId="5376E1D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02" w:type="dxa"/>
            <w:tcBorders>
              <w:top w:val="nil"/>
              <w:left w:val="nil"/>
              <w:bottom w:val="single" w:sz="4" w:space="0" w:color="auto"/>
              <w:right w:val="single" w:sz="4" w:space="0" w:color="auto"/>
            </w:tcBorders>
            <w:shd w:val="clear" w:color="auto" w:fill="C6EFCE"/>
            <w:noWrap/>
          </w:tcPr>
          <w:p w14:paraId="12C27D6D" w14:textId="77777777" w:rsidR="00CB0FCB" w:rsidRDefault="009D2B11">
            <w:pPr>
              <w:pStyle w:val="P68B1DB1-Normal9"/>
              <w:spacing w:after="0" w:line="240" w:lineRule="auto"/>
              <w:rPr>
                <w:rFonts w:eastAsia="Times New Roman" w:cs="Calibri"/>
                <w:noProof/>
                <w:szCs w:val="18"/>
              </w:rPr>
            </w:pPr>
            <w:r>
              <w:rPr>
                <w:noProof/>
              </w:rPr>
              <w:t>Komunālo notekūdeņu un dūņu apsaimniekošanas infrastruktūras pabeigšana</w:t>
            </w:r>
          </w:p>
        </w:tc>
        <w:tc>
          <w:tcPr>
            <w:tcW w:w="1778" w:type="dxa"/>
            <w:tcBorders>
              <w:top w:val="nil"/>
              <w:left w:val="nil"/>
              <w:bottom w:val="single" w:sz="4" w:space="0" w:color="auto"/>
              <w:right w:val="single" w:sz="4" w:space="0" w:color="auto"/>
            </w:tcBorders>
            <w:shd w:val="clear" w:color="auto" w:fill="C6EFCE"/>
            <w:noWrap/>
          </w:tcPr>
          <w:p w14:paraId="4A52784B" w14:textId="346C9B60" w:rsidR="00CB0FCB" w:rsidRDefault="009D2B11">
            <w:pPr>
              <w:pStyle w:val="P68B1DB1-Normal10"/>
              <w:spacing w:after="0" w:line="240" w:lineRule="auto"/>
              <w:rPr>
                <w:rFonts w:eastAsia="Times New Roman" w:cs="Calibri"/>
                <w:noProof/>
              </w:rPr>
            </w:pPr>
            <w:r>
              <w:rPr>
                <w:noProof/>
              </w:rPr>
              <w:t>Darbu pabeigšana</w:t>
            </w:r>
          </w:p>
        </w:tc>
        <w:tc>
          <w:tcPr>
            <w:tcW w:w="866" w:type="dxa"/>
            <w:tcBorders>
              <w:top w:val="nil"/>
              <w:left w:val="nil"/>
              <w:bottom w:val="single" w:sz="4" w:space="0" w:color="auto"/>
              <w:right w:val="single" w:sz="4" w:space="0" w:color="auto"/>
            </w:tcBorders>
            <w:shd w:val="clear" w:color="auto" w:fill="C6EFCE"/>
            <w:noWrap/>
          </w:tcPr>
          <w:p w14:paraId="58DDA9D7"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4AC979B7"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2E4F4ECD" w14:textId="77777777" w:rsidR="00CB0FCB" w:rsidRDefault="00CB0FCB">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338EE8D6"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0C8735D5" w14:textId="77777777" w:rsidR="00CB0FCB" w:rsidRDefault="009D2B11">
            <w:pPr>
              <w:pStyle w:val="P68B1DB1-Normal9"/>
              <w:spacing w:after="0" w:line="240" w:lineRule="auto"/>
              <w:rPr>
                <w:rFonts w:eastAsia="Times New Roman" w:cs="Calibri"/>
                <w:noProof/>
                <w:szCs w:val="18"/>
              </w:rPr>
            </w:pPr>
            <w:r>
              <w:rPr>
                <w:noProof/>
              </w:rPr>
              <w:t>2025</w:t>
            </w:r>
          </w:p>
        </w:tc>
        <w:tc>
          <w:tcPr>
            <w:tcW w:w="4600" w:type="dxa"/>
            <w:tcBorders>
              <w:top w:val="nil"/>
              <w:left w:val="nil"/>
              <w:bottom w:val="single" w:sz="4" w:space="0" w:color="auto"/>
              <w:right w:val="single" w:sz="4" w:space="0" w:color="auto"/>
            </w:tcBorders>
            <w:shd w:val="clear" w:color="auto" w:fill="C6EFCE"/>
            <w:noWrap/>
          </w:tcPr>
          <w:p w14:paraId="3A28E8EC" w14:textId="77777777" w:rsidR="00CB0FCB" w:rsidRDefault="009D2B11">
            <w:pPr>
              <w:pStyle w:val="P68B1DB1-Normal9"/>
              <w:spacing w:after="0" w:line="240" w:lineRule="auto"/>
              <w:rPr>
                <w:rFonts w:eastAsia="Times New Roman" w:cs="Calibri"/>
                <w:noProof/>
                <w:szCs w:val="18"/>
              </w:rPr>
            </w:pPr>
            <w:r>
              <w:rPr>
                <w:noProof/>
              </w:rPr>
              <w:t xml:space="preserve">Visu komunālo notekūdeņu un dūņu apsaimniekošanas projektu pabeigšana: </w:t>
            </w:r>
          </w:p>
          <w:p w14:paraId="4E7C7695" w14:textId="77777777" w:rsidR="00CB0FCB" w:rsidRDefault="009D2B11">
            <w:pPr>
              <w:pStyle w:val="P68B1DB1-Normal9"/>
              <w:spacing w:after="0" w:line="240" w:lineRule="auto"/>
              <w:rPr>
                <w:rFonts w:eastAsia="Times New Roman" w:cs="Calibri"/>
                <w:noProof/>
                <w:szCs w:val="18"/>
              </w:rPr>
            </w:pPr>
            <w:r>
              <w:rPr>
                <w:noProof/>
              </w:rPr>
              <w:t>1. Notekūdeņu tīkla infrastruktūra un notekūdeņu attīrīšanas iekārtas (WWTP);</w:t>
            </w:r>
          </w:p>
          <w:p w14:paraId="17DE0B99" w14:textId="77777777" w:rsidR="00CB0FCB" w:rsidRDefault="009D2B11">
            <w:pPr>
              <w:pStyle w:val="P68B1DB1-Normal9"/>
              <w:spacing w:after="0" w:line="240" w:lineRule="auto"/>
              <w:rPr>
                <w:rFonts w:eastAsia="Times New Roman" w:cs="Calibri"/>
                <w:noProof/>
                <w:szCs w:val="18"/>
              </w:rPr>
            </w:pPr>
            <w:r>
              <w:rPr>
                <w:noProof/>
              </w:rPr>
              <w:t>2. Notekūdeņu attīrīšanas iekārtu modernizācija, paplašināšana un modernizācija un attīrīta ūdens atkalizmantošana; un</w:t>
            </w:r>
          </w:p>
          <w:p w14:paraId="3C6F9B6A" w14:textId="77777777" w:rsidR="00CB0FCB" w:rsidRDefault="009D2B11">
            <w:pPr>
              <w:pStyle w:val="P68B1DB1-Normal9"/>
              <w:spacing w:after="0" w:line="240" w:lineRule="auto"/>
              <w:rPr>
                <w:rFonts w:eastAsia="Times New Roman" w:cs="Calibri"/>
                <w:noProof/>
                <w:szCs w:val="18"/>
              </w:rPr>
            </w:pPr>
            <w:r>
              <w:rPr>
                <w:noProof/>
              </w:rPr>
              <w:t>3. Notekūdeņu attīrīšanas iekārtu dūņu apsaimniekošanas infrastruktūras ieviešana.</w:t>
            </w:r>
          </w:p>
        </w:tc>
      </w:tr>
      <w:tr w:rsidR="00CB0FCB" w14:paraId="4823D228"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3C7A66E" w14:textId="77777777" w:rsidR="00CB0FCB" w:rsidRDefault="009D2B11">
            <w:pPr>
              <w:pStyle w:val="P68B1DB1-Normal9"/>
              <w:spacing w:after="0" w:line="240" w:lineRule="auto"/>
              <w:rPr>
                <w:rFonts w:eastAsia="Times New Roman" w:cs="Calibri"/>
                <w:noProof/>
                <w:szCs w:val="18"/>
              </w:rPr>
            </w:pPr>
            <w:r>
              <w:rPr>
                <w:noProof/>
              </w:rPr>
              <w:t>74</w:t>
            </w:r>
          </w:p>
        </w:tc>
        <w:tc>
          <w:tcPr>
            <w:tcW w:w="1374" w:type="dxa"/>
            <w:tcBorders>
              <w:top w:val="single" w:sz="4" w:space="0" w:color="auto"/>
              <w:left w:val="nil"/>
              <w:bottom w:val="single" w:sz="4" w:space="0" w:color="auto"/>
              <w:right w:val="single" w:sz="4" w:space="0" w:color="auto"/>
            </w:tcBorders>
            <w:shd w:val="clear" w:color="auto" w:fill="C6EFCE"/>
            <w:noWrap/>
          </w:tcPr>
          <w:p w14:paraId="0D48A753" w14:textId="77777777" w:rsidR="00CB0FCB" w:rsidRDefault="009D2B11">
            <w:pPr>
              <w:pStyle w:val="P68B1DB1-Normal9"/>
              <w:spacing w:after="0" w:line="240" w:lineRule="auto"/>
              <w:rPr>
                <w:rFonts w:eastAsia="Times New Roman" w:cs="Calibri"/>
                <w:noProof/>
                <w:szCs w:val="18"/>
              </w:rPr>
            </w:pPr>
            <w:r>
              <w:rPr>
                <w:noProof/>
              </w:rPr>
              <w:t>4–1.4. Resursu ilgtspējīga izmantošana, klimatnoturība un vides aizsardzība — 16850_Ūdensapgādes un taupīšanas infrastruktūras</w:t>
            </w:r>
          </w:p>
        </w:tc>
        <w:tc>
          <w:tcPr>
            <w:tcW w:w="1042" w:type="dxa"/>
            <w:tcBorders>
              <w:top w:val="single" w:sz="4" w:space="0" w:color="auto"/>
              <w:left w:val="nil"/>
              <w:bottom w:val="single" w:sz="4" w:space="0" w:color="auto"/>
              <w:right w:val="single" w:sz="4" w:space="0" w:color="auto"/>
            </w:tcBorders>
            <w:shd w:val="clear" w:color="auto" w:fill="C6EFCE"/>
            <w:noWrap/>
          </w:tcPr>
          <w:p w14:paraId="3747DB1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02" w:type="dxa"/>
            <w:tcBorders>
              <w:top w:val="single" w:sz="4" w:space="0" w:color="auto"/>
              <w:left w:val="nil"/>
              <w:bottom w:val="single" w:sz="4" w:space="0" w:color="auto"/>
              <w:right w:val="single" w:sz="4" w:space="0" w:color="auto"/>
            </w:tcBorders>
            <w:shd w:val="clear" w:color="auto" w:fill="C6EFCE"/>
            <w:noWrap/>
          </w:tcPr>
          <w:p w14:paraId="5AABF2B1" w14:textId="77777777" w:rsidR="00CB0FCB" w:rsidRDefault="009D2B11">
            <w:pPr>
              <w:pStyle w:val="P68B1DB1-Normal9"/>
              <w:spacing w:after="0" w:line="240" w:lineRule="auto"/>
              <w:rPr>
                <w:rFonts w:eastAsia="Times New Roman" w:cs="Calibri"/>
                <w:noProof/>
                <w:szCs w:val="18"/>
              </w:rPr>
            </w:pPr>
            <w:r>
              <w:rPr>
                <w:noProof/>
              </w:rPr>
              <w:t>Ūdensapgādes infrastruktūras pabeigšana</w:t>
            </w:r>
          </w:p>
        </w:tc>
        <w:tc>
          <w:tcPr>
            <w:tcW w:w="1778" w:type="dxa"/>
            <w:tcBorders>
              <w:top w:val="single" w:sz="4" w:space="0" w:color="auto"/>
              <w:left w:val="nil"/>
              <w:bottom w:val="single" w:sz="4" w:space="0" w:color="auto"/>
              <w:right w:val="single" w:sz="4" w:space="0" w:color="auto"/>
            </w:tcBorders>
            <w:shd w:val="clear" w:color="auto" w:fill="C6EFCE"/>
            <w:noWrap/>
          </w:tcPr>
          <w:p w14:paraId="118A5023" w14:textId="45916E91" w:rsidR="00CB0FCB" w:rsidRDefault="009D2B11">
            <w:pPr>
              <w:pStyle w:val="P68B1DB1-Normal10"/>
              <w:spacing w:after="0" w:line="240" w:lineRule="auto"/>
              <w:rPr>
                <w:rFonts w:eastAsia="Times New Roman" w:cs="Calibri"/>
                <w:noProof/>
              </w:rPr>
            </w:pPr>
            <w:r>
              <w:rPr>
                <w:noProof/>
              </w:rPr>
              <w:t>Darbu pabeigšana</w:t>
            </w:r>
          </w:p>
        </w:tc>
        <w:tc>
          <w:tcPr>
            <w:tcW w:w="866" w:type="dxa"/>
            <w:tcBorders>
              <w:top w:val="single" w:sz="4" w:space="0" w:color="auto"/>
              <w:left w:val="nil"/>
              <w:bottom w:val="single" w:sz="4" w:space="0" w:color="auto"/>
              <w:right w:val="single" w:sz="4" w:space="0" w:color="auto"/>
            </w:tcBorders>
            <w:shd w:val="clear" w:color="auto" w:fill="C6EFCE"/>
            <w:noWrap/>
          </w:tcPr>
          <w:p w14:paraId="02310E68"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F026E65"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0B51DE88"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ED2B69C"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54B46925" w14:textId="77777777" w:rsidR="00CB0FCB" w:rsidRDefault="009D2B11">
            <w:pPr>
              <w:pStyle w:val="P68B1DB1-Normal9"/>
              <w:spacing w:after="0" w:line="240" w:lineRule="auto"/>
              <w:rPr>
                <w:rFonts w:eastAsia="Times New Roman" w:cs="Calibri"/>
                <w:noProof/>
                <w:szCs w:val="18"/>
              </w:rPr>
            </w:pPr>
            <w:r>
              <w:rPr>
                <w:noProof/>
              </w:rPr>
              <w:t>2025</w:t>
            </w:r>
          </w:p>
        </w:tc>
        <w:tc>
          <w:tcPr>
            <w:tcW w:w="4600" w:type="dxa"/>
            <w:tcBorders>
              <w:top w:val="single" w:sz="4" w:space="0" w:color="auto"/>
              <w:left w:val="nil"/>
              <w:bottom w:val="single" w:sz="4" w:space="0" w:color="auto"/>
              <w:right w:val="single" w:sz="4" w:space="0" w:color="auto"/>
            </w:tcBorders>
            <w:shd w:val="clear" w:color="auto" w:fill="C6EFCE"/>
            <w:noWrap/>
          </w:tcPr>
          <w:p w14:paraId="28328E8E" w14:textId="774B9AF5" w:rsidR="00CB0FCB" w:rsidRDefault="009D2B11">
            <w:pPr>
              <w:pStyle w:val="P68B1DB1-Normal9"/>
              <w:spacing w:after="0" w:line="240" w:lineRule="auto"/>
              <w:rPr>
                <w:rFonts w:eastAsia="Times New Roman" w:cs="Calibri"/>
                <w:noProof/>
                <w:szCs w:val="18"/>
              </w:rPr>
            </w:pPr>
            <w:r>
              <w:rPr>
                <w:noProof/>
              </w:rPr>
              <w:t xml:space="preserve">Pabeigt </w:t>
            </w:r>
            <w:r>
              <w:rPr>
                <w:noProof/>
                <w:szCs w:val="18"/>
              </w:rPr>
              <w:t>ūdensapgādes un taupīšanas infrastruktūras projektus</w:t>
            </w:r>
            <w:r>
              <w:rPr>
                <w:noProof/>
              </w:rPr>
              <w:t xml:space="preserve">, tostarp: </w:t>
            </w:r>
          </w:p>
          <w:p w14:paraId="56FFDB2C" w14:textId="08BAEADC" w:rsidR="00CB0FCB" w:rsidRDefault="009D2B11">
            <w:pPr>
              <w:pStyle w:val="P68B1DB1-Normal10"/>
              <w:spacing w:after="0" w:line="240" w:lineRule="auto"/>
              <w:rPr>
                <w:rFonts w:eastAsia="Times New Roman" w:cs="Calibri"/>
                <w:noProof/>
              </w:rPr>
            </w:pPr>
            <w:r>
              <w:rPr>
                <w:noProof/>
              </w:rPr>
              <w:t>a) Ūdensapgādes infrastruktūra vismaz septiņās teritorijās un vismaz trīs atsāļošanas iekārtās</w:t>
            </w:r>
          </w:p>
          <w:p w14:paraId="30880A91" w14:textId="05D0B27F" w:rsidR="00CB0FCB" w:rsidRDefault="009D2B11">
            <w:pPr>
              <w:pStyle w:val="P68B1DB1-Normal10"/>
              <w:spacing w:after="0" w:line="240" w:lineRule="auto"/>
              <w:rPr>
                <w:rFonts w:eastAsia="Times New Roman" w:cs="Calibri"/>
                <w:noProof/>
              </w:rPr>
            </w:pPr>
            <w:r>
              <w:rPr>
                <w:noProof/>
              </w:rPr>
              <w:t>b) Telemetrija — tālvadības projekti noplūžu atklāšanai ūdensapgādes tīklos un</w:t>
            </w:r>
          </w:p>
          <w:p w14:paraId="6E0A1F82" w14:textId="325C6AEF" w:rsidR="00CB0FCB" w:rsidRDefault="009D2B11">
            <w:pPr>
              <w:pStyle w:val="P68B1DB1-Normal9"/>
              <w:spacing w:after="0" w:line="240" w:lineRule="auto"/>
              <w:rPr>
                <w:rFonts w:eastAsia="Times New Roman" w:cs="Calibri"/>
                <w:noProof/>
                <w:szCs w:val="18"/>
              </w:rPr>
            </w:pPr>
            <w:r>
              <w:rPr>
                <w:noProof/>
                <w:szCs w:val="18"/>
              </w:rPr>
              <w:t>C)</w:t>
            </w:r>
            <w:r>
              <w:rPr>
                <w:noProof/>
              </w:rPr>
              <w:t xml:space="preserve"> Digitālo ūdens skaitītāju iegāde </w:t>
            </w:r>
          </w:p>
          <w:p w14:paraId="1567BF55" w14:textId="168249B4" w:rsidR="00CB0FCB" w:rsidRDefault="00CB0FCB">
            <w:pPr>
              <w:spacing w:after="0" w:line="240" w:lineRule="auto"/>
              <w:rPr>
                <w:rFonts w:eastAsia="Times New Roman" w:cs="Calibri"/>
                <w:noProof/>
                <w:color w:val="006100"/>
                <w:sz w:val="18"/>
                <w:szCs w:val="18"/>
              </w:rPr>
            </w:pPr>
          </w:p>
        </w:tc>
      </w:tr>
    </w:tbl>
    <w:p w14:paraId="21421DCD" w14:textId="296A0486" w:rsidR="00CB0FCB" w:rsidRDefault="00CB0FCB">
      <w:pPr>
        <w:spacing w:before="120" w:after="120" w:line="240" w:lineRule="auto"/>
        <w:rPr>
          <w:rFonts w:ascii="Times New Roman" w:hAnsi="Times New Roman" w:cs="Times New Roman"/>
          <w:noProof/>
          <w:sz w:val="24"/>
        </w:rPr>
      </w:pPr>
    </w:p>
    <w:p w14:paraId="633C44EC" w14:textId="77777777" w:rsidR="00CB0FCB" w:rsidRDefault="009D2B11">
      <w:pPr>
        <w:pStyle w:val="P68B1DB1-Normal18"/>
        <w:rPr>
          <w:noProof/>
        </w:rPr>
      </w:pPr>
      <w:r>
        <w:rPr>
          <w:noProof/>
        </w:rPr>
        <w:br w:type="page"/>
      </w:r>
    </w:p>
    <w:p w14:paraId="7F3B7121" w14:textId="77777777" w:rsidR="00CB0FCB" w:rsidRDefault="009D2B11">
      <w:pPr>
        <w:pStyle w:val="P68B1DB1-Normal6"/>
        <w:keepNext/>
        <w:keepLines/>
        <w:spacing w:before="360" w:after="0" w:line="240" w:lineRule="auto"/>
        <w:jc w:val="both"/>
        <w:outlineLvl w:val="4"/>
        <w:rPr>
          <w:rFonts w:eastAsia="Times New Roman"/>
          <w:noProof/>
        </w:rPr>
      </w:pPr>
      <w:r>
        <w:rPr>
          <w:noProof/>
        </w:rPr>
        <w:t>7. grupa: Civilās aizsardzības projekti</w:t>
      </w:r>
    </w:p>
    <w:p w14:paraId="26700317" w14:textId="77777777" w:rsidR="00CB0FCB" w:rsidRDefault="009D2B11">
      <w:pPr>
        <w:pStyle w:val="P68B1DB1-Normal4"/>
        <w:spacing w:before="120" w:after="120" w:line="240" w:lineRule="auto"/>
        <w:rPr>
          <w:rFonts w:cs="Times New Roman"/>
          <w:noProof/>
        </w:rPr>
      </w:pPr>
      <w:r>
        <w:rPr>
          <w:noProof/>
        </w:rPr>
        <w:t>Šajā grupā ietilpst šādi pasākumi:</w:t>
      </w:r>
    </w:p>
    <w:p w14:paraId="3233515D"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Gaisa līdzekļi krīžu pārvarēšanai (ID: 16911)</w:t>
      </w:r>
    </w:p>
    <w:p w14:paraId="75C5259D"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Inovatīvas uzraudzības un pārvaldības sistēmas izstrāde (ID: 16910)</w:t>
      </w:r>
    </w:p>
    <w:p w14:paraId="2740E728"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Stratēģiskas valsts katastrofu riska pārvaldības izveide (ID: 16909)</w:t>
      </w:r>
    </w:p>
    <w:p w14:paraId="7FF0AB64"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Meža ugunsgrēku dzēšanas, novēršanas un reaģēšanas aprīkojums (ID: 16912)</w:t>
      </w:r>
    </w:p>
    <w:p w14:paraId="4EEC0E91" w14:textId="77777777" w:rsidR="00CB0FCB" w:rsidRDefault="009D2B11">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Reģionālo civilās aizsardzības centru (PEKEPP) īstenošana, izmantojot PPP shēmas (ID: 16283)</w:t>
      </w:r>
    </w:p>
    <w:p w14:paraId="50F7B89A" w14:textId="77777777" w:rsidR="00CB0FCB" w:rsidRDefault="009D2B11">
      <w:pPr>
        <w:pStyle w:val="P68B1DB1-ListParagraph19"/>
        <w:numPr>
          <w:ilvl w:val="0"/>
          <w:numId w:val="2"/>
        </w:numPr>
        <w:spacing w:before="120" w:after="120" w:line="240" w:lineRule="auto"/>
        <w:rPr>
          <w:noProof/>
          <w:szCs w:val="24"/>
        </w:rPr>
      </w:pPr>
      <w:r>
        <w:rPr>
          <w:noProof/>
        </w:rPr>
        <w:t>Ēku seismiskās izturības iepriekšēja pārbaude (ID: 16983)</w:t>
      </w:r>
    </w:p>
    <w:p w14:paraId="4A71C350" w14:textId="77777777" w:rsidR="00CB0FCB" w:rsidRDefault="00CB0FCB">
      <w:pPr>
        <w:spacing w:before="120" w:after="120" w:line="240" w:lineRule="auto"/>
        <w:rPr>
          <w:rFonts w:ascii="Times New Roman" w:hAnsi="Times New Roman" w:cs="Times New Roman"/>
          <w:noProof/>
          <w:sz w:val="24"/>
        </w:rPr>
      </w:pPr>
    </w:p>
    <w:tbl>
      <w:tblPr>
        <w:tblStyle w:val="TableGrid"/>
        <w:tblW w:w="15588" w:type="dxa"/>
        <w:jc w:val="center"/>
        <w:tblLayout w:type="fixed"/>
        <w:tblLook w:val="0480" w:firstRow="0" w:lastRow="0" w:firstColumn="1" w:lastColumn="0" w:noHBand="0" w:noVBand="1"/>
      </w:tblPr>
      <w:tblGrid>
        <w:gridCol w:w="1129"/>
        <w:gridCol w:w="1276"/>
        <w:gridCol w:w="993"/>
        <w:gridCol w:w="1277"/>
        <w:gridCol w:w="1320"/>
        <w:gridCol w:w="1200"/>
        <w:gridCol w:w="960"/>
        <w:gridCol w:w="960"/>
        <w:gridCol w:w="960"/>
        <w:gridCol w:w="960"/>
        <w:gridCol w:w="4553"/>
      </w:tblGrid>
      <w:tr w:rsidR="00CB0FCB" w14:paraId="0D2BC415" w14:textId="77777777">
        <w:trPr>
          <w:trHeight w:val="612"/>
          <w:tblHeader/>
          <w:jc w:val="center"/>
        </w:trPr>
        <w:tc>
          <w:tcPr>
            <w:tcW w:w="1129" w:type="dxa"/>
            <w:vMerge w:val="restart"/>
            <w:shd w:val="clear" w:color="auto" w:fill="BDD7EE"/>
            <w:vAlign w:val="center"/>
            <w:hideMark/>
          </w:tcPr>
          <w:p w14:paraId="095EA5F6" w14:textId="77777777" w:rsidR="00CB0FCB" w:rsidRDefault="009D2B11">
            <w:pPr>
              <w:pStyle w:val="P68B1DB1-Normal7"/>
              <w:jc w:val="center"/>
              <w:rPr>
                <w:rFonts w:eastAsia="Times New Roman" w:cs="Times New Roman"/>
                <w:bCs/>
                <w:noProof/>
                <w:szCs w:val="18"/>
              </w:rPr>
            </w:pPr>
            <w:r>
              <w:rPr>
                <w:noProof/>
              </w:rPr>
              <w:t>Kārtas numurs</w:t>
            </w:r>
          </w:p>
        </w:tc>
        <w:tc>
          <w:tcPr>
            <w:tcW w:w="1276" w:type="dxa"/>
            <w:vMerge w:val="restart"/>
            <w:shd w:val="clear" w:color="auto" w:fill="BDD7EE"/>
            <w:vAlign w:val="center"/>
            <w:hideMark/>
          </w:tcPr>
          <w:p w14:paraId="0F11964D" w14:textId="77777777" w:rsidR="00CB0FCB" w:rsidRDefault="009D2B11">
            <w:pPr>
              <w:pStyle w:val="P68B1DB1-Normal7"/>
              <w:jc w:val="center"/>
              <w:rPr>
                <w:rFonts w:eastAsia="Times New Roman" w:cs="Times New Roman"/>
                <w:bCs/>
                <w:noProof/>
                <w:szCs w:val="18"/>
              </w:rPr>
            </w:pPr>
            <w:r>
              <w:rPr>
                <w:noProof/>
              </w:rPr>
              <w:t>Saistītais pasākums (reforma vai ieguldījums)</w:t>
            </w:r>
          </w:p>
        </w:tc>
        <w:tc>
          <w:tcPr>
            <w:tcW w:w="993" w:type="dxa"/>
            <w:vMerge w:val="restart"/>
            <w:shd w:val="clear" w:color="auto" w:fill="BDD7EE"/>
            <w:vAlign w:val="center"/>
            <w:hideMark/>
          </w:tcPr>
          <w:p w14:paraId="30BFC9D6" w14:textId="77777777" w:rsidR="00CB0FCB" w:rsidRDefault="009D2B11">
            <w:pPr>
              <w:pStyle w:val="P68B1DB1-Normal7"/>
              <w:jc w:val="center"/>
              <w:rPr>
                <w:rFonts w:eastAsia="Times New Roman" w:cs="Times New Roman"/>
                <w:bCs/>
                <w:noProof/>
                <w:szCs w:val="18"/>
              </w:rPr>
            </w:pPr>
            <w:r>
              <w:rPr>
                <w:noProof/>
              </w:rPr>
              <w:t>Atskaites punkts/mērķrādītājs</w:t>
            </w:r>
          </w:p>
        </w:tc>
        <w:tc>
          <w:tcPr>
            <w:tcW w:w="1277" w:type="dxa"/>
            <w:vMerge w:val="restart"/>
            <w:shd w:val="clear" w:color="auto" w:fill="BDD7EE"/>
            <w:vAlign w:val="center"/>
            <w:hideMark/>
          </w:tcPr>
          <w:p w14:paraId="48AEE39E" w14:textId="77777777" w:rsidR="00CB0FCB" w:rsidRDefault="009D2B11">
            <w:pPr>
              <w:pStyle w:val="P68B1DB1-Normal7"/>
              <w:jc w:val="center"/>
              <w:rPr>
                <w:rFonts w:eastAsia="Times New Roman" w:cs="Times New Roman"/>
                <w:bCs/>
                <w:noProof/>
                <w:szCs w:val="18"/>
              </w:rPr>
            </w:pPr>
            <w:r>
              <w:rPr>
                <w:noProof/>
              </w:rPr>
              <w:t>Nosaukums</w:t>
            </w:r>
          </w:p>
        </w:tc>
        <w:tc>
          <w:tcPr>
            <w:tcW w:w="1320" w:type="dxa"/>
            <w:vMerge w:val="restart"/>
            <w:shd w:val="clear" w:color="auto" w:fill="BDD7EE"/>
            <w:vAlign w:val="center"/>
            <w:hideMark/>
          </w:tcPr>
          <w:p w14:paraId="785F0C2C" w14:textId="77777777" w:rsidR="00CB0FCB" w:rsidRDefault="009D2B11">
            <w:pPr>
              <w:pStyle w:val="P68B1DB1-Normal7"/>
              <w:jc w:val="center"/>
              <w:rPr>
                <w:rFonts w:eastAsia="Times New Roman" w:cs="Times New Roman"/>
                <w:bCs/>
                <w:noProof/>
                <w:szCs w:val="18"/>
              </w:rPr>
            </w:pPr>
            <w:r>
              <w:rPr>
                <w:noProof/>
              </w:rPr>
              <w:t>Kvalitatīvie rādītāji (atskaites punktiem)</w:t>
            </w:r>
          </w:p>
        </w:tc>
        <w:tc>
          <w:tcPr>
            <w:tcW w:w="3120" w:type="dxa"/>
            <w:gridSpan w:val="3"/>
            <w:shd w:val="clear" w:color="auto" w:fill="BDD7EE"/>
            <w:vAlign w:val="center"/>
            <w:hideMark/>
          </w:tcPr>
          <w:p w14:paraId="7162E3C6" w14:textId="77777777" w:rsidR="00CB0FCB" w:rsidRDefault="009D2B11">
            <w:pPr>
              <w:pStyle w:val="P68B1DB1-Normal7"/>
              <w:jc w:val="center"/>
              <w:rPr>
                <w:rFonts w:eastAsia="Times New Roman" w:cs="Times New Roman"/>
                <w:bCs/>
                <w:noProof/>
                <w:szCs w:val="18"/>
              </w:rPr>
            </w:pPr>
            <w:r>
              <w:rPr>
                <w:noProof/>
              </w:rPr>
              <w:t>Kvantitatīvie rādītāji (mērķrādītājiem)</w:t>
            </w:r>
          </w:p>
        </w:tc>
        <w:tc>
          <w:tcPr>
            <w:tcW w:w="1920" w:type="dxa"/>
            <w:gridSpan w:val="2"/>
            <w:shd w:val="clear" w:color="auto" w:fill="BDD7EE"/>
            <w:vAlign w:val="center"/>
            <w:hideMark/>
          </w:tcPr>
          <w:p w14:paraId="79C9236E" w14:textId="77777777" w:rsidR="00CB0FCB" w:rsidRDefault="009D2B11">
            <w:pPr>
              <w:pStyle w:val="P68B1DB1-Normal7"/>
              <w:jc w:val="center"/>
              <w:rPr>
                <w:rFonts w:eastAsia="Times New Roman" w:cs="Times New Roman"/>
                <w:bCs/>
                <w:noProof/>
                <w:szCs w:val="18"/>
              </w:rPr>
            </w:pPr>
            <w:r>
              <w:rPr>
                <w:noProof/>
              </w:rPr>
              <w:t xml:space="preserve">Orientējošs pabeigšanas termiņš </w:t>
            </w:r>
          </w:p>
        </w:tc>
        <w:tc>
          <w:tcPr>
            <w:tcW w:w="4553" w:type="dxa"/>
            <w:vMerge w:val="restart"/>
            <w:shd w:val="clear" w:color="auto" w:fill="BDD7EE"/>
            <w:vAlign w:val="center"/>
            <w:hideMark/>
          </w:tcPr>
          <w:p w14:paraId="34612095" w14:textId="77777777" w:rsidR="00CB0FCB" w:rsidRDefault="009D2B11">
            <w:pPr>
              <w:pStyle w:val="P68B1DB1-Normal7"/>
              <w:jc w:val="center"/>
              <w:rPr>
                <w:rFonts w:eastAsia="Times New Roman" w:cs="Times New Roman"/>
                <w:bCs/>
                <w:noProof/>
                <w:szCs w:val="18"/>
              </w:rPr>
            </w:pPr>
            <w:r>
              <w:rPr>
                <w:noProof/>
              </w:rPr>
              <w:t>Apraksts par katru atskaites punktu un mērķrādītāju</w:t>
            </w:r>
          </w:p>
        </w:tc>
      </w:tr>
      <w:tr w:rsidR="00CB0FCB" w14:paraId="1DECA2EC" w14:textId="77777777">
        <w:trPr>
          <w:trHeight w:val="540"/>
          <w:tblHeader/>
          <w:jc w:val="center"/>
        </w:trPr>
        <w:tc>
          <w:tcPr>
            <w:tcW w:w="1129" w:type="dxa"/>
            <w:vMerge/>
            <w:vAlign w:val="center"/>
            <w:hideMark/>
          </w:tcPr>
          <w:p w14:paraId="630E05D6" w14:textId="77777777" w:rsidR="00CB0FCB" w:rsidRDefault="00CB0FCB">
            <w:pPr>
              <w:rPr>
                <w:rFonts w:ascii="Times New Roman" w:eastAsia="Times New Roman" w:hAnsi="Times New Roman" w:cs="Times New Roman"/>
                <w:b/>
                <w:bCs/>
                <w:noProof/>
                <w:sz w:val="18"/>
                <w:szCs w:val="18"/>
              </w:rPr>
            </w:pPr>
          </w:p>
        </w:tc>
        <w:tc>
          <w:tcPr>
            <w:tcW w:w="1276" w:type="dxa"/>
            <w:vMerge/>
            <w:vAlign w:val="center"/>
            <w:hideMark/>
          </w:tcPr>
          <w:p w14:paraId="2C02C307" w14:textId="77777777" w:rsidR="00CB0FCB" w:rsidRDefault="00CB0FCB">
            <w:pPr>
              <w:rPr>
                <w:rFonts w:ascii="Times New Roman" w:eastAsia="Times New Roman" w:hAnsi="Times New Roman" w:cs="Times New Roman"/>
                <w:b/>
                <w:bCs/>
                <w:noProof/>
                <w:sz w:val="18"/>
                <w:szCs w:val="18"/>
              </w:rPr>
            </w:pPr>
          </w:p>
        </w:tc>
        <w:tc>
          <w:tcPr>
            <w:tcW w:w="993" w:type="dxa"/>
            <w:vMerge/>
            <w:vAlign w:val="center"/>
            <w:hideMark/>
          </w:tcPr>
          <w:p w14:paraId="0100A6AF" w14:textId="77777777" w:rsidR="00CB0FCB" w:rsidRDefault="00CB0FCB">
            <w:pPr>
              <w:rPr>
                <w:rFonts w:ascii="Times New Roman" w:eastAsia="Times New Roman" w:hAnsi="Times New Roman" w:cs="Times New Roman"/>
                <w:b/>
                <w:bCs/>
                <w:noProof/>
                <w:sz w:val="18"/>
                <w:szCs w:val="18"/>
              </w:rPr>
            </w:pPr>
          </w:p>
        </w:tc>
        <w:tc>
          <w:tcPr>
            <w:tcW w:w="1277" w:type="dxa"/>
            <w:vMerge/>
            <w:vAlign w:val="center"/>
            <w:hideMark/>
          </w:tcPr>
          <w:p w14:paraId="11073176" w14:textId="77777777" w:rsidR="00CB0FCB" w:rsidRDefault="00CB0FCB">
            <w:pPr>
              <w:rPr>
                <w:rFonts w:ascii="Times New Roman" w:eastAsia="Times New Roman" w:hAnsi="Times New Roman" w:cs="Times New Roman"/>
                <w:b/>
                <w:bCs/>
                <w:noProof/>
                <w:sz w:val="18"/>
                <w:szCs w:val="18"/>
              </w:rPr>
            </w:pPr>
          </w:p>
        </w:tc>
        <w:tc>
          <w:tcPr>
            <w:tcW w:w="1320" w:type="dxa"/>
            <w:vMerge/>
            <w:vAlign w:val="center"/>
            <w:hideMark/>
          </w:tcPr>
          <w:p w14:paraId="5C0143F3" w14:textId="77777777" w:rsidR="00CB0FCB" w:rsidRDefault="00CB0FCB">
            <w:pPr>
              <w:rPr>
                <w:rFonts w:ascii="Times New Roman" w:eastAsia="Times New Roman" w:hAnsi="Times New Roman" w:cs="Times New Roman"/>
                <w:b/>
                <w:bCs/>
                <w:noProof/>
                <w:sz w:val="18"/>
                <w:szCs w:val="18"/>
              </w:rPr>
            </w:pPr>
          </w:p>
        </w:tc>
        <w:tc>
          <w:tcPr>
            <w:tcW w:w="1200" w:type="dxa"/>
            <w:shd w:val="clear" w:color="auto" w:fill="BDD7EE"/>
            <w:vAlign w:val="center"/>
            <w:hideMark/>
          </w:tcPr>
          <w:p w14:paraId="37989C94" w14:textId="77777777" w:rsidR="00CB0FCB" w:rsidRDefault="009D2B11">
            <w:pPr>
              <w:pStyle w:val="P68B1DB1-Normal7"/>
              <w:jc w:val="center"/>
              <w:rPr>
                <w:rFonts w:eastAsia="Times New Roman" w:cs="Times New Roman"/>
                <w:bCs/>
                <w:noProof/>
                <w:szCs w:val="18"/>
              </w:rPr>
            </w:pPr>
            <w:r>
              <w:rPr>
                <w:noProof/>
              </w:rPr>
              <w:t>Mēra vienība</w:t>
            </w:r>
          </w:p>
        </w:tc>
        <w:tc>
          <w:tcPr>
            <w:tcW w:w="960" w:type="dxa"/>
            <w:shd w:val="clear" w:color="auto" w:fill="BDD7EE"/>
            <w:vAlign w:val="center"/>
            <w:hideMark/>
          </w:tcPr>
          <w:p w14:paraId="74BBAD15" w14:textId="77777777" w:rsidR="00CB0FCB" w:rsidRDefault="009D2B11">
            <w:pPr>
              <w:pStyle w:val="P68B1DB1-Normal7"/>
              <w:jc w:val="center"/>
              <w:rPr>
                <w:rFonts w:eastAsia="Times New Roman" w:cs="Times New Roman"/>
                <w:bCs/>
                <w:noProof/>
                <w:szCs w:val="18"/>
              </w:rPr>
            </w:pPr>
            <w:r>
              <w:rPr>
                <w:noProof/>
              </w:rPr>
              <w:t xml:space="preserve">Pamatscenārijs </w:t>
            </w:r>
          </w:p>
        </w:tc>
        <w:tc>
          <w:tcPr>
            <w:tcW w:w="960" w:type="dxa"/>
            <w:shd w:val="clear" w:color="auto" w:fill="BDD7EE"/>
            <w:vAlign w:val="center"/>
            <w:hideMark/>
          </w:tcPr>
          <w:p w14:paraId="5EEBFE3B" w14:textId="77777777" w:rsidR="00CB0FCB" w:rsidRDefault="009D2B11">
            <w:pPr>
              <w:pStyle w:val="P68B1DB1-Normal7"/>
              <w:jc w:val="center"/>
              <w:rPr>
                <w:rFonts w:eastAsia="Times New Roman" w:cs="Times New Roman"/>
                <w:bCs/>
                <w:noProof/>
                <w:szCs w:val="18"/>
              </w:rPr>
            </w:pPr>
            <w:r>
              <w:rPr>
                <w:noProof/>
              </w:rPr>
              <w:t xml:space="preserve">Mērķis </w:t>
            </w:r>
          </w:p>
        </w:tc>
        <w:tc>
          <w:tcPr>
            <w:tcW w:w="960" w:type="dxa"/>
            <w:shd w:val="clear" w:color="auto" w:fill="BDD7EE"/>
            <w:vAlign w:val="center"/>
            <w:hideMark/>
          </w:tcPr>
          <w:p w14:paraId="1E85042A" w14:textId="77777777" w:rsidR="00CB0FCB" w:rsidRDefault="009D2B11">
            <w:pPr>
              <w:pStyle w:val="P68B1DB1-Normal7"/>
              <w:jc w:val="center"/>
              <w:rPr>
                <w:rFonts w:eastAsia="Times New Roman" w:cs="Times New Roman"/>
                <w:bCs/>
                <w:noProof/>
                <w:szCs w:val="18"/>
              </w:rPr>
            </w:pPr>
            <w:r>
              <w:rPr>
                <w:noProof/>
              </w:rPr>
              <w:t>Ceturkšņa laikā</w:t>
            </w:r>
          </w:p>
        </w:tc>
        <w:tc>
          <w:tcPr>
            <w:tcW w:w="960" w:type="dxa"/>
            <w:shd w:val="clear" w:color="auto" w:fill="BDD7EE"/>
            <w:vAlign w:val="center"/>
            <w:hideMark/>
          </w:tcPr>
          <w:p w14:paraId="6FFD73DB" w14:textId="77777777" w:rsidR="00CB0FCB" w:rsidRDefault="009D2B11">
            <w:pPr>
              <w:pStyle w:val="P68B1DB1-Normal7"/>
              <w:jc w:val="center"/>
              <w:rPr>
                <w:rFonts w:eastAsia="Times New Roman" w:cs="Times New Roman"/>
                <w:bCs/>
                <w:noProof/>
                <w:szCs w:val="18"/>
              </w:rPr>
            </w:pPr>
            <w:r>
              <w:rPr>
                <w:noProof/>
              </w:rPr>
              <w:t>Gadu</w:t>
            </w:r>
          </w:p>
        </w:tc>
        <w:tc>
          <w:tcPr>
            <w:tcW w:w="4553" w:type="dxa"/>
            <w:vMerge/>
            <w:vAlign w:val="center"/>
            <w:hideMark/>
          </w:tcPr>
          <w:p w14:paraId="69528607" w14:textId="77777777" w:rsidR="00CB0FCB" w:rsidRDefault="00CB0FCB">
            <w:pPr>
              <w:rPr>
                <w:rFonts w:ascii="Times New Roman" w:eastAsia="Times New Roman" w:hAnsi="Times New Roman" w:cs="Times New Roman"/>
                <w:b/>
                <w:bCs/>
                <w:noProof/>
                <w:sz w:val="18"/>
                <w:szCs w:val="18"/>
              </w:rPr>
            </w:pPr>
          </w:p>
        </w:tc>
      </w:tr>
      <w:tr w:rsidR="00CB0FCB" w14:paraId="2867B527" w14:textId="77777777">
        <w:trPr>
          <w:trHeight w:val="309"/>
          <w:jc w:val="center"/>
        </w:trPr>
        <w:tc>
          <w:tcPr>
            <w:tcW w:w="1129" w:type="dxa"/>
            <w:shd w:val="clear" w:color="auto" w:fill="C6EFCE"/>
            <w:noWrap/>
          </w:tcPr>
          <w:p w14:paraId="1A32EC30" w14:textId="77777777" w:rsidR="00CB0FCB" w:rsidRDefault="009D2B11">
            <w:pPr>
              <w:pStyle w:val="P68B1DB1-Normal9"/>
              <w:rPr>
                <w:rFonts w:eastAsia="Times New Roman" w:cs="Calibri"/>
                <w:noProof/>
                <w:szCs w:val="18"/>
              </w:rPr>
            </w:pPr>
            <w:r>
              <w:rPr>
                <w:noProof/>
              </w:rPr>
              <w:t>77</w:t>
            </w:r>
          </w:p>
        </w:tc>
        <w:tc>
          <w:tcPr>
            <w:tcW w:w="1276" w:type="dxa"/>
            <w:shd w:val="clear" w:color="auto" w:fill="C6EFCE"/>
            <w:noWrap/>
          </w:tcPr>
          <w:p w14:paraId="2E9BA69C" w14:textId="77777777" w:rsidR="00CB0FCB" w:rsidRDefault="009D2B11">
            <w:pPr>
              <w:pStyle w:val="P68B1DB1-Normal9"/>
              <w:rPr>
                <w:rFonts w:eastAsia="Times New Roman" w:cs="Calibri"/>
                <w:noProof/>
                <w:szCs w:val="18"/>
              </w:rPr>
            </w:pPr>
            <w:r>
              <w:rPr>
                <w:noProof/>
              </w:rPr>
              <w:t>4–1.4. Resursu ilgtspējīga izmantošana, klimatnoturība un vides aizsardzība — 16283_Reģionālo civilās aizsardzības centru (PEKEPP) īstenošana, izmantojot PPP shēmas</w:t>
            </w:r>
          </w:p>
        </w:tc>
        <w:tc>
          <w:tcPr>
            <w:tcW w:w="993" w:type="dxa"/>
            <w:shd w:val="clear" w:color="auto" w:fill="C6EFCE"/>
            <w:noWrap/>
          </w:tcPr>
          <w:p w14:paraId="245378DA" w14:textId="77777777" w:rsidR="00CB0FCB" w:rsidRDefault="009D2B11">
            <w:pPr>
              <w:pStyle w:val="P68B1DB1-Normal9"/>
              <w:rPr>
                <w:rFonts w:eastAsia="Times New Roman" w:cs="Calibri"/>
                <w:noProof/>
                <w:szCs w:val="18"/>
              </w:rPr>
            </w:pPr>
            <w:r>
              <w:rPr>
                <w:noProof/>
              </w:rPr>
              <w:t>Atskaites punkts</w:t>
            </w:r>
          </w:p>
        </w:tc>
        <w:tc>
          <w:tcPr>
            <w:tcW w:w="1277" w:type="dxa"/>
            <w:shd w:val="clear" w:color="auto" w:fill="C6EFCE"/>
            <w:noWrap/>
          </w:tcPr>
          <w:p w14:paraId="3150164B" w14:textId="77777777" w:rsidR="00CB0FCB" w:rsidRDefault="009D2B11">
            <w:pPr>
              <w:pStyle w:val="P68B1DB1-Normal9"/>
              <w:rPr>
                <w:rFonts w:eastAsia="Times New Roman" w:cs="Calibri"/>
                <w:noProof/>
                <w:szCs w:val="18"/>
              </w:rPr>
            </w:pPr>
            <w:r>
              <w:rPr>
                <w:noProof/>
              </w:rPr>
              <w:t>Konkurss 13 reģionālajiem centriem</w:t>
            </w:r>
          </w:p>
        </w:tc>
        <w:tc>
          <w:tcPr>
            <w:tcW w:w="1320" w:type="dxa"/>
            <w:shd w:val="clear" w:color="auto" w:fill="C6EFCE"/>
            <w:noWrap/>
          </w:tcPr>
          <w:p w14:paraId="6873FF94" w14:textId="77777777" w:rsidR="00CB0FCB" w:rsidRDefault="009D2B11">
            <w:pPr>
              <w:pStyle w:val="P68B1DB1-Normal9"/>
              <w:rPr>
                <w:rFonts w:eastAsia="Times New Roman" w:cs="Calibri"/>
                <w:noProof/>
                <w:szCs w:val="18"/>
              </w:rPr>
            </w:pPr>
            <w:r>
              <w:rPr>
                <w:noProof/>
              </w:rPr>
              <w:t>Konkursa paziņojuma publicēšana</w:t>
            </w:r>
          </w:p>
        </w:tc>
        <w:tc>
          <w:tcPr>
            <w:tcW w:w="1200" w:type="dxa"/>
            <w:shd w:val="clear" w:color="auto" w:fill="C6EFCE"/>
            <w:noWrap/>
          </w:tcPr>
          <w:p w14:paraId="4520C3C8" w14:textId="77777777" w:rsidR="00CB0FCB" w:rsidRDefault="00CB0FCB">
            <w:pPr>
              <w:rPr>
                <w:rFonts w:eastAsia="Times New Roman" w:cs="Calibri"/>
                <w:noProof/>
                <w:color w:val="006100"/>
                <w:sz w:val="18"/>
                <w:szCs w:val="18"/>
              </w:rPr>
            </w:pPr>
          </w:p>
        </w:tc>
        <w:tc>
          <w:tcPr>
            <w:tcW w:w="960" w:type="dxa"/>
            <w:shd w:val="clear" w:color="auto" w:fill="C6EFCE"/>
            <w:noWrap/>
          </w:tcPr>
          <w:p w14:paraId="1503A288" w14:textId="77777777" w:rsidR="00CB0FCB" w:rsidRDefault="00CB0FCB">
            <w:pPr>
              <w:rPr>
                <w:rFonts w:eastAsia="Times New Roman" w:cs="Calibri"/>
                <w:noProof/>
                <w:color w:val="006100"/>
                <w:sz w:val="18"/>
                <w:szCs w:val="18"/>
              </w:rPr>
            </w:pPr>
          </w:p>
        </w:tc>
        <w:tc>
          <w:tcPr>
            <w:tcW w:w="960" w:type="dxa"/>
            <w:shd w:val="clear" w:color="auto" w:fill="C6EFCE"/>
            <w:noWrap/>
          </w:tcPr>
          <w:p w14:paraId="477EEAD6" w14:textId="77777777" w:rsidR="00CB0FCB" w:rsidRDefault="00CB0FCB">
            <w:pPr>
              <w:rPr>
                <w:rFonts w:eastAsia="Times New Roman" w:cs="Calibri"/>
                <w:noProof/>
                <w:color w:val="006100"/>
                <w:sz w:val="18"/>
                <w:szCs w:val="18"/>
              </w:rPr>
            </w:pPr>
          </w:p>
        </w:tc>
        <w:tc>
          <w:tcPr>
            <w:tcW w:w="960" w:type="dxa"/>
            <w:shd w:val="clear" w:color="auto" w:fill="C6EFCE"/>
            <w:noWrap/>
          </w:tcPr>
          <w:p w14:paraId="6B03ECC1" w14:textId="77777777" w:rsidR="00CB0FCB" w:rsidRDefault="009D2B11">
            <w:pPr>
              <w:pStyle w:val="P68B1DB1-Normal9"/>
              <w:rPr>
                <w:rFonts w:eastAsia="Times New Roman" w:cs="Calibri"/>
                <w:noProof/>
                <w:szCs w:val="18"/>
              </w:rPr>
            </w:pPr>
            <w:r>
              <w:rPr>
                <w:noProof/>
              </w:rPr>
              <w:t>CET.</w:t>
            </w:r>
          </w:p>
        </w:tc>
        <w:tc>
          <w:tcPr>
            <w:tcW w:w="960" w:type="dxa"/>
            <w:shd w:val="clear" w:color="auto" w:fill="C6EFCE"/>
            <w:noWrap/>
          </w:tcPr>
          <w:p w14:paraId="109EA03A" w14:textId="77777777" w:rsidR="00CB0FCB" w:rsidRDefault="009D2B11">
            <w:pPr>
              <w:pStyle w:val="P68B1DB1-Normal9"/>
              <w:rPr>
                <w:rFonts w:eastAsia="Times New Roman" w:cs="Calibri"/>
                <w:noProof/>
                <w:szCs w:val="18"/>
              </w:rPr>
            </w:pPr>
            <w:r>
              <w:rPr>
                <w:noProof/>
              </w:rPr>
              <w:t>2021</w:t>
            </w:r>
          </w:p>
        </w:tc>
        <w:tc>
          <w:tcPr>
            <w:tcW w:w="4553" w:type="dxa"/>
            <w:shd w:val="clear" w:color="auto" w:fill="C6EFCE"/>
            <w:noWrap/>
          </w:tcPr>
          <w:p w14:paraId="30758B24" w14:textId="77777777" w:rsidR="00CB0FCB" w:rsidRDefault="009D2B11">
            <w:pPr>
              <w:pStyle w:val="P68B1DB1-Normal9"/>
              <w:rPr>
                <w:rFonts w:eastAsia="Times New Roman" w:cs="Calibri"/>
                <w:noProof/>
                <w:szCs w:val="18"/>
              </w:rPr>
            </w:pPr>
            <w:r>
              <w:rPr>
                <w:noProof/>
              </w:rPr>
              <w:t>Publicēts paziņojums par konkursu 13 reģionālo civilās aizsardzības centru būvniecībai.</w:t>
            </w:r>
          </w:p>
        </w:tc>
      </w:tr>
      <w:tr w:rsidR="00CB0FCB" w14:paraId="6394FF89" w14:textId="77777777">
        <w:trPr>
          <w:trHeight w:val="309"/>
          <w:jc w:val="center"/>
        </w:trPr>
        <w:tc>
          <w:tcPr>
            <w:tcW w:w="1129" w:type="dxa"/>
            <w:shd w:val="clear" w:color="auto" w:fill="C6EFCE"/>
            <w:noWrap/>
          </w:tcPr>
          <w:p w14:paraId="2D9D612D" w14:textId="77777777" w:rsidR="00CB0FCB" w:rsidRDefault="009D2B11">
            <w:pPr>
              <w:pStyle w:val="P68B1DB1-Normal9"/>
              <w:rPr>
                <w:rFonts w:eastAsia="Times New Roman" w:cs="Calibri"/>
                <w:noProof/>
                <w:szCs w:val="18"/>
              </w:rPr>
            </w:pPr>
            <w:r>
              <w:rPr>
                <w:noProof/>
              </w:rPr>
              <w:t>78</w:t>
            </w:r>
          </w:p>
        </w:tc>
        <w:tc>
          <w:tcPr>
            <w:tcW w:w="1276" w:type="dxa"/>
            <w:shd w:val="clear" w:color="auto" w:fill="C6EFCE"/>
            <w:noWrap/>
          </w:tcPr>
          <w:p w14:paraId="09A5C42E" w14:textId="77777777" w:rsidR="00CB0FCB" w:rsidRDefault="009D2B11">
            <w:pPr>
              <w:pStyle w:val="P68B1DB1-Normal9"/>
              <w:rPr>
                <w:rFonts w:eastAsia="Times New Roman" w:cs="Calibri"/>
                <w:noProof/>
                <w:szCs w:val="18"/>
              </w:rPr>
            </w:pPr>
            <w:r>
              <w:rPr>
                <w:noProof/>
              </w:rPr>
              <w:t>4–1.4. Resursu ilgtspējīga izmantošana, klimatnoturība un vides aizsardzība — 16910_Uzraudzības un pārvaldības sistēma</w:t>
            </w:r>
          </w:p>
        </w:tc>
        <w:tc>
          <w:tcPr>
            <w:tcW w:w="993" w:type="dxa"/>
            <w:shd w:val="clear" w:color="auto" w:fill="C6EFCE"/>
            <w:noWrap/>
          </w:tcPr>
          <w:p w14:paraId="3763E178" w14:textId="77777777" w:rsidR="00CB0FCB" w:rsidRDefault="009D2B11">
            <w:pPr>
              <w:pStyle w:val="P68B1DB1-Normal9"/>
              <w:rPr>
                <w:rFonts w:eastAsia="Times New Roman" w:cs="Calibri"/>
                <w:noProof/>
                <w:szCs w:val="18"/>
              </w:rPr>
            </w:pPr>
            <w:r>
              <w:rPr>
                <w:noProof/>
              </w:rPr>
              <w:t>Atskaites punkts</w:t>
            </w:r>
          </w:p>
        </w:tc>
        <w:tc>
          <w:tcPr>
            <w:tcW w:w="1277" w:type="dxa"/>
            <w:shd w:val="clear" w:color="auto" w:fill="C6EFCE"/>
            <w:noWrap/>
          </w:tcPr>
          <w:p w14:paraId="0DCD7A62" w14:textId="77777777" w:rsidR="00CB0FCB" w:rsidRDefault="009D2B11">
            <w:pPr>
              <w:pStyle w:val="P68B1DB1-Normal9"/>
              <w:rPr>
                <w:rFonts w:eastAsia="Times New Roman" w:cs="Calibri"/>
                <w:noProof/>
                <w:szCs w:val="18"/>
              </w:rPr>
            </w:pPr>
            <w:r>
              <w:rPr>
                <w:noProof/>
              </w:rPr>
              <w:t>Līgums par GPS</w:t>
            </w:r>
          </w:p>
        </w:tc>
        <w:tc>
          <w:tcPr>
            <w:tcW w:w="1320" w:type="dxa"/>
            <w:shd w:val="clear" w:color="auto" w:fill="C6EFCE"/>
            <w:noWrap/>
          </w:tcPr>
          <w:p w14:paraId="1EDCC783" w14:textId="77777777" w:rsidR="00CB0FCB" w:rsidRDefault="009D2B11">
            <w:pPr>
              <w:pStyle w:val="P68B1DB1-Normal9"/>
              <w:rPr>
                <w:rFonts w:eastAsia="Times New Roman" w:cs="Calibri"/>
                <w:noProof/>
                <w:szCs w:val="18"/>
              </w:rPr>
            </w:pPr>
            <w:r>
              <w:rPr>
                <w:noProof/>
              </w:rPr>
              <w:t xml:space="preserve">Paziņojums par līgumu slēgšanas tiesību piešķiršanu </w:t>
            </w:r>
          </w:p>
        </w:tc>
        <w:tc>
          <w:tcPr>
            <w:tcW w:w="1200" w:type="dxa"/>
            <w:shd w:val="clear" w:color="auto" w:fill="C6EFCE"/>
            <w:noWrap/>
          </w:tcPr>
          <w:p w14:paraId="16DEB220" w14:textId="77777777" w:rsidR="00CB0FCB" w:rsidRDefault="00CB0FCB">
            <w:pPr>
              <w:rPr>
                <w:rFonts w:eastAsia="Times New Roman" w:cs="Calibri"/>
                <w:noProof/>
                <w:color w:val="006100"/>
                <w:sz w:val="18"/>
                <w:szCs w:val="18"/>
              </w:rPr>
            </w:pPr>
          </w:p>
        </w:tc>
        <w:tc>
          <w:tcPr>
            <w:tcW w:w="960" w:type="dxa"/>
            <w:shd w:val="clear" w:color="auto" w:fill="C6EFCE"/>
            <w:noWrap/>
          </w:tcPr>
          <w:p w14:paraId="78643EAD" w14:textId="77777777" w:rsidR="00CB0FCB" w:rsidRDefault="00CB0FCB">
            <w:pPr>
              <w:rPr>
                <w:rFonts w:eastAsia="Times New Roman" w:cs="Calibri"/>
                <w:noProof/>
                <w:color w:val="006100"/>
                <w:sz w:val="18"/>
                <w:szCs w:val="18"/>
              </w:rPr>
            </w:pPr>
          </w:p>
        </w:tc>
        <w:tc>
          <w:tcPr>
            <w:tcW w:w="960" w:type="dxa"/>
            <w:shd w:val="clear" w:color="auto" w:fill="C6EFCE"/>
            <w:noWrap/>
          </w:tcPr>
          <w:p w14:paraId="38C576DF" w14:textId="77777777" w:rsidR="00CB0FCB" w:rsidRDefault="00CB0FCB">
            <w:pPr>
              <w:rPr>
                <w:rFonts w:eastAsia="Times New Roman" w:cs="Calibri"/>
                <w:noProof/>
                <w:color w:val="006100"/>
                <w:sz w:val="18"/>
                <w:szCs w:val="18"/>
              </w:rPr>
            </w:pPr>
          </w:p>
        </w:tc>
        <w:tc>
          <w:tcPr>
            <w:tcW w:w="960" w:type="dxa"/>
            <w:shd w:val="clear" w:color="auto" w:fill="C6EFCE"/>
            <w:noWrap/>
          </w:tcPr>
          <w:p w14:paraId="0A6E24F4" w14:textId="77777777" w:rsidR="00CB0FCB" w:rsidRDefault="009D2B11">
            <w:pPr>
              <w:pStyle w:val="P68B1DB1-Normal9"/>
              <w:rPr>
                <w:rFonts w:eastAsia="Times New Roman" w:cs="Calibri"/>
                <w:noProof/>
                <w:szCs w:val="18"/>
              </w:rPr>
            </w:pPr>
            <w:r>
              <w:rPr>
                <w:noProof/>
              </w:rPr>
              <w:t>4. CET.</w:t>
            </w:r>
          </w:p>
        </w:tc>
        <w:tc>
          <w:tcPr>
            <w:tcW w:w="960" w:type="dxa"/>
            <w:shd w:val="clear" w:color="auto" w:fill="C6EFCE"/>
            <w:noWrap/>
          </w:tcPr>
          <w:p w14:paraId="3E8C533F" w14:textId="77777777" w:rsidR="00CB0FCB" w:rsidRDefault="009D2B11">
            <w:pPr>
              <w:pStyle w:val="P68B1DB1-Normal9"/>
              <w:rPr>
                <w:rFonts w:eastAsia="Times New Roman" w:cs="Calibri"/>
                <w:noProof/>
                <w:szCs w:val="18"/>
              </w:rPr>
            </w:pPr>
            <w:r>
              <w:rPr>
                <w:noProof/>
              </w:rPr>
              <w:t>2022</w:t>
            </w:r>
          </w:p>
        </w:tc>
        <w:tc>
          <w:tcPr>
            <w:tcW w:w="4553" w:type="dxa"/>
            <w:shd w:val="clear" w:color="auto" w:fill="C6EFCE"/>
            <w:noWrap/>
          </w:tcPr>
          <w:p w14:paraId="286270FA" w14:textId="77777777" w:rsidR="00CB0FCB" w:rsidRDefault="009D2B11">
            <w:pPr>
              <w:pStyle w:val="P68B1DB1-Normal9"/>
              <w:rPr>
                <w:rFonts w:eastAsia="Times New Roman" w:cs="Calibri"/>
                <w:noProof/>
                <w:szCs w:val="18"/>
              </w:rPr>
            </w:pPr>
            <w:r>
              <w:rPr>
                <w:noProof/>
              </w:rPr>
              <w:t xml:space="preserve">Paziņojums par līguma slēgšanas tiesību piešķiršanu GPS uzraudzības sistēmai un agrīnās brīdināšanas sistēmai. </w:t>
            </w:r>
          </w:p>
        </w:tc>
      </w:tr>
      <w:tr w:rsidR="00CB0FCB" w14:paraId="0DBF7C0E" w14:textId="77777777">
        <w:trPr>
          <w:trHeight w:val="309"/>
          <w:jc w:val="center"/>
        </w:trPr>
        <w:tc>
          <w:tcPr>
            <w:tcW w:w="1129" w:type="dxa"/>
            <w:shd w:val="clear" w:color="auto" w:fill="C6EFCE"/>
            <w:noWrap/>
          </w:tcPr>
          <w:p w14:paraId="661C0701" w14:textId="77777777" w:rsidR="00CB0FCB" w:rsidRDefault="009D2B11">
            <w:pPr>
              <w:pStyle w:val="P68B1DB1-Normal9"/>
              <w:rPr>
                <w:rFonts w:eastAsia="Times New Roman" w:cs="Calibri"/>
                <w:noProof/>
                <w:szCs w:val="18"/>
              </w:rPr>
            </w:pPr>
            <w:r>
              <w:rPr>
                <w:noProof/>
              </w:rPr>
              <w:t>79</w:t>
            </w:r>
          </w:p>
        </w:tc>
        <w:tc>
          <w:tcPr>
            <w:tcW w:w="1276" w:type="dxa"/>
            <w:shd w:val="clear" w:color="auto" w:fill="C6EFCE"/>
            <w:noWrap/>
          </w:tcPr>
          <w:p w14:paraId="5C45A234" w14:textId="77777777" w:rsidR="00CB0FCB" w:rsidRDefault="009D2B11">
            <w:pPr>
              <w:pStyle w:val="P68B1DB1-Normal9"/>
              <w:rPr>
                <w:rFonts w:eastAsia="Times New Roman" w:cs="Calibri"/>
                <w:noProof/>
                <w:szCs w:val="18"/>
              </w:rPr>
            </w:pPr>
            <w:r>
              <w:rPr>
                <w:noProof/>
              </w:rPr>
              <w:t>4–1.4. Resursu ilgtspējīga izmantošana, klimatnoturība un vides aizsardzība — 16911_Krīžu pārvarēšanas līdzekļi</w:t>
            </w:r>
          </w:p>
        </w:tc>
        <w:tc>
          <w:tcPr>
            <w:tcW w:w="993" w:type="dxa"/>
            <w:shd w:val="clear" w:color="auto" w:fill="C6EFCE"/>
            <w:noWrap/>
          </w:tcPr>
          <w:p w14:paraId="766C93DB" w14:textId="77777777" w:rsidR="00CB0FCB" w:rsidRDefault="009D2B11">
            <w:pPr>
              <w:pStyle w:val="P68B1DB1-Normal9"/>
              <w:rPr>
                <w:rFonts w:eastAsia="Times New Roman" w:cs="Calibri"/>
                <w:noProof/>
                <w:szCs w:val="18"/>
              </w:rPr>
            </w:pPr>
            <w:r>
              <w:rPr>
                <w:noProof/>
              </w:rPr>
              <w:t>Atskaites punkts</w:t>
            </w:r>
          </w:p>
        </w:tc>
        <w:tc>
          <w:tcPr>
            <w:tcW w:w="1277" w:type="dxa"/>
            <w:shd w:val="clear" w:color="auto" w:fill="C6EFCE"/>
            <w:noWrap/>
          </w:tcPr>
          <w:p w14:paraId="3E713923" w14:textId="77777777" w:rsidR="00CB0FCB" w:rsidRDefault="009D2B11">
            <w:pPr>
              <w:pStyle w:val="P68B1DB1-Normal9"/>
              <w:rPr>
                <w:rFonts w:eastAsia="Times New Roman" w:cs="Calibri"/>
                <w:noProof/>
                <w:szCs w:val="18"/>
              </w:rPr>
            </w:pPr>
            <w:r>
              <w:rPr>
                <w:noProof/>
              </w:rPr>
              <w:t>Divu vidēja lieluma ugunsdzēsības helikopteru iegāde</w:t>
            </w:r>
          </w:p>
        </w:tc>
        <w:tc>
          <w:tcPr>
            <w:tcW w:w="1320" w:type="dxa"/>
            <w:shd w:val="clear" w:color="auto" w:fill="C6EFCE"/>
            <w:noWrap/>
          </w:tcPr>
          <w:p w14:paraId="18A9C1DE" w14:textId="77777777" w:rsidR="00CB0FCB" w:rsidRDefault="009D2B11">
            <w:pPr>
              <w:pStyle w:val="P68B1DB1-Normal9"/>
              <w:rPr>
                <w:rFonts w:eastAsia="Times New Roman" w:cs="Calibri"/>
                <w:noProof/>
                <w:szCs w:val="18"/>
              </w:rPr>
            </w:pPr>
            <w:r>
              <w:rPr>
                <w:noProof/>
              </w:rPr>
              <w:t xml:space="preserve">Paziņojums par līgumu slēgšanas tiesību piešķiršanu </w:t>
            </w:r>
          </w:p>
        </w:tc>
        <w:tc>
          <w:tcPr>
            <w:tcW w:w="1200" w:type="dxa"/>
            <w:shd w:val="clear" w:color="auto" w:fill="C6EFCE"/>
            <w:noWrap/>
          </w:tcPr>
          <w:p w14:paraId="437F266F" w14:textId="77777777" w:rsidR="00CB0FCB" w:rsidRDefault="00CB0FCB">
            <w:pPr>
              <w:rPr>
                <w:rFonts w:eastAsia="Times New Roman" w:cs="Calibri"/>
                <w:noProof/>
                <w:color w:val="006100"/>
                <w:sz w:val="18"/>
                <w:szCs w:val="18"/>
              </w:rPr>
            </w:pPr>
          </w:p>
        </w:tc>
        <w:tc>
          <w:tcPr>
            <w:tcW w:w="960" w:type="dxa"/>
            <w:shd w:val="clear" w:color="auto" w:fill="C6EFCE"/>
            <w:noWrap/>
          </w:tcPr>
          <w:p w14:paraId="7FF2406B" w14:textId="77777777" w:rsidR="00CB0FCB" w:rsidRDefault="00CB0FCB">
            <w:pPr>
              <w:rPr>
                <w:rFonts w:eastAsia="Times New Roman" w:cs="Calibri"/>
                <w:noProof/>
                <w:color w:val="006100"/>
                <w:sz w:val="18"/>
                <w:szCs w:val="18"/>
              </w:rPr>
            </w:pPr>
          </w:p>
        </w:tc>
        <w:tc>
          <w:tcPr>
            <w:tcW w:w="960" w:type="dxa"/>
            <w:shd w:val="clear" w:color="auto" w:fill="C6EFCE"/>
            <w:noWrap/>
          </w:tcPr>
          <w:p w14:paraId="0B9E4FBF" w14:textId="77777777" w:rsidR="00CB0FCB" w:rsidRDefault="00CB0FCB">
            <w:pPr>
              <w:rPr>
                <w:rFonts w:eastAsia="Times New Roman" w:cs="Calibri"/>
                <w:noProof/>
                <w:color w:val="006100"/>
                <w:sz w:val="18"/>
                <w:szCs w:val="18"/>
              </w:rPr>
            </w:pPr>
          </w:p>
        </w:tc>
        <w:tc>
          <w:tcPr>
            <w:tcW w:w="960" w:type="dxa"/>
            <w:shd w:val="clear" w:color="auto" w:fill="C6EFCE"/>
            <w:noWrap/>
          </w:tcPr>
          <w:p w14:paraId="53660410" w14:textId="77777777" w:rsidR="00CB0FCB" w:rsidRDefault="009D2B11">
            <w:pPr>
              <w:pStyle w:val="P68B1DB1-Normal9"/>
              <w:rPr>
                <w:rFonts w:eastAsia="Times New Roman" w:cs="Calibri"/>
                <w:noProof/>
                <w:szCs w:val="18"/>
              </w:rPr>
            </w:pPr>
            <w:r>
              <w:rPr>
                <w:noProof/>
              </w:rPr>
              <w:t>4. CET.</w:t>
            </w:r>
          </w:p>
        </w:tc>
        <w:tc>
          <w:tcPr>
            <w:tcW w:w="960" w:type="dxa"/>
            <w:shd w:val="clear" w:color="auto" w:fill="C6EFCE"/>
            <w:noWrap/>
          </w:tcPr>
          <w:p w14:paraId="0BB6C410" w14:textId="77777777" w:rsidR="00CB0FCB" w:rsidRDefault="009D2B11">
            <w:pPr>
              <w:pStyle w:val="P68B1DB1-Normal9"/>
              <w:rPr>
                <w:rFonts w:eastAsia="Times New Roman" w:cs="Calibri"/>
                <w:noProof/>
                <w:szCs w:val="18"/>
              </w:rPr>
            </w:pPr>
            <w:r>
              <w:rPr>
                <w:noProof/>
              </w:rPr>
              <w:t>2023</w:t>
            </w:r>
          </w:p>
        </w:tc>
        <w:tc>
          <w:tcPr>
            <w:tcW w:w="4553" w:type="dxa"/>
            <w:shd w:val="clear" w:color="auto" w:fill="C6EFCE"/>
            <w:noWrap/>
          </w:tcPr>
          <w:p w14:paraId="7D8C6304" w14:textId="77777777" w:rsidR="00CB0FCB" w:rsidRDefault="009D2B11">
            <w:pPr>
              <w:pStyle w:val="P68B1DB1-Normal9"/>
              <w:rPr>
                <w:rFonts w:eastAsia="Times New Roman" w:cs="Calibri"/>
                <w:noProof/>
                <w:szCs w:val="18"/>
              </w:rPr>
            </w:pPr>
            <w:r>
              <w:rPr>
                <w:noProof/>
              </w:rPr>
              <w:t>Paziņojums par līguma slēgšanas tiesību piešķiršanu divu vidēja lieluma ugunsdzēsības helikopteru iegādei civilās aizsardzības un ugunsdzēsības vajadzībām.</w:t>
            </w:r>
          </w:p>
        </w:tc>
      </w:tr>
      <w:tr w:rsidR="00CB0FCB" w14:paraId="7EA846FA" w14:textId="77777777">
        <w:trPr>
          <w:trHeight w:val="309"/>
          <w:jc w:val="center"/>
        </w:trPr>
        <w:tc>
          <w:tcPr>
            <w:tcW w:w="1129" w:type="dxa"/>
            <w:shd w:val="clear" w:color="auto" w:fill="C6EFCE"/>
            <w:noWrap/>
          </w:tcPr>
          <w:p w14:paraId="20933168" w14:textId="77777777" w:rsidR="00CB0FCB" w:rsidRDefault="009D2B11">
            <w:pPr>
              <w:pStyle w:val="P68B1DB1-Normal9"/>
              <w:rPr>
                <w:rFonts w:eastAsia="Times New Roman" w:cs="Calibri"/>
                <w:noProof/>
                <w:szCs w:val="18"/>
              </w:rPr>
            </w:pPr>
            <w:r>
              <w:rPr>
                <w:noProof/>
              </w:rPr>
              <w:t>81</w:t>
            </w:r>
          </w:p>
        </w:tc>
        <w:tc>
          <w:tcPr>
            <w:tcW w:w="1276" w:type="dxa"/>
            <w:shd w:val="clear" w:color="auto" w:fill="C6EFCE"/>
            <w:noWrap/>
          </w:tcPr>
          <w:p w14:paraId="3B1E37C1" w14:textId="77777777" w:rsidR="00CB0FCB" w:rsidRDefault="009D2B11">
            <w:pPr>
              <w:pStyle w:val="P68B1DB1-Normal9"/>
              <w:rPr>
                <w:noProof/>
              </w:rPr>
            </w:pPr>
            <w:r>
              <w:rPr>
                <w:noProof/>
              </w:rPr>
              <w:t>4–1.4. Resursu ilgtspējīga izmantošana, klimatnoturība un vides aizsardzība — 16910</w:t>
            </w:r>
          </w:p>
          <w:p w14:paraId="49DB28FD" w14:textId="2DED94A9" w:rsidR="00CB0FCB" w:rsidRDefault="009D2B11">
            <w:pPr>
              <w:pStyle w:val="P68B1DB1-Normal9"/>
              <w:rPr>
                <w:rFonts w:eastAsia="Times New Roman" w:cs="Calibri"/>
                <w:noProof/>
                <w:szCs w:val="18"/>
                <w:highlight w:val="magenta"/>
              </w:rPr>
            </w:pPr>
            <w:r>
              <w:rPr>
                <w:noProof/>
              </w:rPr>
              <w:t>Uzraudzības un pārvaldības sistēma</w:t>
            </w:r>
          </w:p>
        </w:tc>
        <w:tc>
          <w:tcPr>
            <w:tcW w:w="993" w:type="dxa"/>
            <w:shd w:val="clear" w:color="auto" w:fill="C6EFCE"/>
            <w:noWrap/>
          </w:tcPr>
          <w:p w14:paraId="77C05350" w14:textId="77777777" w:rsidR="00CB0FCB" w:rsidRDefault="009D2B11">
            <w:pPr>
              <w:pStyle w:val="P68B1DB1-Normal9"/>
              <w:rPr>
                <w:rFonts w:eastAsia="Times New Roman" w:cs="Calibri"/>
                <w:noProof/>
                <w:szCs w:val="18"/>
              </w:rPr>
            </w:pPr>
            <w:r>
              <w:rPr>
                <w:noProof/>
              </w:rPr>
              <w:t>Atskaites punkts</w:t>
            </w:r>
          </w:p>
        </w:tc>
        <w:tc>
          <w:tcPr>
            <w:tcW w:w="1277" w:type="dxa"/>
            <w:shd w:val="clear" w:color="auto" w:fill="C6EFCE"/>
            <w:noWrap/>
          </w:tcPr>
          <w:p w14:paraId="2849295D" w14:textId="77777777" w:rsidR="00CB0FCB" w:rsidRDefault="009D2B11">
            <w:pPr>
              <w:pStyle w:val="P68B1DB1-Normal9"/>
              <w:rPr>
                <w:rFonts w:eastAsia="Times New Roman" w:cs="Calibri"/>
                <w:noProof/>
                <w:szCs w:val="18"/>
              </w:rPr>
            </w:pPr>
            <w:r>
              <w:rPr>
                <w:noProof/>
              </w:rPr>
              <w:t>Civilās aizsardzības uzraudzības un pārvaldības sistēmas pabeigšana</w:t>
            </w:r>
          </w:p>
        </w:tc>
        <w:tc>
          <w:tcPr>
            <w:tcW w:w="1320" w:type="dxa"/>
            <w:shd w:val="clear" w:color="auto" w:fill="C6EFCE"/>
            <w:noWrap/>
          </w:tcPr>
          <w:p w14:paraId="19C48DA9" w14:textId="1F52304C" w:rsidR="00CB0FCB" w:rsidRDefault="009D2B11">
            <w:pPr>
              <w:pStyle w:val="P68B1DB1-Normal9"/>
              <w:rPr>
                <w:rFonts w:eastAsia="Times New Roman" w:cs="Calibri"/>
                <w:noProof/>
                <w:szCs w:val="18"/>
              </w:rPr>
            </w:pPr>
            <w:r>
              <w:rPr>
                <w:noProof/>
              </w:rPr>
              <w:t>Pabeigšana apliecināta ar Klimata krīzes un civilās aizsardzības ministrijas ziņojumu</w:t>
            </w:r>
          </w:p>
        </w:tc>
        <w:tc>
          <w:tcPr>
            <w:tcW w:w="1200" w:type="dxa"/>
            <w:shd w:val="clear" w:color="auto" w:fill="C6EFCE"/>
            <w:noWrap/>
          </w:tcPr>
          <w:p w14:paraId="247B3AB4" w14:textId="77777777" w:rsidR="00CB0FCB" w:rsidRDefault="00CB0FCB">
            <w:pPr>
              <w:rPr>
                <w:rFonts w:eastAsia="Times New Roman" w:cs="Calibri"/>
                <w:noProof/>
                <w:color w:val="006100"/>
                <w:sz w:val="18"/>
                <w:szCs w:val="18"/>
              </w:rPr>
            </w:pPr>
          </w:p>
        </w:tc>
        <w:tc>
          <w:tcPr>
            <w:tcW w:w="960" w:type="dxa"/>
            <w:shd w:val="clear" w:color="auto" w:fill="C6EFCE"/>
            <w:noWrap/>
          </w:tcPr>
          <w:p w14:paraId="2687C89C" w14:textId="77777777" w:rsidR="00CB0FCB" w:rsidRDefault="00CB0FCB">
            <w:pPr>
              <w:rPr>
                <w:rFonts w:eastAsia="Times New Roman" w:cs="Calibri"/>
                <w:noProof/>
                <w:color w:val="006100"/>
                <w:sz w:val="18"/>
                <w:szCs w:val="18"/>
              </w:rPr>
            </w:pPr>
          </w:p>
        </w:tc>
        <w:tc>
          <w:tcPr>
            <w:tcW w:w="960" w:type="dxa"/>
            <w:shd w:val="clear" w:color="auto" w:fill="C6EFCE"/>
            <w:noWrap/>
          </w:tcPr>
          <w:p w14:paraId="4227CB82" w14:textId="77777777" w:rsidR="00CB0FCB" w:rsidRDefault="00CB0FCB">
            <w:pPr>
              <w:rPr>
                <w:rFonts w:eastAsia="Times New Roman" w:cs="Calibri"/>
                <w:noProof/>
                <w:color w:val="006100"/>
                <w:sz w:val="18"/>
                <w:szCs w:val="18"/>
              </w:rPr>
            </w:pPr>
          </w:p>
        </w:tc>
        <w:tc>
          <w:tcPr>
            <w:tcW w:w="960" w:type="dxa"/>
            <w:shd w:val="clear" w:color="auto" w:fill="C6EFCE"/>
            <w:noWrap/>
          </w:tcPr>
          <w:p w14:paraId="0BB714F8" w14:textId="77777777" w:rsidR="00CB0FCB" w:rsidRDefault="009D2B11">
            <w:pPr>
              <w:pStyle w:val="P68B1DB1-Normal9"/>
              <w:rPr>
                <w:rFonts w:eastAsia="Times New Roman" w:cs="Calibri"/>
                <w:noProof/>
                <w:szCs w:val="18"/>
              </w:rPr>
            </w:pPr>
            <w:r>
              <w:rPr>
                <w:noProof/>
              </w:rPr>
              <w:t>4. CET.</w:t>
            </w:r>
          </w:p>
        </w:tc>
        <w:tc>
          <w:tcPr>
            <w:tcW w:w="960" w:type="dxa"/>
            <w:shd w:val="clear" w:color="auto" w:fill="C6EFCE"/>
            <w:noWrap/>
          </w:tcPr>
          <w:p w14:paraId="09AC204D" w14:textId="77777777" w:rsidR="00CB0FCB" w:rsidRDefault="009D2B11">
            <w:pPr>
              <w:pStyle w:val="P68B1DB1-Normal9"/>
              <w:rPr>
                <w:rFonts w:eastAsia="Times New Roman" w:cs="Calibri"/>
                <w:noProof/>
                <w:szCs w:val="18"/>
              </w:rPr>
            </w:pPr>
            <w:r>
              <w:rPr>
                <w:noProof/>
              </w:rPr>
              <w:t>2025</w:t>
            </w:r>
          </w:p>
        </w:tc>
        <w:tc>
          <w:tcPr>
            <w:tcW w:w="4553" w:type="dxa"/>
            <w:shd w:val="clear" w:color="auto" w:fill="C6EFCE"/>
            <w:noWrap/>
          </w:tcPr>
          <w:p w14:paraId="2B5FD1E9" w14:textId="77777777" w:rsidR="00CB0FCB" w:rsidRDefault="009D2B11">
            <w:pPr>
              <w:pStyle w:val="P68B1DB1-Normal9"/>
              <w:rPr>
                <w:rFonts w:eastAsia="Times New Roman" w:cs="Calibri"/>
                <w:noProof/>
                <w:szCs w:val="18"/>
              </w:rPr>
            </w:pPr>
            <w:r>
              <w:rPr>
                <w:noProof/>
              </w:rPr>
              <w:t>Šādu darbību pabeigšana:</w:t>
            </w:r>
          </w:p>
          <w:p w14:paraId="1604AA5E" w14:textId="77777777" w:rsidR="00CB0FCB" w:rsidRDefault="009D2B11">
            <w:pPr>
              <w:pStyle w:val="P68B1DB1-Normal9"/>
              <w:numPr>
                <w:ilvl w:val="0"/>
                <w:numId w:val="48"/>
              </w:numPr>
              <w:spacing w:before="120" w:line="259" w:lineRule="auto"/>
              <w:contextualSpacing/>
              <w:jc w:val="both"/>
              <w:rPr>
                <w:rFonts w:eastAsia="Times New Roman" w:cs="Calibri"/>
                <w:noProof/>
                <w:szCs w:val="18"/>
              </w:rPr>
            </w:pPr>
            <w:r>
              <w:rPr>
                <w:noProof/>
              </w:rPr>
              <w:t>GPS uzraudzības sistēma, ko izmanto Grieķijas Ugunsdzēsības dienests, kā arī Reģionālā civilās aizsardzības operāciju centra transportlīdzekļi (projektu mehānismi u. c.). Grieķijas Ugunsdzēsības dienesta “iesaistes” informācijas sistēmas paplašināšana;</w:t>
            </w:r>
          </w:p>
          <w:p w14:paraId="4C08A001" w14:textId="77777777" w:rsidR="00CB0FCB" w:rsidRDefault="009D2B11">
            <w:pPr>
              <w:pStyle w:val="P68B1DB1-Normal9"/>
              <w:numPr>
                <w:ilvl w:val="0"/>
                <w:numId w:val="48"/>
              </w:numPr>
              <w:spacing w:before="120" w:line="259" w:lineRule="auto"/>
              <w:contextualSpacing/>
              <w:jc w:val="both"/>
              <w:rPr>
                <w:rFonts w:eastAsia="Times New Roman" w:cs="Calibri"/>
                <w:noProof/>
                <w:szCs w:val="18"/>
              </w:rPr>
            </w:pPr>
            <w:r>
              <w:rPr>
                <w:noProof/>
              </w:rPr>
              <w:t>Agrīnās brīdināšanas sistēma;</w:t>
            </w:r>
          </w:p>
          <w:p w14:paraId="01EF27A0" w14:textId="77777777" w:rsidR="00CB0FCB" w:rsidRDefault="009D2B11">
            <w:pPr>
              <w:pStyle w:val="P68B1DB1-Normal9"/>
              <w:numPr>
                <w:ilvl w:val="0"/>
                <w:numId w:val="48"/>
              </w:numPr>
              <w:spacing w:before="120" w:line="259" w:lineRule="auto"/>
              <w:contextualSpacing/>
              <w:jc w:val="both"/>
              <w:rPr>
                <w:rFonts w:eastAsia="Times New Roman" w:cs="Calibri"/>
                <w:noProof/>
                <w:szCs w:val="18"/>
              </w:rPr>
            </w:pPr>
            <w:r>
              <w:rPr>
                <w:noProof/>
              </w:rPr>
              <w:t>Ugunsgrēka atklāšanas un ugunsdzēšanas sistēmas;</w:t>
            </w:r>
          </w:p>
          <w:p w14:paraId="15622CE2" w14:textId="667510AD" w:rsidR="00CB0FCB" w:rsidRDefault="009D2B11">
            <w:pPr>
              <w:pStyle w:val="P68B1DB1-Normal9"/>
              <w:numPr>
                <w:ilvl w:val="0"/>
                <w:numId w:val="48"/>
              </w:numPr>
              <w:spacing w:before="120" w:line="259" w:lineRule="auto"/>
              <w:contextualSpacing/>
              <w:jc w:val="both"/>
              <w:rPr>
                <w:rFonts w:eastAsia="Times New Roman" w:cs="Calibri"/>
                <w:noProof/>
                <w:szCs w:val="18"/>
              </w:rPr>
            </w:pPr>
            <w:r>
              <w:rPr>
                <w:noProof/>
              </w:rPr>
              <w:t>Avārijas sakaru stacijas un klimatisko datu sniegšana par interesējošajām teritorijām.</w:t>
            </w:r>
          </w:p>
          <w:p w14:paraId="726097B1" w14:textId="77777777" w:rsidR="00CB0FCB" w:rsidRDefault="00CB0FCB">
            <w:pPr>
              <w:rPr>
                <w:rFonts w:eastAsia="Times New Roman" w:cs="Calibri"/>
                <w:noProof/>
                <w:color w:val="006100"/>
                <w:sz w:val="18"/>
                <w:szCs w:val="18"/>
              </w:rPr>
            </w:pPr>
          </w:p>
        </w:tc>
      </w:tr>
      <w:tr w:rsidR="00CB0FCB" w14:paraId="1BD751C1" w14:textId="77777777">
        <w:trPr>
          <w:trHeight w:val="309"/>
          <w:jc w:val="center"/>
        </w:trPr>
        <w:tc>
          <w:tcPr>
            <w:tcW w:w="1129" w:type="dxa"/>
            <w:shd w:val="clear" w:color="auto" w:fill="C6EFCE"/>
            <w:noWrap/>
          </w:tcPr>
          <w:p w14:paraId="18B7D165" w14:textId="77777777" w:rsidR="00CB0FCB" w:rsidRDefault="009D2B11">
            <w:pPr>
              <w:pStyle w:val="P68B1DB1-Normal9"/>
              <w:rPr>
                <w:rFonts w:eastAsia="Times New Roman" w:cs="Calibri"/>
                <w:noProof/>
                <w:szCs w:val="18"/>
              </w:rPr>
            </w:pPr>
            <w:r>
              <w:rPr>
                <w:noProof/>
              </w:rPr>
              <w:t>82</w:t>
            </w:r>
          </w:p>
        </w:tc>
        <w:tc>
          <w:tcPr>
            <w:tcW w:w="1276" w:type="dxa"/>
            <w:shd w:val="clear" w:color="auto" w:fill="C6EFCE"/>
            <w:noWrap/>
          </w:tcPr>
          <w:p w14:paraId="5EE8CACF" w14:textId="77777777" w:rsidR="00CB0FCB" w:rsidRDefault="009D2B11">
            <w:pPr>
              <w:pStyle w:val="P68B1DB1-Normal9"/>
              <w:rPr>
                <w:rFonts w:eastAsia="Times New Roman" w:cs="Calibri"/>
                <w:noProof/>
                <w:szCs w:val="18"/>
              </w:rPr>
            </w:pPr>
            <w:r>
              <w:rPr>
                <w:noProof/>
              </w:rPr>
              <w:t>4–1.4. Resursu ilgtspējīga izmantošana, klimatnoturība un vides aizsardzība — 16911_Krīžu pārvarēšanas līdzekļi</w:t>
            </w:r>
          </w:p>
        </w:tc>
        <w:tc>
          <w:tcPr>
            <w:tcW w:w="993" w:type="dxa"/>
            <w:shd w:val="clear" w:color="auto" w:fill="C6EFCE"/>
            <w:noWrap/>
          </w:tcPr>
          <w:p w14:paraId="23B94D1B" w14:textId="77777777" w:rsidR="00CB0FCB" w:rsidRDefault="009D2B11">
            <w:pPr>
              <w:pStyle w:val="P68B1DB1-Normal9"/>
              <w:rPr>
                <w:rFonts w:eastAsia="Times New Roman" w:cs="Calibri"/>
                <w:noProof/>
                <w:szCs w:val="18"/>
              </w:rPr>
            </w:pPr>
            <w:r>
              <w:rPr>
                <w:noProof/>
              </w:rPr>
              <w:t>Atskaites punkts</w:t>
            </w:r>
          </w:p>
        </w:tc>
        <w:tc>
          <w:tcPr>
            <w:tcW w:w="1277" w:type="dxa"/>
            <w:shd w:val="clear" w:color="auto" w:fill="C6EFCE"/>
            <w:noWrap/>
          </w:tcPr>
          <w:p w14:paraId="16CFB97C" w14:textId="77777777" w:rsidR="00CB0FCB" w:rsidRDefault="009D2B11">
            <w:pPr>
              <w:pStyle w:val="P68B1DB1-Normal9"/>
              <w:rPr>
                <w:rFonts w:eastAsia="Times New Roman" w:cs="Calibri"/>
                <w:noProof/>
                <w:szCs w:val="18"/>
              </w:rPr>
            </w:pPr>
            <w:r>
              <w:rPr>
                <w:noProof/>
              </w:rPr>
              <w:t>Krīzes pārvarēšanai paredzētu gaisa kuģu projekta pabeigšana</w:t>
            </w:r>
          </w:p>
        </w:tc>
        <w:tc>
          <w:tcPr>
            <w:tcW w:w="1320" w:type="dxa"/>
            <w:shd w:val="clear" w:color="auto" w:fill="C6EFCE"/>
            <w:noWrap/>
          </w:tcPr>
          <w:p w14:paraId="3A0B981F" w14:textId="340DAC31" w:rsidR="00CB0FCB" w:rsidRDefault="009D2B11">
            <w:pPr>
              <w:rPr>
                <w:rFonts w:eastAsia="Times New Roman" w:cs="Calibri"/>
                <w:noProof/>
                <w:color w:val="006100"/>
                <w:sz w:val="18"/>
                <w:szCs w:val="18"/>
              </w:rPr>
            </w:pPr>
            <w:r>
              <w:rPr>
                <w:noProof/>
                <w:color w:val="006100"/>
                <w:sz w:val="18"/>
              </w:rPr>
              <w:t xml:space="preserve">Pabeigšana apliecināta ar Klimata krīzes un civilās aizsardzības ministrijas </w:t>
            </w:r>
            <w:r>
              <w:rPr>
                <w:noProof/>
              </w:rPr>
              <w:t xml:space="preserve"> ziņojumu</w:t>
            </w:r>
          </w:p>
        </w:tc>
        <w:tc>
          <w:tcPr>
            <w:tcW w:w="1200" w:type="dxa"/>
            <w:shd w:val="clear" w:color="auto" w:fill="C6EFCE"/>
            <w:noWrap/>
          </w:tcPr>
          <w:p w14:paraId="69D7C170" w14:textId="77777777" w:rsidR="00CB0FCB" w:rsidRDefault="00CB0FCB">
            <w:pPr>
              <w:rPr>
                <w:rFonts w:eastAsia="Times New Roman" w:cs="Calibri"/>
                <w:noProof/>
                <w:color w:val="006100"/>
                <w:sz w:val="18"/>
                <w:szCs w:val="18"/>
              </w:rPr>
            </w:pPr>
          </w:p>
        </w:tc>
        <w:tc>
          <w:tcPr>
            <w:tcW w:w="960" w:type="dxa"/>
            <w:shd w:val="clear" w:color="auto" w:fill="C6EFCE"/>
            <w:noWrap/>
          </w:tcPr>
          <w:p w14:paraId="1524E046" w14:textId="77777777" w:rsidR="00CB0FCB" w:rsidRDefault="00CB0FCB">
            <w:pPr>
              <w:rPr>
                <w:rFonts w:eastAsia="Times New Roman" w:cs="Calibri"/>
                <w:noProof/>
                <w:color w:val="006100"/>
                <w:sz w:val="18"/>
                <w:szCs w:val="18"/>
              </w:rPr>
            </w:pPr>
          </w:p>
        </w:tc>
        <w:tc>
          <w:tcPr>
            <w:tcW w:w="960" w:type="dxa"/>
            <w:shd w:val="clear" w:color="auto" w:fill="C6EFCE"/>
            <w:noWrap/>
          </w:tcPr>
          <w:p w14:paraId="42BC9733" w14:textId="77777777" w:rsidR="00CB0FCB" w:rsidRDefault="00CB0FCB">
            <w:pPr>
              <w:rPr>
                <w:rFonts w:eastAsia="Times New Roman" w:cs="Calibri"/>
                <w:noProof/>
                <w:color w:val="006100"/>
                <w:sz w:val="18"/>
                <w:szCs w:val="18"/>
              </w:rPr>
            </w:pPr>
          </w:p>
        </w:tc>
        <w:tc>
          <w:tcPr>
            <w:tcW w:w="960" w:type="dxa"/>
            <w:shd w:val="clear" w:color="auto" w:fill="C6EFCE"/>
            <w:noWrap/>
          </w:tcPr>
          <w:p w14:paraId="58015B17" w14:textId="77777777" w:rsidR="00CB0FCB" w:rsidRDefault="009D2B11">
            <w:pPr>
              <w:pStyle w:val="P68B1DB1-Normal9"/>
              <w:rPr>
                <w:rFonts w:eastAsia="Times New Roman" w:cs="Calibri"/>
                <w:noProof/>
                <w:szCs w:val="18"/>
              </w:rPr>
            </w:pPr>
            <w:r>
              <w:rPr>
                <w:noProof/>
              </w:rPr>
              <w:t>4. CET.</w:t>
            </w:r>
          </w:p>
        </w:tc>
        <w:tc>
          <w:tcPr>
            <w:tcW w:w="960" w:type="dxa"/>
            <w:shd w:val="clear" w:color="auto" w:fill="C6EFCE"/>
            <w:noWrap/>
          </w:tcPr>
          <w:p w14:paraId="471059D8" w14:textId="77777777" w:rsidR="00CB0FCB" w:rsidRDefault="009D2B11">
            <w:pPr>
              <w:pStyle w:val="P68B1DB1-Normal9"/>
              <w:rPr>
                <w:rFonts w:eastAsia="Times New Roman" w:cs="Calibri"/>
                <w:noProof/>
                <w:szCs w:val="18"/>
              </w:rPr>
            </w:pPr>
            <w:r>
              <w:rPr>
                <w:noProof/>
              </w:rPr>
              <w:t>2025</w:t>
            </w:r>
          </w:p>
        </w:tc>
        <w:tc>
          <w:tcPr>
            <w:tcW w:w="4553" w:type="dxa"/>
            <w:shd w:val="clear" w:color="auto" w:fill="C6EFCE"/>
            <w:noWrap/>
          </w:tcPr>
          <w:p w14:paraId="5953A12A" w14:textId="77777777" w:rsidR="00CB0FCB" w:rsidRDefault="009D2B11">
            <w:pPr>
              <w:pStyle w:val="P68B1DB1-Normal9"/>
              <w:rPr>
                <w:rFonts w:eastAsia="Times New Roman" w:cs="Calibri"/>
                <w:noProof/>
                <w:szCs w:val="18"/>
              </w:rPr>
            </w:pPr>
            <w:r>
              <w:rPr>
                <w:noProof/>
              </w:rPr>
              <w:t>Šādu darbību pabeigšana:</w:t>
            </w:r>
          </w:p>
          <w:p w14:paraId="785A9F19" w14:textId="77777777" w:rsidR="00CB0FCB" w:rsidRDefault="009D2B11">
            <w:pPr>
              <w:pStyle w:val="P68B1DB1-Normal9"/>
              <w:numPr>
                <w:ilvl w:val="0"/>
                <w:numId w:val="49"/>
              </w:numPr>
              <w:spacing w:before="120" w:line="259" w:lineRule="auto"/>
              <w:contextualSpacing/>
              <w:jc w:val="both"/>
              <w:rPr>
                <w:rFonts w:eastAsia="Times New Roman" w:cs="Calibri"/>
                <w:noProof/>
                <w:szCs w:val="18"/>
              </w:rPr>
            </w:pPr>
            <w:r>
              <w:rPr>
                <w:noProof/>
              </w:rPr>
              <w:t>2 vidēja izmēra un medicīniskam lietojumam paredzētu komunālo helikopteru piegāde;</w:t>
            </w:r>
          </w:p>
          <w:p w14:paraId="47966FED" w14:textId="77777777" w:rsidR="00CB0FCB" w:rsidRDefault="009D2B11">
            <w:pPr>
              <w:pStyle w:val="P68B1DB1-Normal9"/>
              <w:numPr>
                <w:ilvl w:val="0"/>
                <w:numId w:val="49"/>
              </w:numPr>
              <w:spacing w:before="120" w:line="259" w:lineRule="auto"/>
              <w:contextualSpacing/>
              <w:jc w:val="both"/>
              <w:rPr>
                <w:rFonts w:eastAsia="Times New Roman" w:cs="Calibri"/>
                <w:noProof/>
                <w:szCs w:val="18"/>
              </w:rPr>
            </w:pPr>
            <w:r>
              <w:rPr>
                <w:noProof/>
              </w:rPr>
              <w:t>Bezpilota gaisa kuģu piegāde — bezpilota lidaparāti (Dronas) gaisa novērošanai;</w:t>
            </w:r>
          </w:p>
          <w:p w14:paraId="414A25B8" w14:textId="77777777" w:rsidR="00CB0FCB" w:rsidRDefault="009D2B11">
            <w:pPr>
              <w:pStyle w:val="P68B1DB1-Normal9"/>
              <w:numPr>
                <w:ilvl w:val="0"/>
                <w:numId w:val="49"/>
              </w:numPr>
              <w:spacing w:before="120" w:line="259" w:lineRule="auto"/>
              <w:contextualSpacing/>
              <w:jc w:val="both"/>
              <w:rPr>
                <w:rFonts w:eastAsia="Times New Roman" w:cs="Calibri"/>
                <w:noProof/>
                <w:szCs w:val="18"/>
              </w:rPr>
            </w:pPr>
            <w:r>
              <w:rPr>
                <w:noProof/>
              </w:rPr>
              <w:t>Divu vidēja lieluma ugunsdzēsības helikopteru piegāde;</w:t>
            </w:r>
          </w:p>
          <w:p w14:paraId="5495E147" w14:textId="77777777" w:rsidR="00CB0FCB" w:rsidRDefault="009D2B11">
            <w:pPr>
              <w:pStyle w:val="P68B1DB1-Normal9"/>
              <w:numPr>
                <w:ilvl w:val="0"/>
                <w:numId w:val="49"/>
              </w:numPr>
              <w:spacing w:before="120" w:line="259" w:lineRule="auto"/>
              <w:contextualSpacing/>
              <w:jc w:val="both"/>
              <w:rPr>
                <w:rFonts w:eastAsia="Times New Roman" w:cs="Calibri"/>
                <w:noProof/>
                <w:szCs w:val="18"/>
              </w:rPr>
            </w:pPr>
            <w:r>
              <w:rPr>
                <w:noProof/>
              </w:rPr>
              <w:t>1 helikoptera piegāde GSCP incidentu pārvaldības vienības pārvadāšanai;</w:t>
            </w:r>
          </w:p>
          <w:p w14:paraId="14F04E0B" w14:textId="1DC8973C" w:rsidR="00CB0FCB" w:rsidRDefault="009D2B11">
            <w:pPr>
              <w:pStyle w:val="P68B1DB1-Normal9"/>
              <w:numPr>
                <w:ilvl w:val="0"/>
                <w:numId w:val="49"/>
              </w:numPr>
              <w:spacing w:before="120" w:line="259" w:lineRule="auto"/>
              <w:contextualSpacing/>
              <w:jc w:val="both"/>
              <w:rPr>
                <w:rFonts w:eastAsia="Times New Roman" w:cs="Calibri"/>
                <w:noProof/>
                <w:szCs w:val="18"/>
              </w:rPr>
            </w:pPr>
            <w:r>
              <w:rPr>
                <w:noProof/>
              </w:rPr>
              <w:t>8 amfībijas viendzinēja ugunsdzēsības gaisa kuģa piegāde salu kompleksiem; un</w:t>
            </w:r>
          </w:p>
          <w:p w14:paraId="61EEA907" w14:textId="77777777" w:rsidR="00CB0FCB" w:rsidRDefault="009D2B11">
            <w:pPr>
              <w:pStyle w:val="P68B1DB1-Normal9"/>
              <w:numPr>
                <w:ilvl w:val="0"/>
                <w:numId w:val="49"/>
              </w:numPr>
              <w:spacing w:before="120" w:line="259" w:lineRule="auto"/>
              <w:contextualSpacing/>
              <w:jc w:val="both"/>
              <w:rPr>
                <w:rFonts w:eastAsia="Times New Roman" w:cs="Calibri"/>
                <w:noProof/>
                <w:szCs w:val="18"/>
              </w:rPr>
            </w:pPr>
            <w:r>
              <w:rPr>
                <w:noProof/>
              </w:rPr>
              <w:t>Modernizācija — divu (2) Super Pumas modernizācija.</w:t>
            </w:r>
          </w:p>
        </w:tc>
      </w:tr>
      <w:tr w:rsidR="00CB0FCB" w14:paraId="65A141A2" w14:textId="77777777">
        <w:trPr>
          <w:trHeight w:val="309"/>
          <w:jc w:val="center"/>
        </w:trPr>
        <w:tc>
          <w:tcPr>
            <w:tcW w:w="1129" w:type="dxa"/>
            <w:shd w:val="clear" w:color="auto" w:fill="C6EFCE"/>
            <w:noWrap/>
          </w:tcPr>
          <w:p w14:paraId="2E681548" w14:textId="77777777" w:rsidR="00CB0FCB" w:rsidRDefault="009D2B11">
            <w:pPr>
              <w:pStyle w:val="P68B1DB1-Normal9"/>
              <w:rPr>
                <w:rFonts w:eastAsia="Times New Roman" w:cs="Calibri"/>
                <w:noProof/>
                <w:szCs w:val="18"/>
              </w:rPr>
            </w:pPr>
            <w:r>
              <w:rPr>
                <w:noProof/>
              </w:rPr>
              <w:t>83</w:t>
            </w:r>
          </w:p>
        </w:tc>
        <w:tc>
          <w:tcPr>
            <w:tcW w:w="1276" w:type="dxa"/>
            <w:shd w:val="clear" w:color="auto" w:fill="C6EFCE"/>
            <w:noWrap/>
          </w:tcPr>
          <w:p w14:paraId="6A053F86" w14:textId="77777777" w:rsidR="00CB0FCB" w:rsidRDefault="009D2B11">
            <w:pPr>
              <w:pStyle w:val="P68B1DB1-Normal9"/>
              <w:rPr>
                <w:rFonts w:eastAsia="Times New Roman" w:cs="Calibri"/>
                <w:noProof/>
                <w:szCs w:val="18"/>
                <w:highlight w:val="magenta"/>
              </w:rPr>
            </w:pPr>
            <w:r>
              <w:rPr>
                <w:noProof/>
              </w:rPr>
              <w:t>4–1.4. Resursu ilgtspējīga izmantošana, klimatnoturība un vides aizsardzība — 16912_Meža ugunsdzēšanas, novēršanas un reaģēšanas aprīkojums</w:t>
            </w:r>
          </w:p>
        </w:tc>
        <w:tc>
          <w:tcPr>
            <w:tcW w:w="993" w:type="dxa"/>
            <w:shd w:val="clear" w:color="auto" w:fill="C6EFCE"/>
            <w:noWrap/>
          </w:tcPr>
          <w:p w14:paraId="6662E5BF" w14:textId="77777777" w:rsidR="00CB0FCB" w:rsidRDefault="009D2B11">
            <w:pPr>
              <w:pStyle w:val="P68B1DB1-Normal9"/>
              <w:rPr>
                <w:rFonts w:eastAsia="Times New Roman" w:cs="Calibri"/>
                <w:noProof/>
                <w:szCs w:val="18"/>
              </w:rPr>
            </w:pPr>
            <w:r>
              <w:rPr>
                <w:noProof/>
              </w:rPr>
              <w:t>Atskaites punkts</w:t>
            </w:r>
          </w:p>
        </w:tc>
        <w:tc>
          <w:tcPr>
            <w:tcW w:w="1277" w:type="dxa"/>
            <w:shd w:val="clear" w:color="auto" w:fill="C6EFCE"/>
            <w:noWrap/>
          </w:tcPr>
          <w:p w14:paraId="7B14CA11" w14:textId="77777777" w:rsidR="00CB0FCB" w:rsidRDefault="009D2B11">
            <w:pPr>
              <w:pStyle w:val="P68B1DB1-Normal9"/>
              <w:rPr>
                <w:rFonts w:eastAsia="Times New Roman" w:cs="Calibri"/>
                <w:noProof/>
                <w:szCs w:val="18"/>
              </w:rPr>
            </w:pPr>
            <w:r>
              <w:rPr>
                <w:noProof/>
              </w:rPr>
              <w:t>Meža kaujas aprīkojuma pabeigšana</w:t>
            </w:r>
          </w:p>
        </w:tc>
        <w:tc>
          <w:tcPr>
            <w:tcW w:w="1320" w:type="dxa"/>
            <w:shd w:val="clear" w:color="auto" w:fill="C6EFCE"/>
            <w:noWrap/>
          </w:tcPr>
          <w:p w14:paraId="6798EDC7" w14:textId="77777777" w:rsidR="00CB0FCB" w:rsidRDefault="009D2B11">
            <w:pPr>
              <w:pStyle w:val="P68B1DB1-Normal9"/>
              <w:rPr>
                <w:rFonts w:eastAsia="Times New Roman" w:cs="Calibri"/>
                <w:noProof/>
                <w:szCs w:val="18"/>
              </w:rPr>
            </w:pPr>
            <w:r>
              <w:rPr>
                <w:noProof/>
              </w:rPr>
              <w:t>Pabeigšana apliecināta ar Iekšlietu ministrijas ziņojumu</w:t>
            </w:r>
          </w:p>
        </w:tc>
        <w:tc>
          <w:tcPr>
            <w:tcW w:w="1200" w:type="dxa"/>
            <w:shd w:val="clear" w:color="auto" w:fill="C6EFCE"/>
            <w:noWrap/>
          </w:tcPr>
          <w:p w14:paraId="70E6D204" w14:textId="77777777" w:rsidR="00CB0FCB" w:rsidRDefault="00CB0FCB">
            <w:pPr>
              <w:rPr>
                <w:rFonts w:eastAsia="Times New Roman" w:cs="Calibri"/>
                <w:noProof/>
                <w:color w:val="006100"/>
                <w:sz w:val="18"/>
                <w:szCs w:val="18"/>
              </w:rPr>
            </w:pPr>
          </w:p>
        </w:tc>
        <w:tc>
          <w:tcPr>
            <w:tcW w:w="960" w:type="dxa"/>
            <w:shd w:val="clear" w:color="auto" w:fill="C6EFCE"/>
            <w:noWrap/>
          </w:tcPr>
          <w:p w14:paraId="6213E4C7" w14:textId="77777777" w:rsidR="00CB0FCB" w:rsidRDefault="00CB0FCB">
            <w:pPr>
              <w:rPr>
                <w:rFonts w:eastAsia="Times New Roman" w:cs="Calibri"/>
                <w:noProof/>
                <w:color w:val="006100"/>
                <w:sz w:val="18"/>
                <w:szCs w:val="18"/>
              </w:rPr>
            </w:pPr>
          </w:p>
        </w:tc>
        <w:tc>
          <w:tcPr>
            <w:tcW w:w="960" w:type="dxa"/>
            <w:shd w:val="clear" w:color="auto" w:fill="C6EFCE"/>
            <w:noWrap/>
          </w:tcPr>
          <w:p w14:paraId="303C93EA" w14:textId="77777777" w:rsidR="00CB0FCB" w:rsidRDefault="00CB0FCB">
            <w:pPr>
              <w:rPr>
                <w:rFonts w:eastAsia="Times New Roman" w:cs="Calibri"/>
                <w:noProof/>
                <w:color w:val="006100"/>
                <w:sz w:val="18"/>
                <w:szCs w:val="18"/>
              </w:rPr>
            </w:pPr>
          </w:p>
        </w:tc>
        <w:tc>
          <w:tcPr>
            <w:tcW w:w="960" w:type="dxa"/>
            <w:shd w:val="clear" w:color="auto" w:fill="C6EFCE"/>
            <w:noWrap/>
          </w:tcPr>
          <w:p w14:paraId="1F0347E2" w14:textId="77777777" w:rsidR="00CB0FCB" w:rsidRDefault="009D2B11">
            <w:pPr>
              <w:pStyle w:val="P68B1DB1-Normal9"/>
              <w:rPr>
                <w:rFonts w:eastAsia="Times New Roman" w:cs="Calibri"/>
                <w:noProof/>
                <w:szCs w:val="18"/>
              </w:rPr>
            </w:pPr>
            <w:r>
              <w:rPr>
                <w:noProof/>
              </w:rPr>
              <w:t>4. CET.</w:t>
            </w:r>
          </w:p>
        </w:tc>
        <w:tc>
          <w:tcPr>
            <w:tcW w:w="960" w:type="dxa"/>
            <w:shd w:val="clear" w:color="auto" w:fill="C6EFCE"/>
            <w:noWrap/>
          </w:tcPr>
          <w:p w14:paraId="5BE974B4" w14:textId="77777777" w:rsidR="00CB0FCB" w:rsidRDefault="009D2B11">
            <w:pPr>
              <w:pStyle w:val="P68B1DB1-Normal9"/>
              <w:rPr>
                <w:rFonts w:eastAsia="Times New Roman" w:cs="Calibri"/>
                <w:noProof/>
                <w:szCs w:val="18"/>
              </w:rPr>
            </w:pPr>
            <w:r>
              <w:rPr>
                <w:noProof/>
              </w:rPr>
              <w:t>2025</w:t>
            </w:r>
          </w:p>
        </w:tc>
        <w:tc>
          <w:tcPr>
            <w:tcW w:w="4553" w:type="dxa"/>
            <w:shd w:val="clear" w:color="auto" w:fill="C6EFCE"/>
            <w:noWrap/>
          </w:tcPr>
          <w:p w14:paraId="262F01CC" w14:textId="77777777" w:rsidR="00CB0FCB" w:rsidRDefault="009D2B11">
            <w:pPr>
              <w:pStyle w:val="P68B1DB1-Normal9"/>
              <w:rPr>
                <w:rFonts w:eastAsia="Times New Roman" w:cs="Calibri"/>
                <w:noProof/>
                <w:szCs w:val="18"/>
              </w:rPr>
            </w:pPr>
            <w:r>
              <w:rPr>
                <w:noProof/>
              </w:rPr>
              <w:t>Šādu darbību pabeigšana:</w:t>
            </w:r>
          </w:p>
          <w:p w14:paraId="7464B1DE" w14:textId="77777777" w:rsidR="00CB0FCB" w:rsidRDefault="009D2B11">
            <w:pPr>
              <w:pStyle w:val="P68B1DB1-Normal9"/>
              <w:numPr>
                <w:ilvl w:val="0"/>
                <w:numId w:val="50"/>
              </w:numPr>
              <w:spacing w:before="120" w:line="259" w:lineRule="auto"/>
              <w:contextualSpacing/>
              <w:jc w:val="both"/>
              <w:rPr>
                <w:rFonts w:eastAsia="Times New Roman" w:cs="Calibri"/>
                <w:noProof/>
                <w:szCs w:val="18"/>
              </w:rPr>
            </w:pPr>
            <w:r>
              <w:rPr>
                <w:noProof/>
              </w:rPr>
              <w:t>Ugunsdzēsēju un citu reaģēšanas transportlīdzekļu padeve;</w:t>
            </w:r>
          </w:p>
          <w:p w14:paraId="56088BC8" w14:textId="77777777" w:rsidR="00CB0FCB" w:rsidRDefault="009D2B11">
            <w:pPr>
              <w:pStyle w:val="P68B1DB1-Normal9"/>
              <w:numPr>
                <w:ilvl w:val="0"/>
                <w:numId w:val="50"/>
              </w:numPr>
              <w:spacing w:before="120" w:line="259" w:lineRule="auto"/>
              <w:contextualSpacing/>
              <w:jc w:val="both"/>
              <w:rPr>
                <w:rFonts w:eastAsia="Times New Roman" w:cs="Calibri"/>
                <w:noProof/>
                <w:szCs w:val="18"/>
              </w:rPr>
            </w:pPr>
            <w:r>
              <w:rPr>
                <w:noProof/>
              </w:rPr>
              <w:t>Transportlīdzekļu piegāde GSCP, reģionālajiem/vietējiem civilās aizsardzības operāciju centriem un brīvprātīgā darba organizācijām; un</w:t>
            </w:r>
          </w:p>
          <w:p w14:paraId="20E7547F" w14:textId="77777777" w:rsidR="00CB0FCB" w:rsidRDefault="009D2B11">
            <w:pPr>
              <w:pStyle w:val="P68B1DB1-Normal9"/>
              <w:numPr>
                <w:ilvl w:val="0"/>
                <w:numId w:val="50"/>
              </w:numPr>
              <w:spacing w:before="120" w:line="259" w:lineRule="auto"/>
              <w:contextualSpacing/>
              <w:jc w:val="both"/>
              <w:rPr>
                <w:rFonts w:eastAsia="Times New Roman" w:cs="Calibri"/>
                <w:noProof/>
                <w:szCs w:val="18"/>
              </w:rPr>
            </w:pPr>
            <w:r>
              <w:rPr>
                <w:noProof/>
              </w:rPr>
              <w:t xml:space="preserve">Saliekamu pārvietojamu tiltu piegāde. </w:t>
            </w:r>
          </w:p>
        </w:tc>
      </w:tr>
      <w:tr w:rsidR="00CB0FCB" w14:paraId="799FA2AA" w14:textId="77777777">
        <w:trPr>
          <w:trHeight w:val="309"/>
          <w:jc w:val="center"/>
        </w:trPr>
        <w:tc>
          <w:tcPr>
            <w:tcW w:w="1129" w:type="dxa"/>
            <w:shd w:val="clear" w:color="auto" w:fill="C6EFCE"/>
            <w:noWrap/>
          </w:tcPr>
          <w:p w14:paraId="765FD836" w14:textId="77777777" w:rsidR="00CB0FCB" w:rsidRDefault="009D2B11">
            <w:pPr>
              <w:pStyle w:val="P68B1DB1-Normal9"/>
              <w:rPr>
                <w:rFonts w:eastAsia="Times New Roman" w:cs="Calibri"/>
                <w:noProof/>
                <w:szCs w:val="18"/>
              </w:rPr>
            </w:pPr>
            <w:r>
              <w:rPr>
                <w:noProof/>
              </w:rPr>
              <w:t>84</w:t>
            </w:r>
          </w:p>
        </w:tc>
        <w:tc>
          <w:tcPr>
            <w:tcW w:w="1276" w:type="dxa"/>
            <w:tcBorders>
              <w:bottom w:val="single" w:sz="4" w:space="0" w:color="auto"/>
            </w:tcBorders>
            <w:shd w:val="clear" w:color="auto" w:fill="C6EFCE"/>
            <w:noWrap/>
          </w:tcPr>
          <w:p w14:paraId="55F69331" w14:textId="77777777" w:rsidR="00CB0FCB" w:rsidRDefault="009D2B11">
            <w:pPr>
              <w:pStyle w:val="P68B1DB1-Normal9"/>
              <w:rPr>
                <w:rFonts w:eastAsia="Times New Roman" w:cs="Calibri"/>
                <w:noProof/>
                <w:szCs w:val="18"/>
              </w:rPr>
            </w:pPr>
            <w:r>
              <w:rPr>
                <w:noProof/>
              </w:rPr>
              <w:t>4–1.4. Resursu ilgtspējīga izmantošana, klimatnoturība un vides aizsardzība — 16909_Infrastruktūra — stratēģiskas valsts katastrofu riska pārvaldības izveide</w:t>
            </w:r>
          </w:p>
        </w:tc>
        <w:tc>
          <w:tcPr>
            <w:tcW w:w="993" w:type="dxa"/>
            <w:tcBorders>
              <w:bottom w:val="single" w:sz="4" w:space="0" w:color="auto"/>
            </w:tcBorders>
            <w:shd w:val="clear" w:color="auto" w:fill="C6EFCE"/>
            <w:noWrap/>
          </w:tcPr>
          <w:p w14:paraId="6F799723" w14:textId="77777777" w:rsidR="00CB0FCB" w:rsidRDefault="009D2B11">
            <w:pPr>
              <w:pStyle w:val="P68B1DB1-Normal9"/>
              <w:rPr>
                <w:rFonts w:eastAsia="Times New Roman" w:cs="Calibri"/>
                <w:noProof/>
                <w:szCs w:val="18"/>
              </w:rPr>
            </w:pPr>
            <w:r>
              <w:rPr>
                <w:noProof/>
              </w:rPr>
              <w:t>Atskaites punkts</w:t>
            </w:r>
          </w:p>
        </w:tc>
        <w:tc>
          <w:tcPr>
            <w:tcW w:w="1277" w:type="dxa"/>
            <w:tcBorders>
              <w:bottom w:val="single" w:sz="4" w:space="0" w:color="auto"/>
            </w:tcBorders>
            <w:shd w:val="clear" w:color="auto" w:fill="C6EFCE"/>
            <w:noWrap/>
          </w:tcPr>
          <w:p w14:paraId="26A81FD7" w14:textId="77777777" w:rsidR="00CB0FCB" w:rsidRDefault="009D2B11">
            <w:pPr>
              <w:pStyle w:val="P68B1DB1-Normal9"/>
              <w:rPr>
                <w:rFonts w:eastAsia="Times New Roman" w:cs="Calibri"/>
                <w:noProof/>
                <w:szCs w:val="18"/>
              </w:rPr>
            </w:pPr>
            <w:r>
              <w:rPr>
                <w:noProof/>
              </w:rPr>
              <w:t>Valsts katastrofu riska pārvaldības pabeigšana</w:t>
            </w:r>
          </w:p>
        </w:tc>
        <w:tc>
          <w:tcPr>
            <w:tcW w:w="1320" w:type="dxa"/>
            <w:tcBorders>
              <w:bottom w:val="single" w:sz="4" w:space="0" w:color="auto"/>
            </w:tcBorders>
            <w:shd w:val="clear" w:color="auto" w:fill="C6EFCE"/>
            <w:noWrap/>
          </w:tcPr>
          <w:p w14:paraId="1ADA33FB" w14:textId="335E974A" w:rsidR="00CB0FCB" w:rsidRDefault="009D2B11">
            <w:pPr>
              <w:pStyle w:val="P68B1DB1-Normal9"/>
              <w:rPr>
                <w:rFonts w:eastAsia="Times New Roman" w:cs="Calibri"/>
                <w:noProof/>
                <w:szCs w:val="18"/>
              </w:rPr>
            </w:pPr>
            <w:r>
              <w:rPr>
                <w:noProof/>
              </w:rPr>
              <w:t xml:space="preserve">Pabeigšana apliecināta ar Klimata krīzes un civilās aizsardzības ministrijas ziņojumu </w:t>
            </w:r>
          </w:p>
        </w:tc>
        <w:tc>
          <w:tcPr>
            <w:tcW w:w="1200" w:type="dxa"/>
            <w:shd w:val="clear" w:color="auto" w:fill="C6EFCE"/>
            <w:noWrap/>
          </w:tcPr>
          <w:p w14:paraId="4008D27D" w14:textId="77777777" w:rsidR="00CB0FCB" w:rsidRDefault="00CB0FCB">
            <w:pPr>
              <w:rPr>
                <w:rFonts w:eastAsia="Times New Roman" w:cs="Calibri"/>
                <w:noProof/>
                <w:color w:val="006100"/>
                <w:sz w:val="18"/>
                <w:szCs w:val="18"/>
              </w:rPr>
            </w:pPr>
          </w:p>
        </w:tc>
        <w:tc>
          <w:tcPr>
            <w:tcW w:w="960" w:type="dxa"/>
            <w:shd w:val="clear" w:color="auto" w:fill="C6EFCE"/>
            <w:noWrap/>
          </w:tcPr>
          <w:p w14:paraId="2D7FE8FE" w14:textId="77777777" w:rsidR="00CB0FCB" w:rsidRDefault="00CB0FCB">
            <w:pPr>
              <w:rPr>
                <w:rFonts w:eastAsia="Times New Roman" w:cs="Calibri"/>
                <w:noProof/>
                <w:color w:val="006100"/>
                <w:sz w:val="18"/>
                <w:szCs w:val="18"/>
              </w:rPr>
            </w:pPr>
          </w:p>
        </w:tc>
        <w:tc>
          <w:tcPr>
            <w:tcW w:w="960" w:type="dxa"/>
            <w:shd w:val="clear" w:color="auto" w:fill="C6EFCE"/>
            <w:noWrap/>
          </w:tcPr>
          <w:p w14:paraId="1F1A1B1D" w14:textId="77777777" w:rsidR="00CB0FCB" w:rsidRDefault="00CB0FCB">
            <w:pPr>
              <w:rPr>
                <w:rFonts w:eastAsia="Times New Roman" w:cs="Calibri"/>
                <w:noProof/>
                <w:color w:val="006100"/>
                <w:sz w:val="18"/>
                <w:szCs w:val="18"/>
              </w:rPr>
            </w:pPr>
          </w:p>
        </w:tc>
        <w:tc>
          <w:tcPr>
            <w:tcW w:w="960" w:type="dxa"/>
            <w:shd w:val="clear" w:color="auto" w:fill="C6EFCE"/>
            <w:noWrap/>
          </w:tcPr>
          <w:p w14:paraId="478EDBE9" w14:textId="77777777" w:rsidR="00CB0FCB" w:rsidRDefault="009D2B11">
            <w:pPr>
              <w:pStyle w:val="P68B1DB1-Normal9"/>
              <w:rPr>
                <w:rFonts w:eastAsia="Times New Roman" w:cs="Calibri"/>
                <w:noProof/>
                <w:szCs w:val="18"/>
              </w:rPr>
            </w:pPr>
            <w:r>
              <w:rPr>
                <w:noProof/>
              </w:rPr>
              <w:t>4. CET.</w:t>
            </w:r>
          </w:p>
        </w:tc>
        <w:tc>
          <w:tcPr>
            <w:tcW w:w="960" w:type="dxa"/>
            <w:shd w:val="clear" w:color="auto" w:fill="C6EFCE"/>
            <w:noWrap/>
          </w:tcPr>
          <w:p w14:paraId="4E975236" w14:textId="77777777" w:rsidR="00CB0FCB" w:rsidRDefault="009D2B11">
            <w:pPr>
              <w:pStyle w:val="P68B1DB1-Normal9"/>
              <w:rPr>
                <w:rFonts w:eastAsia="Times New Roman" w:cs="Calibri"/>
                <w:noProof/>
                <w:szCs w:val="18"/>
              </w:rPr>
            </w:pPr>
            <w:r>
              <w:rPr>
                <w:noProof/>
              </w:rPr>
              <w:t>2025</w:t>
            </w:r>
          </w:p>
        </w:tc>
        <w:tc>
          <w:tcPr>
            <w:tcW w:w="4553" w:type="dxa"/>
            <w:shd w:val="clear" w:color="auto" w:fill="C6EFCE"/>
            <w:noWrap/>
          </w:tcPr>
          <w:p w14:paraId="1E39AFEB" w14:textId="77777777" w:rsidR="00CB0FCB" w:rsidRDefault="009D2B11">
            <w:pPr>
              <w:pStyle w:val="P68B1DB1-Normal9"/>
              <w:rPr>
                <w:rFonts w:eastAsia="Times New Roman" w:cs="Calibri"/>
                <w:noProof/>
                <w:szCs w:val="18"/>
              </w:rPr>
            </w:pPr>
            <w:r>
              <w:rPr>
                <w:noProof/>
              </w:rPr>
              <w:t>Šādu darbību pabeigšana:</w:t>
            </w:r>
          </w:p>
          <w:p w14:paraId="261E9D18" w14:textId="77777777" w:rsidR="00CB0FCB" w:rsidRDefault="009D2B11">
            <w:pPr>
              <w:pStyle w:val="P68B1DB1-Normal9"/>
              <w:numPr>
                <w:ilvl w:val="0"/>
                <w:numId w:val="51"/>
              </w:numPr>
              <w:spacing w:before="120" w:line="259" w:lineRule="auto"/>
              <w:contextualSpacing/>
              <w:jc w:val="both"/>
              <w:rPr>
                <w:rFonts w:eastAsia="Times New Roman" w:cs="Calibri"/>
                <w:noProof/>
                <w:szCs w:val="18"/>
              </w:rPr>
            </w:pPr>
            <w:r>
              <w:rPr>
                <w:noProof/>
              </w:rPr>
              <w:t>Stratēģiskā valsts katastrofu riska pārvaldības centra izveide Atlantas un Faros ēkās.</w:t>
            </w:r>
          </w:p>
          <w:p w14:paraId="09480DAA" w14:textId="77777777" w:rsidR="00CB0FCB" w:rsidRDefault="009D2B11">
            <w:pPr>
              <w:pStyle w:val="P68B1DB1-Normal9"/>
              <w:numPr>
                <w:ilvl w:val="0"/>
                <w:numId w:val="51"/>
              </w:numPr>
              <w:spacing w:before="120" w:line="259" w:lineRule="auto"/>
              <w:contextualSpacing/>
              <w:jc w:val="both"/>
              <w:rPr>
                <w:rFonts w:eastAsia="Times New Roman" w:cs="Calibri"/>
                <w:noProof/>
                <w:szCs w:val="18"/>
              </w:rPr>
            </w:pPr>
            <w:r>
              <w:rPr>
                <w:noProof/>
              </w:rPr>
              <w:t>Jaunu ēku un biroja iekārtu būvniecība civilās aizsardzības un ugunsdzēsības korpusa izglītības iestādēm.</w:t>
            </w:r>
          </w:p>
          <w:p w14:paraId="2C40DD8B" w14:textId="7F20B6C5" w:rsidR="00CB0FCB" w:rsidRDefault="009D2B11">
            <w:pPr>
              <w:pStyle w:val="P68B1DB1-Normal9"/>
              <w:numPr>
                <w:ilvl w:val="0"/>
                <w:numId w:val="51"/>
              </w:numPr>
              <w:spacing w:before="120" w:line="259" w:lineRule="auto"/>
              <w:contextualSpacing/>
              <w:jc w:val="both"/>
              <w:rPr>
                <w:rFonts w:eastAsia="Times New Roman" w:cs="Calibri"/>
                <w:noProof/>
                <w:szCs w:val="18"/>
              </w:rPr>
            </w:pPr>
            <w:r>
              <w:rPr>
                <w:noProof/>
              </w:rPr>
              <w:t>Trīs gaisa kuģu piegāde kā gaisa uzraudzības kontroles un pārvaldības centri.</w:t>
            </w:r>
          </w:p>
          <w:p w14:paraId="4F7FEC78" w14:textId="77777777" w:rsidR="00CB0FCB" w:rsidRDefault="009D2B11">
            <w:pPr>
              <w:pStyle w:val="P68B1DB1-Normal9"/>
              <w:numPr>
                <w:ilvl w:val="0"/>
                <w:numId w:val="51"/>
              </w:numPr>
              <w:spacing w:before="120" w:line="259" w:lineRule="auto"/>
              <w:contextualSpacing/>
              <w:jc w:val="both"/>
              <w:rPr>
                <w:rFonts w:eastAsia="Times New Roman" w:cs="Calibri"/>
                <w:noProof/>
                <w:szCs w:val="18"/>
              </w:rPr>
            </w:pPr>
            <w:r>
              <w:rPr>
                <w:noProof/>
              </w:rPr>
              <w:t>Mobilo administrācijas centru un kontroles centru uz vietas nodrošināšana 13 reģionos.</w:t>
            </w:r>
          </w:p>
        </w:tc>
      </w:tr>
      <w:tr w:rsidR="00CB0FCB" w14:paraId="792E2060" w14:textId="77777777">
        <w:trPr>
          <w:trHeight w:val="309"/>
          <w:jc w:val="center"/>
        </w:trPr>
        <w:tc>
          <w:tcPr>
            <w:tcW w:w="1129" w:type="dxa"/>
            <w:shd w:val="clear" w:color="auto" w:fill="C6EFCE"/>
            <w:noWrap/>
          </w:tcPr>
          <w:p w14:paraId="7C30433F" w14:textId="77777777" w:rsidR="00CB0FCB" w:rsidRDefault="009D2B11">
            <w:pPr>
              <w:pStyle w:val="P68B1DB1-Normal9"/>
              <w:rPr>
                <w:rFonts w:eastAsia="Times New Roman" w:cs="Calibri"/>
                <w:noProof/>
                <w:szCs w:val="18"/>
              </w:rPr>
            </w:pPr>
            <w:r>
              <w:rPr>
                <w:noProof/>
              </w:rPr>
              <w:t>332</w:t>
            </w:r>
          </w:p>
        </w:tc>
        <w:tc>
          <w:tcPr>
            <w:tcW w:w="1276" w:type="dxa"/>
            <w:tcBorders>
              <w:bottom w:val="single" w:sz="4" w:space="0" w:color="auto"/>
            </w:tcBorders>
            <w:shd w:val="clear" w:color="auto" w:fill="C6EFCE"/>
            <w:noWrap/>
          </w:tcPr>
          <w:p w14:paraId="6290D2E0" w14:textId="77777777" w:rsidR="00CB0FCB" w:rsidRDefault="009D2B11">
            <w:pPr>
              <w:pStyle w:val="P68B1DB1-Normal9"/>
              <w:rPr>
                <w:rFonts w:eastAsia="Times New Roman" w:cs="Calibri"/>
                <w:noProof/>
                <w:szCs w:val="18"/>
              </w:rPr>
            </w:pPr>
            <w:r>
              <w:rPr>
                <w:noProof/>
              </w:rPr>
              <w:t>4–1.4. Resursu ilgtspējīga izmantošana, klimatnoturība un vides aizsardzība — 16983_Ēku seismiskās pretestības sākotnējā pārbaude</w:t>
            </w:r>
          </w:p>
        </w:tc>
        <w:tc>
          <w:tcPr>
            <w:tcW w:w="993" w:type="dxa"/>
            <w:tcBorders>
              <w:bottom w:val="single" w:sz="4" w:space="0" w:color="auto"/>
            </w:tcBorders>
            <w:shd w:val="clear" w:color="auto" w:fill="C6EFCE"/>
            <w:noWrap/>
          </w:tcPr>
          <w:p w14:paraId="68F6D97A" w14:textId="77777777" w:rsidR="00CB0FCB" w:rsidRDefault="009D2B11">
            <w:pPr>
              <w:pStyle w:val="P68B1DB1-Normal9"/>
              <w:rPr>
                <w:rFonts w:eastAsia="Times New Roman" w:cs="Calibri"/>
                <w:noProof/>
                <w:szCs w:val="18"/>
              </w:rPr>
            </w:pPr>
            <w:r>
              <w:rPr>
                <w:noProof/>
              </w:rPr>
              <w:t>Atskaites punkts</w:t>
            </w:r>
          </w:p>
        </w:tc>
        <w:tc>
          <w:tcPr>
            <w:tcW w:w="1277" w:type="dxa"/>
            <w:tcBorders>
              <w:bottom w:val="single" w:sz="4" w:space="0" w:color="auto"/>
            </w:tcBorders>
            <w:shd w:val="clear" w:color="auto" w:fill="C6EFCE"/>
            <w:noWrap/>
          </w:tcPr>
          <w:p w14:paraId="6102120F" w14:textId="77777777" w:rsidR="00CB0FCB" w:rsidRDefault="009D2B11">
            <w:pPr>
              <w:pStyle w:val="P68B1DB1-Normal9"/>
              <w:rPr>
                <w:rFonts w:eastAsia="Times New Roman" w:cs="Calibri"/>
                <w:noProof/>
                <w:szCs w:val="18"/>
              </w:rPr>
            </w:pPr>
            <w:r>
              <w:rPr>
                <w:noProof/>
              </w:rPr>
              <w:t>Sākotnējo seismisko pārbaužu pabeigšana</w:t>
            </w:r>
          </w:p>
        </w:tc>
        <w:tc>
          <w:tcPr>
            <w:tcW w:w="1320" w:type="dxa"/>
            <w:tcBorders>
              <w:bottom w:val="single" w:sz="4" w:space="0" w:color="auto"/>
            </w:tcBorders>
            <w:shd w:val="clear" w:color="auto" w:fill="C6EFCE"/>
            <w:noWrap/>
          </w:tcPr>
          <w:p w14:paraId="277BA324" w14:textId="77777777" w:rsidR="00CB0FCB" w:rsidRDefault="009D2B11">
            <w:pPr>
              <w:pStyle w:val="P68B1DB1-Normal9"/>
              <w:rPr>
                <w:rFonts w:eastAsia="Times New Roman" w:cs="Calibri"/>
                <w:noProof/>
                <w:szCs w:val="18"/>
              </w:rPr>
            </w:pPr>
            <w:r>
              <w:rPr>
                <w:noProof/>
              </w:rPr>
              <w:t>Pabeigšana apliecināta ar Klimata krīzes un civilās aizsardzības ministrijas ziņojumu</w:t>
            </w:r>
          </w:p>
        </w:tc>
        <w:tc>
          <w:tcPr>
            <w:tcW w:w="1200" w:type="dxa"/>
            <w:shd w:val="clear" w:color="auto" w:fill="C6EFCE"/>
            <w:noWrap/>
          </w:tcPr>
          <w:p w14:paraId="4D2E5FD0" w14:textId="77777777" w:rsidR="00CB0FCB" w:rsidRDefault="00CB0FCB">
            <w:pPr>
              <w:rPr>
                <w:rFonts w:eastAsia="Times New Roman" w:cs="Calibri"/>
                <w:noProof/>
                <w:color w:val="006100"/>
                <w:sz w:val="18"/>
                <w:szCs w:val="18"/>
              </w:rPr>
            </w:pPr>
          </w:p>
        </w:tc>
        <w:tc>
          <w:tcPr>
            <w:tcW w:w="960" w:type="dxa"/>
            <w:shd w:val="clear" w:color="auto" w:fill="C6EFCE"/>
            <w:noWrap/>
          </w:tcPr>
          <w:p w14:paraId="071E9033" w14:textId="77777777" w:rsidR="00CB0FCB" w:rsidRDefault="00CB0FCB">
            <w:pPr>
              <w:rPr>
                <w:rFonts w:eastAsia="Times New Roman" w:cs="Calibri"/>
                <w:noProof/>
                <w:color w:val="006100"/>
                <w:sz w:val="18"/>
                <w:szCs w:val="18"/>
              </w:rPr>
            </w:pPr>
          </w:p>
        </w:tc>
        <w:tc>
          <w:tcPr>
            <w:tcW w:w="960" w:type="dxa"/>
            <w:shd w:val="clear" w:color="auto" w:fill="C6EFCE"/>
            <w:noWrap/>
          </w:tcPr>
          <w:p w14:paraId="3A8E9BA4" w14:textId="77777777" w:rsidR="00CB0FCB" w:rsidRDefault="00CB0FCB">
            <w:pPr>
              <w:rPr>
                <w:rFonts w:eastAsia="Times New Roman" w:cs="Calibri"/>
                <w:noProof/>
                <w:color w:val="006100"/>
                <w:sz w:val="18"/>
                <w:szCs w:val="18"/>
              </w:rPr>
            </w:pPr>
          </w:p>
        </w:tc>
        <w:tc>
          <w:tcPr>
            <w:tcW w:w="960" w:type="dxa"/>
            <w:shd w:val="clear" w:color="auto" w:fill="C6EFCE"/>
            <w:noWrap/>
          </w:tcPr>
          <w:p w14:paraId="0BF5B561" w14:textId="77777777" w:rsidR="00CB0FCB" w:rsidRDefault="009D2B11">
            <w:pPr>
              <w:pStyle w:val="P68B1DB1-Normal9"/>
              <w:rPr>
                <w:rFonts w:eastAsia="Times New Roman" w:cs="Calibri"/>
                <w:noProof/>
                <w:szCs w:val="18"/>
              </w:rPr>
            </w:pPr>
            <w:r>
              <w:rPr>
                <w:noProof/>
              </w:rPr>
              <w:t>Q1</w:t>
            </w:r>
          </w:p>
        </w:tc>
        <w:tc>
          <w:tcPr>
            <w:tcW w:w="960" w:type="dxa"/>
            <w:shd w:val="clear" w:color="auto" w:fill="C6EFCE"/>
            <w:noWrap/>
          </w:tcPr>
          <w:p w14:paraId="6C3BF2B2" w14:textId="77777777" w:rsidR="00CB0FCB" w:rsidRDefault="009D2B11">
            <w:pPr>
              <w:pStyle w:val="P68B1DB1-Normal9"/>
              <w:rPr>
                <w:rFonts w:eastAsia="Times New Roman" w:cs="Calibri"/>
                <w:noProof/>
                <w:szCs w:val="18"/>
              </w:rPr>
            </w:pPr>
            <w:r>
              <w:rPr>
                <w:noProof/>
              </w:rPr>
              <w:t>2025</w:t>
            </w:r>
          </w:p>
        </w:tc>
        <w:tc>
          <w:tcPr>
            <w:tcW w:w="4553" w:type="dxa"/>
            <w:shd w:val="clear" w:color="auto" w:fill="C6EFCE"/>
            <w:noWrap/>
          </w:tcPr>
          <w:p w14:paraId="52DA9A2A" w14:textId="77777777" w:rsidR="00CB0FCB" w:rsidRDefault="009D2B11">
            <w:pPr>
              <w:pStyle w:val="P68B1DB1-Normal9"/>
              <w:rPr>
                <w:rFonts w:eastAsia="Times New Roman" w:cs="Calibri"/>
                <w:noProof/>
                <w:szCs w:val="18"/>
              </w:rPr>
            </w:pPr>
            <w:r>
              <w:rPr>
                <w:noProof/>
              </w:rPr>
              <w:t>Šādu darbību pabeigšana:</w:t>
            </w:r>
          </w:p>
          <w:p w14:paraId="27590EB5" w14:textId="77777777" w:rsidR="00CB0FCB" w:rsidRDefault="009D2B11">
            <w:pPr>
              <w:pStyle w:val="P68B1DB1-ListParagraph20"/>
              <w:numPr>
                <w:ilvl w:val="0"/>
                <w:numId w:val="1"/>
              </w:numPr>
              <w:spacing w:after="0" w:line="240" w:lineRule="auto"/>
              <w:rPr>
                <w:rFonts w:eastAsia="Times New Roman" w:cs="Calibri"/>
                <w:noProof/>
                <w:szCs w:val="18"/>
              </w:rPr>
            </w:pPr>
            <w:r>
              <w:rPr>
                <w:noProof/>
              </w:rPr>
              <w:t>Tiešsaistes sistēmas izstrāde, lai reģistrētu ēku pamatdatus galvenajā pirmszemestrīces RVI mākoņrepozitorijā;</w:t>
            </w:r>
          </w:p>
          <w:p w14:paraId="1E95FA3E" w14:textId="0D8868A1" w:rsidR="00CB0FCB" w:rsidRDefault="009D2B11">
            <w:pPr>
              <w:pStyle w:val="ListParagraph"/>
              <w:numPr>
                <w:ilvl w:val="0"/>
                <w:numId w:val="1"/>
              </w:numPr>
              <w:spacing w:after="0" w:line="240" w:lineRule="auto"/>
              <w:rPr>
                <w:noProof/>
                <w:color w:val="006100"/>
                <w:sz w:val="18"/>
                <w:szCs w:val="18"/>
              </w:rPr>
            </w:pPr>
            <w:r>
              <w:rPr>
                <w:noProof/>
              </w:rPr>
              <w:t xml:space="preserve"> </w:t>
            </w:r>
            <w:r>
              <w:rPr>
                <w:noProof/>
                <w:color w:val="006100"/>
                <w:sz w:val="18"/>
                <w:szCs w:val="18"/>
              </w:rPr>
              <w:t>Izglītojošu materiālu un civilinženieru revidentu apmācības sistēmas nodrošināšana;</w:t>
            </w:r>
          </w:p>
          <w:p w14:paraId="7AADD0BF" w14:textId="3AD0594B" w:rsidR="00CB0FCB" w:rsidRDefault="009D2B11">
            <w:pPr>
              <w:pStyle w:val="P68B1DB1-ListParagraph20"/>
              <w:numPr>
                <w:ilvl w:val="0"/>
                <w:numId w:val="1"/>
              </w:numPr>
              <w:spacing w:after="0" w:line="240" w:lineRule="auto"/>
              <w:rPr>
                <w:noProof/>
                <w:szCs w:val="18"/>
              </w:rPr>
            </w:pPr>
            <w:r>
              <w:rPr>
                <w:noProof/>
              </w:rPr>
              <w:t>21970 ēku iepriekšēja ātra apskate (RVI).</w:t>
            </w:r>
          </w:p>
        </w:tc>
      </w:tr>
    </w:tbl>
    <w:p w14:paraId="799CFFC7" w14:textId="77233D0B" w:rsidR="00CB0FCB" w:rsidRDefault="009D2B11">
      <w:pPr>
        <w:spacing w:before="120" w:after="120" w:line="240" w:lineRule="auto"/>
        <w:rPr>
          <w:rFonts w:ascii="Times New Roman" w:hAnsi="Times New Roman" w:cs="Times New Roman"/>
          <w:noProof/>
          <w:sz w:val="24"/>
        </w:rPr>
        <w:sectPr w:rsidR="00CB0FCB" w:rsidSect="00271D33">
          <w:headerReference w:type="even" r:id="rId91"/>
          <w:headerReference w:type="default" r:id="rId92"/>
          <w:footerReference w:type="even" r:id="rId93"/>
          <w:footerReference w:type="default" r:id="rId94"/>
          <w:headerReference w:type="first" r:id="rId95"/>
          <w:footerReference w:type="first" r:id="rId96"/>
          <w:pgSz w:w="16839" w:h="11907" w:orient="landscape"/>
          <w:pgMar w:top="720" w:right="720" w:bottom="720" w:left="720" w:header="709" w:footer="709" w:gutter="0"/>
          <w:cols w:space="720"/>
          <w:docGrid w:linePitch="360"/>
        </w:sectPr>
      </w:pPr>
      <w:r>
        <w:rPr>
          <w:noProof/>
        </w:rPr>
        <w:tab/>
      </w:r>
      <w:r>
        <w:rPr>
          <w:rFonts w:ascii="Times New Roman" w:hAnsi="Times New Roman"/>
          <w:noProof/>
          <w:sz w:val="24"/>
        </w:rPr>
        <w:t xml:space="preserve"> </w:t>
      </w:r>
      <w:r>
        <w:rPr>
          <w:noProof/>
        </w:rPr>
        <w:t xml:space="preserve"> </w:t>
      </w:r>
      <w:r>
        <w:rPr>
          <w:rFonts w:ascii="Times New Roman" w:hAnsi="Times New Roman"/>
          <w:noProof/>
          <w:sz w:val="24"/>
        </w:rPr>
        <w:t xml:space="preserve"> </w:t>
      </w:r>
      <w:r>
        <w:rPr>
          <w:noProof/>
        </w:rPr>
        <w:t xml:space="preserve"> </w:t>
      </w:r>
      <w:r>
        <w:rPr>
          <w:rFonts w:ascii="Times New Roman" w:hAnsi="Times New Roman"/>
          <w:noProof/>
          <w:sz w:val="24"/>
        </w:rPr>
        <w:t xml:space="preserve"> </w:t>
      </w:r>
      <w:r>
        <w:rPr>
          <w:noProof/>
        </w:rPr>
        <w:t xml:space="preserve"> </w:t>
      </w:r>
      <w:r>
        <w:rPr>
          <w:rFonts w:ascii="Times New Roman" w:hAnsi="Times New Roman"/>
          <w:noProof/>
          <w:sz w:val="24"/>
        </w:rPr>
        <w:t xml:space="preserve"> </w:t>
      </w:r>
      <w:r>
        <w:rPr>
          <w:noProof/>
        </w:rPr>
        <w:tab/>
      </w:r>
    </w:p>
    <w:p w14:paraId="170D6DB5" w14:textId="77777777" w:rsidR="00CB0FCB" w:rsidRDefault="009D2B11">
      <w:pPr>
        <w:pStyle w:val="P68B1DB1-ListParagraph3"/>
        <w:numPr>
          <w:ilvl w:val="0"/>
          <w:numId w:val="91"/>
        </w:numPr>
        <w:spacing w:before="120" w:after="120" w:line="240" w:lineRule="auto"/>
        <w:jc w:val="both"/>
        <w:outlineLvl w:val="3"/>
        <w:rPr>
          <w:rFonts w:cs="Times New Roman"/>
          <w:bCs/>
          <w:noProof/>
        </w:rPr>
      </w:pPr>
      <w:r>
        <w:rPr>
          <w:noProof/>
        </w:rPr>
        <w:t>KOMPONENTS. PIESLĒGTIES</w:t>
      </w:r>
    </w:p>
    <w:p w14:paraId="79366855" w14:textId="77777777" w:rsidR="00CB0FCB" w:rsidRDefault="009D2B11">
      <w:pPr>
        <w:pStyle w:val="P68B1DB1-Normal4"/>
        <w:spacing w:before="120" w:after="120" w:line="240" w:lineRule="auto"/>
        <w:jc w:val="both"/>
        <w:rPr>
          <w:rFonts w:cs="Times New Roman"/>
          <w:noProof/>
        </w:rPr>
      </w:pPr>
      <w:r>
        <w:rPr>
          <w:noProof/>
        </w:rPr>
        <w:t xml:space="preserve">Šis </w:t>
      </w:r>
      <w:r>
        <w:rPr>
          <w:noProof/>
          <w:color w:val="000000"/>
        </w:rPr>
        <w:t>Grieķijas atveseļošanas un noturības plāna</w:t>
      </w:r>
      <w:r>
        <w:rPr>
          <w:noProof/>
        </w:rPr>
        <w:t xml:space="preserve"> komponents ietver pasākumus, kuru mērķis ir veicināt un atvieglot ļoti augstas veiktspējas tīklu, tostarp 5G un optiskās šķiedras tīklu, plašu izvēršanu saskaņā ar ES 2025. gada 5G un gigabitu savienojamības mērķiem un mazu satelītu konstelācijas attīstību. Šajā komponentā iekļautās investīcijas attiecas uz optiskās šķiedras infrastruktūras uzstādīšanu ēkās un kosmosa tehnoloģiju un lietojumu izmantošanu, attīstot mazo satelīšu konstelāciju, kas atbalsta drošus savienojamības pakalpojumus apvienojumā ar daudzfunkcionāliem zemes novērošanas lietojumiem. Ar šajā komponentā iekļautajām reformām izveido sistēmu, lai atvieglotu pāreju uz ātriem platjoslas savienojumiem un pāreju uz 5G tehnoloģiju.</w:t>
      </w:r>
    </w:p>
    <w:p w14:paraId="374D6BD5" w14:textId="77777777" w:rsidR="00CB0FCB" w:rsidRDefault="009D2B11">
      <w:pPr>
        <w:pStyle w:val="P68B1DB1-Normal4"/>
        <w:spacing w:before="120" w:after="120" w:line="240" w:lineRule="auto"/>
        <w:jc w:val="both"/>
        <w:rPr>
          <w:rFonts w:cs="Times New Roman"/>
          <w:noProof/>
          <w:szCs w:val="24"/>
        </w:rPr>
      </w:pPr>
      <w:r>
        <w:rPr>
          <w:noProof/>
        </w:rPr>
        <w:t xml:space="preserve">Visas ierosinātās investīcijas un reformas risina problēmas, kas izriet no pieaugošās vajadzības pēc savienojamības un Zemes novērošanas un novērošanas. Pasākumi atbalsta to, ka tiek īstenots </w:t>
      </w:r>
      <w:r>
        <w:rPr>
          <w:i/>
          <w:noProof/>
          <w:color w:val="000000" w:themeColor="text1"/>
        </w:rPr>
        <w:t xml:space="preserve">konkrētai valstij adresētais ieteikums </w:t>
      </w:r>
      <w:r>
        <w:rPr>
          <w:noProof/>
        </w:rPr>
        <w:t>par publiskajām un privātajām investīcijām (2020. gada</w:t>
      </w:r>
      <w:r>
        <w:rPr>
          <w:i/>
          <w:noProof/>
          <w:color w:val="000000" w:themeColor="text1"/>
        </w:rPr>
        <w:t xml:space="preserve">konkrētai valstij adresētais ieteikums </w:t>
      </w:r>
      <w:r>
        <w:rPr>
          <w:noProof/>
        </w:rPr>
        <w:t>Nr. 3), kurā Grieķija tiek aicināta koncentrēt investīcijas uz digitālo pārkārtošanos un jo īpaši uz ļoti augstas veiktspējas digitālo infrastruktūru. Tās arī efektīvi reaģē uz digitālo pārkārtošanos un/vai no tās izrietošajām problēmām, jo paredzams, ka tās būtiski palīdzēs uzlabot ļoti ātrdarbīgu savienojamību Grieķijā.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302E9409" w14:textId="77777777" w:rsidR="00CB0FCB" w:rsidRDefault="009D2B11">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E.1. </w:t>
      </w:r>
      <w:r>
        <w:rPr>
          <w:noProof/>
        </w:rPr>
        <w:t xml:space="preserve"> </w:t>
      </w:r>
      <w:r>
        <w:rPr>
          <w:rFonts w:ascii="Times New Roman" w:hAnsi="Times New Roman"/>
          <w:b/>
          <w:noProof/>
          <w:sz w:val="24"/>
          <w:u w:val="single"/>
        </w:rPr>
        <w:t>Reformu un investīciju apraksts neatmaksājamam finansiālajam atbalstam</w:t>
      </w:r>
    </w:p>
    <w:p w14:paraId="05F1E5F4"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Sīksatelīti (pasākuma ID: 16855)</w:t>
      </w:r>
    </w:p>
    <w:p w14:paraId="2C0F7C76" w14:textId="77777777" w:rsidR="00CB0FCB" w:rsidRDefault="009D2B11">
      <w:pPr>
        <w:pStyle w:val="P68B1DB1-Normal4"/>
        <w:spacing w:before="120" w:after="120" w:line="240" w:lineRule="auto"/>
        <w:jc w:val="both"/>
        <w:rPr>
          <w:rFonts w:cs="Times New Roman"/>
          <w:noProof/>
        </w:rPr>
      </w:pPr>
      <w:r>
        <w:rPr>
          <w:noProof/>
        </w:rPr>
        <w:t>Investīcija attiecas uz mazu satelītu konstelācijas izveidi, kas atbalsta savienojamības pakalpojumus, kā arī zemes novērošanas lietojumprogrammas kartēšanas, kuģniecības, precīzās lauksaimniecības, telpiskās plānošanas un citās jomās. Investīciju īstenošanu pabeidz līdz 2025. gada 31. decembrim.</w:t>
      </w:r>
    </w:p>
    <w:p w14:paraId="692684E5" w14:textId="77777777" w:rsidR="00CB0FCB" w:rsidRDefault="009D2B11">
      <w:pPr>
        <w:pStyle w:val="P68B1DB1-Normal4"/>
        <w:spacing w:before="120" w:after="120" w:line="240" w:lineRule="auto"/>
        <w:jc w:val="both"/>
        <w:rPr>
          <w:rFonts w:cs="Times New Roman"/>
          <w:noProof/>
          <w:szCs w:val="24"/>
        </w:rPr>
      </w:pPr>
      <w:r>
        <w:rPr>
          <w:b/>
          <w:noProof/>
        </w:rPr>
        <w:t>Reforma:</w:t>
      </w:r>
      <w:r>
        <w:rPr>
          <w:noProof/>
        </w:rPr>
        <w:t xml:space="preserve"> Pāreja uz 5G tehnoloģiju, veicinot inovatīvu attālināto pakalpojumu attīstību (pasākuma ID: 16844)</w:t>
      </w:r>
    </w:p>
    <w:p w14:paraId="05C530B8" w14:textId="77777777" w:rsidR="00CB0FCB" w:rsidRDefault="009D2B11">
      <w:pPr>
        <w:pStyle w:val="P68B1DB1-Normal4"/>
        <w:spacing w:before="120" w:after="120" w:line="240" w:lineRule="auto"/>
        <w:jc w:val="both"/>
        <w:rPr>
          <w:rFonts w:cs="Times New Roman"/>
          <w:noProof/>
        </w:rPr>
      </w:pPr>
      <w:r>
        <w:rPr>
          <w:noProof/>
        </w:rPr>
        <w:t>Reforma veido pamatu pārejai uz 5G tehnoloģiju. Reformas pirmais posms ir vērsts uz tiesiskā regulējuma un tiesiskā regulējuma īstenošanu, jo īpaši izmantojot 25 % no daudzjoslu 5G izsoļu ieņēmumiem, lai atbalstītu inovatīvo Faistos fondu, kas iegulda uzņēmumos un projektos, kuri nodrošina 5G produktus un pakalpojumus. Otrajā posmā iekļauj procesu, lai apzinātu papildu iespējas un riskus 5G tīklu attīstībā, racionalizētu procedūras un novērtētu prasības un riskus konkrētos ekonomiskajos lietojumos (piemēram, transportā). Reformas īstenošanu pabeidz līdz 2024. gada 30. septembrim.</w:t>
      </w:r>
    </w:p>
    <w:p w14:paraId="78EAA90E" w14:textId="77777777" w:rsidR="00CB0FCB" w:rsidRDefault="009D2B11">
      <w:pPr>
        <w:pStyle w:val="P68B1DB1-Normal4"/>
        <w:spacing w:before="120" w:after="120" w:line="240" w:lineRule="auto"/>
        <w:jc w:val="both"/>
        <w:rPr>
          <w:rFonts w:cs="Times New Roman"/>
          <w:noProof/>
        </w:rPr>
      </w:pPr>
      <w:r>
        <w:rPr>
          <w:b/>
          <w:noProof/>
        </w:rPr>
        <w:t xml:space="preserve">Reforma: </w:t>
      </w:r>
      <w:r>
        <w:rPr>
          <w:noProof/>
        </w:rPr>
        <w:t>Pāreja uz gigabitu platjoslas savienojumiem — pāreja uz gigabitu platjoslas savienojumiem un gigabitu platjoslas pieprasījuma stiprināšana (ID: 16857)</w:t>
      </w:r>
    </w:p>
    <w:p w14:paraId="3636EFB7" w14:textId="2C3C8FD5" w:rsidR="00CB0FCB" w:rsidRDefault="009D2B11">
      <w:pPr>
        <w:pStyle w:val="P68B1DB1-Normal4"/>
        <w:spacing w:before="120" w:after="120" w:line="240" w:lineRule="auto"/>
        <w:jc w:val="both"/>
        <w:rPr>
          <w:rFonts w:cs="Times New Roman"/>
          <w:noProof/>
        </w:rPr>
      </w:pPr>
      <w:r>
        <w:rPr>
          <w:noProof/>
        </w:rPr>
        <w:t>Šī reforma ietver tiesiskā regulējuma stāšanos spēkā pārejai uz VHCN-ļoti augstas veiktspējas tīkla savienojumiem, ierīkojot optiskās šķiedras optiku un ar to saistīto aprīkojumu ēkās, kā arī zemūdens kabeļus Grieķijas salās, kas nodrošina lielāku gigabitu platjoslas savienojumu pārklājumu. Tiesiskajā regulējumā nosaka tehniskās specifikācijas un attiecīgos noteikumus un procedūras tādas ēkas iekšējās platjoslas infrastruktūras izvēršanai, kas spēj nodrošināt gigabitu savienojamību galalietotājiem. Reformas īstenošanu pabeidz līdz 2024. gada 30.</w:t>
      </w:r>
      <w:r>
        <w:rPr>
          <w:b/>
          <w:noProof/>
        </w:rPr>
        <w:t>jūnijam.</w:t>
      </w:r>
      <w:r>
        <w:rPr>
          <w:noProof/>
        </w:rPr>
        <w:t xml:space="preserve"> Optiskās šķiedras infrastruktūra ēkās (pasākums ID: 16818)</w:t>
      </w:r>
    </w:p>
    <w:p w14:paraId="7497150C" w14:textId="77777777" w:rsidR="00CB0FCB" w:rsidRDefault="009D2B11">
      <w:pPr>
        <w:pStyle w:val="P68B1DB1-Normal4"/>
        <w:spacing w:before="120" w:after="120" w:line="240" w:lineRule="auto"/>
        <w:jc w:val="both"/>
        <w:rPr>
          <w:rFonts w:cs="Times New Roman"/>
          <w:noProof/>
        </w:rPr>
      </w:pPr>
      <w:r>
        <w:rPr>
          <w:noProof/>
        </w:rPr>
        <w:t>Ieguldījums veicina optiskās šķiedras infrastruktūras uzstādīšanu dzīvojamās un komerciālās ēkās un galalietotāju savienojumu ar ļoti veiktspējīgiem tīkliem (VHCN), pamatojoties uz pieprasījuma subsīdiju (vaučeru) shēmu, kas subsidē a) iekšējo kabeļu ierīkošanas izmaksas un b) pieslēguma maksu (vienreizēju maksu par platjoslas pakalpojumiem). Investīciju īstenošanu pabeidz līdz 2025. gada 31. decembrim.</w:t>
      </w:r>
    </w:p>
    <w:p w14:paraId="630F57D5" w14:textId="77777777" w:rsidR="00CB0FCB" w:rsidRDefault="00CB0FCB">
      <w:pPr>
        <w:spacing w:before="120" w:after="120" w:line="240" w:lineRule="auto"/>
        <w:jc w:val="both"/>
        <w:rPr>
          <w:rFonts w:ascii="Times New Roman" w:hAnsi="Times New Roman" w:cs="Times New Roman"/>
          <w:b/>
          <w:noProof/>
          <w:sz w:val="24"/>
        </w:rPr>
      </w:pPr>
    </w:p>
    <w:p w14:paraId="5EA96490" w14:textId="77777777" w:rsidR="00CB0FCB" w:rsidRDefault="00CB0FCB">
      <w:pPr>
        <w:spacing w:before="120" w:after="120" w:line="240" w:lineRule="auto"/>
        <w:ind w:left="709"/>
        <w:jc w:val="both"/>
        <w:rPr>
          <w:rFonts w:ascii="Times New Roman" w:hAnsi="Times New Roman" w:cs="Times New Roman"/>
          <w:noProof/>
          <w:sz w:val="24"/>
        </w:rPr>
      </w:pPr>
    </w:p>
    <w:p w14:paraId="2383CE84"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97"/>
          <w:headerReference w:type="default" r:id="rId98"/>
          <w:footerReference w:type="even" r:id="rId99"/>
          <w:footerReference w:type="default" r:id="rId100"/>
          <w:headerReference w:type="first" r:id="rId101"/>
          <w:footerReference w:type="first" r:id="rId102"/>
          <w:pgSz w:w="11907" w:h="16839"/>
          <w:pgMar w:top="1134" w:right="1418" w:bottom="1134" w:left="1418" w:header="709" w:footer="709" w:gutter="0"/>
          <w:cols w:space="720"/>
          <w:docGrid w:linePitch="360"/>
        </w:sectPr>
      </w:pPr>
    </w:p>
    <w:p w14:paraId="12966E81"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E.2.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301A0875" w14:textId="77777777" w:rsidR="00CB0FCB" w:rsidRDefault="00CB0FCB">
      <w:pPr>
        <w:keepNext/>
        <w:keepLines/>
        <w:spacing w:before="40" w:after="0" w:line="240" w:lineRule="auto"/>
        <w:ind w:firstLine="709"/>
        <w:jc w:val="both"/>
        <w:outlineLvl w:val="4"/>
        <w:rPr>
          <w:rFonts w:ascii="Cambria" w:eastAsia="Times New Roman" w:hAnsi="Cambria"/>
          <w:noProof/>
          <w:color w:val="365F91"/>
          <w:sz w:val="24"/>
        </w:rPr>
      </w:pPr>
    </w:p>
    <w:p w14:paraId="71C32FD1" w14:textId="77777777" w:rsidR="00CB0FCB" w:rsidRDefault="009D2B11">
      <w:pPr>
        <w:pStyle w:val="P68B1DB1-Normal6"/>
        <w:keepNext/>
        <w:keepLines/>
        <w:spacing w:before="40" w:after="0" w:line="240" w:lineRule="auto"/>
        <w:ind w:firstLine="709"/>
        <w:jc w:val="both"/>
        <w:outlineLvl w:val="4"/>
        <w:rPr>
          <w:rFonts w:eastAsia="Times New Roman"/>
          <w:noProof/>
        </w:rPr>
      </w:pPr>
      <w:r>
        <w:rPr>
          <w:noProof/>
        </w:rPr>
        <w:t>Grupa: Savienojamība</w:t>
      </w:r>
    </w:p>
    <w:p w14:paraId="680E516B" w14:textId="77777777" w:rsidR="00CB0FCB" w:rsidRDefault="009D2B11">
      <w:pPr>
        <w:pStyle w:val="P68B1DB1-Normal4"/>
        <w:spacing w:before="120" w:after="120" w:line="240" w:lineRule="auto"/>
        <w:ind w:left="709"/>
        <w:jc w:val="both"/>
        <w:rPr>
          <w:rFonts w:cs="Times New Roman"/>
          <w:noProof/>
          <w:szCs w:val="24"/>
        </w:rPr>
      </w:pPr>
      <w:r>
        <w:rPr>
          <w:noProof/>
        </w:rPr>
        <w:t>Šajā grupā ietilpst šādi pasākumi:</w:t>
      </w:r>
    </w:p>
    <w:p w14:paraId="085676AD" w14:textId="77777777" w:rsidR="00CB0FCB" w:rsidRDefault="009D2B11">
      <w:pPr>
        <w:spacing w:before="120" w:after="120" w:line="240" w:lineRule="auto"/>
        <w:ind w:left="709"/>
        <w:jc w:val="both"/>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Pāreja uz 5G tehnoloģiju, kas veicina inovatīvu attālināto pakalpojumu attīstību. (ID: 16844)</w:t>
      </w:r>
    </w:p>
    <w:p w14:paraId="78138789" w14:textId="77777777" w:rsidR="00CB0FCB" w:rsidRDefault="009D2B11">
      <w:pPr>
        <w:spacing w:before="120" w:after="120" w:line="240" w:lineRule="auto"/>
        <w:ind w:left="709"/>
        <w:jc w:val="both"/>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Pāreja uz gigabitu platjoslas savienojumiem — pāreja uz gigabitu platjoslas savienojumiem un gigabitu platjoslas pieprasījuma stiprināšana (ID: 16857)</w:t>
      </w:r>
    </w:p>
    <w:p w14:paraId="204397EB" w14:textId="77777777" w:rsidR="00CB0FCB" w:rsidRDefault="009D2B11">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4"/>
        </w:rPr>
        <w:t>Optiskās šķiedras infrastruktūra ēkās (ID: 16818)</w:t>
      </w:r>
    </w:p>
    <w:p w14:paraId="5C27E3AB" w14:textId="77777777" w:rsidR="00CB0FCB" w:rsidRDefault="009D2B11">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noProof/>
        </w:rPr>
        <w:tab/>
      </w:r>
      <w:r>
        <w:rPr>
          <w:noProof/>
        </w:rPr>
        <w:tab/>
      </w:r>
      <w:r>
        <w:rPr>
          <w:rFonts w:ascii="Times New Roman" w:hAnsi="Times New Roman"/>
          <w:noProof/>
          <w:sz w:val="24"/>
        </w:rPr>
        <w:t>Sīksatelīti (ID: 16855)</w:t>
      </w:r>
      <w:r>
        <w:rPr>
          <w:noProof/>
        </w:rPr>
        <w:tab/>
      </w:r>
    </w:p>
    <w:tbl>
      <w:tblPr>
        <w:tblW w:w="15446" w:type="dxa"/>
        <w:jc w:val="center"/>
        <w:tblLayout w:type="fixed"/>
        <w:tblLook w:val="04A0" w:firstRow="1" w:lastRow="0" w:firstColumn="1" w:lastColumn="0" w:noHBand="0" w:noVBand="1"/>
      </w:tblPr>
      <w:tblGrid>
        <w:gridCol w:w="704"/>
        <w:gridCol w:w="1276"/>
        <w:gridCol w:w="992"/>
        <w:gridCol w:w="1343"/>
        <w:gridCol w:w="1440"/>
        <w:gridCol w:w="1800"/>
        <w:gridCol w:w="960"/>
        <w:gridCol w:w="840"/>
        <w:gridCol w:w="960"/>
        <w:gridCol w:w="840"/>
        <w:gridCol w:w="4291"/>
      </w:tblGrid>
      <w:tr w:rsidR="00CB0FCB" w14:paraId="03EE8968" w14:textId="77777777">
        <w:trPr>
          <w:trHeight w:val="585"/>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55F409"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7FB9BC"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05518B"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43" w:type="dxa"/>
            <w:vMerge w:val="restart"/>
            <w:tcBorders>
              <w:top w:val="single" w:sz="4" w:space="0" w:color="auto"/>
              <w:left w:val="nil"/>
              <w:bottom w:val="single" w:sz="4" w:space="0" w:color="auto"/>
              <w:right w:val="single" w:sz="4" w:space="0" w:color="auto"/>
            </w:tcBorders>
            <w:shd w:val="clear" w:color="auto" w:fill="BDD7EE"/>
            <w:vAlign w:val="center"/>
            <w:hideMark/>
          </w:tcPr>
          <w:p w14:paraId="2B16042F"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AB4BE1"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600" w:type="dxa"/>
            <w:gridSpan w:val="3"/>
            <w:tcBorders>
              <w:top w:val="single" w:sz="4" w:space="0" w:color="auto"/>
              <w:left w:val="nil"/>
              <w:bottom w:val="single" w:sz="4" w:space="0" w:color="auto"/>
              <w:right w:val="single" w:sz="4" w:space="0" w:color="auto"/>
            </w:tcBorders>
            <w:shd w:val="clear" w:color="auto" w:fill="BDD7EE"/>
            <w:vAlign w:val="center"/>
            <w:hideMark/>
          </w:tcPr>
          <w:p w14:paraId="748AB12E"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07BC25A1"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2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FC44F6"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54F9E674" w14:textId="77777777">
        <w:trPr>
          <w:trHeight w:val="372"/>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11A0DCE" w14:textId="77777777" w:rsidR="00CB0FCB" w:rsidRDefault="00CB0FCB">
            <w:pPr>
              <w:spacing w:after="0" w:line="240" w:lineRule="auto"/>
              <w:rPr>
                <w:rFonts w:ascii="Times New Roman" w:eastAsia="Times New Roman" w:hAnsi="Times New Roman" w:cs="Times New Roman"/>
                <w:b/>
                <w:bCs/>
                <w:noProof/>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908C6D" w14:textId="77777777" w:rsidR="00CB0FCB" w:rsidRDefault="00CB0FCB">
            <w:pPr>
              <w:spacing w:after="0" w:line="240" w:lineRule="auto"/>
              <w:rPr>
                <w:rFonts w:ascii="Times New Roman" w:eastAsia="Times New Roman" w:hAnsi="Times New Roman" w:cs="Times New Roman"/>
                <w:b/>
                <w:bCs/>
                <w:noProof/>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767FD5A" w14:textId="77777777" w:rsidR="00CB0FCB" w:rsidRDefault="00CB0FCB">
            <w:pPr>
              <w:spacing w:after="0" w:line="240" w:lineRule="auto"/>
              <w:rPr>
                <w:rFonts w:ascii="Times New Roman" w:eastAsia="Times New Roman" w:hAnsi="Times New Roman" w:cs="Times New Roman"/>
                <w:b/>
                <w:bCs/>
                <w:noProof/>
                <w:sz w:val="18"/>
                <w:szCs w:val="18"/>
              </w:rPr>
            </w:pPr>
          </w:p>
        </w:tc>
        <w:tc>
          <w:tcPr>
            <w:tcW w:w="1343" w:type="dxa"/>
            <w:vMerge/>
            <w:tcBorders>
              <w:top w:val="single" w:sz="4" w:space="0" w:color="auto"/>
              <w:left w:val="nil"/>
              <w:bottom w:val="single" w:sz="4" w:space="0" w:color="000000"/>
              <w:right w:val="single" w:sz="4" w:space="0" w:color="auto"/>
            </w:tcBorders>
            <w:vAlign w:val="center"/>
            <w:hideMark/>
          </w:tcPr>
          <w:p w14:paraId="2B6F31AD" w14:textId="77777777" w:rsidR="00CB0FCB" w:rsidRDefault="00CB0FCB">
            <w:pPr>
              <w:spacing w:after="0" w:line="240" w:lineRule="auto"/>
              <w:rPr>
                <w:rFonts w:ascii="Times New Roman" w:eastAsia="Times New Roman" w:hAnsi="Times New Roman" w:cs="Times New Roman"/>
                <w:b/>
                <w:bCs/>
                <w:noProof/>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63D1745D" w14:textId="77777777" w:rsidR="00CB0FCB" w:rsidRDefault="00CB0FCB">
            <w:pPr>
              <w:spacing w:after="0" w:line="240" w:lineRule="auto"/>
              <w:rPr>
                <w:rFonts w:ascii="Times New Roman" w:eastAsia="Times New Roman" w:hAnsi="Times New Roman" w:cs="Times New Roman"/>
                <w:b/>
                <w:bCs/>
                <w:noProof/>
                <w:sz w:val="18"/>
                <w:szCs w:val="18"/>
              </w:rPr>
            </w:pPr>
          </w:p>
        </w:tc>
        <w:tc>
          <w:tcPr>
            <w:tcW w:w="1800" w:type="dxa"/>
            <w:tcBorders>
              <w:top w:val="single" w:sz="4" w:space="0" w:color="auto"/>
              <w:left w:val="nil"/>
              <w:bottom w:val="single" w:sz="4" w:space="0" w:color="auto"/>
              <w:right w:val="single" w:sz="4" w:space="0" w:color="auto"/>
            </w:tcBorders>
            <w:shd w:val="clear" w:color="auto" w:fill="BDD7EE"/>
            <w:vAlign w:val="center"/>
            <w:hideMark/>
          </w:tcPr>
          <w:p w14:paraId="756A0EAA"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00C18BC5"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40" w:type="dxa"/>
            <w:tcBorders>
              <w:top w:val="single" w:sz="4" w:space="0" w:color="auto"/>
              <w:left w:val="nil"/>
              <w:bottom w:val="single" w:sz="4" w:space="0" w:color="auto"/>
              <w:right w:val="single" w:sz="4" w:space="0" w:color="auto"/>
            </w:tcBorders>
            <w:shd w:val="clear" w:color="auto" w:fill="BDD7EE"/>
            <w:vAlign w:val="center"/>
            <w:hideMark/>
          </w:tcPr>
          <w:p w14:paraId="1C1BA95C"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6C3CE904"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840" w:type="dxa"/>
            <w:tcBorders>
              <w:top w:val="single" w:sz="4" w:space="0" w:color="auto"/>
              <w:left w:val="nil"/>
              <w:bottom w:val="single" w:sz="4" w:space="0" w:color="auto"/>
              <w:right w:val="single" w:sz="4" w:space="0" w:color="auto"/>
            </w:tcBorders>
            <w:shd w:val="clear" w:color="auto" w:fill="BDD7EE"/>
            <w:vAlign w:val="center"/>
            <w:hideMark/>
          </w:tcPr>
          <w:p w14:paraId="77C42570"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291" w:type="dxa"/>
            <w:vMerge/>
            <w:tcBorders>
              <w:top w:val="single" w:sz="4" w:space="0" w:color="auto"/>
              <w:left w:val="single" w:sz="4" w:space="0" w:color="auto"/>
              <w:bottom w:val="single" w:sz="4" w:space="0" w:color="auto"/>
              <w:right w:val="single" w:sz="4" w:space="0" w:color="auto"/>
            </w:tcBorders>
            <w:vAlign w:val="center"/>
            <w:hideMark/>
          </w:tcPr>
          <w:p w14:paraId="3ADD4056"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19CADF9"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120AC75C" w14:textId="77777777" w:rsidR="00CB0FCB" w:rsidRDefault="009D2B11">
            <w:pPr>
              <w:pStyle w:val="P68B1DB1-Normal9"/>
              <w:spacing w:after="0" w:line="240" w:lineRule="auto"/>
              <w:rPr>
                <w:rFonts w:eastAsia="Times New Roman" w:cs="Calibri"/>
                <w:noProof/>
                <w:szCs w:val="18"/>
              </w:rPr>
            </w:pPr>
            <w:r>
              <w:rPr>
                <w:noProof/>
              </w:rPr>
              <w:t>85</w:t>
            </w:r>
          </w:p>
        </w:tc>
        <w:tc>
          <w:tcPr>
            <w:tcW w:w="1276" w:type="dxa"/>
            <w:tcBorders>
              <w:top w:val="nil"/>
              <w:left w:val="nil"/>
              <w:bottom w:val="single" w:sz="4" w:space="0" w:color="auto"/>
              <w:right w:val="single" w:sz="4" w:space="0" w:color="auto"/>
            </w:tcBorders>
            <w:shd w:val="clear" w:color="auto" w:fill="C6EFCE"/>
            <w:noWrap/>
          </w:tcPr>
          <w:p w14:paraId="428ED862" w14:textId="77777777" w:rsidR="00CB0FCB" w:rsidRDefault="009D2B11">
            <w:pPr>
              <w:pStyle w:val="P68B1DB1-Normal9"/>
              <w:spacing w:after="0" w:line="240" w:lineRule="auto"/>
              <w:rPr>
                <w:rFonts w:eastAsia="Times New Roman" w:cs="Calibri"/>
                <w:noProof/>
                <w:szCs w:val="18"/>
              </w:rPr>
            </w:pPr>
            <w:r>
              <w:rPr>
                <w:noProof/>
              </w:rPr>
              <w:t>5–2.1. Connect — 16818_Fiber optiskā infrastruktūra ēkās</w:t>
            </w:r>
          </w:p>
        </w:tc>
        <w:tc>
          <w:tcPr>
            <w:tcW w:w="992" w:type="dxa"/>
            <w:tcBorders>
              <w:top w:val="nil"/>
              <w:left w:val="nil"/>
              <w:bottom w:val="single" w:sz="4" w:space="0" w:color="auto"/>
              <w:right w:val="single" w:sz="4" w:space="0" w:color="auto"/>
            </w:tcBorders>
            <w:shd w:val="clear" w:color="auto" w:fill="C6EFCE"/>
            <w:noWrap/>
          </w:tcPr>
          <w:p w14:paraId="7D0FF7C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tcBorders>
              <w:top w:val="nil"/>
              <w:left w:val="nil"/>
              <w:bottom w:val="single" w:sz="4" w:space="0" w:color="auto"/>
              <w:right w:val="single" w:sz="4" w:space="0" w:color="auto"/>
            </w:tcBorders>
            <w:shd w:val="clear" w:color="auto" w:fill="C6EFCE"/>
            <w:noWrap/>
          </w:tcPr>
          <w:p w14:paraId="68A14E67" w14:textId="77777777" w:rsidR="00CB0FCB" w:rsidRDefault="009D2B11">
            <w:pPr>
              <w:pStyle w:val="P68B1DB1-Normal9"/>
              <w:spacing w:after="0" w:line="240" w:lineRule="auto"/>
              <w:rPr>
                <w:rFonts w:eastAsia="Times New Roman" w:cs="Calibri"/>
                <w:noProof/>
                <w:szCs w:val="18"/>
              </w:rPr>
            </w:pPr>
            <w:r>
              <w:rPr>
                <w:noProof/>
              </w:rPr>
              <w:t>Līguma(-u) piešķiršana projektam “Fiberopiskā infrastruktūra ēkās”</w:t>
            </w:r>
          </w:p>
        </w:tc>
        <w:tc>
          <w:tcPr>
            <w:tcW w:w="1440" w:type="dxa"/>
            <w:tcBorders>
              <w:top w:val="nil"/>
              <w:left w:val="nil"/>
              <w:bottom w:val="single" w:sz="4" w:space="0" w:color="auto"/>
              <w:right w:val="single" w:sz="4" w:space="0" w:color="auto"/>
            </w:tcBorders>
            <w:shd w:val="clear" w:color="auto" w:fill="C6EFCE"/>
            <w:noWrap/>
          </w:tcPr>
          <w:p w14:paraId="0F49BFC7" w14:textId="77777777" w:rsidR="00CB0FCB" w:rsidRDefault="009D2B11">
            <w:pPr>
              <w:pStyle w:val="P68B1DB1-Normal9"/>
              <w:spacing w:after="0" w:line="240" w:lineRule="auto"/>
              <w:rPr>
                <w:rFonts w:eastAsia="Times New Roman" w:cs="Calibri"/>
                <w:strike/>
                <w:noProof/>
                <w:szCs w:val="18"/>
              </w:rPr>
            </w:pPr>
            <w:r>
              <w:rPr>
                <w:noProof/>
              </w:rPr>
              <w:t xml:space="preserve">Paziņojums par līguma(-u) piešķiršanu </w:t>
            </w:r>
          </w:p>
        </w:tc>
        <w:tc>
          <w:tcPr>
            <w:tcW w:w="1800" w:type="dxa"/>
            <w:tcBorders>
              <w:top w:val="nil"/>
              <w:left w:val="nil"/>
              <w:bottom w:val="single" w:sz="4" w:space="0" w:color="auto"/>
              <w:right w:val="single" w:sz="4" w:space="0" w:color="auto"/>
            </w:tcBorders>
            <w:shd w:val="clear" w:color="auto" w:fill="C6EFCE"/>
            <w:noWrap/>
          </w:tcPr>
          <w:p w14:paraId="1B4F0086"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40D3D63E" w14:textId="77777777" w:rsidR="00CB0FCB" w:rsidRDefault="00CB0FCB">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tcPr>
          <w:p w14:paraId="19CEDFE4"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306FFFBA" w14:textId="77777777" w:rsidR="00CB0FCB" w:rsidRDefault="009D2B11">
            <w:pPr>
              <w:pStyle w:val="P68B1DB1-Normal9"/>
              <w:spacing w:after="0" w:line="240" w:lineRule="auto"/>
              <w:rPr>
                <w:rFonts w:eastAsia="Times New Roman" w:cs="Calibri"/>
                <w:noProof/>
                <w:szCs w:val="18"/>
              </w:rPr>
            </w:pPr>
            <w:r>
              <w:rPr>
                <w:noProof/>
              </w:rPr>
              <w:t>CET.</w:t>
            </w:r>
          </w:p>
        </w:tc>
        <w:tc>
          <w:tcPr>
            <w:tcW w:w="840" w:type="dxa"/>
            <w:tcBorders>
              <w:top w:val="nil"/>
              <w:left w:val="nil"/>
              <w:bottom w:val="single" w:sz="4" w:space="0" w:color="auto"/>
              <w:right w:val="single" w:sz="4" w:space="0" w:color="auto"/>
            </w:tcBorders>
            <w:shd w:val="clear" w:color="auto" w:fill="C6EFCE"/>
            <w:noWrap/>
          </w:tcPr>
          <w:p w14:paraId="53B24A80" w14:textId="77777777" w:rsidR="00CB0FCB" w:rsidRDefault="009D2B11">
            <w:pPr>
              <w:pStyle w:val="P68B1DB1-Normal9"/>
              <w:spacing w:after="0" w:line="240" w:lineRule="auto"/>
              <w:rPr>
                <w:rFonts w:eastAsia="Times New Roman" w:cs="Calibri"/>
                <w:noProof/>
                <w:szCs w:val="18"/>
              </w:rPr>
            </w:pPr>
            <w:r>
              <w:rPr>
                <w:noProof/>
              </w:rPr>
              <w:t>2022</w:t>
            </w:r>
          </w:p>
        </w:tc>
        <w:tc>
          <w:tcPr>
            <w:tcW w:w="4291" w:type="dxa"/>
            <w:tcBorders>
              <w:top w:val="nil"/>
              <w:left w:val="nil"/>
              <w:bottom w:val="single" w:sz="4" w:space="0" w:color="auto"/>
              <w:right w:val="single" w:sz="4" w:space="0" w:color="auto"/>
            </w:tcBorders>
            <w:shd w:val="clear" w:color="auto" w:fill="C6EFCE"/>
            <w:noWrap/>
          </w:tcPr>
          <w:p w14:paraId="79E0F8B9" w14:textId="77777777" w:rsidR="00CB0FCB" w:rsidRDefault="009D2B11">
            <w:pPr>
              <w:pStyle w:val="P68B1DB1-Normal9"/>
              <w:spacing w:after="0" w:line="240" w:lineRule="auto"/>
              <w:rPr>
                <w:rFonts w:eastAsia="Times New Roman" w:cs="Calibri"/>
                <w:noProof/>
                <w:szCs w:val="18"/>
              </w:rPr>
            </w:pPr>
            <w:r>
              <w:rPr>
                <w:noProof/>
              </w:rPr>
              <w:t>Līguma(-u) piešķiršana pēc projekta “Fiberopiskā infrastruktūra ēkās” sekmīgas konkursa procedūras pabeigšanas.</w:t>
            </w:r>
          </w:p>
          <w:p w14:paraId="46B2C472" w14:textId="77777777" w:rsidR="00CB0FCB" w:rsidRDefault="00CB0FCB">
            <w:pPr>
              <w:spacing w:after="0" w:line="240" w:lineRule="auto"/>
              <w:rPr>
                <w:rFonts w:eastAsia="Times New Roman" w:cs="Calibri"/>
                <w:noProof/>
                <w:color w:val="006100"/>
                <w:sz w:val="18"/>
                <w:szCs w:val="18"/>
              </w:rPr>
            </w:pPr>
          </w:p>
          <w:p w14:paraId="53273157" w14:textId="77777777" w:rsidR="00CB0FCB" w:rsidRDefault="009D2B11">
            <w:pPr>
              <w:pStyle w:val="P68B1DB1-Normal9"/>
              <w:spacing w:after="0" w:line="240" w:lineRule="auto"/>
              <w:rPr>
                <w:rFonts w:eastAsia="Times New Roman" w:cs="Calibri"/>
                <w:noProof/>
                <w:szCs w:val="18"/>
              </w:rPr>
            </w:pPr>
            <w:r>
              <w:rPr>
                <w:noProof/>
              </w:rPr>
              <w:t>Informācijas sabiedrības SA/Digitālās pārvaldības ministrija nodrošina, ka visi iesniegtie pieteikumi tiek izskatīti, lai pārliecinātos, vai pieteikumi pienācīgi atbilst uzaicinājuma prasībām. Pēc attiecīgā darbuzņēmēja izraudzīšanās Informācijas sabiedrības S.A./Digitālās pārvaldības ministrija turpina līguma slēgšanas tiesību piešķiršanu, kurā nosaka līgumslēdzēju pušu pienākumus, uzdevumus un atbildību.</w:t>
            </w:r>
          </w:p>
        </w:tc>
      </w:tr>
      <w:tr w:rsidR="00CB0FCB" w14:paraId="46234CFD"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12CAFB5B" w14:textId="77777777" w:rsidR="00CB0FCB" w:rsidRDefault="009D2B11">
            <w:pPr>
              <w:pStyle w:val="P68B1DB1-Normal9"/>
              <w:spacing w:after="0" w:line="240" w:lineRule="auto"/>
              <w:rPr>
                <w:rFonts w:eastAsia="Times New Roman" w:cs="Calibri"/>
                <w:noProof/>
                <w:szCs w:val="18"/>
              </w:rPr>
            </w:pPr>
            <w:r>
              <w:rPr>
                <w:noProof/>
              </w:rPr>
              <w:t>87</w:t>
            </w:r>
          </w:p>
        </w:tc>
        <w:tc>
          <w:tcPr>
            <w:tcW w:w="1276" w:type="dxa"/>
            <w:tcBorders>
              <w:top w:val="nil"/>
              <w:left w:val="nil"/>
              <w:bottom w:val="single" w:sz="4" w:space="0" w:color="auto"/>
              <w:right w:val="single" w:sz="4" w:space="0" w:color="auto"/>
            </w:tcBorders>
            <w:shd w:val="clear" w:color="auto" w:fill="C6EFCE"/>
            <w:noWrap/>
          </w:tcPr>
          <w:p w14:paraId="101999FE" w14:textId="77777777" w:rsidR="00CB0FCB" w:rsidRDefault="009D2B11">
            <w:pPr>
              <w:pStyle w:val="P68B1DB1-Normal9"/>
              <w:spacing w:after="0" w:line="240" w:lineRule="auto"/>
              <w:rPr>
                <w:rFonts w:eastAsia="Times New Roman" w:cs="Calibri"/>
                <w:noProof/>
                <w:szCs w:val="18"/>
              </w:rPr>
            </w:pPr>
            <w:r>
              <w:rPr>
                <w:noProof/>
              </w:rPr>
              <w:t>5–2.1. Connect — 16855_mazsatelīti</w:t>
            </w:r>
          </w:p>
          <w:p w14:paraId="41356723"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38C2769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tcBorders>
              <w:top w:val="nil"/>
              <w:left w:val="nil"/>
              <w:bottom w:val="single" w:sz="4" w:space="0" w:color="auto"/>
              <w:right w:val="single" w:sz="4" w:space="0" w:color="auto"/>
            </w:tcBorders>
            <w:shd w:val="clear" w:color="auto" w:fill="C6EFCE"/>
            <w:noWrap/>
          </w:tcPr>
          <w:p w14:paraId="174C66A2" w14:textId="77777777" w:rsidR="00CB0FCB" w:rsidRDefault="009D2B11">
            <w:pPr>
              <w:pStyle w:val="P68B1DB1-Normal9"/>
              <w:spacing w:after="0" w:line="240" w:lineRule="auto"/>
              <w:rPr>
                <w:rFonts w:eastAsia="Times New Roman" w:cs="Calibri"/>
                <w:noProof/>
                <w:szCs w:val="18"/>
              </w:rPr>
            </w:pPr>
            <w:r>
              <w:rPr>
                <w:noProof/>
              </w:rPr>
              <w:t>Līguma(-u) piešķiršana projektam “Mazi satelīti”</w:t>
            </w:r>
          </w:p>
        </w:tc>
        <w:tc>
          <w:tcPr>
            <w:tcW w:w="1440" w:type="dxa"/>
            <w:tcBorders>
              <w:top w:val="nil"/>
              <w:left w:val="nil"/>
              <w:bottom w:val="single" w:sz="4" w:space="0" w:color="auto"/>
              <w:right w:val="single" w:sz="4" w:space="0" w:color="auto"/>
            </w:tcBorders>
            <w:shd w:val="clear" w:color="auto" w:fill="C6EFCE"/>
            <w:noWrap/>
          </w:tcPr>
          <w:p w14:paraId="690A1E47" w14:textId="77777777" w:rsidR="00CB0FCB" w:rsidRDefault="009D2B11">
            <w:pPr>
              <w:pStyle w:val="P68B1DB1-Normal9"/>
              <w:spacing w:after="0" w:line="240" w:lineRule="auto"/>
              <w:rPr>
                <w:rFonts w:eastAsia="Times New Roman" w:cs="Calibri"/>
                <w:noProof/>
                <w:szCs w:val="18"/>
              </w:rPr>
            </w:pPr>
            <w:r>
              <w:rPr>
                <w:noProof/>
              </w:rPr>
              <w:t xml:space="preserve">Paziņojums par līguma(-u) piešķiršanu </w:t>
            </w:r>
          </w:p>
        </w:tc>
        <w:tc>
          <w:tcPr>
            <w:tcW w:w="1800" w:type="dxa"/>
            <w:tcBorders>
              <w:top w:val="nil"/>
              <w:left w:val="nil"/>
              <w:bottom w:val="single" w:sz="4" w:space="0" w:color="auto"/>
              <w:right w:val="single" w:sz="4" w:space="0" w:color="auto"/>
            </w:tcBorders>
            <w:shd w:val="clear" w:color="auto" w:fill="C6EFCE"/>
            <w:noWrap/>
          </w:tcPr>
          <w:p w14:paraId="44388A4C"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481E4CCB" w14:textId="77777777" w:rsidR="00CB0FCB" w:rsidRDefault="00CB0FCB">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tcPr>
          <w:p w14:paraId="4D74D0A7"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15756665"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tcBorders>
              <w:top w:val="nil"/>
              <w:left w:val="nil"/>
              <w:bottom w:val="single" w:sz="4" w:space="0" w:color="auto"/>
              <w:right w:val="single" w:sz="4" w:space="0" w:color="auto"/>
            </w:tcBorders>
            <w:shd w:val="clear" w:color="auto" w:fill="C6EFCE"/>
            <w:noWrap/>
          </w:tcPr>
          <w:p w14:paraId="53E5EE5B" w14:textId="77777777" w:rsidR="00CB0FCB" w:rsidRDefault="009D2B11">
            <w:pPr>
              <w:pStyle w:val="P68B1DB1-Normal9"/>
              <w:spacing w:after="0" w:line="240" w:lineRule="auto"/>
              <w:rPr>
                <w:rFonts w:eastAsia="Times New Roman" w:cs="Calibri"/>
                <w:noProof/>
                <w:szCs w:val="18"/>
              </w:rPr>
            </w:pPr>
            <w:r>
              <w:rPr>
                <w:noProof/>
              </w:rPr>
              <w:t>2023</w:t>
            </w:r>
          </w:p>
        </w:tc>
        <w:tc>
          <w:tcPr>
            <w:tcW w:w="4291" w:type="dxa"/>
            <w:tcBorders>
              <w:top w:val="nil"/>
              <w:left w:val="nil"/>
              <w:bottom w:val="single" w:sz="4" w:space="0" w:color="auto"/>
              <w:right w:val="single" w:sz="4" w:space="0" w:color="auto"/>
            </w:tcBorders>
            <w:shd w:val="clear" w:color="auto" w:fill="C6EFCE"/>
            <w:noWrap/>
          </w:tcPr>
          <w:p w14:paraId="36F605B5" w14:textId="77777777" w:rsidR="00CB0FCB" w:rsidRDefault="009D2B11">
            <w:pPr>
              <w:pStyle w:val="P68B1DB1-Normal9"/>
              <w:spacing w:after="0" w:line="240" w:lineRule="auto"/>
              <w:rPr>
                <w:rFonts w:eastAsia="Times New Roman" w:cs="Calibri"/>
                <w:noProof/>
                <w:szCs w:val="18"/>
              </w:rPr>
            </w:pPr>
            <w:r>
              <w:rPr>
                <w:noProof/>
              </w:rPr>
              <w:t>Līguma(-u) piešķiršana pēc projekta “Mazo satelītu” konkursa procedūras sekmīgas pabeigšanas.</w:t>
            </w:r>
          </w:p>
          <w:p w14:paraId="1745B2C5" w14:textId="77777777" w:rsidR="00CB0FCB" w:rsidRDefault="00CB0FCB">
            <w:pPr>
              <w:spacing w:after="0" w:line="240" w:lineRule="auto"/>
              <w:rPr>
                <w:rFonts w:eastAsia="Times New Roman" w:cs="Calibri"/>
                <w:noProof/>
                <w:color w:val="006100"/>
                <w:sz w:val="18"/>
                <w:szCs w:val="18"/>
              </w:rPr>
            </w:pPr>
          </w:p>
          <w:p w14:paraId="67E7E404" w14:textId="77777777" w:rsidR="00CB0FCB" w:rsidRDefault="00CB0FCB">
            <w:pPr>
              <w:spacing w:after="0" w:line="240" w:lineRule="auto"/>
              <w:rPr>
                <w:rFonts w:eastAsia="Times New Roman" w:cs="Calibri"/>
                <w:noProof/>
                <w:color w:val="006100"/>
                <w:sz w:val="18"/>
                <w:szCs w:val="18"/>
              </w:rPr>
            </w:pPr>
          </w:p>
        </w:tc>
      </w:tr>
      <w:tr w:rsidR="00CB0FCB" w14:paraId="37B196FF"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534D5017" w14:textId="77777777" w:rsidR="00CB0FCB" w:rsidRDefault="009D2B11">
            <w:pPr>
              <w:pStyle w:val="P68B1DB1-Normal9"/>
              <w:spacing w:after="0" w:line="240" w:lineRule="auto"/>
              <w:rPr>
                <w:rFonts w:eastAsia="Times New Roman" w:cs="Calibri"/>
                <w:noProof/>
                <w:szCs w:val="18"/>
              </w:rPr>
            </w:pPr>
            <w:r>
              <w:rPr>
                <w:noProof/>
              </w:rPr>
              <w:t>90</w:t>
            </w:r>
          </w:p>
        </w:tc>
        <w:tc>
          <w:tcPr>
            <w:tcW w:w="1276" w:type="dxa"/>
            <w:tcBorders>
              <w:top w:val="nil"/>
              <w:left w:val="nil"/>
              <w:bottom w:val="single" w:sz="4" w:space="0" w:color="auto"/>
              <w:right w:val="single" w:sz="4" w:space="0" w:color="auto"/>
            </w:tcBorders>
            <w:shd w:val="clear" w:color="auto" w:fill="C6EFCE"/>
            <w:noWrap/>
          </w:tcPr>
          <w:p w14:paraId="58065573" w14:textId="77777777" w:rsidR="00CB0FCB" w:rsidRDefault="009D2B11">
            <w:pPr>
              <w:pStyle w:val="P68B1DB1-Normal9"/>
              <w:spacing w:after="0" w:line="240" w:lineRule="auto"/>
              <w:rPr>
                <w:rFonts w:eastAsia="Times New Roman" w:cs="Calibri"/>
                <w:noProof/>
                <w:szCs w:val="18"/>
              </w:rPr>
            </w:pPr>
            <w:r>
              <w:rPr>
                <w:noProof/>
              </w:rPr>
              <w:t>5–2.1. Connect — 16818_Fiber optiskā infrastruktūra ēkās</w:t>
            </w:r>
          </w:p>
        </w:tc>
        <w:tc>
          <w:tcPr>
            <w:tcW w:w="992" w:type="dxa"/>
            <w:tcBorders>
              <w:top w:val="nil"/>
              <w:left w:val="nil"/>
              <w:bottom w:val="single" w:sz="4" w:space="0" w:color="auto"/>
              <w:right w:val="single" w:sz="4" w:space="0" w:color="auto"/>
            </w:tcBorders>
            <w:shd w:val="clear" w:color="auto" w:fill="C6EFCE"/>
            <w:noWrap/>
          </w:tcPr>
          <w:p w14:paraId="0609077B" w14:textId="77777777" w:rsidR="00CB0FCB" w:rsidRDefault="009D2B11">
            <w:pPr>
              <w:pStyle w:val="P68B1DB1-Normal9"/>
              <w:spacing w:after="0" w:line="240" w:lineRule="auto"/>
              <w:rPr>
                <w:rFonts w:eastAsia="Times New Roman" w:cs="Calibri"/>
                <w:noProof/>
                <w:szCs w:val="18"/>
              </w:rPr>
            </w:pPr>
            <w:r>
              <w:rPr>
                <w:noProof/>
              </w:rPr>
              <w:t>Mērķa</w:t>
            </w:r>
          </w:p>
        </w:tc>
        <w:tc>
          <w:tcPr>
            <w:tcW w:w="1343" w:type="dxa"/>
            <w:tcBorders>
              <w:top w:val="nil"/>
              <w:left w:val="nil"/>
              <w:bottom w:val="single" w:sz="4" w:space="0" w:color="auto"/>
              <w:right w:val="single" w:sz="4" w:space="0" w:color="auto"/>
            </w:tcBorders>
            <w:shd w:val="clear" w:color="auto" w:fill="C6EFCE"/>
            <w:noWrap/>
          </w:tcPr>
          <w:p w14:paraId="23709FF9" w14:textId="16125968" w:rsidR="00CB0FCB" w:rsidRDefault="009D2B11">
            <w:pPr>
              <w:pStyle w:val="P68B1DB1-Normal9"/>
              <w:spacing w:after="0" w:line="240" w:lineRule="auto"/>
              <w:rPr>
                <w:rFonts w:eastAsia="Times New Roman" w:cs="Calibri"/>
                <w:noProof/>
                <w:szCs w:val="18"/>
              </w:rPr>
            </w:pPr>
            <w:r>
              <w:rPr>
                <w:noProof/>
              </w:rPr>
              <w:t>Projekta “Fiberoptiskā infrastruktūra ēkās” pabeigšana</w:t>
            </w:r>
          </w:p>
        </w:tc>
        <w:tc>
          <w:tcPr>
            <w:tcW w:w="1440" w:type="dxa"/>
            <w:tcBorders>
              <w:top w:val="nil"/>
              <w:left w:val="nil"/>
              <w:bottom w:val="single" w:sz="4" w:space="0" w:color="auto"/>
              <w:right w:val="single" w:sz="4" w:space="0" w:color="auto"/>
            </w:tcBorders>
            <w:shd w:val="clear" w:color="auto" w:fill="C6EFCE"/>
            <w:noWrap/>
          </w:tcPr>
          <w:p w14:paraId="32B5E654" w14:textId="77777777" w:rsidR="00CB0FCB" w:rsidRDefault="00CB0FCB">
            <w:pPr>
              <w:spacing w:after="0" w:line="240" w:lineRule="auto"/>
              <w:rPr>
                <w:rFonts w:eastAsia="Times New Roman" w:cs="Calibri"/>
                <w:noProof/>
                <w:color w:val="006100"/>
                <w:sz w:val="18"/>
                <w:szCs w:val="18"/>
              </w:rPr>
            </w:pPr>
          </w:p>
        </w:tc>
        <w:tc>
          <w:tcPr>
            <w:tcW w:w="1800" w:type="dxa"/>
            <w:tcBorders>
              <w:top w:val="nil"/>
              <w:left w:val="nil"/>
              <w:bottom w:val="single" w:sz="4" w:space="0" w:color="auto"/>
              <w:right w:val="single" w:sz="4" w:space="0" w:color="auto"/>
            </w:tcBorders>
            <w:shd w:val="clear" w:color="auto" w:fill="C6EFCE"/>
            <w:noWrap/>
          </w:tcPr>
          <w:p w14:paraId="0751FA50" w14:textId="1469E744" w:rsidR="00CB0FCB" w:rsidRDefault="009D2B11">
            <w:pPr>
              <w:pStyle w:val="P68B1DB1-Normal9"/>
              <w:spacing w:after="0" w:line="240" w:lineRule="auto"/>
              <w:rPr>
                <w:rFonts w:eastAsia="Times New Roman" w:cs="Calibri"/>
                <w:noProof/>
                <w:szCs w:val="18"/>
              </w:rPr>
            </w:pPr>
            <w:r>
              <w:rPr>
                <w:noProof/>
              </w:rPr>
              <w:t>Mājokļi, kas savienoti ar Fiber-the Home (FTTH) optiskās šķiedras infrastruktūru un pakalpojumu</w:t>
            </w:r>
          </w:p>
        </w:tc>
        <w:tc>
          <w:tcPr>
            <w:tcW w:w="960" w:type="dxa"/>
            <w:tcBorders>
              <w:top w:val="nil"/>
              <w:left w:val="nil"/>
              <w:bottom w:val="single" w:sz="4" w:space="0" w:color="auto"/>
              <w:right w:val="single" w:sz="4" w:space="0" w:color="auto"/>
            </w:tcBorders>
            <w:shd w:val="clear" w:color="auto" w:fill="C6EFCE"/>
            <w:noWrap/>
          </w:tcPr>
          <w:p w14:paraId="6EFC81B6" w14:textId="77777777" w:rsidR="00CB0FCB" w:rsidRDefault="009D2B11">
            <w:pPr>
              <w:pStyle w:val="P68B1DB1-Normal9"/>
              <w:spacing w:after="0" w:line="240" w:lineRule="auto"/>
              <w:rPr>
                <w:rFonts w:eastAsia="Times New Roman" w:cs="Calibri"/>
                <w:noProof/>
                <w:szCs w:val="18"/>
              </w:rPr>
            </w:pPr>
            <w:r>
              <w:rPr>
                <w:noProof/>
              </w:rPr>
              <w:t>0</w:t>
            </w:r>
          </w:p>
        </w:tc>
        <w:tc>
          <w:tcPr>
            <w:tcW w:w="840" w:type="dxa"/>
            <w:tcBorders>
              <w:top w:val="nil"/>
              <w:left w:val="nil"/>
              <w:bottom w:val="single" w:sz="4" w:space="0" w:color="auto"/>
              <w:right w:val="single" w:sz="4" w:space="0" w:color="auto"/>
            </w:tcBorders>
            <w:shd w:val="clear" w:color="auto" w:fill="C6EFCE"/>
            <w:noWrap/>
          </w:tcPr>
          <w:p w14:paraId="68091B3A" w14:textId="3DD9DD6A" w:rsidR="00CB0FCB" w:rsidRDefault="009D2B11">
            <w:pPr>
              <w:pStyle w:val="P68B1DB1-Normal9"/>
              <w:spacing w:after="0" w:line="240" w:lineRule="auto"/>
              <w:rPr>
                <w:rFonts w:eastAsia="Times New Roman" w:cs="Calibri"/>
                <w:noProof/>
                <w:szCs w:val="18"/>
              </w:rPr>
            </w:pPr>
            <w:r>
              <w:rPr>
                <w:noProof/>
              </w:rPr>
              <w:t>230</w:t>
            </w:r>
            <w:r>
              <w:rPr>
                <w:rFonts w:cs="Calibri"/>
                <w:noProof/>
                <w:szCs w:val="18"/>
              </w:rPr>
              <w:t xml:space="preserve"> </w:t>
            </w:r>
            <w:r>
              <w:rPr>
                <w:noProof/>
              </w:rPr>
              <w:t>000</w:t>
            </w:r>
          </w:p>
        </w:tc>
        <w:tc>
          <w:tcPr>
            <w:tcW w:w="960" w:type="dxa"/>
            <w:tcBorders>
              <w:top w:val="nil"/>
              <w:left w:val="nil"/>
              <w:bottom w:val="single" w:sz="4" w:space="0" w:color="auto"/>
              <w:right w:val="single" w:sz="4" w:space="0" w:color="auto"/>
            </w:tcBorders>
            <w:shd w:val="clear" w:color="auto" w:fill="C6EFCE"/>
            <w:noWrap/>
          </w:tcPr>
          <w:p w14:paraId="40666081"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nil"/>
              <w:left w:val="nil"/>
              <w:bottom w:val="single" w:sz="4" w:space="0" w:color="auto"/>
              <w:right w:val="single" w:sz="4" w:space="0" w:color="auto"/>
            </w:tcBorders>
            <w:shd w:val="clear" w:color="auto" w:fill="C6EFCE"/>
            <w:noWrap/>
          </w:tcPr>
          <w:p w14:paraId="329105F0" w14:textId="77777777" w:rsidR="00CB0FCB" w:rsidRDefault="009D2B11">
            <w:pPr>
              <w:pStyle w:val="P68B1DB1-Normal9"/>
              <w:spacing w:after="0" w:line="240" w:lineRule="auto"/>
              <w:rPr>
                <w:rFonts w:eastAsia="Times New Roman" w:cs="Calibri"/>
                <w:noProof/>
                <w:szCs w:val="18"/>
              </w:rPr>
            </w:pPr>
            <w:r>
              <w:rPr>
                <w:noProof/>
              </w:rPr>
              <w:t>2025</w:t>
            </w:r>
          </w:p>
        </w:tc>
        <w:tc>
          <w:tcPr>
            <w:tcW w:w="4291" w:type="dxa"/>
            <w:tcBorders>
              <w:top w:val="nil"/>
              <w:left w:val="nil"/>
              <w:bottom w:val="single" w:sz="4" w:space="0" w:color="auto"/>
              <w:right w:val="single" w:sz="4" w:space="0" w:color="auto"/>
            </w:tcBorders>
            <w:shd w:val="clear" w:color="auto" w:fill="C6EFCE"/>
            <w:noWrap/>
          </w:tcPr>
          <w:p w14:paraId="009D9033" w14:textId="4F5032D0" w:rsidR="00CB0FCB" w:rsidRDefault="009D2B11">
            <w:pPr>
              <w:pStyle w:val="P68B1DB1-Normal9"/>
              <w:spacing w:after="0" w:line="240" w:lineRule="auto"/>
              <w:rPr>
                <w:rFonts w:eastAsia="Times New Roman" w:cs="Calibri"/>
                <w:noProof/>
                <w:szCs w:val="18"/>
              </w:rPr>
            </w:pPr>
            <w:r>
              <w:rPr>
                <w:noProof/>
              </w:rPr>
              <w:t>230000 mājokļu, kas savienoti ar FTTH optiskās šķiedras infrastruktūru un pakalpojumu.</w:t>
            </w:r>
          </w:p>
        </w:tc>
      </w:tr>
      <w:tr w:rsidR="00CB0FCB" w14:paraId="5ABD5FC6"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32FA7D65" w14:textId="77777777" w:rsidR="00CB0FCB" w:rsidRDefault="009D2B11">
            <w:pPr>
              <w:pStyle w:val="P68B1DB1-Normal9"/>
              <w:spacing w:after="0" w:line="240" w:lineRule="auto"/>
              <w:rPr>
                <w:rFonts w:eastAsia="Times New Roman" w:cs="Calibri"/>
                <w:noProof/>
                <w:szCs w:val="18"/>
              </w:rPr>
            </w:pPr>
            <w:r>
              <w:rPr>
                <w:noProof/>
              </w:rPr>
              <w:t>92</w:t>
            </w:r>
          </w:p>
        </w:tc>
        <w:tc>
          <w:tcPr>
            <w:tcW w:w="1276" w:type="dxa"/>
            <w:tcBorders>
              <w:top w:val="single" w:sz="4" w:space="0" w:color="auto"/>
              <w:left w:val="nil"/>
              <w:bottom w:val="single" w:sz="4" w:space="0" w:color="auto"/>
              <w:right w:val="single" w:sz="4" w:space="0" w:color="auto"/>
            </w:tcBorders>
            <w:shd w:val="clear" w:color="auto" w:fill="C6EFCE"/>
            <w:noWrap/>
          </w:tcPr>
          <w:p w14:paraId="4EA958F1" w14:textId="03F0AF79" w:rsidR="00CB0FCB" w:rsidRDefault="009D2B11">
            <w:pPr>
              <w:pStyle w:val="P68B1DB1-Normal9"/>
              <w:spacing w:after="0" w:line="240" w:lineRule="auto"/>
              <w:rPr>
                <w:rFonts w:eastAsia="Times New Roman" w:cs="Calibri"/>
                <w:noProof/>
                <w:szCs w:val="18"/>
              </w:rPr>
            </w:pPr>
            <w:r>
              <w:rPr>
                <w:noProof/>
              </w:rPr>
              <w:t>Connect — 16855_mazsatelīti</w:t>
            </w:r>
          </w:p>
        </w:tc>
        <w:tc>
          <w:tcPr>
            <w:tcW w:w="992" w:type="dxa"/>
            <w:tcBorders>
              <w:top w:val="single" w:sz="4" w:space="0" w:color="auto"/>
              <w:left w:val="nil"/>
              <w:bottom w:val="single" w:sz="4" w:space="0" w:color="auto"/>
              <w:right w:val="single" w:sz="4" w:space="0" w:color="auto"/>
            </w:tcBorders>
            <w:shd w:val="clear" w:color="auto" w:fill="C6EFCE"/>
            <w:noWrap/>
          </w:tcPr>
          <w:p w14:paraId="51C5F9C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tcBorders>
              <w:top w:val="single" w:sz="4" w:space="0" w:color="auto"/>
              <w:left w:val="nil"/>
              <w:bottom w:val="single" w:sz="4" w:space="0" w:color="auto"/>
              <w:right w:val="single" w:sz="4" w:space="0" w:color="auto"/>
            </w:tcBorders>
            <w:shd w:val="clear" w:color="auto" w:fill="C6EFCE"/>
            <w:noWrap/>
          </w:tcPr>
          <w:p w14:paraId="330D2F06" w14:textId="77777777" w:rsidR="00CB0FCB" w:rsidRDefault="009D2B11">
            <w:pPr>
              <w:pStyle w:val="P68B1DB1-Normal9"/>
              <w:spacing w:after="0" w:line="240" w:lineRule="auto"/>
              <w:rPr>
                <w:rFonts w:eastAsia="Times New Roman" w:cs="Calibri"/>
                <w:noProof/>
                <w:szCs w:val="18"/>
              </w:rPr>
            </w:pPr>
            <w:r>
              <w:rPr>
                <w:noProof/>
              </w:rPr>
              <w:t xml:space="preserve">“Mazo satelītu” projekta pabeigšana </w:t>
            </w:r>
          </w:p>
        </w:tc>
        <w:tc>
          <w:tcPr>
            <w:tcW w:w="1440" w:type="dxa"/>
            <w:tcBorders>
              <w:top w:val="single" w:sz="4" w:space="0" w:color="auto"/>
              <w:left w:val="nil"/>
              <w:bottom w:val="single" w:sz="4" w:space="0" w:color="auto"/>
              <w:right w:val="single" w:sz="4" w:space="0" w:color="auto"/>
            </w:tcBorders>
            <w:shd w:val="clear" w:color="auto" w:fill="C6EFCE"/>
            <w:noWrap/>
          </w:tcPr>
          <w:p w14:paraId="1BD1D532" w14:textId="77777777" w:rsidR="00CB0FCB" w:rsidRDefault="009D2B11">
            <w:pPr>
              <w:pStyle w:val="P68B1DB1-Normal9"/>
              <w:spacing w:after="0" w:line="240" w:lineRule="auto"/>
              <w:rPr>
                <w:rFonts w:eastAsia="Times New Roman" w:cs="Calibri"/>
                <w:noProof/>
                <w:szCs w:val="18"/>
              </w:rPr>
            </w:pPr>
            <w:r>
              <w:rPr>
                <w:noProof/>
              </w:rPr>
              <w:t xml:space="preserve">Ziņojumi par pasūtīšanu orbītā pēc mazo satelītu palaišanas </w:t>
            </w:r>
          </w:p>
        </w:tc>
        <w:tc>
          <w:tcPr>
            <w:tcW w:w="1800" w:type="dxa"/>
            <w:tcBorders>
              <w:top w:val="single" w:sz="4" w:space="0" w:color="auto"/>
              <w:left w:val="nil"/>
              <w:bottom w:val="single" w:sz="4" w:space="0" w:color="auto"/>
              <w:right w:val="single" w:sz="4" w:space="0" w:color="auto"/>
            </w:tcBorders>
            <w:shd w:val="clear" w:color="auto" w:fill="C6EFCE"/>
            <w:noWrap/>
          </w:tcPr>
          <w:p w14:paraId="5BEC94BD"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1E12EBA2" w14:textId="77777777" w:rsidR="00CB0FCB" w:rsidRDefault="00CB0FCB">
            <w:pPr>
              <w:spacing w:after="0" w:line="240" w:lineRule="auto"/>
              <w:rPr>
                <w:rFonts w:eastAsia="Times New Roman" w:cs="Calibri"/>
                <w:noProof/>
                <w:color w:val="006100"/>
                <w:sz w:val="18"/>
                <w:szCs w:val="18"/>
              </w:rPr>
            </w:pPr>
          </w:p>
        </w:tc>
        <w:tc>
          <w:tcPr>
            <w:tcW w:w="840" w:type="dxa"/>
            <w:tcBorders>
              <w:top w:val="single" w:sz="4" w:space="0" w:color="auto"/>
              <w:left w:val="nil"/>
              <w:bottom w:val="single" w:sz="4" w:space="0" w:color="auto"/>
              <w:right w:val="single" w:sz="4" w:space="0" w:color="auto"/>
            </w:tcBorders>
            <w:shd w:val="clear" w:color="auto" w:fill="C6EFCE"/>
            <w:noWrap/>
          </w:tcPr>
          <w:p w14:paraId="56E65894"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5DE0FE7B"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1B8F90EC" w14:textId="77777777" w:rsidR="00CB0FCB" w:rsidRDefault="009D2B11">
            <w:pPr>
              <w:pStyle w:val="P68B1DB1-Normal9"/>
              <w:spacing w:after="0" w:line="240" w:lineRule="auto"/>
              <w:rPr>
                <w:rFonts w:eastAsia="Times New Roman" w:cs="Calibri"/>
                <w:noProof/>
                <w:szCs w:val="18"/>
              </w:rPr>
            </w:pPr>
            <w:r>
              <w:rPr>
                <w:noProof/>
              </w:rPr>
              <w:t>2025</w:t>
            </w:r>
          </w:p>
        </w:tc>
        <w:tc>
          <w:tcPr>
            <w:tcW w:w="4291" w:type="dxa"/>
            <w:tcBorders>
              <w:top w:val="single" w:sz="4" w:space="0" w:color="auto"/>
              <w:left w:val="nil"/>
              <w:bottom w:val="single" w:sz="4" w:space="0" w:color="auto"/>
              <w:right w:val="single" w:sz="4" w:space="0" w:color="auto"/>
            </w:tcBorders>
            <w:shd w:val="clear" w:color="auto" w:fill="C6EFCE"/>
            <w:noWrap/>
          </w:tcPr>
          <w:p w14:paraId="6DB77836" w14:textId="77777777" w:rsidR="00CB0FCB" w:rsidRDefault="009D2B11">
            <w:pPr>
              <w:pStyle w:val="P68B1DB1-Normal9"/>
              <w:spacing w:after="0" w:line="240" w:lineRule="auto"/>
              <w:rPr>
                <w:rFonts w:eastAsia="Times New Roman" w:cs="Calibri"/>
                <w:noProof/>
                <w:szCs w:val="18"/>
              </w:rPr>
            </w:pPr>
            <w:r>
              <w:rPr>
                <w:noProof/>
              </w:rPr>
              <w:t>Izmēģinājuma projekts sāk ikdienas darbības, un tiek uzsākta un orbītā ievietota mazo satelītu konstelācija.</w:t>
            </w:r>
          </w:p>
          <w:p w14:paraId="328B9E96" w14:textId="77777777" w:rsidR="00CB0FCB" w:rsidRDefault="00CB0FCB">
            <w:pPr>
              <w:spacing w:after="0" w:line="240" w:lineRule="auto"/>
              <w:rPr>
                <w:rFonts w:eastAsia="Times New Roman" w:cs="Calibri"/>
                <w:noProof/>
                <w:color w:val="006100"/>
                <w:sz w:val="18"/>
                <w:szCs w:val="18"/>
              </w:rPr>
            </w:pPr>
          </w:p>
          <w:p w14:paraId="314FBAC8" w14:textId="77777777" w:rsidR="00CB0FCB" w:rsidRDefault="009D2B11">
            <w:pPr>
              <w:pStyle w:val="P68B1DB1-Normal9"/>
              <w:spacing w:after="0" w:line="240" w:lineRule="auto"/>
              <w:rPr>
                <w:rFonts w:eastAsia="Times New Roman" w:cs="Calibri"/>
                <w:noProof/>
                <w:szCs w:val="18"/>
              </w:rPr>
            </w:pPr>
            <w:r>
              <w:rPr>
                <w:noProof/>
              </w:rPr>
              <w:t>Projekta īstenošanu novērtē pēc tā darbības rezultātiem (vai mazie satelīti atbalsta drošus telekomunikāciju pakalpojumus, kā arī zemes novērošanas lietojumus kartēšanas, kuģniecības, precīzās lauksaimniecības, telpiskās plānošanas un citās ekonomikas nozarēs).</w:t>
            </w:r>
          </w:p>
        </w:tc>
      </w:tr>
      <w:tr w:rsidR="00CB0FCB" w14:paraId="42490ED1"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2E1015F5" w14:textId="77777777" w:rsidR="00CB0FCB" w:rsidRDefault="009D2B11">
            <w:pPr>
              <w:pStyle w:val="P68B1DB1-Normal9"/>
              <w:spacing w:after="0" w:line="240" w:lineRule="auto"/>
              <w:rPr>
                <w:rFonts w:eastAsia="Times New Roman" w:cs="Calibri"/>
                <w:noProof/>
                <w:szCs w:val="18"/>
              </w:rPr>
            </w:pPr>
            <w:r>
              <w:rPr>
                <w:noProof/>
              </w:rPr>
              <w:t>333</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A27287A" w14:textId="77777777" w:rsidR="00CB0FCB" w:rsidRDefault="009D2B11">
            <w:pPr>
              <w:spacing w:after="0" w:line="240" w:lineRule="auto"/>
              <w:rPr>
                <w:rFonts w:eastAsia="Times New Roman" w:cs="Calibri"/>
                <w:noProof/>
                <w:color w:val="006100"/>
                <w:sz w:val="18"/>
                <w:szCs w:val="18"/>
              </w:rPr>
            </w:pPr>
            <w:r>
              <w:rPr>
                <w:noProof/>
                <w:color w:val="006100"/>
                <w:sz w:val="18"/>
              </w:rPr>
              <w:t>5–2.1. Connect — 16844_</w:t>
            </w:r>
            <w:r>
              <w:rPr>
                <w:noProof/>
              </w:rPr>
              <w:t xml:space="preserve"> </w:t>
            </w:r>
            <w:r>
              <w:rPr>
                <w:noProof/>
                <w:color w:val="006100"/>
                <w:sz w:val="18"/>
              </w:rPr>
              <w:t>Pāreja uz 5G tehnoloģiju, veicinot inovatīvu attālināto pakalpojumu attīstību</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0B48AD4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tcBorders>
              <w:top w:val="single" w:sz="4" w:space="0" w:color="auto"/>
              <w:left w:val="single" w:sz="4" w:space="0" w:color="auto"/>
              <w:bottom w:val="single" w:sz="4" w:space="0" w:color="auto"/>
              <w:right w:val="single" w:sz="4" w:space="0" w:color="auto"/>
            </w:tcBorders>
            <w:shd w:val="clear" w:color="auto" w:fill="C6EFCE"/>
            <w:noWrap/>
          </w:tcPr>
          <w:p w14:paraId="7E2D7322" w14:textId="77777777" w:rsidR="00CB0FCB" w:rsidRDefault="009D2B11">
            <w:pPr>
              <w:pStyle w:val="P68B1DB1-Normal9"/>
              <w:spacing w:after="0" w:line="240" w:lineRule="auto"/>
              <w:rPr>
                <w:rFonts w:eastAsia="Times New Roman" w:cs="Calibri"/>
                <w:noProof/>
                <w:szCs w:val="18"/>
              </w:rPr>
            </w:pPr>
            <w:r>
              <w:rPr>
                <w:noProof/>
              </w:rPr>
              <w:t>Pārejas uz 5G tehnoloģiju reformu stāšanās spēkā</w:t>
            </w:r>
          </w:p>
        </w:tc>
        <w:tc>
          <w:tcPr>
            <w:tcW w:w="1440" w:type="dxa"/>
            <w:tcBorders>
              <w:top w:val="single" w:sz="4" w:space="0" w:color="auto"/>
              <w:left w:val="single" w:sz="4" w:space="0" w:color="auto"/>
              <w:bottom w:val="single" w:sz="4" w:space="0" w:color="auto"/>
              <w:right w:val="single" w:sz="4" w:space="0" w:color="auto"/>
            </w:tcBorders>
            <w:shd w:val="clear" w:color="auto" w:fill="C6EFCE"/>
            <w:noWrap/>
          </w:tcPr>
          <w:p w14:paraId="30A6CB79" w14:textId="77777777" w:rsidR="00CB0FCB" w:rsidRDefault="009D2B11">
            <w:pPr>
              <w:pStyle w:val="P68B1DB1-Normal9"/>
              <w:spacing w:after="0" w:line="240" w:lineRule="auto"/>
              <w:rPr>
                <w:rFonts w:eastAsia="Times New Roman" w:cs="Calibri"/>
                <w:noProof/>
                <w:szCs w:val="18"/>
              </w:rPr>
            </w:pPr>
            <w:r>
              <w:rPr>
                <w:noProof/>
              </w:rPr>
              <w:t>Tiesiskā regulējuma un tiesiskā regulējuma stāšanās spēkā</w:t>
            </w:r>
          </w:p>
        </w:tc>
        <w:tc>
          <w:tcPr>
            <w:tcW w:w="1800" w:type="dxa"/>
            <w:tcBorders>
              <w:top w:val="single" w:sz="4" w:space="0" w:color="auto"/>
              <w:left w:val="single" w:sz="4" w:space="0" w:color="auto"/>
              <w:bottom w:val="single" w:sz="4" w:space="0" w:color="auto"/>
              <w:right w:val="single" w:sz="4" w:space="0" w:color="auto"/>
            </w:tcBorders>
            <w:shd w:val="clear" w:color="auto" w:fill="C6EFCE"/>
            <w:noWrap/>
          </w:tcPr>
          <w:p w14:paraId="09D8BEFF"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C6EFCE"/>
            <w:noWrap/>
          </w:tcPr>
          <w:p w14:paraId="5B23EE8A" w14:textId="77777777" w:rsidR="00CB0FCB" w:rsidRDefault="00CB0FCB">
            <w:pPr>
              <w:spacing w:after="0" w:line="240" w:lineRule="auto"/>
              <w:rPr>
                <w:rFonts w:eastAsia="Times New Roman" w:cs="Calibri"/>
                <w:noProof/>
                <w:color w:val="006100"/>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0C82FCED"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C6EFCE"/>
            <w:noWrap/>
          </w:tcPr>
          <w:p w14:paraId="182DCCF1" w14:textId="77777777" w:rsidR="00CB0FCB" w:rsidRDefault="009D2B11">
            <w:pPr>
              <w:pStyle w:val="P68B1DB1-Normal9"/>
              <w:spacing w:after="0" w:line="240" w:lineRule="auto"/>
              <w:rPr>
                <w:rFonts w:eastAsia="Times New Roman" w:cs="Calibri"/>
                <w:noProof/>
                <w:szCs w:val="18"/>
              </w:rPr>
            </w:pPr>
            <w:r>
              <w:rPr>
                <w:noProof/>
              </w:rPr>
              <w:t>CET.</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301BFFE9" w14:textId="77777777" w:rsidR="00CB0FCB" w:rsidRDefault="009D2B11">
            <w:pPr>
              <w:pStyle w:val="P68B1DB1-Normal9"/>
              <w:spacing w:after="0" w:line="240" w:lineRule="auto"/>
              <w:rPr>
                <w:rFonts w:eastAsia="Times New Roman" w:cs="Calibri"/>
                <w:noProof/>
                <w:szCs w:val="18"/>
              </w:rPr>
            </w:pPr>
            <w:r>
              <w:rPr>
                <w:noProof/>
              </w:rPr>
              <w:t>2024</w:t>
            </w:r>
          </w:p>
        </w:tc>
        <w:tc>
          <w:tcPr>
            <w:tcW w:w="4291" w:type="dxa"/>
            <w:tcBorders>
              <w:top w:val="single" w:sz="4" w:space="0" w:color="auto"/>
              <w:left w:val="single" w:sz="4" w:space="0" w:color="auto"/>
              <w:bottom w:val="single" w:sz="4" w:space="0" w:color="auto"/>
              <w:right w:val="single" w:sz="4" w:space="0" w:color="auto"/>
            </w:tcBorders>
            <w:shd w:val="clear" w:color="auto" w:fill="C6EFCE"/>
            <w:noWrap/>
          </w:tcPr>
          <w:p w14:paraId="3D3556A0" w14:textId="77777777" w:rsidR="00CB0FCB" w:rsidRDefault="009D2B11">
            <w:pPr>
              <w:pStyle w:val="P68B1DB1-Normal9"/>
              <w:spacing w:after="0" w:line="240" w:lineRule="auto"/>
              <w:rPr>
                <w:rFonts w:eastAsia="Times New Roman" w:cs="Calibri"/>
                <w:noProof/>
                <w:szCs w:val="18"/>
              </w:rPr>
            </w:pPr>
            <w:r>
              <w:rPr>
                <w:noProof/>
              </w:rPr>
              <w:t>Stājas spēkā sekundārie tiesību akti, kuru pamatā ir tiesību akta grozījumi, kas publicēti Oficiālajā Vēstnesī Likumā Nr. 4727/2020, 92. un 107. pants (61., 62. un 63. punkts), kuros noteikts process 5G spektra piešķiršanai izmēģinājuma projektiem, izmantojot Phaistos fondu vai/un universitāšu struktūras, tostarp process turpmāku iespēju un risku apzināšanai 5G tīklu attīstībā, procedūru racionalizēšana un prasību un risku novērtēšana konkrētos ekonomiskos lietojumos.</w:t>
            </w:r>
          </w:p>
        </w:tc>
      </w:tr>
      <w:tr w:rsidR="00CB0FCB" w14:paraId="22282A31"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07CA47D6" w14:textId="77777777" w:rsidR="00CB0FCB" w:rsidRDefault="009D2B11">
            <w:pPr>
              <w:pStyle w:val="P68B1DB1-Normal9"/>
              <w:spacing w:after="0" w:line="240" w:lineRule="auto"/>
              <w:rPr>
                <w:rFonts w:eastAsia="Times New Roman" w:cs="Calibri"/>
                <w:noProof/>
                <w:szCs w:val="18"/>
              </w:rPr>
            </w:pPr>
            <w:r>
              <w:rPr>
                <w:noProof/>
              </w:rPr>
              <w:t>334</w:t>
            </w:r>
          </w:p>
        </w:tc>
        <w:tc>
          <w:tcPr>
            <w:tcW w:w="1276" w:type="dxa"/>
            <w:tcBorders>
              <w:top w:val="single" w:sz="4" w:space="0" w:color="auto"/>
              <w:left w:val="nil"/>
              <w:bottom w:val="single" w:sz="4" w:space="0" w:color="auto"/>
              <w:right w:val="single" w:sz="4" w:space="0" w:color="auto"/>
            </w:tcBorders>
            <w:shd w:val="clear" w:color="auto" w:fill="C6EFCE"/>
            <w:noWrap/>
          </w:tcPr>
          <w:p w14:paraId="7632A366" w14:textId="77777777" w:rsidR="00CB0FCB" w:rsidRDefault="009D2B11">
            <w:pPr>
              <w:pStyle w:val="P68B1DB1-Normal9"/>
              <w:spacing w:after="0" w:line="240" w:lineRule="auto"/>
              <w:rPr>
                <w:rFonts w:eastAsia="Times New Roman" w:cs="Calibri"/>
                <w:noProof/>
                <w:szCs w:val="18"/>
              </w:rPr>
            </w:pPr>
            <w:r>
              <w:rPr>
                <w:noProof/>
              </w:rPr>
              <w:t>16857_Pāreja uz gigabitu platjoslas savienojumiem — pāreja uz gigabitu platjoslas savienojumiem un gigabitu platjoslas pieprasījuma stiprināšana</w:t>
            </w:r>
          </w:p>
        </w:tc>
        <w:tc>
          <w:tcPr>
            <w:tcW w:w="992" w:type="dxa"/>
            <w:tcBorders>
              <w:top w:val="single" w:sz="4" w:space="0" w:color="auto"/>
              <w:left w:val="nil"/>
              <w:bottom w:val="single" w:sz="4" w:space="0" w:color="auto"/>
              <w:right w:val="single" w:sz="4" w:space="0" w:color="auto"/>
            </w:tcBorders>
            <w:shd w:val="clear" w:color="auto" w:fill="C6EFCE"/>
            <w:noWrap/>
          </w:tcPr>
          <w:p w14:paraId="0FB364E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3" w:type="dxa"/>
            <w:tcBorders>
              <w:top w:val="single" w:sz="4" w:space="0" w:color="auto"/>
              <w:left w:val="nil"/>
              <w:bottom w:val="single" w:sz="4" w:space="0" w:color="auto"/>
              <w:right w:val="single" w:sz="4" w:space="0" w:color="auto"/>
            </w:tcBorders>
            <w:shd w:val="clear" w:color="auto" w:fill="C6EFCE"/>
            <w:noWrap/>
          </w:tcPr>
          <w:p w14:paraId="70330500" w14:textId="77777777" w:rsidR="00CB0FCB" w:rsidRDefault="009D2B11">
            <w:pPr>
              <w:pStyle w:val="P68B1DB1-Normal9"/>
              <w:spacing w:after="0" w:line="240" w:lineRule="auto"/>
              <w:rPr>
                <w:rFonts w:eastAsia="Times New Roman" w:cs="Calibri"/>
                <w:noProof/>
                <w:szCs w:val="18"/>
              </w:rPr>
            </w:pPr>
            <w:r>
              <w:rPr>
                <w:noProof/>
              </w:rPr>
              <w:t>Reformas “Pāreja uz gigabitu platjoslas savienojumiem” stāšanās spēkā</w:t>
            </w:r>
          </w:p>
        </w:tc>
        <w:tc>
          <w:tcPr>
            <w:tcW w:w="1440" w:type="dxa"/>
            <w:tcBorders>
              <w:top w:val="single" w:sz="4" w:space="0" w:color="auto"/>
              <w:left w:val="nil"/>
              <w:bottom w:val="single" w:sz="4" w:space="0" w:color="auto"/>
              <w:right w:val="single" w:sz="4" w:space="0" w:color="auto"/>
            </w:tcBorders>
            <w:shd w:val="clear" w:color="auto" w:fill="C6EFCE"/>
            <w:noWrap/>
          </w:tcPr>
          <w:p w14:paraId="7053C057" w14:textId="77777777" w:rsidR="00CB0FCB" w:rsidRDefault="009D2B11">
            <w:pPr>
              <w:pStyle w:val="P68B1DB1-Normal9"/>
              <w:spacing w:after="0" w:line="240" w:lineRule="auto"/>
              <w:rPr>
                <w:rFonts w:eastAsia="Times New Roman" w:cs="Calibri"/>
                <w:noProof/>
                <w:szCs w:val="18"/>
              </w:rPr>
            </w:pPr>
            <w:r>
              <w:rPr>
                <w:noProof/>
              </w:rPr>
              <w:t>Tiesiskā regulējuma stāšanās spēkā</w:t>
            </w:r>
          </w:p>
        </w:tc>
        <w:tc>
          <w:tcPr>
            <w:tcW w:w="1800" w:type="dxa"/>
            <w:tcBorders>
              <w:top w:val="single" w:sz="4" w:space="0" w:color="auto"/>
              <w:left w:val="nil"/>
              <w:bottom w:val="single" w:sz="4" w:space="0" w:color="auto"/>
              <w:right w:val="single" w:sz="4" w:space="0" w:color="auto"/>
            </w:tcBorders>
            <w:shd w:val="clear" w:color="auto" w:fill="C6EFCE"/>
            <w:noWrap/>
          </w:tcPr>
          <w:p w14:paraId="5806C6CF"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1705E11F" w14:textId="77777777" w:rsidR="00CB0FCB" w:rsidRDefault="00CB0FCB">
            <w:pPr>
              <w:spacing w:after="0" w:line="240" w:lineRule="auto"/>
              <w:rPr>
                <w:rFonts w:eastAsia="Times New Roman" w:cs="Calibri"/>
                <w:noProof/>
                <w:color w:val="006100"/>
                <w:sz w:val="18"/>
                <w:szCs w:val="18"/>
              </w:rPr>
            </w:pPr>
          </w:p>
        </w:tc>
        <w:tc>
          <w:tcPr>
            <w:tcW w:w="840" w:type="dxa"/>
            <w:tcBorders>
              <w:top w:val="single" w:sz="4" w:space="0" w:color="auto"/>
              <w:left w:val="nil"/>
              <w:bottom w:val="single" w:sz="4" w:space="0" w:color="auto"/>
              <w:right w:val="single" w:sz="4" w:space="0" w:color="auto"/>
            </w:tcBorders>
            <w:shd w:val="clear" w:color="auto" w:fill="C6EFCE"/>
            <w:noWrap/>
          </w:tcPr>
          <w:p w14:paraId="579A27A5"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4FEFC66C"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tcBorders>
              <w:top w:val="single" w:sz="4" w:space="0" w:color="auto"/>
              <w:left w:val="nil"/>
              <w:bottom w:val="single" w:sz="4" w:space="0" w:color="auto"/>
              <w:right w:val="single" w:sz="4" w:space="0" w:color="auto"/>
            </w:tcBorders>
            <w:shd w:val="clear" w:color="auto" w:fill="C6EFCE"/>
            <w:noWrap/>
          </w:tcPr>
          <w:p w14:paraId="3C9C0323" w14:textId="77777777" w:rsidR="00CB0FCB" w:rsidRDefault="009D2B11">
            <w:pPr>
              <w:pStyle w:val="P68B1DB1-Normal9"/>
              <w:spacing w:after="0" w:line="240" w:lineRule="auto"/>
              <w:rPr>
                <w:rFonts w:eastAsia="Times New Roman" w:cs="Calibri"/>
                <w:noProof/>
                <w:szCs w:val="18"/>
              </w:rPr>
            </w:pPr>
            <w:r>
              <w:rPr>
                <w:noProof/>
              </w:rPr>
              <w:t>2024</w:t>
            </w:r>
          </w:p>
        </w:tc>
        <w:tc>
          <w:tcPr>
            <w:tcW w:w="4291" w:type="dxa"/>
            <w:tcBorders>
              <w:top w:val="single" w:sz="4" w:space="0" w:color="auto"/>
              <w:left w:val="nil"/>
              <w:bottom w:val="single" w:sz="4" w:space="0" w:color="auto"/>
              <w:right w:val="single" w:sz="4" w:space="0" w:color="auto"/>
            </w:tcBorders>
            <w:shd w:val="clear" w:color="auto" w:fill="C6EFCE"/>
            <w:noWrap/>
          </w:tcPr>
          <w:p w14:paraId="483130C1" w14:textId="77777777" w:rsidR="00CB0FCB" w:rsidRDefault="009D2B11">
            <w:pPr>
              <w:pStyle w:val="P68B1DB1-xmsonormal21"/>
              <w:rPr>
                <w:rFonts w:eastAsia="Times New Roman" w:cs="Calibri"/>
                <w:noProof/>
                <w:szCs w:val="18"/>
              </w:rPr>
            </w:pPr>
            <w:r>
              <w:rPr>
                <w:noProof/>
              </w:rPr>
              <w:t xml:space="preserve">Stājas spēkā tiesiskais regulējums, ar ko nosaka tehniskās specifikācijas un attiecīgos noteikumus un procedūras tādas ēkas iekšējās platjoslas infrastruktūras izvēršanai, kas spēj nodrošināt gigabitu savienojamību galalietotājiem. </w:t>
            </w:r>
          </w:p>
        </w:tc>
      </w:tr>
    </w:tbl>
    <w:p w14:paraId="1CCB4232" w14:textId="77777777" w:rsidR="00CB0FCB" w:rsidRDefault="00CB0FCB">
      <w:pPr>
        <w:spacing w:before="120" w:after="120" w:line="240" w:lineRule="auto"/>
        <w:ind w:left="709"/>
        <w:jc w:val="both"/>
        <w:rPr>
          <w:rFonts w:ascii="Times New Roman" w:hAnsi="Times New Roman" w:cs="Times New Roman"/>
          <w:noProof/>
          <w:sz w:val="24"/>
          <w:szCs w:val="24"/>
        </w:rPr>
        <w:sectPr w:rsidR="00CB0FCB" w:rsidSect="00271D33">
          <w:headerReference w:type="even" r:id="rId103"/>
          <w:headerReference w:type="default" r:id="rId104"/>
          <w:footerReference w:type="even" r:id="rId105"/>
          <w:footerReference w:type="default" r:id="rId106"/>
          <w:headerReference w:type="first" r:id="rId107"/>
          <w:footerReference w:type="first" r:id="rId108"/>
          <w:pgSz w:w="16839" w:h="11907" w:orient="landscape"/>
          <w:pgMar w:top="1417" w:right="1134" w:bottom="1417" w:left="1134" w:header="709" w:footer="359" w:gutter="0"/>
          <w:cols w:space="720"/>
          <w:docGrid w:linePitch="360"/>
        </w:sectPr>
      </w:pPr>
    </w:p>
    <w:p w14:paraId="3CB741AB" w14:textId="77777777" w:rsidR="00CB0FCB" w:rsidRDefault="009D2B11">
      <w:pPr>
        <w:pStyle w:val="P68B1DB1-Normal2"/>
        <w:spacing w:before="120" w:after="120" w:line="240" w:lineRule="auto"/>
        <w:ind w:firstLine="6"/>
        <w:jc w:val="both"/>
        <w:outlineLvl w:val="3"/>
        <w:rPr>
          <w:rFonts w:cs="Times New Roman"/>
          <w:bCs/>
          <w:noProof/>
        </w:rPr>
      </w:pPr>
      <w:r>
        <w:rPr>
          <w:noProof/>
        </w:rPr>
        <w:t>F. 2.2. KOMPONENTS: MODERNIZĒT</w:t>
      </w:r>
    </w:p>
    <w:p w14:paraId="5D5F1E3A" w14:textId="77777777" w:rsidR="00CB0FCB" w:rsidRDefault="009D2B11">
      <w:pPr>
        <w:pStyle w:val="P68B1DB1-Normal4"/>
        <w:spacing w:before="120" w:after="120" w:line="240" w:lineRule="auto"/>
        <w:jc w:val="both"/>
        <w:rPr>
          <w:rFonts w:cs="Times New Roman"/>
          <w:noProof/>
        </w:rPr>
      </w:pPr>
      <w:r>
        <w:rPr>
          <w:noProof/>
          <w:color w:val="000000"/>
        </w:rPr>
        <w:t>Grieķijas atveseļošanas un noturības plāna</w:t>
      </w:r>
      <w:r>
        <w:rPr>
          <w:noProof/>
        </w:rPr>
        <w:t xml:space="preserve"> komponenta “Modernizācija” mērķis ir modernizēt valsts pārvaldi, uzlabojot tās darbības modeli un panākot augstas kvalitātes pakalpojumu sniegšanu iedzīvotājiem un uzņēmumiem. Paātrināti centieni uzlabot valsts pārvaldes digitālo sniegumu darbojas kā katalizators šā mērķa sasniegšanai. Reformu un investīciju mērķis: a) publiskā sektora organizāciju digitālā pārveide, tostarp arhīvu digitalizācija un uzlaboti digitālie pakalpojumi; b) darbības procesa uzlabojumi, kam seko modernu IT sistēmu iekļaušana; uzlabota sistēmu un datu sadarbspēja; d) plaša mēroga kiberdrošības un datu pārvaldības stratēģijas un rīcībpolitikas; kā arī e) progresīvo tehnoloģiju, piemēram, mākoņdatošanas, mākslīgā intelekta un lielo datu, plašāku izmantošanu.</w:t>
      </w:r>
    </w:p>
    <w:p w14:paraId="2517807F" w14:textId="77777777" w:rsidR="00CB0FCB" w:rsidRDefault="009D2B11">
      <w:pPr>
        <w:pStyle w:val="P68B1DB1-Normal4"/>
        <w:spacing w:before="120" w:after="120" w:line="240" w:lineRule="auto"/>
        <w:jc w:val="both"/>
        <w:rPr>
          <w:rFonts w:cs="Times New Roman"/>
          <w:noProof/>
        </w:rPr>
      </w:pPr>
      <w:r>
        <w:rPr>
          <w:noProof/>
        </w:rPr>
        <w:t>Komponenta mērķis ir risināt valsts pārvaldes modernizācijas un digitalizācijas problēmu, vienlaikus racionalizējot un vienkāršojot tās galvenos procesus un procedūras. Tā atbalsta konkrētai valstij adresēto ieteikumu par publiskajām un privātajām investīcijām (2020. gada konkrētai valstij adresētais ieteikums Nr. 3 un 2019. gada 2. ieteikums) īstenošanu, uzlabojot valsts pārvaldes efektivitāti un digitalizāciju.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11A9516B" w14:textId="77777777" w:rsidR="00CB0FCB" w:rsidRDefault="009D2B11">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F.1. </w:t>
      </w:r>
      <w:r>
        <w:rPr>
          <w:noProof/>
        </w:rPr>
        <w:t xml:space="preserve"> </w:t>
      </w:r>
      <w:r>
        <w:rPr>
          <w:rFonts w:ascii="Times New Roman" w:hAnsi="Times New Roman"/>
          <w:b/>
          <w:noProof/>
          <w:sz w:val="24"/>
          <w:u w:val="single"/>
        </w:rPr>
        <w:t>Reformu un investīciju apraksts neatmaksājamam finansiālajam atbalstam</w:t>
      </w:r>
    </w:p>
    <w:p w14:paraId="27A54213"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Uz valsts pārvaldes “klientu” orientētiem pakalpojumiem, vienkāršojot un uzlabojot procesus, uzlabojot sistēmas un nodrošinot atbilstību Eiropas stratēģijām un politikai (pasākums ID 16929)</w:t>
      </w:r>
    </w:p>
    <w:p w14:paraId="09E4A254" w14:textId="4BD12948" w:rsidR="00CB0FCB" w:rsidRDefault="009D2B11">
      <w:pPr>
        <w:pStyle w:val="P68B1DB1-Normal4"/>
        <w:spacing w:before="120" w:after="120" w:line="240" w:lineRule="auto"/>
        <w:jc w:val="both"/>
        <w:rPr>
          <w:rFonts w:cs="Times New Roman"/>
          <w:noProof/>
        </w:rPr>
      </w:pPr>
      <w:r>
        <w:rPr>
          <w:noProof/>
        </w:rPr>
        <w:t>Reformas mērķis ir sniegt uz lietotājiem orientētus pakalpojumus Grieķijas pilsoņiem un uzņēmumiem un uzlabot Grieķijas valsts pārvaldes iekšējo darbību. Reforma ietver vidēja termiņa stratēģijas īstenošanu administratīvā sloga samazināšanai un uz klientiem orientētu pakalpojumu izveidei valsts pārvaldē, kā arī valsts procesa vienkāršošanas programmas īstenošanu, tostarp valsts procedūru reģistra izveidi un regulējuma ietekmes uzraudzības observatorijas un Valsts procedūru reģistra (“Mitos”) izveidi. Reforma ietver vienkāršošanas/digitalizācijas pabeigšanu attiecībā uz: ietekmes novērtēšanas procesi, pilsonības pieteikums, individuālo uzņēmumu darbības uzsākšana, procedūru vienkāršošana saistībā ar iedzīvotāju “dzīves notikumiem”, tostarp dzimšanu, aiziešanu mūžībā un laulības šķiršanu, ar juristiem saistīto tiesvedības procedūru vienkāršošana, tiesu nolēmumi, digitālie paraksti, tiesu izdoti sertifikāti, autovadītāja apliecības atjaunošana un mifoto.gov.gr izmantošana, dokumentu elektroniska aprite valsts pārvaldē un publiskā iepirkuma procesi. Reforma ietver arī: pašvaldību tiesiskā regulējuma vienkāršošana, stājoties spēkā Vienotā vietējās administrācijas kodeksa nodaļām par organizatorisko jautājumu regulēšanu un finanšu darbības un pārvaldības sistēmas regulēšanu, un b) birokrātijas novērošanas centra kontekstā, administratīvā sloga mērīšanas metodikas un procedūru standartizācija, birokrātijas mērījumu indeksa (BMI) izstrāde un izstrāde, regulatīvās ietekmes analīzes atbalsta mehānisma izstrāde un izstrāde un administratīvā sloga mērījumu publicēšana, izmantojot standarta izmaksu modeli. Reformas īstenošanu pabeidz līdz 2025. gada 31. decembrim.</w:t>
      </w:r>
    </w:p>
    <w:p w14:paraId="233438AC"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Arhīvu un saistīto pakalpojumu digitalizācija (pasākums ID 16778)</w:t>
      </w:r>
    </w:p>
    <w:p w14:paraId="0ACF9941" w14:textId="481C417F" w:rsidR="00CB0FCB" w:rsidRDefault="009D2B11">
      <w:pPr>
        <w:pStyle w:val="P68B1DB1-Normal4"/>
        <w:spacing w:before="120" w:after="120" w:line="240" w:lineRule="auto"/>
        <w:jc w:val="both"/>
        <w:rPr>
          <w:noProof/>
        </w:rPr>
      </w:pPr>
      <w:r>
        <w:rPr>
          <w:noProof/>
        </w:rPr>
        <w:t xml:space="preserve">Investīcija ietver galveno arhīvu digitalizāciju dažādās nozarēs (tiesiskums, veselība, valsts vispārējie arhīvi, pilsētplānošana, ekspropriācijas, kadastrs, imigrācija un patvērums, jūrlietas) un integrāciju attiecīgajās IT sistēmās, kā arī publiskā sektora un “plašāku” publiskā sektora arhīvu drošas glabāšanas izmēģinājuma īstenošanu (kopā deviņi apakšprojekti). </w:t>
      </w:r>
    </w:p>
    <w:p w14:paraId="256EF541" w14:textId="1641754D" w:rsidR="00CB0FCB" w:rsidRDefault="009D2B11">
      <w:pPr>
        <w:pStyle w:val="P68B1DB1-Normal4"/>
        <w:spacing w:before="120" w:after="120" w:line="240" w:lineRule="auto"/>
        <w:jc w:val="both"/>
        <w:rPr>
          <w:rFonts w:cs="Times New Roman"/>
          <w:noProof/>
        </w:rPr>
      </w:pPr>
      <w:r>
        <w:rPr>
          <w:noProof/>
        </w:rPr>
        <w:t>Konkrēti, minētie apakšprojekti ietver 1260800000 lappušu digitalizācijas īstenošanu un citas nepieciešamās darbības saistībā ar šādiem arhīviem: 1) tiesu sistēma, 2) medicīniskās kartes un sabiedrības veselības sistēmas attēldiagnostikas, 3) valsts vispārējie arhīvi centrālajām un vietējām aģentūrām, 4) imigrācijas un patvēruma sistēma, 5) ekspropriāciju plāni, 6) būvniecības atļaujas un plāni, kā arī metadatu un ģeokodēšanas izveide pilsētplānošanas aģentūrām, 7a) īpašuma tiesības un attiecīgie dokumenti kadastra hipotēku birojos un 7b) kadastra uzlaboto pakalpojumu īstenošana, 8) jūrlietas. Apakšprojekts attiecas uz tādu 1440000 datņu drošas glabāšanas izmēģinājuma īstenošanu, kurās ir fiziskas datnes citos publiskā sektora arhīvos. Šā ieguldījuma mērķis ir samazināt laika izmaksas, kas rodas, valsts pārvaldei sniedzot pakalpojumus sabiedrībai, savukārt labākas piekļuves arhīviem mērķis ir arī ievērojami ietaupīt izmaksas un atbrīvot resursus. Investīciju īstenošanu pabeidz līdz 2025. gada 31. decembrim.</w:t>
      </w:r>
    </w:p>
    <w:p w14:paraId="2CC37F21"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KRM Vispārējai valdībai (pasākums ID 16810)</w:t>
      </w:r>
    </w:p>
    <w:p w14:paraId="62F0D786" w14:textId="1487E19C" w:rsidR="00CB0FCB" w:rsidRDefault="009D2B11">
      <w:pPr>
        <w:pStyle w:val="P68B1DB1-Normal4"/>
        <w:spacing w:before="120" w:after="120" w:line="240" w:lineRule="auto"/>
        <w:jc w:val="both"/>
        <w:rPr>
          <w:rFonts w:cs="Times New Roman"/>
          <w:noProof/>
        </w:rPr>
      </w:pPr>
      <w:r>
        <w:rPr>
          <w:noProof/>
        </w:rPr>
        <w:t>Investīcija attiecas uz integrētas sistēmas izstrādi, izstrādi, īstenošanu un darbību (no tehniskā viedokļa) publiskās pārvaldes attiecību ar iedzīvotājiem un uzņēmumiem pilna dzīves cikla pārvaldībai. Projekts uzlabo valsts pārvaldes pašreizējo spēju uzraudzīt tās mijiedarbību un darījumus ar iedzīvotājiem un uzņēmumiem. Sistēma izmanto iedzīvotāju un uzņēmumu savākto informāciju, lai personalizētu pieeju un veicinātu augstāku pakalpojumu līmeni. Investīcija ietver a) integrācijas un sadarbspējas pakalpojumus, pieņemot modernas programmatūras projektēšanas un izstrādes metodikas, b) pakalpojumu atbalsta mehānismu, kas ir rīkkopa jaunu lietojumprogrammu izstrādei, kuru pamatā ir zema koda tehnoloģija, c) klientu attiecību pārvaldības (CRM) platformu, kas vāc un pārvalda visus apkalpoto iedzīvotāju datus un koordinē uzņēmējdarbības procesu izpildi neatkarīgi no iniciējošā pakalpojuma, d) pilsoņu konsensa pārvaldības sistēmu piekļuvei elektroniskajiem pakalpojumiem, e) kontaktcentru pakalpojumus, kurā iedzīvotāju un uzņēmumu pakalpojumi tiek sniegti, izmantojot tradicionālos kanālus, piemēram, zvanu centrus, kā arī modernus kanālus, piemēram, tīmekļa veidlapas, sociālos plašsaziņas līdzekļus, ziņojumapmaiņas lietotnes, Telekonferences lietotni, f) ZAP digitālās platformas modernizāciju un tās savienojumu ar vienotu iedzīvotāju lietu pārvaldības sistēmu, zvanu centru un g) g) ar “klientu” fizisku klātbūtni saistīto procesu un pakalpojumu vienkāršošanu un uzlabošanu, paplašinot esošo MyKEPlive infrastruktūru un integrējot to ar sistēmu fiziskās klātbūtnes apmeklējumu plānošanai, integrētas sistēmas ieviešana elektroniskai saziņai starp publiskā sektora un Grieķijas iedzīvotāju sistēmām un dienestiem (Gov. gr — kurjers). Investīciju īstenošanu pabeidz līdz 2025. gada 30. jūnijam.</w:t>
      </w:r>
    </w:p>
    <w:p w14:paraId="4C8914E8"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Valsts pārvaldes vienas pieturas aģentūru turpmāka modernizācija (pasākums ID 16780)</w:t>
      </w:r>
    </w:p>
    <w:p w14:paraId="2D17275E" w14:textId="3F542254" w:rsidR="00CB0FCB" w:rsidRDefault="009D2B11">
      <w:pPr>
        <w:pStyle w:val="P68B1DB1-Normal5"/>
        <w:spacing w:before="120" w:after="120" w:line="240" w:lineRule="auto"/>
        <w:jc w:val="both"/>
        <w:rPr>
          <w:rFonts w:cs="Times New Roman"/>
          <w:noProof/>
        </w:rPr>
      </w:pPr>
      <w:r>
        <w:rPr>
          <w:noProof/>
        </w:rPr>
        <w:t>Investīcija ietver pilsoņu pakalpojumu centru (KEP) turpmāku modernizāciju, izmantojot mobilo lietotni un biļešu automātus. Investīcija ietver: tehnoloģiskā aprīkojuma modernizācija, b) moderna rindu pārvaldība un viedās paziņošanas sistēmas, c) klientu (iedzīvotāju) novērtēšanas sistēmas. Investīciju īstenošanu pabeidz līdz 2024. gada 31. decembrim.</w:t>
      </w:r>
    </w:p>
    <w:p w14:paraId="467E16AE" w14:textId="5936F9BA" w:rsidR="00CB0FCB" w:rsidRDefault="009D2B11">
      <w:pPr>
        <w:pStyle w:val="P68B1DB1-Normal4"/>
        <w:spacing w:before="120" w:after="120" w:line="240" w:lineRule="auto"/>
        <w:jc w:val="both"/>
        <w:rPr>
          <w:rFonts w:cs="Times New Roman"/>
          <w:noProof/>
        </w:rPr>
      </w:pPr>
      <w:r>
        <w:rPr>
          <w:b/>
          <w:noProof/>
        </w:rPr>
        <w:t>Ieguldījums:</w:t>
      </w:r>
      <w:r>
        <w:rPr>
          <w:noProof/>
        </w:rPr>
        <w:t xml:space="preserve"> Jauna publiskā iepirkuma sistēma (pasākums ID 16736)</w:t>
      </w:r>
    </w:p>
    <w:p w14:paraId="6E38F204" w14:textId="6F6B43C4" w:rsidR="00CB0FCB" w:rsidRDefault="009D2B11">
      <w:pPr>
        <w:pStyle w:val="P68B1DB1-Normal5"/>
        <w:spacing w:before="120" w:after="120" w:line="240" w:lineRule="auto"/>
        <w:jc w:val="both"/>
        <w:rPr>
          <w:rFonts w:cs="Times New Roman"/>
          <w:noProof/>
        </w:rPr>
      </w:pPr>
      <w:r>
        <w:rPr>
          <w:noProof/>
        </w:rPr>
        <w:t>Investīcija attiecas uz jaunas publiskā iepirkuma IT sistēmas pārstrādāšanu un ieviešanu. Investīcija ietver: portāla www.eprocurement.gov.gr pārveide un pilnveidošana; plaši papildinājumi un pielāgojumi apakšsistēmām, ko izmanto konkursos; centrālā publiskā iepirkuma elektroniskā reģistra (KIMDIS) reforma, pārgrupēšana un papildināšana, statistikas datu ieguves sistēmu modernizācija un paplašināšana un to turpmāka statistiskā apstrāde; elektroniskās publiskā iepirkuma sistēmas (ESIDIS) paplašinājumu konfigurācija un īstenošana, lai ar elektroniskiem līdzekļiem atbalstītu jaunas stratēģijas un uzņēmējdarbības procesus publiskā iepirkuma jomā; jau ieviesto sadarbspējas pakalpojumu uzlabošana un jaunu datu apmaiņas pakalpojumu ieviešana;  F) elektroniskās sadarbspējas pakalpojumi ar gov.gr, CA, banku organizācijām, lai integrētu elektronisko dokumentu un citu datu digitālā paraksta iespējas, izmantojot sistēmu, un nodrošinātu “nenoraidīšanu”; g) sistēmas datubāzēs glabāta datu šifrēšanas mehānisma izveide, lai novērstu ESIDIS un G mākoņdatošanas administratoru ļaunprātīgu rīcību;  jauns drošības pētījums un sistēmas papildinājumi un vai izmaiņas sistēmā, lai palielinātu tās drošību, sertifikāciju un iejaukšanos sistēmas drošības uzlabošanai, lai to sertificētu, veicot neatkarīgu drošības novērtējumu; I) uzlabot un atjaunot iepirkuma plānošanas sistēmu plašākam atbalstam publiskajam iepirkumam un centralizētajām iepirkuma procedūrām, izmantojot elektroniskos katalogus; J) uzņēmēju atbalsta pieteikumu pievienošana: piedāvājumu meklēšanas pieteikumu bagātināšana, vēsturiskie un statistikas dati par to iesaistīšanos iepirkuma procesos, piegādātāju un līgumslēdzēju iestāžu informācijas un komunikācijas apakšsistēmu bagātināšana, biļešu pārdošanas sistēma jautājumu uzdošanai un jautājumu risināšanas vai palīdzības dienesta rīks; virtuālo palīgu iespēju pievienošana, lai ikviens, kurš interesējas, varētu uzdot jautājumus dabiskā valodā; L) pievienot elektronisku datņu arhivēšanas sistēmu (ESIDIS — KIMDIS), kas atbilst elektronisko datņu tiesiskā regulējuma noteikumiem; m) mācību materiālu un publicitātes pasākumu izstrāde; N) tehniskā atbalsta un projektu uzraudzības pakalpojumi; o) pētījums, kurā izvērtētas esošo e-iepirkuma rīku iespējas un efektivitāte, kā arī atlasīti vai modernizēti vai aizstāti ar jauniem un efektīvākiem; ēku informācijas modelēšana (BIM); Q) IKT atbalsts Valsts centralizētā veselības iepirkuma iestādei (EKAPY). Investīciju īstenošanu pabeidz līdz 2025. gada 31. decembrim.</w:t>
      </w:r>
    </w:p>
    <w:p w14:paraId="19A9775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Ārlietu ministrijas digitālā pārveide (pasākums ID 16742)</w:t>
      </w:r>
    </w:p>
    <w:p w14:paraId="09C7A099" w14:textId="5CCEEA09" w:rsidR="00CB0FCB" w:rsidRDefault="009D2B11">
      <w:pPr>
        <w:pStyle w:val="P68B1DB1-Normal4"/>
        <w:spacing w:before="120" w:after="120" w:line="240" w:lineRule="auto"/>
        <w:jc w:val="both"/>
        <w:rPr>
          <w:rFonts w:cs="Times New Roman"/>
          <w:noProof/>
        </w:rPr>
      </w:pPr>
      <w:r>
        <w:rPr>
          <w:noProof/>
        </w:rPr>
        <w:t>Investīcijas mērķis ir modernizēt Ārlietu ministriju, paplašinot tās darbību un IT infrastruktūru digitalizāciju. Ieguldījums sastāv no: a) MFP procesu standartizāciju, kas nodrošina stratēģiskās un operatīvās plānošanas (SOP) dzīvotspēju un līdz ar to tās panākumus; b) palīdzēt plašāk popularizēt MFP darba tvērumu un pēc iespējas labāk izmantot tās resursus, saskaņojot tos ar izvirzītajiem mērķiem, c) pēc iespējas ātrāk nodrošināt tiešu piekļuvi informācijai, iekļaujot semantisku meklēšanas atbalstu, kura pamatā ir mūsdienīgi mākslīgā intelekta rīki; izveidot pieejamu un svarīgu arhīvu datubāzi un informācijas centru efektīviem administratīvajiem pienākumiem un aptvert MFP prasības, lai tā varētu efektīvāk īstenot publisko un ekonomisko diplomātiju, e) modernizēt Ārlietu ministrijas kriptogrāfijas IT un telesakaru drošības infrastruktūru tās digitālās pārveides ietvaros. Investīciju īstenošanu pabeidz līdz 2025. gada 30. jūnijam.</w:t>
      </w:r>
    </w:p>
    <w:p w14:paraId="7F5EFD94" w14:textId="6C4E0FF8" w:rsidR="00CB0FCB" w:rsidRDefault="009D2B11">
      <w:pPr>
        <w:pStyle w:val="P68B1DB1-Normal4"/>
        <w:spacing w:before="120" w:after="120" w:line="240" w:lineRule="auto"/>
        <w:jc w:val="both"/>
        <w:rPr>
          <w:rFonts w:cs="Times New Roman"/>
          <w:noProof/>
        </w:rPr>
      </w:pPr>
      <w:r>
        <w:rPr>
          <w:b/>
          <w:noProof/>
        </w:rPr>
        <w:t>Ieguldījums:</w:t>
      </w:r>
      <w:r>
        <w:rPr>
          <w:noProof/>
        </w:rPr>
        <w:t xml:space="preserve"> Iesaukto digitālo prasmju uzlabošanas programmas (pasākums ID 16826)</w:t>
      </w:r>
    </w:p>
    <w:p w14:paraId="7A331684" w14:textId="77777777" w:rsidR="00CB0FCB" w:rsidRDefault="009D2B11">
      <w:pPr>
        <w:pStyle w:val="P68B1DB1-Normal4"/>
        <w:spacing w:before="120" w:after="120" w:line="240" w:lineRule="auto"/>
        <w:jc w:val="both"/>
        <w:rPr>
          <w:rFonts w:cs="Times New Roman"/>
          <w:noProof/>
        </w:rPr>
      </w:pPr>
      <w:r>
        <w:rPr>
          <w:noProof/>
        </w:rPr>
        <w:t xml:space="preserve">Investīcija integrē apmācības programmu un digitālo prasmju sertifikāciju obligātajā militārajā dienestā. Mērķis ir izmantot darbā pavadīto laiku, lai nodrošinātu digitālās prasmes, kas vajadzīgas mūsdienu bruņotajos spēkos un darba tirgū. Šo investīciju īsteno, modernizējot un paplašinot Digitālās pilsoņu akadēmijas platformu, un tā ietver: a) personalizēta iesaukto personu piekļuve apmācības portālam, kurā ir spēcīgi kiberdrošības mehānismi un kiberuzbrukumu novēršana, kā arī uzlabota personas datu aizsardzības arhitektūra, b) iesaucamā elektroniskā portfeļa (e-portfeļa) konfigurācija, kurā atspoguļo viņa izglītības profilu kopā ar viņa esošajām kvalifikācijām, c) digitālo prasmju apmācības programmu izstrāde un konfigurācija, d) pašnovērtējuma rīka izstrāde un izmantošana e) 50000 planšetdatoru, kas jāapgūst un jāpiegādā iesauktajiem tālmācības programmu apmeklēšanas laikā, e) apmācības procesā iegūto digitālo prasmju sertifikācija, kuras pamatā ir Eiropas un valstu digitālo prasmju satvars. Investīciju īstenošanu pabeidz līdz 2025. gada 30. jūnijam. </w:t>
      </w:r>
    </w:p>
    <w:p w14:paraId="14F3BA9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Grieķijas Valsts tūrisma organizācijas digitālā pārveide (pasākums ID 16791)</w:t>
      </w:r>
    </w:p>
    <w:p w14:paraId="654B1231" w14:textId="77777777" w:rsidR="00CB0FCB" w:rsidRDefault="009D2B11">
      <w:pPr>
        <w:pStyle w:val="P68B1DB1-Normal4"/>
        <w:spacing w:before="120" w:after="120" w:line="240" w:lineRule="auto"/>
        <w:jc w:val="both"/>
        <w:rPr>
          <w:rFonts w:cs="Times New Roman"/>
          <w:noProof/>
        </w:rPr>
      </w:pPr>
      <w:r>
        <w:rPr>
          <w:noProof/>
        </w:rPr>
        <w:t>Investīcijas ietver Grieķijas Valsts tūrisma organizācijas digitālo spēju attīstīšanu, proti, digitālo tūrisma karti, Grieķijas kultūras vērtību digitālo repozitoriju un inovatīvu sistēmu, kas tūristiem un iedzīvotājiem sniedz informāciju, izmantojot otrās paaudzes mākslīgā intelekta tehnoloģiju. Investīcija ietver a) tādas platformas (digitālās tūrisma kartes) izstrādi, kurā apmeklētājs var saņemt informāciju par pilsētas vai salas tūrisma produkta īpašajām iezīmēm, lai potenciālais apmeklētājs, izmantojot šo platformu, saņemtu nozīmīgu informācijas avotu saistībā ar pieredzi un interesēm, kurām viņš dod priekšroku, b) tādu popularizēšanas rīku izveidi kā digitālās lietotnes, tīmekļa vietnes un reklāmas pasākumi, kā arī repozitoriju, kas darbojas arī kā bibliotēka, ļaut galamērķiem un to galvenajām ieinteresētajām personām īstenot labi izstrādātas un ilgtspējīgas veicināšanas stratēģijas, c) izstrādāt inovatīvu tūrisma informācijas sistēmu ar informāciju — kioskiem ar skārienjutīgiem ekrāniem galvenajos centros, kā arī kartēm ar vēsturiskiem, ģeogrāfiskiem, kultūras slāņiem, tostarp visām kultūras vērtībām un pasākumiem, kas pieejami no mobilās lietotnes. Investīcijas īstenošanu pabeidz līdz 2025. gada 30. jūnijam.</w:t>
      </w:r>
    </w:p>
    <w:p w14:paraId="0C05D6FE"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Kiberdrošības stratēģija un politika publiskajam sektoram un progresīviem drošības pakalpojumiem valstu kritiskajām infrastruktūrām (pasākums ID 16823)</w:t>
      </w:r>
    </w:p>
    <w:p w14:paraId="5715850C" w14:textId="77777777" w:rsidR="00CB0FCB" w:rsidRDefault="009D2B11">
      <w:pPr>
        <w:pStyle w:val="P68B1DB1-Normal4"/>
        <w:spacing w:before="120" w:after="120" w:line="240" w:lineRule="auto"/>
        <w:jc w:val="both"/>
        <w:rPr>
          <w:rFonts w:cs="Times New Roman"/>
          <w:noProof/>
        </w:rPr>
      </w:pPr>
      <w:r>
        <w:rPr>
          <w:noProof/>
        </w:rPr>
        <w:t xml:space="preserve">Reforma attiecas uz kiberdrošības stratēģijas un kiberdrošības rīcībpolitiku kopuma izstrādi un īstenošanu, kuru mērķis ir palielināt publiskā sektora sistēmu un datu vai informācijas uzticamību un drošību un uzlabot iedzīvotāju uzticēšanos mijiedarbībai ar publisko sektoru. Turklāt reforma ietver Valsts kiberdrošības operāciju centra (SOC) īstenošanu, kā arī progresīvu drošības pakalpojumu (SOC un DDoS) sniegšanu G-Cloud kritiskajā infrastruktūrā, lai sistemātiski un pastāvīgi uzlabotu drošību un ierobežotu kiberdrošības apdraudējumus publiskā sektora centrālajām infrastruktūrām un informācijas sistēmām, kas tajā darbojas. Reformas īstenošanu pabeidz līdz 2024. gada 31. decembrim. </w:t>
      </w:r>
    </w:p>
    <w:p w14:paraId="6F9DEEBB"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Sadarbspējas un tīmekļa pakalpojumu izstrāde (pasākums ID 16779)</w:t>
      </w:r>
    </w:p>
    <w:p w14:paraId="18DC5FD1" w14:textId="14FB7416" w:rsidR="00CB0FCB" w:rsidRDefault="009D2B11">
      <w:pPr>
        <w:pStyle w:val="P68B1DB1-Normal4"/>
        <w:spacing w:before="120" w:after="120" w:line="240" w:lineRule="auto"/>
        <w:jc w:val="both"/>
        <w:rPr>
          <w:rFonts w:cs="Times New Roman"/>
          <w:noProof/>
          <w:szCs w:val="24"/>
        </w:rPr>
      </w:pPr>
      <w:r>
        <w:rPr>
          <w:noProof/>
        </w:rPr>
        <w:t xml:space="preserve">Investīcija ietver centralizētas sadarbspējas infrastruktūras izveidi integrētai pakalpojumu pārvaldībai un saskarņu izstrādi un nodrošināšanu valsts pārvaldei, kas atvieglo informācijas apmaiņu starp valdības aģentūrām un interaktīvu tiešsaistes pakalpojumu sniegšanu. </w:t>
      </w:r>
      <w:r>
        <w:rPr>
          <w:noProof/>
          <w:szCs w:val="24"/>
        </w:rPr>
        <w:t>Investīcija ietver a) tīmekļa pakalpojumu un to dokumentācijas īstenošanu (kā aprakstīts attiecīgajā ministrijas lēmumā), b) pakalpojumu integrēšanu gov.gr c) vajadzīgo kontroles testu definīcijā un veikšanu, d) tīmekļa pakalpojumu nodošanu ražošanā (galīgā īstenošana pēc izmēģinājuma posma), e) atbalstu jaunajiem tīmekļa pakalpojumiem. Investīcijas īstenošanu pabeidz līdz 2024. gada 31. decembrim.</w:t>
      </w:r>
    </w:p>
    <w:p w14:paraId="59548D5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Reģistru, sistēmu un pakalpojumu savstarpēja savienošana un sadarbspēja datu apmaiņai starp valstu publiskajām organizācijām (pasākums ID 16782)</w:t>
      </w:r>
    </w:p>
    <w:p w14:paraId="1BBF608F" w14:textId="616C647C" w:rsidR="00CB0FCB" w:rsidRDefault="009D2B11">
      <w:pPr>
        <w:pStyle w:val="P68B1DB1-Normal5"/>
        <w:spacing w:before="120" w:after="120" w:line="240" w:lineRule="auto"/>
        <w:jc w:val="both"/>
        <w:rPr>
          <w:rFonts w:cs="Times New Roman"/>
          <w:noProof/>
        </w:rPr>
      </w:pPr>
      <w:r>
        <w:rPr>
          <w:noProof/>
        </w:rPr>
        <w:t>Reformas mērķis ir izstrādāt visaptverošu satvaru un ceļvedi reģistru un pakalpojumu savstarpējai savienošanai un sadarbspējai starp publiskām organizācijām saskaņā ar Sadarbspējīgas Eiropas aktu un veicināt sadarbspējīgu, personalizētu un lietotājdraudzīgu digitālo publisko pakalpojumu sniegšanu iedzīvotājiem un uzņēmumiem. Ar reformu ievieš organizatoriskas, procesuālas un tiesību aktu izmaiņas, lai a) saskaņotu pašreizējo Grieķijas valsts sadarbspējas satvaru (eGIF) ar Sadarbspējīgas Eiropas aktu, b) savienotu attiecīgos valsts, reģionālos un vietējos datu avotus un digitālo infrastruktūru ar Eiropas vienreizējas iesniegšanas principa (OOP) pierādījumu apmaiņas sistēmu, kas izveidota ar Vienotās digitālās vārtejas regulu, un c) reglamentētu dokumentu reģistra darbību, kura mērķis ir stiprināt apliecinošo dokumentu elektronisku meklēšanu ex-officio, ko veic publiskās iestādes un kas vajadzīgi administratīvo procedūru apstrādei. Reformas īstenošanu pabeidz līdz 2024. gada 31. decembrim.</w:t>
      </w:r>
    </w:p>
    <w:p w14:paraId="2F10A225"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Nākamās paaudzes sadarbspējas centrs (KED) (pasākums ID 16964)</w:t>
      </w:r>
    </w:p>
    <w:p w14:paraId="2C292030" w14:textId="77777777" w:rsidR="00CB0FCB" w:rsidRDefault="009D2B11">
      <w:pPr>
        <w:pStyle w:val="P68B1DB1-Normal4"/>
        <w:spacing w:before="120" w:after="120" w:line="240" w:lineRule="auto"/>
        <w:jc w:val="both"/>
        <w:rPr>
          <w:rFonts w:cs="Times New Roman"/>
          <w:noProof/>
        </w:rPr>
      </w:pPr>
      <w:r>
        <w:rPr>
          <w:noProof/>
        </w:rPr>
        <w:t>Investīcijas mērķis ir modernizēt Publiskās pārvaldes informācijas sistēmu ģenerālsekretariāta (GSISPA) Sadarbspējas centru, lai varētu nodrošināt starpinstitucionālu un starpsistēmu sadarbspēju ar augstu pieejamību. Investīcija ietver a) priekšizpēti un drošības izpēti, b) nepieciešamo licenču piegādi un uzstādīšanu datubāzei un hibrīda mākoņdatošanas lietojumprogrammu platformai, c) nākamās paaudzes sadarbspējas centra (KED) izstrādi un īstenošanu, d) jaunu tīmekļa pakalpojumu ieviešanu Next-Generation sadarbspējas centrā (KED). Investīciju īstenošanu pabeidz līdz 2025. gada 30. jūnijam.</w:t>
      </w:r>
    </w:p>
    <w:p w14:paraId="40C49480"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E-reģistri (pasākums ID 16824)</w:t>
      </w:r>
    </w:p>
    <w:p w14:paraId="5081BBC7" w14:textId="230D3AB6" w:rsidR="00CB0FCB" w:rsidRDefault="009D2B11">
      <w:pPr>
        <w:pStyle w:val="P68B1DB1-Normal4"/>
        <w:spacing w:before="120" w:after="120" w:line="240" w:lineRule="auto"/>
        <w:jc w:val="both"/>
        <w:rPr>
          <w:rFonts w:cs="Times New Roman"/>
          <w:noProof/>
        </w:rPr>
      </w:pPr>
      <w:r>
        <w:rPr>
          <w:noProof/>
        </w:rPr>
        <w:t>Investīcija ietver sadarbspējas un saskarņu izveidi starp centrālo valsts pārvaldes struktūru esošajiem reģistriem, kā arī reģistru vākšanu un paplašināšanu, lai pakāpeniski panāktu digitālo publisko pakalpojumu netraucētu un pareizu darbību, izmantojot savstarpēji savienotus, atjauninātus reģistrus, kuros ir tīrīti datu ieraksti. Šajā nolūkā investīcija atvieglo esošo reģistru vākšanu un paplašināšanu vienā centrālā avotā, lai pakāpeniski panāktu digitālo publisko pakalpojumu netraucētu un pareizu darbību. Tas ietver a) datus vienā vietā: reģistri ir pieejami, izmantojot vienu saskarni, un tajos ir meklēšana, b) atjaunināti dati: visi reģistros iekļautie dati ir atjaunināti un gatavi izmantošanai. Katram reģistram piekļūst, izmantojot kopēju API, c) tīriem datiem: līdz projekta beigām reģistru dati ir tīri pēc iespējas labākā līmenī, un ir ieviestas procedūras un politika attiecībā uz tīriem datiem, d) saistīti reģistri: nodrošina sadarbspēju. Investīciju īstenošanu pabeidz līdz 2025. gada 31. decembrim.</w:t>
      </w:r>
    </w:p>
    <w:p w14:paraId="1C0DB3DC"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Tūrisma reģistra e-MHTE (pasākums ID 16785)</w:t>
      </w:r>
    </w:p>
    <w:p w14:paraId="54B9CE58" w14:textId="77777777" w:rsidR="00CB0FCB" w:rsidRDefault="009D2B11">
      <w:pPr>
        <w:pStyle w:val="P68B1DB1-Normal4"/>
        <w:spacing w:before="120" w:after="120" w:line="240" w:lineRule="auto"/>
        <w:jc w:val="both"/>
        <w:rPr>
          <w:rFonts w:cs="Times New Roman"/>
          <w:noProof/>
        </w:rPr>
      </w:pPr>
      <w:r>
        <w:rPr>
          <w:noProof/>
        </w:rPr>
        <w:t>Investīcija ietver tūrisma uzņēmumiem paredzētas digitālo reģistru platformas (e-MHTE) izstrādi, kuras mērķis ir sadarboties ar citiem publiskiem reģistriem un IT sistēmām. Lai nodrošinātu labākus un uzlabotus pakalpojumus, jaunu darbības licenču izdošanu un esošo licenču atjaunošanu, uz jauno platformu pārsūta visus esošā reģistra datus un funkcijas. Investīcija ietver arī arhīva digitalizāciju (1875000 Telpiskās plānošanas un infrastruktūras nodaļas datnes), tostarp metamarķēšanu un uzglabāšanu. Investīciju īstenošanu pabeidz līdz 2025. gada 30. jūnijam.</w:t>
      </w:r>
    </w:p>
    <w:p w14:paraId="772DF47C"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Jaunu tehnoloģiju un valsts pārvaldes progresīvo pakalpojumu tendenču iekļaušana, efektivitātes un lietderības palielināšana un sistēmu ekspluatācijas, modernizācijas un uzturēšanas izmaksu samazināšana (ID 16928)</w:t>
      </w:r>
    </w:p>
    <w:p w14:paraId="3909362E" w14:textId="7896E395" w:rsidR="00CB0FCB" w:rsidRDefault="009D2B11">
      <w:pPr>
        <w:pStyle w:val="P68B1DB1-Normal4"/>
        <w:spacing w:before="120" w:after="120" w:line="240" w:lineRule="auto"/>
        <w:jc w:val="both"/>
        <w:rPr>
          <w:rFonts w:cs="Times New Roman"/>
          <w:noProof/>
        </w:rPr>
      </w:pPr>
      <w:r>
        <w:rPr>
          <w:noProof/>
        </w:rPr>
        <w:t>Reforma ietver tāda satvara izstrādi, kura mērķis ir panākt tehnoloģisko progresu (mākoņdatošana, uzņēmējdarbības intelekts, mākslīgais intelekts — mākslīgais intelekts, mašīnmācīšanās, sadalītās virsgrāmatas tehnoloģija — DLT) valsts pārvaldē, lai efektīvi vāktu, apstrādātu, noformētu un uzglabātu datus un veicinātu uzlabotus digitālos pakalpojumus, pienācīgu lēmumu pieņemšanu un sistēmu un infrastruktūras efektīvu darbību un uzturēšanu. Reformas īstenošanu pabeidz līdz 2025. gada 31. decembrim.</w:t>
      </w:r>
    </w:p>
    <w:p w14:paraId="31704360"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Viedās pilsētas (pasākums ID 16854)</w:t>
      </w:r>
    </w:p>
    <w:p w14:paraId="3AD58A59" w14:textId="42CE24D8" w:rsidR="00CB0FCB" w:rsidRDefault="009D2B11">
      <w:pPr>
        <w:pStyle w:val="P68B1DB1-Normal5"/>
        <w:spacing w:before="120" w:after="120" w:line="240" w:lineRule="auto"/>
        <w:jc w:val="both"/>
        <w:rPr>
          <w:rFonts w:cs="Times New Roman"/>
          <w:noProof/>
        </w:rPr>
      </w:pPr>
      <w:r>
        <w:rPr>
          <w:noProof/>
        </w:rPr>
        <w:t>Investīcijas mērķis ir pakāpeniski pārveidot 11 Grieķijas pašvaldības par “viedajām pilsētām”, attīstot jaunu infrastruktūru, digitālās platformas un IT sistēmas. Viedo pilsētu risinājumi ļauj pašvaldībām izmantot tehnoloģijas, informāciju un atvērtos datus, lai uzlabotu pilsētu infrastruktūru un e-pakalpojumus. Pasākums sastāv no diviem apakšprojektiem: 1) Grieķijas viedo pilsētu investīciju iniciatīvu, kas investē 11 pašvaldībās, no kurām četras jau ir atlasītas (Atēnas, Saloniki, Pirejas un Trikala) un vēl septiņas — atlasa, pamatojoties uz pašvaldību izstrādātiem priekšlikumiem. 2) atbalsta mehānismu iniciatīvas īstenošanai un darbības rezultātu uzraudzībai. Investīciju īstenošanu pabeidz līdz 2025. gada 31. decembrim.</w:t>
      </w:r>
    </w:p>
    <w:p w14:paraId="2D295552"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Centrālās mākoņdatošanas infrastruktūras un pakalpojuma piegāde (pasākums ID 16853)</w:t>
      </w:r>
    </w:p>
    <w:p w14:paraId="25BAEE3A" w14:textId="79685AFE" w:rsidR="00CB0FCB" w:rsidRDefault="009D2B11">
      <w:pPr>
        <w:pStyle w:val="P68B1DB1-Normal4"/>
        <w:spacing w:before="120" w:after="120" w:line="240" w:lineRule="auto"/>
        <w:jc w:val="both"/>
        <w:rPr>
          <w:rFonts w:cs="Times New Roman"/>
          <w:noProof/>
          <w:szCs w:val="24"/>
        </w:rPr>
      </w:pPr>
      <w:r>
        <w:rPr>
          <w:noProof/>
        </w:rPr>
        <w:t>Investīcijas mērķis ir uzlabot Digitālās pārvaldības ministrijas galveno iestāžu, proti, GSISPA un IDIKA SA, darbību, izvēršot mākoņdatošanas infrastruktūru un pakalpojumus (saskaņā ar Likumu Nr. 4727/2020), ievērojot starptautisko paraugpraksi valdības mākoņdatošanas infrastruktūras un pakalpojumu (G-Cloud) īstenošanā. Projekts nodrošina modernu hibrīda mākoņdatošanas infrastruktūru, ko veido divi īrnieki: Vienu G-mākonim un otru H-mākonim. Katram īrniekam ir privātā mākoņdatošanas komponents un publiskā mākoņdatošanas komponents vienotā pārvaldības un pakalpojumu sniegšanas vidē. Investīcijas īstenošanu pabeidz līdz 2024. gada 30. jūnijam.</w:t>
      </w:r>
    </w:p>
    <w:p w14:paraId="3237FA51" w14:textId="33A572DF" w:rsidR="00CB0FCB" w:rsidRDefault="009D2B11">
      <w:pPr>
        <w:pStyle w:val="P68B1DB1-Normal4"/>
        <w:spacing w:before="120" w:after="120" w:line="240" w:lineRule="auto"/>
        <w:jc w:val="both"/>
        <w:rPr>
          <w:noProof/>
        </w:rPr>
      </w:pPr>
      <w:r>
        <w:rPr>
          <w:noProof/>
        </w:rPr>
        <w:t xml:space="preserve">Mākoņpakalpojumu sniedzēja datu centriem ir jāievēro “Eiropas rīcības kodekss attiecībā uz datu centru energoefektivitāti”. </w:t>
      </w:r>
    </w:p>
    <w:p w14:paraId="0F51ECD5" w14:textId="7B060D45" w:rsidR="00CB0FCB" w:rsidRDefault="009D2B11">
      <w:pPr>
        <w:pStyle w:val="P68B1DB1-Normal4"/>
        <w:spacing w:before="120" w:after="120" w:line="240" w:lineRule="auto"/>
        <w:jc w:val="both"/>
        <w:rPr>
          <w:rFonts w:cs="Times New Roman"/>
          <w:noProof/>
        </w:rPr>
      </w:pPr>
      <w:r>
        <w:rPr>
          <w:noProof/>
        </w:rPr>
        <w:t>Prasība ir saskaņā ar Eiropas Parlamenta un Padomes Regulu (ES) 2018/1999 (2018. gada 11. decembris) par enerģētikas savienības un rīcības klimata politikas jomā pārvaldību, atbalstot zaļo pārkārtošanos un palīdzot sasniegt Savienības 2030. gada klimata mērķrādītājus, kas noteikti 2. panta 11. punktā, kurš grozīts ar ES Klimata akta 10. pantu, un ievērojot mērķi līdz 2050. gadam panākt ES klimatneitralitāti un digitālo pārkārtošanos, tādējādi veicinot augšupēju ekonomisko un sociālo konverģenci, atjaunojot un veicinot ilgtspējīgu izaugsmi un Savienības ekonomiku integrāciju.</w:t>
      </w:r>
    </w:p>
    <w:p w14:paraId="54F75EFA"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Mākoņdatošanas infrastruktūras un valsts pētniecības un tehnoloģiju infrastruktūru pakalpojumu (GRNET) modernizācija (pasākums ID 16955)</w:t>
      </w:r>
    </w:p>
    <w:p w14:paraId="31036E1E" w14:textId="506498A0" w:rsidR="00CB0FCB" w:rsidRDefault="009D2B11">
      <w:pPr>
        <w:pStyle w:val="P68B1DB1-Normal4"/>
        <w:spacing w:before="120" w:after="120" w:line="240" w:lineRule="auto"/>
        <w:jc w:val="both"/>
        <w:rPr>
          <w:rFonts w:cs="Times New Roman"/>
          <w:noProof/>
        </w:rPr>
      </w:pPr>
      <w:r>
        <w:rPr>
          <w:noProof/>
        </w:rPr>
        <w:t>Investīcija ietver GRNET infrastruktūras un pakalpojumu modernizāciju, a) modernizējot programmatūru un mākoņdatošanas pakalpojumus, kas galvenokārt paredzēti pētniecības un akadēmisko aprindu pārstāvjiem, b) jauna superdatora Daedalus (ieguldījuma A posms) ieviešanu un c) optiskās šķiedras infrastruktūras nomu. Investīciju īstenošanu pabeidz līdz 2025. gada 31. decembrim.</w:t>
      </w:r>
    </w:p>
    <w:p w14:paraId="6BA451CF" w14:textId="77777777" w:rsidR="00CB0FCB" w:rsidRDefault="009D2B11">
      <w:pPr>
        <w:pStyle w:val="P68B1DB1-Normal4"/>
        <w:spacing w:before="120" w:after="120" w:line="240" w:lineRule="auto"/>
        <w:jc w:val="both"/>
        <w:rPr>
          <w:rFonts w:cs="Times New Roman"/>
          <w:noProof/>
        </w:rPr>
      </w:pPr>
      <w:r>
        <w:rPr>
          <w:noProof/>
        </w:rPr>
        <w:t>Datu centriem ir jāievēro “Eiropas rīcības kodekss attiecībā uz datu centru energoefektivitāti”. Prasība ir saskaņā ar Eiropas Parlamenta un Padomes Regulu (ES) 2018/1999 (2018. gada 11. decembris) par enerģētikas savienības un rīcības klimata politikas jomā pārvaldību, atbalstot zaļo pārkārtošanos un palīdzot sasniegt Savienības 2030. gada klimata mērķrādītājus, kas noteikti 2. panta 11. punktā, kurš grozīts ar ES Klimata akta 10. pantu, un ievērojot mērķi līdz 2050. gadam panākt ES klimatneitralitāti un digitālo pārkārtošanos, tādējādi veicinot augšupēju ekonomisko un sociālo konverģenci, atjaunojot un veicinot ilgtspējīgu izaugsmi un Savienības ekonomiku integrāciju.</w:t>
      </w:r>
    </w:p>
    <w:p w14:paraId="19E35508"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Syzefksis II paplašināšana (pasākums ID 16956)</w:t>
      </w:r>
    </w:p>
    <w:p w14:paraId="4141DDDC" w14:textId="0C64F6CF" w:rsidR="00CB0FCB" w:rsidRDefault="009D2B11">
      <w:pPr>
        <w:pStyle w:val="P68B1DB1-Normal5"/>
        <w:spacing w:before="120" w:after="120" w:line="240" w:lineRule="auto"/>
        <w:jc w:val="both"/>
        <w:rPr>
          <w:rFonts w:cs="Times New Roman"/>
          <w:noProof/>
        </w:rPr>
      </w:pPr>
      <w:r>
        <w:rPr>
          <w:noProof/>
        </w:rPr>
        <w:t>Investīcija ietver Valsts publiskā sektora tīkla (SYZEFXIS II) paplašināšanu, lai nodrošinātu modernizētu telesakaru pakalpojumu kopumu visām vispārējās valdības struktūrām, publiskā sektora tīkla izveidi (paplašināšana), lai trīs gadus pēc kārtas nodrošinātu uzlabotu telekomunikāciju pakalpojumu kopumu vispārējās valdības struktūrām un, konkrētāk, nodrošinātu pārklājumu aptuveni 34000 ēkām, kā arī bezvadu telekomunikāciju pakalpojumus. Tas ietver esošā valsts pārvaldes tīkla “SYZEFXIS” paplašināšanu, kas pašlaik aptver tikai 4500 struktūru klātbūtnes punktus. Tādējādi visas publiskās iestādes ir uzlabojušas telekomunikāciju pakalpojumus, palielinot interneta piekļuves ātrumu, tādējādi piedāvājot labākus savienojumus iedzīvotājiem. Investīciju īstenošanu pabeidz līdz 2025. gada 31. decembrim.</w:t>
      </w:r>
    </w:p>
    <w:p w14:paraId="16E9257A"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Datu pārvaldības stratēģija un politika publiskajam sektoram (pasākums ID 16827)</w:t>
      </w:r>
    </w:p>
    <w:p w14:paraId="22E4D0FC" w14:textId="07676648" w:rsidR="00CB0FCB" w:rsidRDefault="009D2B11">
      <w:pPr>
        <w:pStyle w:val="P68B1DB1-Normal22"/>
        <w:spacing w:before="120" w:after="120" w:line="240" w:lineRule="auto"/>
        <w:jc w:val="both"/>
        <w:rPr>
          <w:rFonts w:ascii="Times New Roman" w:hAnsi="Times New Roman"/>
          <w:b/>
          <w:noProof/>
        </w:rPr>
      </w:pPr>
      <w:r>
        <w:rPr>
          <w:rFonts w:ascii="Times New Roman" w:hAnsi="Times New Roman"/>
          <w:noProof/>
        </w:rPr>
        <w:t>Reforma attiecas uz a) valdības mākoņdatošanas datu pārvaldības stratēģijas un politikas izveidi, b) publisko datu pārvaldības sistēmas izveidi, atvērto un atkārtoti lietojamo datu politiku un attiecīgo pakalpojumu sniegšanu publiskajam un privātajam sektoram un c) veidnes noteikšanu datu klasifikācijas pētījumiem par publiskā sektora informācijas sistēmām, kas uzstādītas publiskā sektora valdības mākonī (G-Cloud), ko pārvalda Publiskās pārvaldes informācijas sistēmu ģenerālsekretariāts (GSISPA). Reformas pēdējā daļa ietver centrālo informācijas sistēmu datu klasifikācijas pētījumu izstrādi un standartizāciju un 220 attiecīgu pētījumu veikšanu attiecībā uz visām jau uzstādītajām centrālajām informācijas sistēmām un publiskā sektora lietojumprogrammām.</w:t>
      </w:r>
      <w:r>
        <w:rPr>
          <w:rFonts w:asciiTheme="minorHAnsi" w:eastAsiaTheme="minorEastAsia" w:hAnsiTheme="minorHAnsi" w:cstheme="minorBidi"/>
          <w:noProof/>
        </w:rPr>
        <w:t xml:space="preserve"> </w:t>
      </w:r>
      <w:r>
        <w:rPr>
          <w:rFonts w:ascii="Times New Roman" w:hAnsi="Times New Roman"/>
          <w:noProof/>
        </w:rPr>
        <w:t>Reformas īstenošanu pabeidz līdz 2025. gada 31. decembrim.</w:t>
      </w:r>
    </w:p>
    <w:p w14:paraId="4B6EAD58"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Centrālā BI — datu analīze (pasākums ID 16842)</w:t>
      </w:r>
    </w:p>
    <w:p w14:paraId="6FFCE667" w14:textId="20CFF9CD" w:rsidR="00CB0FCB" w:rsidRDefault="009D2B11">
      <w:pPr>
        <w:pStyle w:val="P68B1DB1-Normal4"/>
        <w:spacing w:before="120" w:after="120" w:line="240" w:lineRule="auto"/>
        <w:jc w:val="both"/>
        <w:rPr>
          <w:rFonts w:cs="Times New Roman"/>
          <w:noProof/>
        </w:rPr>
      </w:pPr>
      <w:r>
        <w:rPr>
          <w:noProof/>
        </w:rPr>
        <w:t>Ieguldījuma mērķis ir ļaut valsts pārvaldei maksimāli palielināt vērtību, ko tā iegūst no saviem datiem, ieviešot centrālo uzņēmējdarbības izlūkdatu — datu analīzes platformu. Platforma ļauj publiskās pārvaldes aģentūrām iegūt, integrēt un interpretēt datus no jebkura avota un izmantot tos, lai analizētu informāciju, kas ietekmē to darbību un darbplūsmas, tādējādi atvieglojot lēmumu pieņemšanu. To panāk, a) identificējot galvenos darbības rādītājus, b) izveidojot datu vārdnīcu, c) izveidojot datu pārvaldības sistēmu, d) izstrādājot atbilstošu arhitektūras plānu, arhitektūras pieeju, pamatelementus un integrācijas punktus, e) datu noliktavas konfigurāciju, f) integrēšanu atbalsta biroja informācijas sistēmā, g) nepieciešamo uzņēmējdarbības izlūkdatu ziņojumu izstrādi un analīzi, h) tehnisko atbalstu. Investīciju īstenošanu pabeidz līdz 2025. gada 31. decembrim.</w:t>
      </w:r>
    </w:p>
    <w:p w14:paraId="541FEAAA"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Centrālā dokumentu pārvaldības sistēma (pasākums ID 16738)</w:t>
      </w:r>
    </w:p>
    <w:p w14:paraId="677A4F4D" w14:textId="2EBBA2E8" w:rsidR="00CB0FCB" w:rsidRDefault="009D2B11">
      <w:pPr>
        <w:pStyle w:val="P68B1DB1-Normal5"/>
        <w:spacing w:before="120" w:after="120" w:line="240" w:lineRule="auto"/>
        <w:jc w:val="both"/>
        <w:rPr>
          <w:noProof/>
        </w:rPr>
      </w:pPr>
      <w:r>
        <w:rPr>
          <w:noProof/>
        </w:rPr>
        <w:t>Investīcija ietver centrālās dokumentu pārvaldības sistēmas ieviešanu, kas vāc, glabā un izgūst papīra un elektroniskos dokumentus. Šī sistēma veicina publiskā sektora organizāciju sadarbspēju, un tās mērķis ir paātrināt iedzīvotāju un uzņēmumu lietu un pakalpojumu pieprasījumu apstrādi. Investīcija ietver a) 20000 apstiprinātu attālinātu digitālo parakstu piegādi, b) lietojumprogrammu izstrādi sadarbspējai, unikāla QR koda vai ID izveidi, kas jāiestrādā dokumentos, c) apakšsistēmu izstrādi, lai segtu valdības vajadzības parakstīt dokumentus ar digitālo parakstu, d) atbalsta pakalpojumus (tostarp pakalpojumus pētījumu izstrādei), apmācības un palīdzības dienesta pakalpojumus. Investīcijas īstenošanu pabeidz līdz 2024. gada 30. jūnijam.</w:t>
      </w:r>
    </w:p>
    <w:p w14:paraId="5A412B1E" w14:textId="77777777" w:rsidR="00CB0FCB" w:rsidRDefault="00CB0FCB">
      <w:pPr>
        <w:spacing w:before="120" w:after="120" w:line="240" w:lineRule="auto"/>
        <w:ind w:left="709"/>
        <w:jc w:val="both"/>
        <w:rPr>
          <w:rFonts w:ascii="Times New Roman" w:hAnsi="Times New Roman" w:cs="Times New Roman"/>
          <w:noProof/>
          <w:sz w:val="24"/>
        </w:rPr>
      </w:pPr>
    </w:p>
    <w:p w14:paraId="69281F2F"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109"/>
          <w:headerReference w:type="default" r:id="rId110"/>
          <w:footerReference w:type="even" r:id="rId111"/>
          <w:footerReference w:type="default" r:id="rId112"/>
          <w:headerReference w:type="first" r:id="rId113"/>
          <w:footerReference w:type="first" r:id="rId114"/>
          <w:pgSz w:w="11907" w:h="16839"/>
          <w:pgMar w:top="1134" w:right="1418" w:bottom="1134" w:left="1418" w:header="709" w:footer="327" w:gutter="0"/>
          <w:cols w:space="720"/>
          <w:docGrid w:linePitch="360"/>
        </w:sectPr>
      </w:pPr>
    </w:p>
    <w:p w14:paraId="43414F2D"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F.2.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3B8749EA"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p w14:paraId="502B644F" w14:textId="77777777" w:rsidR="00CB0FCB" w:rsidRDefault="009D2B11">
      <w:pPr>
        <w:pStyle w:val="P68B1DB1-Normal6"/>
        <w:keepNext/>
        <w:keepLines/>
        <w:spacing w:before="40" w:after="0" w:line="240" w:lineRule="auto"/>
        <w:jc w:val="both"/>
        <w:outlineLvl w:val="4"/>
        <w:rPr>
          <w:rFonts w:eastAsia="Times New Roman"/>
          <w:noProof/>
        </w:rPr>
      </w:pPr>
      <w:r>
        <w:rPr>
          <w:noProof/>
        </w:rPr>
        <w:t>Lielākā investīcija 3: Arhīvu un saistīto pakalpojumu digitalizācija</w:t>
      </w:r>
    </w:p>
    <w:tbl>
      <w:tblPr>
        <w:tblW w:w="15588" w:type="dxa"/>
        <w:jc w:val="center"/>
        <w:tblLayout w:type="fixed"/>
        <w:tblLook w:val="04A0" w:firstRow="1" w:lastRow="0" w:firstColumn="1" w:lastColumn="0" w:noHBand="0" w:noVBand="1"/>
      </w:tblPr>
      <w:tblGrid>
        <w:gridCol w:w="562"/>
        <w:gridCol w:w="1985"/>
        <w:gridCol w:w="992"/>
        <w:gridCol w:w="1701"/>
        <w:gridCol w:w="1715"/>
        <w:gridCol w:w="1200"/>
        <w:gridCol w:w="1080"/>
        <w:gridCol w:w="960"/>
        <w:gridCol w:w="960"/>
        <w:gridCol w:w="840"/>
        <w:gridCol w:w="3593"/>
      </w:tblGrid>
      <w:tr w:rsidR="00CB0FCB" w14:paraId="0D96C86C" w14:textId="77777777">
        <w:trPr>
          <w:trHeight w:val="927"/>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B3FD6C" w14:textId="0638099C" w:rsidR="00CB0FCB" w:rsidRDefault="009D2B11">
            <w:pPr>
              <w:pStyle w:val="P68B1DB1-Normal7"/>
              <w:spacing w:after="0" w:line="240" w:lineRule="auto"/>
              <w:jc w:val="center"/>
              <w:rPr>
                <w:rFonts w:eastAsia="Times New Roman" w:cs="Times New Roman"/>
                <w:bCs/>
                <w:noProof/>
                <w:szCs w:val="18"/>
              </w:rPr>
            </w:pPr>
            <w:r>
              <w:rPr>
                <w:noProof/>
              </w:rPr>
              <w:t>Kārtas Nē.</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30DE017" w14:textId="77777777" w:rsidR="00CB0FCB" w:rsidRDefault="009D2B11">
            <w:pPr>
              <w:pStyle w:val="P68B1DB1-Normal7"/>
              <w:spacing w:after="0" w:line="240" w:lineRule="auto"/>
              <w:ind w:left="-561" w:firstLine="561"/>
              <w:jc w:val="right"/>
              <w:rPr>
                <w:rFonts w:eastAsia="Times New Roman" w:cs="Times New Roman"/>
                <w:bCs/>
                <w:noProof/>
                <w:szCs w:val="18"/>
              </w:rPr>
            </w:pPr>
            <w:r>
              <w:rPr>
                <w:noProof/>
              </w:rPr>
              <w:t>Saistītais pasākums (reforma vai ieguldījums)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5AB39D"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50A95F08"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AF9D50"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240" w:type="dxa"/>
            <w:gridSpan w:val="3"/>
            <w:tcBorders>
              <w:top w:val="single" w:sz="4" w:space="0" w:color="auto"/>
              <w:left w:val="nil"/>
              <w:bottom w:val="single" w:sz="4" w:space="0" w:color="auto"/>
              <w:right w:val="single" w:sz="4" w:space="0" w:color="auto"/>
            </w:tcBorders>
            <w:shd w:val="clear" w:color="auto" w:fill="BDD7EE"/>
            <w:vAlign w:val="center"/>
            <w:hideMark/>
          </w:tcPr>
          <w:p w14:paraId="4832ACA7"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5B164B0C"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5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49F709"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778862F0" w14:textId="77777777">
        <w:trPr>
          <w:trHeight w:val="512"/>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C939AE5" w14:textId="77777777" w:rsidR="00CB0FCB" w:rsidRDefault="00CB0FCB">
            <w:pPr>
              <w:spacing w:after="0" w:line="240" w:lineRule="auto"/>
              <w:rPr>
                <w:rFonts w:ascii="Times New Roman" w:eastAsia="Times New Roman" w:hAnsi="Times New Roman" w:cs="Times New Roman"/>
                <w:b/>
                <w:bCs/>
                <w:noProo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AA295A" w14:textId="77777777" w:rsidR="00CB0FCB" w:rsidRDefault="00CB0FCB">
            <w:pPr>
              <w:spacing w:after="0" w:line="240" w:lineRule="auto"/>
              <w:rPr>
                <w:rFonts w:ascii="Times New Roman" w:eastAsia="Times New Roman" w:hAnsi="Times New Roman" w:cs="Times New Roman"/>
                <w:b/>
                <w:bCs/>
                <w:noProo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016858" w14:textId="77777777" w:rsidR="00CB0FCB" w:rsidRDefault="00CB0FCB">
            <w:pPr>
              <w:spacing w:after="0" w:line="240" w:lineRule="auto"/>
              <w:rPr>
                <w:rFonts w:ascii="Times New Roman" w:eastAsia="Times New Roman" w:hAnsi="Times New Roman" w:cs="Times New Roman"/>
                <w:b/>
                <w:bCs/>
                <w:noProo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0CBB2D" w14:textId="77777777" w:rsidR="00CB0FCB" w:rsidRDefault="00CB0FCB">
            <w:pPr>
              <w:spacing w:after="0" w:line="240" w:lineRule="auto"/>
              <w:rPr>
                <w:rFonts w:ascii="Times New Roman" w:eastAsia="Times New Roman" w:hAnsi="Times New Roman" w:cs="Times New Roman"/>
                <w:b/>
                <w:bCs/>
                <w:noProof/>
                <w:sz w:val="18"/>
                <w:szCs w:val="18"/>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14:paraId="6C75AAED" w14:textId="77777777" w:rsidR="00CB0FCB" w:rsidRDefault="00CB0FCB">
            <w:pPr>
              <w:spacing w:after="0" w:line="240" w:lineRule="auto"/>
              <w:rPr>
                <w:rFonts w:ascii="Times New Roman" w:eastAsia="Times New Roman" w:hAnsi="Times New Roman" w:cs="Times New Roman"/>
                <w:b/>
                <w:bCs/>
                <w:noProof/>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92B306B"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8ED6F7C"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DAB035"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BA691A8"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84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2EC0E9"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593" w:type="dxa"/>
            <w:vMerge/>
            <w:vAlign w:val="center"/>
            <w:hideMark/>
          </w:tcPr>
          <w:p w14:paraId="1CAB6D2F"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552AB35E" w14:textId="77777777">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tcPr>
          <w:p w14:paraId="464888A0" w14:textId="77777777" w:rsidR="00CB0FCB" w:rsidRDefault="009D2B11">
            <w:pPr>
              <w:pStyle w:val="P68B1DB1-Normal9"/>
              <w:spacing w:after="0" w:line="240" w:lineRule="auto"/>
              <w:rPr>
                <w:noProof/>
              </w:rPr>
            </w:pPr>
            <w:r>
              <w:rPr>
                <w:noProof/>
              </w:rPr>
              <w:t>93</w:t>
            </w:r>
          </w:p>
          <w:p w14:paraId="67AE2A47" w14:textId="77777777" w:rsidR="00CB0FCB" w:rsidRDefault="00CB0FCB">
            <w:pPr>
              <w:rPr>
                <w:rFonts w:eastAsia="Times New Roman" w:cs="Calibri"/>
                <w:noProof/>
                <w:sz w:val="18"/>
                <w:szCs w:val="18"/>
              </w:rPr>
            </w:pPr>
          </w:p>
          <w:p w14:paraId="1F98E2ED" w14:textId="77777777" w:rsidR="00CB0FCB" w:rsidRDefault="00CB0FCB">
            <w:pPr>
              <w:rPr>
                <w:rFonts w:eastAsia="Times New Roman" w:cs="Calibri"/>
                <w:noProof/>
                <w:sz w:val="18"/>
                <w:szCs w:val="18"/>
              </w:rPr>
            </w:pPr>
          </w:p>
          <w:p w14:paraId="47465E9C" w14:textId="77777777" w:rsidR="00CB0FCB" w:rsidRDefault="00CB0FCB">
            <w:pPr>
              <w:rPr>
                <w:rFonts w:eastAsia="Times New Roman" w:cs="Calibri"/>
                <w:noProof/>
                <w:sz w:val="18"/>
                <w:szCs w:val="18"/>
              </w:rPr>
            </w:pPr>
          </w:p>
          <w:p w14:paraId="71A86F92" w14:textId="77777777" w:rsidR="00CB0FCB" w:rsidRDefault="00CB0FCB">
            <w:pPr>
              <w:rPr>
                <w:rFonts w:eastAsia="Times New Roman" w:cs="Calibri"/>
                <w:noProof/>
                <w:sz w:val="18"/>
                <w:szCs w:val="18"/>
              </w:rPr>
            </w:pPr>
          </w:p>
          <w:p w14:paraId="65CD1944" w14:textId="77777777" w:rsidR="00CB0FCB" w:rsidRDefault="00CB0FCB">
            <w:pPr>
              <w:rPr>
                <w:rFonts w:eastAsia="Times New Roman" w:cs="Calibri"/>
                <w:noProof/>
                <w:sz w:val="18"/>
                <w:szCs w:val="18"/>
              </w:rPr>
            </w:pPr>
          </w:p>
          <w:p w14:paraId="084F2ED5" w14:textId="77777777" w:rsidR="00CB0FCB" w:rsidRDefault="00CB0FCB">
            <w:pPr>
              <w:rPr>
                <w:rFonts w:eastAsia="Times New Roman" w:cs="Calibri"/>
                <w:noProof/>
                <w:sz w:val="18"/>
                <w:szCs w:val="18"/>
              </w:rPr>
            </w:pPr>
          </w:p>
          <w:p w14:paraId="60C44EC9" w14:textId="77777777" w:rsidR="00CB0FCB" w:rsidRDefault="00CB0FCB">
            <w:pPr>
              <w:rPr>
                <w:rFonts w:eastAsia="Times New Roman" w:cs="Calibri"/>
                <w:noProof/>
                <w:sz w:val="18"/>
                <w:szCs w:val="18"/>
              </w:rPr>
            </w:pPr>
          </w:p>
          <w:p w14:paraId="660F51B4" w14:textId="77777777" w:rsidR="00CB0FCB" w:rsidRDefault="00CB0FCB">
            <w:pPr>
              <w:rPr>
                <w:rFonts w:eastAsia="Times New Roman" w:cs="Calibri"/>
                <w:noProof/>
                <w:sz w:val="18"/>
                <w:szCs w:val="18"/>
              </w:rPr>
            </w:pPr>
          </w:p>
          <w:p w14:paraId="74BE5AAD" w14:textId="77777777" w:rsidR="00CB0FCB" w:rsidRDefault="00CB0FCB">
            <w:pPr>
              <w:rPr>
                <w:rFonts w:eastAsia="Times New Roman" w:cs="Calibri"/>
                <w:noProof/>
                <w:sz w:val="18"/>
                <w:szCs w:val="18"/>
              </w:rPr>
            </w:pPr>
          </w:p>
          <w:p w14:paraId="45A99B74" w14:textId="77777777" w:rsidR="00CB0FCB" w:rsidRDefault="00CB0FCB">
            <w:pPr>
              <w:rPr>
                <w:rFonts w:eastAsia="Times New Roman" w:cs="Calibri"/>
                <w:noProof/>
                <w:sz w:val="18"/>
                <w:szCs w:val="18"/>
              </w:rPr>
            </w:pPr>
          </w:p>
          <w:p w14:paraId="16BD8DAE" w14:textId="77777777" w:rsidR="00CB0FCB" w:rsidRDefault="00CB0FCB">
            <w:pPr>
              <w:rPr>
                <w:rFonts w:eastAsia="Times New Roman" w:cs="Calibri"/>
                <w:noProof/>
                <w:sz w:val="18"/>
                <w:szCs w:val="18"/>
              </w:rPr>
            </w:pPr>
          </w:p>
          <w:p w14:paraId="00F10C34" w14:textId="77777777" w:rsidR="00CB0FCB" w:rsidRDefault="00CB0FCB">
            <w:pPr>
              <w:rPr>
                <w:rFonts w:eastAsia="Times New Roman" w:cs="Calibri"/>
                <w:noProof/>
                <w:sz w:val="18"/>
                <w:szCs w:val="18"/>
              </w:rPr>
            </w:pPr>
          </w:p>
          <w:p w14:paraId="3A6DDF03" w14:textId="77777777" w:rsidR="00CB0FCB" w:rsidRDefault="00CB0FCB">
            <w:pPr>
              <w:rPr>
                <w:rFonts w:eastAsia="Times New Roman" w:cs="Calibri"/>
                <w:noProof/>
                <w:sz w:val="18"/>
                <w:szCs w:val="18"/>
              </w:rPr>
            </w:pPr>
          </w:p>
          <w:p w14:paraId="241151CE" w14:textId="77777777" w:rsidR="00CB0FCB" w:rsidRDefault="00CB0FCB">
            <w:pPr>
              <w:rPr>
                <w:rFonts w:eastAsia="Times New Roman" w:cs="Calibri"/>
                <w:noProof/>
                <w:sz w:val="18"/>
                <w:szCs w:val="18"/>
              </w:rPr>
            </w:pPr>
          </w:p>
          <w:p w14:paraId="477C175D" w14:textId="77777777" w:rsidR="00CB0FCB" w:rsidRDefault="00CB0FCB">
            <w:pPr>
              <w:rPr>
                <w:rFonts w:eastAsia="Times New Roman" w:cs="Calibri"/>
                <w:noProof/>
                <w:sz w:val="18"/>
                <w:szCs w:val="18"/>
              </w:rPr>
            </w:pPr>
          </w:p>
          <w:p w14:paraId="7E992838" w14:textId="77777777" w:rsidR="00CB0FCB" w:rsidRDefault="00CB0FCB">
            <w:pPr>
              <w:rPr>
                <w:rFonts w:eastAsia="Times New Roman" w:cs="Calibri"/>
                <w:noProof/>
                <w:sz w:val="18"/>
                <w:szCs w:val="18"/>
              </w:rPr>
            </w:pPr>
          </w:p>
          <w:p w14:paraId="54A8D997" w14:textId="77777777" w:rsidR="00CB0FCB" w:rsidRDefault="00CB0FCB">
            <w:pPr>
              <w:rPr>
                <w:rFonts w:eastAsia="Times New Roman" w:cs="Calibri"/>
                <w:noProof/>
                <w:sz w:val="18"/>
                <w:szCs w:val="18"/>
              </w:rPr>
            </w:pPr>
          </w:p>
        </w:tc>
        <w:tc>
          <w:tcPr>
            <w:tcW w:w="1985" w:type="dxa"/>
            <w:tcBorders>
              <w:top w:val="single" w:sz="4" w:space="0" w:color="auto"/>
              <w:left w:val="nil"/>
              <w:bottom w:val="single" w:sz="4" w:space="0" w:color="auto"/>
              <w:right w:val="single" w:sz="4" w:space="0" w:color="auto"/>
            </w:tcBorders>
            <w:shd w:val="clear" w:color="auto" w:fill="C6EFCE"/>
            <w:noWrap/>
          </w:tcPr>
          <w:p w14:paraId="6CB04966" w14:textId="77777777" w:rsidR="00CB0FCB" w:rsidRDefault="009D2B11">
            <w:pPr>
              <w:pStyle w:val="P68B1DB1-Normal9"/>
              <w:spacing w:after="0" w:line="240" w:lineRule="auto"/>
              <w:rPr>
                <w:rFonts w:eastAsia="Times New Roman" w:cs="Calibri"/>
                <w:noProof/>
                <w:szCs w:val="18"/>
              </w:rPr>
            </w:pPr>
            <w:r>
              <w:rPr>
                <w:noProof/>
              </w:rPr>
              <w:t>6–2.2. Modernizācija — 16778_Arhīvu un saistīto pakalpojumu digitalizācija</w:t>
            </w:r>
          </w:p>
        </w:tc>
        <w:tc>
          <w:tcPr>
            <w:tcW w:w="992" w:type="dxa"/>
            <w:tcBorders>
              <w:top w:val="single" w:sz="4" w:space="0" w:color="auto"/>
              <w:left w:val="nil"/>
              <w:bottom w:val="single" w:sz="4" w:space="0" w:color="auto"/>
              <w:right w:val="single" w:sz="4" w:space="0" w:color="auto"/>
            </w:tcBorders>
            <w:shd w:val="clear" w:color="auto" w:fill="C6EFCE"/>
            <w:noWrap/>
          </w:tcPr>
          <w:p w14:paraId="41FCBC3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01" w:type="dxa"/>
            <w:tcBorders>
              <w:top w:val="single" w:sz="4" w:space="0" w:color="auto"/>
              <w:left w:val="nil"/>
              <w:bottom w:val="single" w:sz="4" w:space="0" w:color="auto"/>
              <w:right w:val="single" w:sz="4" w:space="0" w:color="auto"/>
            </w:tcBorders>
            <w:shd w:val="clear" w:color="auto" w:fill="C6EFCE"/>
            <w:noWrap/>
          </w:tcPr>
          <w:p w14:paraId="17CCCAF8" w14:textId="77777777" w:rsidR="00CB0FCB" w:rsidRDefault="009D2B11">
            <w:pPr>
              <w:pStyle w:val="P68B1DB1-Normal9"/>
              <w:spacing w:after="0" w:line="240" w:lineRule="auto"/>
              <w:rPr>
                <w:rFonts w:eastAsia="Times New Roman" w:cs="Calibri"/>
                <w:iCs/>
                <w:noProof/>
                <w:szCs w:val="18"/>
              </w:rPr>
            </w:pPr>
            <w:r>
              <w:rPr>
                <w:noProof/>
              </w:rPr>
              <w:t>Līgumu slēgšanas tiesību piešķiršana par arhīvu digitalizāciju</w:t>
            </w:r>
          </w:p>
        </w:tc>
        <w:tc>
          <w:tcPr>
            <w:tcW w:w="1715" w:type="dxa"/>
            <w:tcBorders>
              <w:top w:val="single" w:sz="4" w:space="0" w:color="auto"/>
              <w:left w:val="nil"/>
              <w:bottom w:val="single" w:sz="4" w:space="0" w:color="auto"/>
              <w:right w:val="single" w:sz="4" w:space="0" w:color="auto"/>
            </w:tcBorders>
            <w:shd w:val="clear" w:color="auto" w:fill="C6EFCE"/>
            <w:noWrap/>
          </w:tcPr>
          <w:p w14:paraId="269348CA" w14:textId="77777777" w:rsidR="00CB0FCB" w:rsidRDefault="009D2B11">
            <w:pPr>
              <w:pStyle w:val="P68B1DB1-Normal9"/>
              <w:spacing w:after="0" w:line="240" w:lineRule="auto"/>
              <w:rPr>
                <w:rFonts w:eastAsia="Times New Roman" w:cs="Calibri"/>
                <w:noProof/>
                <w:szCs w:val="18"/>
              </w:rPr>
            </w:pPr>
            <w:r>
              <w:rPr>
                <w:noProof/>
              </w:rPr>
              <w:t xml:space="preserve">Paziņojums par līguma(-u) piešķiršanu, kas aptver visus deviņus arhīvu digitalizācijas projekta apakšprojektus </w:t>
            </w:r>
          </w:p>
        </w:tc>
        <w:tc>
          <w:tcPr>
            <w:tcW w:w="1200" w:type="dxa"/>
            <w:tcBorders>
              <w:top w:val="single" w:sz="4" w:space="0" w:color="auto"/>
              <w:left w:val="nil"/>
              <w:bottom w:val="single" w:sz="4" w:space="0" w:color="auto"/>
              <w:right w:val="single" w:sz="4" w:space="0" w:color="auto"/>
            </w:tcBorders>
            <w:shd w:val="clear" w:color="auto" w:fill="C6EFCE"/>
            <w:noWrap/>
          </w:tcPr>
          <w:p w14:paraId="7B5C25CD"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19232110"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3B81264"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7A66D47"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46BB2CD0" w14:textId="77777777" w:rsidR="00CB0FCB" w:rsidRDefault="009D2B11">
            <w:pPr>
              <w:pStyle w:val="P68B1DB1-Normal9"/>
              <w:spacing w:after="0" w:line="240" w:lineRule="auto"/>
              <w:rPr>
                <w:rFonts w:eastAsia="Times New Roman" w:cs="Calibri"/>
                <w:noProof/>
                <w:szCs w:val="18"/>
              </w:rPr>
            </w:pPr>
            <w:r>
              <w:rPr>
                <w:noProof/>
              </w:rPr>
              <w:t>2022</w:t>
            </w:r>
          </w:p>
        </w:tc>
        <w:tc>
          <w:tcPr>
            <w:tcW w:w="3593" w:type="dxa"/>
            <w:tcBorders>
              <w:top w:val="single" w:sz="4" w:space="0" w:color="auto"/>
              <w:left w:val="nil"/>
              <w:bottom w:val="single" w:sz="4" w:space="0" w:color="auto"/>
              <w:right w:val="single" w:sz="4" w:space="0" w:color="auto"/>
            </w:tcBorders>
            <w:shd w:val="clear" w:color="auto" w:fill="C6EFCE"/>
            <w:noWrap/>
          </w:tcPr>
          <w:p w14:paraId="15B2F052" w14:textId="77777777" w:rsidR="00CB0FCB" w:rsidRDefault="009D2B11">
            <w:pPr>
              <w:pStyle w:val="P68B1DB1-Normal9"/>
              <w:spacing w:after="0" w:line="240" w:lineRule="auto"/>
              <w:rPr>
                <w:rFonts w:eastAsia="Times New Roman" w:cs="Calibri"/>
                <w:noProof/>
                <w:szCs w:val="18"/>
              </w:rPr>
            </w:pPr>
            <w:r>
              <w:rPr>
                <w:noProof/>
              </w:rPr>
              <w:t xml:space="preserve">Līguma(-u) piešķiršana katram no šādiem 9 apakšprojektiem, tostarp visiem to komponentiem: </w:t>
            </w:r>
          </w:p>
          <w:p w14:paraId="0CBA3B94" w14:textId="77777777" w:rsidR="00CB0FCB" w:rsidRDefault="009D2B11">
            <w:pPr>
              <w:pStyle w:val="P68B1DB1-Normal9"/>
              <w:numPr>
                <w:ilvl w:val="0"/>
                <w:numId w:val="54"/>
              </w:numPr>
              <w:spacing w:before="120" w:after="160" w:line="259" w:lineRule="auto"/>
              <w:ind w:left="220" w:hanging="169"/>
              <w:contextualSpacing/>
              <w:jc w:val="both"/>
              <w:rPr>
                <w:rFonts w:eastAsia="Times New Roman" w:cs="Calibri"/>
                <w:noProof/>
                <w:szCs w:val="18"/>
              </w:rPr>
            </w:pPr>
            <w:r>
              <w:rPr>
                <w:noProof/>
              </w:rPr>
              <w:t>Apakšprojekts: Tiesu sistēmas arhīvu digitalizācija</w:t>
            </w:r>
          </w:p>
          <w:p w14:paraId="5F8C62AC"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Sabiedrības veselības aizsardzības sistēmas arhīvu digitalizācija</w:t>
            </w:r>
          </w:p>
          <w:p w14:paraId="27B24C62"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Valsts vispārējā arhīva digitalizācija</w:t>
            </w:r>
          </w:p>
          <w:p w14:paraId="7E2914A7"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Imigrācijas un patvēruma sistēmas arhīvu digitalizācija</w:t>
            </w:r>
          </w:p>
          <w:p w14:paraId="090A4EB2"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Ekspropriāciju arhīvu digitalizācija</w:t>
            </w:r>
          </w:p>
          <w:p w14:paraId="6B79B83C"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Pilsētplānošanas aģentūru arhīvu digitalizācija</w:t>
            </w:r>
          </w:p>
          <w:p w14:paraId="379DD121"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 Kadāstru (Ktimatologio) arhīvu digitalizācija</w:t>
            </w:r>
          </w:p>
          <w:p w14:paraId="3C6CB83A"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 Kadāstru uzlabotie digitālie pakalpojumi</w:t>
            </w:r>
          </w:p>
          <w:p w14:paraId="31E46FB9"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 Jūras arhīvu digitalizācija</w:t>
            </w:r>
          </w:p>
          <w:p w14:paraId="239EE034" w14:textId="77777777" w:rsidR="00CB0FCB" w:rsidRDefault="009D2B11">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Apakšprojekts: Publiskā sektora un “plašāka” publiskā sektora droša uzglabāšana</w:t>
            </w:r>
          </w:p>
          <w:p w14:paraId="210BF61F" w14:textId="77777777" w:rsidR="00CB0FCB" w:rsidRDefault="009D2B11">
            <w:pPr>
              <w:pStyle w:val="P68B1DB1-Normal9"/>
              <w:spacing w:after="0" w:line="240" w:lineRule="auto"/>
              <w:rPr>
                <w:rFonts w:eastAsia="Times New Roman" w:cs="Calibri"/>
                <w:noProof/>
                <w:szCs w:val="18"/>
              </w:rPr>
            </w:pPr>
            <w:r>
              <w:rPr>
                <w:noProof/>
              </w:rPr>
              <w:t xml:space="preserve">Specifikācijās ietver termiņus un mērķus, un par katru no 9 apakšprojektiem sīki izklāsta: </w:t>
            </w:r>
          </w:p>
          <w:p w14:paraId="62EDC4D2" w14:textId="77777777" w:rsidR="00CB0FCB" w:rsidRDefault="009D2B11">
            <w:pPr>
              <w:pStyle w:val="P68B1DB1-Normal9"/>
              <w:spacing w:after="0" w:line="240" w:lineRule="auto"/>
              <w:rPr>
                <w:rFonts w:eastAsia="Times New Roman" w:cs="Calibri"/>
                <w:noProof/>
                <w:szCs w:val="18"/>
              </w:rPr>
            </w:pPr>
            <w:r>
              <w:rPr>
                <w:noProof/>
              </w:rPr>
              <w:t xml:space="preserve">1. Fizisko ierakstu digitalizācija </w:t>
            </w:r>
          </w:p>
          <w:p w14:paraId="56A4AA05" w14:textId="77777777" w:rsidR="00CB0FCB" w:rsidRDefault="009D2B11">
            <w:pPr>
              <w:pStyle w:val="P68B1DB1-Normal9"/>
              <w:spacing w:after="0" w:line="240" w:lineRule="auto"/>
              <w:rPr>
                <w:rFonts w:eastAsia="Times New Roman" w:cs="Calibri"/>
                <w:noProof/>
                <w:szCs w:val="18"/>
              </w:rPr>
            </w:pPr>
            <w:r>
              <w:rPr>
                <w:noProof/>
              </w:rPr>
              <w:t>2) digitālo ierakstu migrācija uz esošajām sistēmām (tostarp tieslietu datnes OSDDY-PP/OSDDY-DD; īpašuma tiesības Valsts zemes reģistra informācijas sistēmā)</w:t>
            </w:r>
          </w:p>
          <w:p w14:paraId="061B53B8" w14:textId="77777777" w:rsidR="00CB0FCB" w:rsidRDefault="009D2B11">
            <w:pPr>
              <w:pStyle w:val="P68B1DB1-Normal9"/>
              <w:spacing w:after="0" w:line="240" w:lineRule="auto"/>
              <w:rPr>
                <w:rFonts w:eastAsia="Times New Roman" w:cs="Calibri"/>
                <w:noProof/>
                <w:szCs w:val="18"/>
              </w:rPr>
            </w:pPr>
            <w:r>
              <w:rPr>
                <w:noProof/>
              </w:rPr>
              <w:t>3. datu centru un vietējo aģentūru infrastruktūras analīze, projektēšana un ieviešana kopā ar atbilstošu vienloga sistēmu (tostarp centrālu pacientu reģistru repozitoriju; Vienotās digitālās ekspropriāciju kartes un prasījumu par ekspropriācijām integrētā ģeogrāfiskās informācijas sistēma; Dokumentu un digitālo datņu pārvaldības sistēma (DMS/DAS) kadastrālajiem ierakstiem; arhīvu pārvaldības programmatūras instalēšana).</w:t>
            </w:r>
          </w:p>
          <w:p w14:paraId="61675B69" w14:textId="77777777" w:rsidR="00CB0FCB" w:rsidRDefault="009D2B11">
            <w:pPr>
              <w:pStyle w:val="P68B1DB1-Normal9"/>
              <w:spacing w:after="0" w:line="240" w:lineRule="auto"/>
              <w:rPr>
                <w:rFonts w:eastAsia="Times New Roman" w:cs="Calibri"/>
                <w:noProof/>
                <w:szCs w:val="18"/>
              </w:rPr>
            </w:pPr>
            <w:r>
              <w:rPr>
                <w:noProof/>
              </w:rPr>
              <w:t>4. atbalsta pakalpojumi (tostarp jauni elektroniskie pakalpojumi, kas saistīti ar iedzīvotājiem paredzētu datņu meklēšanu un izguvi; valsts pārvalde; valsts arhīvu pētnieki).</w:t>
            </w:r>
          </w:p>
        </w:tc>
      </w:tr>
      <w:tr w:rsidR="00CB0FCB" w14:paraId="1FFE316C" w14:textId="77777777">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hideMark/>
          </w:tcPr>
          <w:p w14:paraId="2C944E33" w14:textId="77777777" w:rsidR="00CB0FCB" w:rsidRDefault="009D2B11">
            <w:pPr>
              <w:pStyle w:val="P68B1DB1-Normal9"/>
              <w:spacing w:after="0" w:line="240" w:lineRule="auto"/>
              <w:rPr>
                <w:rFonts w:eastAsia="Times New Roman" w:cs="Calibri"/>
                <w:noProof/>
                <w:szCs w:val="18"/>
              </w:rPr>
            </w:pPr>
            <w:r>
              <w:rPr>
                <w:noProof/>
              </w:rPr>
              <w:t>95</w:t>
            </w:r>
          </w:p>
        </w:tc>
        <w:tc>
          <w:tcPr>
            <w:tcW w:w="1985" w:type="dxa"/>
            <w:tcBorders>
              <w:top w:val="single" w:sz="4" w:space="0" w:color="auto"/>
              <w:left w:val="nil"/>
              <w:bottom w:val="single" w:sz="4" w:space="0" w:color="auto"/>
              <w:right w:val="single" w:sz="4" w:space="0" w:color="auto"/>
            </w:tcBorders>
            <w:shd w:val="clear" w:color="auto" w:fill="C6EFCE"/>
            <w:noWrap/>
            <w:hideMark/>
          </w:tcPr>
          <w:p w14:paraId="5088BDE3" w14:textId="0C5F7936" w:rsidR="00CB0FCB" w:rsidRDefault="009D2B11">
            <w:pPr>
              <w:pStyle w:val="P68B1DB1-Normal9"/>
              <w:spacing w:after="0" w:line="240" w:lineRule="auto"/>
              <w:rPr>
                <w:rFonts w:eastAsia="Times New Roman" w:cs="Calibri"/>
                <w:noProof/>
                <w:szCs w:val="18"/>
              </w:rPr>
            </w:pPr>
            <w:r>
              <w:rPr>
                <w:noProof/>
              </w:rPr>
              <w:t>6–2.2. Modernizācija — 16778_Arhīvu un saistīto pakalpojumu digitalizācija</w:t>
            </w:r>
          </w:p>
        </w:tc>
        <w:tc>
          <w:tcPr>
            <w:tcW w:w="992" w:type="dxa"/>
            <w:tcBorders>
              <w:top w:val="single" w:sz="4" w:space="0" w:color="auto"/>
              <w:left w:val="nil"/>
              <w:bottom w:val="single" w:sz="4" w:space="0" w:color="auto"/>
              <w:right w:val="single" w:sz="4" w:space="0" w:color="auto"/>
            </w:tcBorders>
            <w:shd w:val="clear" w:color="auto" w:fill="C6EFCE"/>
            <w:noWrap/>
            <w:hideMark/>
          </w:tcPr>
          <w:p w14:paraId="28E9929F" w14:textId="47F7E6D6" w:rsidR="00CB0FCB" w:rsidRDefault="009D2B11">
            <w:pPr>
              <w:pStyle w:val="P68B1DB1-Normal9"/>
              <w:spacing w:after="0" w:line="240" w:lineRule="auto"/>
              <w:rPr>
                <w:rFonts w:eastAsia="Times New Roman" w:cs="Calibri"/>
                <w:noProof/>
                <w:szCs w:val="18"/>
              </w:rPr>
            </w:pPr>
            <w:r>
              <w:rPr>
                <w:noProof/>
              </w:rPr>
              <w:t>Mērķa</w:t>
            </w:r>
          </w:p>
        </w:tc>
        <w:tc>
          <w:tcPr>
            <w:tcW w:w="1701" w:type="dxa"/>
            <w:tcBorders>
              <w:top w:val="single" w:sz="4" w:space="0" w:color="auto"/>
              <w:left w:val="nil"/>
              <w:bottom w:val="single" w:sz="4" w:space="0" w:color="auto"/>
              <w:right w:val="single" w:sz="4" w:space="0" w:color="auto"/>
            </w:tcBorders>
            <w:shd w:val="clear" w:color="auto" w:fill="C6EFCE"/>
            <w:noWrap/>
            <w:hideMark/>
          </w:tcPr>
          <w:p w14:paraId="23AA997B" w14:textId="77777777" w:rsidR="00CB0FCB" w:rsidRDefault="009D2B11">
            <w:pPr>
              <w:pStyle w:val="P68B1DB1-Normal9"/>
              <w:spacing w:after="0" w:line="240" w:lineRule="auto"/>
              <w:rPr>
                <w:rFonts w:eastAsia="Times New Roman" w:cs="Calibri"/>
                <w:noProof/>
                <w:szCs w:val="18"/>
              </w:rPr>
            </w:pPr>
            <w:r>
              <w:rPr>
                <w:noProof/>
              </w:rPr>
              <w:t>Arhīvu digitalizācija — pilnīga īstenošana</w:t>
            </w:r>
          </w:p>
        </w:tc>
        <w:tc>
          <w:tcPr>
            <w:tcW w:w="1715" w:type="dxa"/>
            <w:tcBorders>
              <w:top w:val="single" w:sz="4" w:space="0" w:color="auto"/>
              <w:left w:val="nil"/>
              <w:bottom w:val="single" w:sz="4" w:space="0" w:color="auto"/>
              <w:right w:val="single" w:sz="4" w:space="0" w:color="auto"/>
            </w:tcBorders>
            <w:shd w:val="clear" w:color="auto" w:fill="C6EFCE"/>
            <w:noWrap/>
            <w:hideMark/>
          </w:tcPr>
          <w:p w14:paraId="62CED49B" w14:textId="77777777" w:rsidR="00CB0FCB" w:rsidRDefault="00CB0FCB">
            <w:pPr>
              <w:spacing w:after="0" w:line="240" w:lineRule="auto"/>
              <w:rPr>
                <w:rFonts w:eastAsia="Times New Roman" w:cs="Calibri"/>
                <w:noProof/>
                <w:color w:val="006100"/>
                <w:sz w:val="18"/>
                <w:szCs w:val="18"/>
              </w:rPr>
            </w:pPr>
          </w:p>
        </w:tc>
        <w:tc>
          <w:tcPr>
            <w:tcW w:w="1200" w:type="dxa"/>
            <w:tcBorders>
              <w:top w:val="single" w:sz="4" w:space="0" w:color="auto"/>
              <w:left w:val="nil"/>
              <w:bottom w:val="single" w:sz="4" w:space="0" w:color="auto"/>
              <w:right w:val="single" w:sz="4" w:space="0" w:color="auto"/>
            </w:tcBorders>
            <w:shd w:val="clear" w:color="auto" w:fill="C6EFCE"/>
            <w:noWrap/>
            <w:hideMark/>
          </w:tcPr>
          <w:p w14:paraId="33BF1EBE" w14:textId="0F4C3238" w:rsidR="00CB0FCB" w:rsidRDefault="009D2B11">
            <w:pPr>
              <w:pStyle w:val="P68B1DB1-Normal9"/>
              <w:spacing w:after="0" w:line="240" w:lineRule="auto"/>
              <w:rPr>
                <w:rFonts w:eastAsia="Times New Roman" w:cs="Calibri"/>
                <w:noProof/>
                <w:szCs w:val="18"/>
              </w:rPr>
            </w:pPr>
            <w:r>
              <w:rPr>
                <w:noProof/>
              </w:rPr>
              <w:t>To lappušu procentuālā daļa, kas digitalizētas, metamarķētas un migrētas esošajās sistēmās</w:t>
            </w:r>
          </w:p>
        </w:tc>
        <w:tc>
          <w:tcPr>
            <w:tcW w:w="1080" w:type="dxa"/>
            <w:tcBorders>
              <w:top w:val="single" w:sz="4" w:space="0" w:color="auto"/>
              <w:left w:val="nil"/>
              <w:bottom w:val="single" w:sz="4" w:space="0" w:color="auto"/>
              <w:right w:val="single" w:sz="4" w:space="0" w:color="auto"/>
            </w:tcBorders>
            <w:shd w:val="clear" w:color="auto" w:fill="C6EFCE"/>
            <w:noWrap/>
            <w:hideMark/>
          </w:tcPr>
          <w:p w14:paraId="460B3019" w14:textId="792F3D78" w:rsidR="00CB0FCB" w:rsidRDefault="009D2B11">
            <w:pPr>
              <w:pStyle w:val="P68B1DB1-Normal10"/>
              <w:spacing w:after="0" w:line="240" w:lineRule="auto"/>
              <w:rPr>
                <w:rFonts w:eastAsia="Times New Roman" w:cs="Calibri"/>
                <w:noProof/>
              </w:rPr>
            </w:pPr>
            <w:r>
              <w:rPr>
                <w:noProof/>
              </w:rPr>
              <w:t>0</w:t>
            </w:r>
          </w:p>
        </w:tc>
        <w:tc>
          <w:tcPr>
            <w:tcW w:w="960" w:type="dxa"/>
            <w:tcBorders>
              <w:top w:val="single" w:sz="4" w:space="0" w:color="auto"/>
              <w:left w:val="nil"/>
              <w:bottom w:val="single" w:sz="4" w:space="0" w:color="auto"/>
              <w:right w:val="single" w:sz="4" w:space="0" w:color="auto"/>
            </w:tcBorders>
            <w:shd w:val="clear" w:color="auto" w:fill="C6EFCE"/>
            <w:noWrap/>
            <w:hideMark/>
          </w:tcPr>
          <w:p w14:paraId="3640F717" w14:textId="77777777" w:rsidR="00CB0FCB" w:rsidRDefault="009D2B11">
            <w:pPr>
              <w:pStyle w:val="P68B1DB1-Normal9"/>
              <w:spacing w:after="0" w:line="240" w:lineRule="auto"/>
              <w:rPr>
                <w:rFonts w:eastAsia="Times New Roman" w:cs="Calibri"/>
                <w:noProof/>
                <w:szCs w:val="18"/>
              </w:rPr>
            </w:pPr>
            <w:r>
              <w:rPr>
                <w:noProof/>
              </w:rPr>
              <w:t>90 %</w:t>
            </w:r>
          </w:p>
        </w:tc>
        <w:tc>
          <w:tcPr>
            <w:tcW w:w="960" w:type="dxa"/>
            <w:tcBorders>
              <w:top w:val="single" w:sz="4" w:space="0" w:color="auto"/>
              <w:left w:val="nil"/>
              <w:bottom w:val="single" w:sz="4" w:space="0" w:color="auto"/>
              <w:right w:val="single" w:sz="4" w:space="0" w:color="auto"/>
            </w:tcBorders>
            <w:shd w:val="clear" w:color="auto" w:fill="C6EFCE"/>
            <w:noWrap/>
            <w:hideMark/>
          </w:tcPr>
          <w:p w14:paraId="7553F62F" w14:textId="49547421"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hideMark/>
          </w:tcPr>
          <w:p w14:paraId="31185832" w14:textId="77777777" w:rsidR="00CB0FCB" w:rsidRDefault="009D2B11">
            <w:pPr>
              <w:pStyle w:val="P68B1DB1-Normal9"/>
              <w:spacing w:after="0" w:line="240" w:lineRule="auto"/>
              <w:rPr>
                <w:rFonts w:eastAsia="Times New Roman" w:cs="Calibri"/>
                <w:noProof/>
                <w:szCs w:val="18"/>
              </w:rPr>
            </w:pPr>
            <w:r>
              <w:rPr>
                <w:noProof/>
              </w:rPr>
              <w:t>2025</w:t>
            </w:r>
          </w:p>
        </w:tc>
        <w:tc>
          <w:tcPr>
            <w:tcW w:w="3593" w:type="dxa"/>
            <w:tcBorders>
              <w:top w:val="single" w:sz="4" w:space="0" w:color="auto"/>
              <w:left w:val="nil"/>
              <w:bottom w:val="single" w:sz="4" w:space="0" w:color="auto"/>
              <w:right w:val="single" w:sz="4" w:space="0" w:color="auto"/>
            </w:tcBorders>
            <w:shd w:val="clear" w:color="auto" w:fill="C6EFCE"/>
            <w:noWrap/>
            <w:hideMark/>
          </w:tcPr>
          <w:p w14:paraId="0DFC3808" w14:textId="0E546CAB" w:rsidR="00CB0FCB" w:rsidRDefault="009D2B11">
            <w:pPr>
              <w:pStyle w:val="P68B1DB1-Normal9"/>
              <w:spacing w:after="0" w:line="240" w:lineRule="auto"/>
              <w:rPr>
                <w:rFonts w:eastAsia="Times New Roman" w:cs="Calibri"/>
                <w:noProof/>
                <w:szCs w:val="18"/>
              </w:rPr>
            </w:pPr>
            <w:r>
              <w:rPr>
                <w:noProof/>
              </w:rPr>
              <w:t xml:space="preserve">Digitalizācija vismaz 90 % apmērā no kopējā lappušu skaita. </w:t>
            </w:r>
          </w:p>
        </w:tc>
      </w:tr>
      <w:tr w:rsidR="00CB0FCB" w14:paraId="5D0CEFBE" w14:textId="77777777">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tcPr>
          <w:p w14:paraId="75BABDA5" w14:textId="77777777" w:rsidR="00CB0FCB" w:rsidRDefault="009D2B11">
            <w:pPr>
              <w:pStyle w:val="P68B1DB1-Normal9"/>
              <w:spacing w:after="0" w:line="240" w:lineRule="auto"/>
              <w:rPr>
                <w:rFonts w:eastAsia="Times New Roman" w:cs="Calibri"/>
                <w:noProof/>
                <w:szCs w:val="18"/>
              </w:rPr>
            </w:pPr>
            <w:r>
              <w:rPr>
                <w:noProof/>
              </w:rPr>
              <w:t>95a</w:t>
            </w:r>
          </w:p>
        </w:tc>
        <w:tc>
          <w:tcPr>
            <w:tcW w:w="1985" w:type="dxa"/>
            <w:tcBorders>
              <w:top w:val="single" w:sz="4" w:space="0" w:color="auto"/>
              <w:left w:val="nil"/>
              <w:bottom w:val="single" w:sz="4" w:space="0" w:color="auto"/>
              <w:right w:val="single" w:sz="4" w:space="0" w:color="auto"/>
            </w:tcBorders>
            <w:shd w:val="clear" w:color="auto" w:fill="C6EFCE"/>
            <w:noWrap/>
          </w:tcPr>
          <w:p w14:paraId="180A52BD" w14:textId="77777777" w:rsidR="00CB0FCB" w:rsidRDefault="009D2B11">
            <w:pPr>
              <w:pStyle w:val="P68B1DB1-Normal9"/>
              <w:spacing w:after="0" w:line="240" w:lineRule="auto"/>
              <w:rPr>
                <w:rFonts w:eastAsia="Times New Roman" w:cs="Calibri"/>
                <w:noProof/>
                <w:szCs w:val="18"/>
              </w:rPr>
            </w:pPr>
            <w:r>
              <w:rPr>
                <w:noProof/>
              </w:rPr>
              <w:t>6–2.2. Modernizācija — 16778_Arhīvu un saistīto pakalpojumu digitalizācija</w:t>
            </w:r>
          </w:p>
        </w:tc>
        <w:tc>
          <w:tcPr>
            <w:tcW w:w="992" w:type="dxa"/>
            <w:tcBorders>
              <w:top w:val="single" w:sz="4" w:space="0" w:color="auto"/>
              <w:left w:val="nil"/>
              <w:bottom w:val="single" w:sz="4" w:space="0" w:color="auto"/>
              <w:right w:val="single" w:sz="4" w:space="0" w:color="auto"/>
            </w:tcBorders>
            <w:shd w:val="clear" w:color="auto" w:fill="C6EFCE"/>
            <w:noWrap/>
          </w:tcPr>
          <w:p w14:paraId="5F14D06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01" w:type="dxa"/>
            <w:tcBorders>
              <w:top w:val="single" w:sz="4" w:space="0" w:color="auto"/>
              <w:left w:val="nil"/>
              <w:bottom w:val="single" w:sz="4" w:space="0" w:color="auto"/>
              <w:right w:val="single" w:sz="4" w:space="0" w:color="auto"/>
            </w:tcBorders>
            <w:shd w:val="clear" w:color="auto" w:fill="C6EFCE"/>
            <w:noWrap/>
          </w:tcPr>
          <w:p w14:paraId="3C8D1FDF" w14:textId="77777777" w:rsidR="00CB0FCB" w:rsidRDefault="009D2B11">
            <w:pPr>
              <w:pStyle w:val="P68B1DB1-Normal9"/>
              <w:spacing w:after="0" w:line="240" w:lineRule="auto"/>
              <w:rPr>
                <w:rFonts w:eastAsia="Times New Roman" w:cs="Calibri"/>
                <w:noProof/>
                <w:szCs w:val="18"/>
              </w:rPr>
            </w:pPr>
            <w:r>
              <w:rPr>
                <w:noProof/>
              </w:rPr>
              <w:t>Un 9. apakšprojektu īstenošana</w:t>
            </w:r>
          </w:p>
        </w:tc>
        <w:tc>
          <w:tcPr>
            <w:tcW w:w="1715" w:type="dxa"/>
            <w:tcBorders>
              <w:top w:val="single" w:sz="4" w:space="0" w:color="auto"/>
              <w:left w:val="nil"/>
              <w:bottom w:val="single" w:sz="4" w:space="0" w:color="auto"/>
              <w:right w:val="single" w:sz="4" w:space="0" w:color="auto"/>
            </w:tcBorders>
            <w:shd w:val="clear" w:color="auto" w:fill="C6EFCE"/>
            <w:noWrap/>
          </w:tcPr>
          <w:p w14:paraId="0D0C76EC" w14:textId="77777777" w:rsidR="00CB0FCB" w:rsidRDefault="009D2B11">
            <w:pPr>
              <w:pStyle w:val="P68B1DB1-Normal9"/>
              <w:spacing w:after="0" w:line="240" w:lineRule="auto"/>
              <w:rPr>
                <w:rFonts w:eastAsia="Times New Roman" w:cs="Calibri"/>
                <w:noProof/>
                <w:szCs w:val="18"/>
              </w:rPr>
            </w:pPr>
            <w:r>
              <w:rPr>
                <w:noProof/>
              </w:rPr>
              <w:t>Digitālās pārvaldības ministrijas ziņojums, kurā apstiprināts, ka ir pabeigti apakšprojekti “7B uzlaboti digitālie pakalpojumi kadastram” un “9 — Valsts sektora un plašāka publiskā sektora arhīvu droša glabāšana”.</w:t>
            </w:r>
          </w:p>
        </w:tc>
        <w:tc>
          <w:tcPr>
            <w:tcW w:w="1200" w:type="dxa"/>
            <w:tcBorders>
              <w:top w:val="single" w:sz="4" w:space="0" w:color="auto"/>
              <w:left w:val="nil"/>
              <w:bottom w:val="single" w:sz="4" w:space="0" w:color="auto"/>
              <w:right w:val="single" w:sz="4" w:space="0" w:color="auto"/>
            </w:tcBorders>
            <w:shd w:val="clear" w:color="auto" w:fill="C6EFCE"/>
            <w:noWrap/>
          </w:tcPr>
          <w:p w14:paraId="323AE519"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1873ADC0"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28DD6509"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5079CC48"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6B9EC0F8" w14:textId="77777777" w:rsidR="00CB0FCB" w:rsidRDefault="009D2B11">
            <w:pPr>
              <w:pStyle w:val="P68B1DB1-Normal9"/>
              <w:spacing w:after="0" w:line="240" w:lineRule="auto"/>
              <w:rPr>
                <w:rFonts w:eastAsia="Times New Roman" w:cs="Calibri"/>
                <w:noProof/>
                <w:szCs w:val="18"/>
              </w:rPr>
            </w:pPr>
            <w:r>
              <w:rPr>
                <w:noProof/>
              </w:rPr>
              <w:t>2025</w:t>
            </w:r>
          </w:p>
        </w:tc>
        <w:tc>
          <w:tcPr>
            <w:tcW w:w="3593" w:type="dxa"/>
            <w:tcBorders>
              <w:top w:val="single" w:sz="4" w:space="0" w:color="auto"/>
              <w:left w:val="nil"/>
              <w:bottom w:val="single" w:sz="4" w:space="0" w:color="auto"/>
              <w:right w:val="single" w:sz="4" w:space="0" w:color="auto"/>
            </w:tcBorders>
            <w:shd w:val="clear" w:color="auto" w:fill="C6EFCE"/>
            <w:noWrap/>
          </w:tcPr>
          <w:p w14:paraId="445DC9A1" w14:textId="08D88E6D" w:rsidR="00CB0FCB" w:rsidRDefault="009D2B11">
            <w:pPr>
              <w:pStyle w:val="P68B1DB1-Normal9"/>
              <w:spacing w:after="0" w:line="240" w:lineRule="auto"/>
              <w:rPr>
                <w:rFonts w:eastAsia="Times New Roman" w:cs="Calibri"/>
                <w:noProof/>
                <w:szCs w:val="18"/>
              </w:rPr>
            </w:pPr>
            <w:r>
              <w:rPr>
                <w:noProof/>
              </w:rPr>
              <w:t>Apakšprojekta “7B uzlaboti kadastra digitālie pakalpojumi” īstenošanas pabeigšana, lai digitalizētu Grieķijas kadastra piedāvātos pakalpojumus, un apakšprojekta “9 — Valsts sektora un plašāka publiskā sektora arhīvu droša glabāšana” īstenošanas pabeigšana.</w:t>
            </w:r>
          </w:p>
        </w:tc>
      </w:tr>
    </w:tbl>
    <w:p w14:paraId="54562616" w14:textId="77777777" w:rsidR="00CB0FCB" w:rsidRDefault="00CB0FCB">
      <w:pPr>
        <w:spacing w:before="120" w:after="120" w:line="240" w:lineRule="auto"/>
        <w:ind w:left="709"/>
        <w:jc w:val="both"/>
        <w:rPr>
          <w:rFonts w:ascii="Times New Roman" w:hAnsi="Times New Roman" w:cs="Times New Roman"/>
          <w:noProof/>
          <w:sz w:val="24"/>
          <w:szCs w:val="24"/>
        </w:rPr>
      </w:pPr>
    </w:p>
    <w:p w14:paraId="1E8BEE4A" w14:textId="77777777" w:rsidR="00CB0FCB" w:rsidRDefault="009D2B11">
      <w:pPr>
        <w:pStyle w:val="P68B1DB1-Normal6"/>
        <w:keepNext/>
        <w:keepLines/>
        <w:spacing w:before="40" w:after="0" w:line="240" w:lineRule="auto"/>
        <w:jc w:val="both"/>
        <w:outlineLvl w:val="4"/>
        <w:rPr>
          <w:noProof/>
        </w:rPr>
      </w:pPr>
      <w:r>
        <w:rPr>
          <w:noProof/>
        </w:rPr>
        <w:t>Galvenā reforma Nr. 5: Ceļā uz valsts pārvaldes “klientu” pakalpojumiem, vienkāršojot un uzlabojot procesus — reģistru, sistēmu un pakalpojumu savstarpēja savienošana un sadarbspēja</w:t>
      </w:r>
    </w:p>
    <w:p w14:paraId="79414334"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pPr w:leftFromText="180" w:rightFromText="180" w:vertAnchor="text" w:tblpXSpec="center" w:tblpY="1"/>
        <w:tblOverlap w:val="never"/>
        <w:tblW w:w="15588" w:type="dxa"/>
        <w:jc w:val="center"/>
        <w:tblLayout w:type="fixed"/>
        <w:tblLook w:val="04A0" w:firstRow="1" w:lastRow="0" w:firstColumn="1" w:lastColumn="0" w:noHBand="0" w:noVBand="1"/>
      </w:tblPr>
      <w:tblGrid>
        <w:gridCol w:w="1027"/>
        <w:gridCol w:w="2229"/>
        <w:gridCol w:w="1134"/>
        <w:gridCol w:w="1275"/>
        <w:gridCol w:w="1530"/>
        <w:gridCol w:w="880"/>
        <w:gridCol w:w="992"/>
        <w:gridCol w:w="888"/>
        <w:gridCol w:w="1080"/>
        <w:gridCol w:w="960"/>
        <w:gridCol w:w="3593"/>
      </w:tblGrid>
      <w:tr w:rsidR="00CB0FCB" w14:paraId="78C5BBBC" w14:textId="77777777">
        <w:trPr>
          <w:trHeight w:val="93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BC162E"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548588" w14:textId="77777777" w:rsidR="00CB0FCB" w:rsidRDefault="009D2B11">
            <w:pPr>
              <w:pStyle w:val="P68B1DB1-Normal7"/>
              <w:spacing w:after="0" w:line="240" w:lineRule="auto"/>
              <w:jc w:val="center"/>
              <w:rPr>
                <w:noProof/>
              </w:rPr>
            </w:pPr>
            <w:r>
              <w:rPr>
                <w:noProof/>
              </w:rPr>
              <w:t xml:space="preserve">Saistītais pasākums </w:t>
            </w:r>
          </w:p>
          <w:p w14:paraId="65ABB8F4" w14:textId="3960DEEA" w:rsidR="00CB0FCB" w:rsidRDefault="009D2B11">
            <w:pPr>
              <w:pStyle w:val="P68B1DB1-Normal7"/>
              <w:spacing w:after="0" w:line="240" w:lineRule="auto"/>
              <w:jc w:val="center"/>
              <w:rPr>
                <w:rFonts w:eastAsia="Times New Roman" w:cs="Times New Roman"/>
                <w:bCs/>
                <w:noProof/>
                <w:szCs w:val="18"/>
              </w:rPr>
            </w:pPr>
            <w:r>
              <w:rPr>
                <w:noProof/>
              </w:rPr>
              <w:t>(Reforma vai investīcijas)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E3451B"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DED5D4"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BE089F"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76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C5D971A"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204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D7A8407"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5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27FA99"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624A51D7" w14:textId="77777777">
        <w:trPr>
          <w:trHeight w:val="612"/>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4C01AAD" w14:textId="77777777" w:rsidR="00CB0FCB" w:rsidRDefault="00CB0FCB">
            <w:pPr>
              <w:spacing w:after="0" w:line="240" w:lineRule="auto"/>
              <w:rPr>
                <w:rFonts w:ascii="Times New Roman" w:eastAsia="Times New Roman" w:hAnsi="Times New Roman" w:cs="Times New Roman"/>
                <w:b/>
                <w:bCs/>
                <w:noProof/>
                <w:sz w:val="18"/>
                <w:szCs w:val="18"/>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68CC3098"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11793" w14:textId="77777777" w:rsidR="00CB0FCB" w:rsidRDefault="00CB0FCB">
            <w:pPr>
              <w:spacing w:after="0" w:line="240" w:lineRule="auto"/>
              <w:rPr>
                <w:rFonts w:ascii="Times New Roman" w:eastAsia="Times New Roman" w:hAnsi="Times New Roman" w:cs="Times New Roman"/>
                <w:b/>
                <w:bCs/>
                <w:noProof/>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A252DF" w14:textId="77777777" w:rsidR="00CB0FCB" w:rsidRDefault="00CB0FCB">
            <w:pPr>
              <w:spacing w:after="0" w:line="240" w:lineRule="auto"/>
              <w:rPr>
                <w:rFonts w:ascii="Times New Roman" w:eastAsia="Times New Roman" w:hAnsi="Times New Roman" w:cs="Times New Roman"/>
                <w:b/>
                <w:bCs/>
                <w:noProof/>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3520138" w14:textId="77777777" w:rsidR="00CB0FCB" w:rsidRDefault="00CB0FCB">
            <w:pPr>
              <w:spacing w:after="0" w:line="240" w:lineRule="auto"/>
              <w:rPr>
                <w:rFonts w:ascii="Times New Roman" w:eastAsia="Times New Roman" w:hAnsi="Times New Roman" w:cs="Times New Roman"/>
                <w:b/>
                <w:bCs/>
                <w:noProof/>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C056A67"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92" w:type="dxa"/>
            <w:tcBorders>
              <w:top w:val="single" w:sz="4" w:space="0" w:color="auto"/>
              <w:left w:val="nil"/>
              <w:bottom w:val="single" w:sz="4" w:space="0" w:color="auto"/>
              <w:right w:val="single" w:sz="4" w:space="0" w:color="auto"/>
            </w:tcBorders>
            <w:shd w:val="clear" w:color="auto" w:fill="BDD7EE"/>
            <w:vAlign w:val="center"/>
          </w:tcPr>
          <w:p w14:paraId="76CFDFF0" w14:textId="77777777" w:rsidR="00CB0FCB" w:rsidRDefault="009D2B11">
            <w:pPr>
              <w:pStyle w:val="P68B1DB1-Normal7"/>
              <w:spacing w:after="0" w:line="240" w:lineRule="auto"/>
              <w:jc w:val="center"/>
              <w:rPr>
                <w:rFonts w:eastAsia="Times New Roman" w:cs="Times New Roman"/>
                <w:bCs/>
                <w:noProof/>
                <w:szCs w:val="18"/>
              </w:rPr>
            </w:pPr>
            <w:r>
              <w:rPr>
                <w:noProof/>
              </w:rPr>
              <w:t>Pamatscenārijs</w:t>
            </w:r>
          </w:p>
        </w:tc>
        <w:tc>
          <w:tcPr>
            <w:tcW w:w="888" w:type="dxa"/>
            <w:tcBorders>
              <w:top w:val="single" w:sz="4" w:space="0" w:color="auto"/>
              <w:left w:val="nil"/>
              <w:bottom w:val="single" w:sz="4" w:space="0" w:color="auto"/>
              <w:right w:val="single" w:sz="4" w:space="0" w:color="auto"/>
            </w:tcBorders>
            <w:shd w:val="clear" w:color="auto" w:fill="BDD7EE"/>
            <w:vAlign w:val="center"/>
            <w:hideMark/>
          </w:tcPr>
          <w:p w14:paraId="1FCEE7F6" w14:textId="77777777" w:rsidR="00CB0FCB" w:rsidRDefault="009D2B11">
            <w:pPr>
              <w:pStyle w:val="P68B1DB1-Normal7"/>
              <w:spacing w:after="0" w:line="240" w:lineRule="auto"/>
              <w:jc w:val="center"/>
              <w:rPr>
                <w:rFonts w:eastAsia="Times New Roman" w:cs="Times New Roman"/>
                <w:bCs/>
                <w:noProof/>
                <w:szCs w:val="18"/>
              </w:rPr>
            </w:pPr>
            <w:r>
              <w:rPr>
                <w:noProof/>
              </w:rPr>
              <w:t>Mērķis</w:t>
            </w:r>
          </w:p>
        </w:tc>
        <w:tc>
          <w:tcPr>
            <w:tcW w:w="1080" w:type="dxa"/>
            <w:tcBorders>
              <w:top w:val="single" w:sz="4" w:space="0" w:color="auto"/>
              <w:left w:val="nil"/>
              <w:bottom w:val="single" w:sz="4" w:space="0" w:color="auto"/>
              <w:right w:val="single" w:sz="4" w:space="0" w:color="auto"/>
            </w:tcBorders>
            <w:shd w:val="clear" w:color="auto" w:fill="BDD7EE"/>
            <w:vAlign w:val="center"/>
            <w:hideMark/>
          </w:tcPr>
          <w:p w14:paraId="5FA57FE3"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6B281828"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593" w:type="dxa"/>
            <w:vMerge/>
            <w:tcBorders>
              <w:top w:val="single" w:sz="4" w:space="0" w:color="auto"/>
              <w:bottom w:val="single" w:sz="4" w:space="0" w:color="auto"/>
              <w:right w:val="single" w:sz="4" w:space="0" w:color="auto"/>
            </w:tcBorders>
            <w:vAlign w:val="center"/>
            <w:hideMark/>
          </w:tcPr>
          <w:p w14:paraId="7C33978F"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359C5ED"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8329FE9" w14:textId="77777777" w:rsidR="00CB0FCB" w:rsidRDefault="009D2B11">
            <w:pPr>
              <w:pStyle w:val="P68B1DB1-Normal9"/>
              <w:spacing w:after="0" w:line="240" w:lineRule="auto"/>
              <w:rPr>
                <w:rFonts w:eastAsia="Times New Roman" w:cs="Calibri"/>
                <w:noProof/>
                <w:szCs w:val="18"/>
              </w:rPr>
            </w:pPr>
            <w:r>
              <w:rPr>
                <w:noProof/>
              </w:rPr>
              <w:t>96</w:t>
            </w:r>
          </w:p>
        </w:tc>
        <w:tc>
          <w:tcPr>
            <w:tcW w:w="2229" w:type="dxa"/>
            <w:tcBorders>
              <w:top w:val="single" w:sz="4" w:space="0" w:color="auto"/>
              <w:left w:val="nil"/>
              <w:bottom w:val="single" w:sz="4" w:space="0" w:color="auto"/>
              <w:right w:val="single" w:sz="4" w:space="0" w:color="auto"/>
            </w:tcBorders>
            <w:shd w:val="clear" w:color="auto" w:fill="C6EFCE"/>
            <w:noWrap/>
          </w:tcPr>
          <w:p w14:paraId="292DA2AF" w14:textId="77777777" w:rsidR="00CB0FCB" w:rsidRDefault="009D2B11">
            <w:pPr>
              <w:pStyle w:val="P68B1DB1-Normal9"/>
              <w:spacing w:after="0" w:line="240" w:lineRule="auto"/>
              <w:rPr>
                <w:rFonts w:eastAsia="Times New Roman" w:cs="Calibri"/>
                <w:noProof/>
                <w:szCs w:val="18"/>
              </w:rPr>
            </w:pPr>
            <w:r>
              <w:rPr>
                <w:noProof/>
              </w:rPr>
              <w:t>6–2.2. Modernizēt — 16929_Virzība uz valsts pārvaldes “klientu” pakalpojumiem, vienkāršojot un uzlabojot procesus, sistēmu uzlabojumus un atbilstību Eiropas stratēģijām un politikai</w:t>
            </w:r>
          </w:p>
        </w:tc>
        <w:tc>
          <w:tcPr>
            <w:tcW w:w="1134" w:type="dxa"/>
            <w:tcBorders>
              <w:top w:val="single" w:sz="4" w:space="0" w:color="auto"/>
              <w:left w:val="nil"/>
              <w:bottom w:val="single" w:sz="4" w:space="0" w:color="auto"/>
              <w:right w:val="single" w:sz="4" w:space="0" w:color="auto"/>
            </w:tcBorders>
            <w:shd w:val="clear" w:color="auto" w:fill="C6EFCE"/>
            <w:noWrap/>
          </w:tcPr>
          <w:p w14:paraId="56C6E2C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5" w:type="dxa"/>
            <w:tcBorders>
              <w:top w:val="single" w:sz="4" w:space="0" w:color="auto"/>
              <w:left w:val="nil"/>
              <w:bottom w:val="single" w:sz="4" w:space="0" w:color="auto"/>
              <w:right w:val="single" w:sz="4" w:space="0" w:color="auto"/>
            </w:tcBorders>
            <w:shd w:val="clear" w:color="auto" w:fill="C6EFCE"/>
            <w:noWrap/>
          </w:tcPr>
          <w:p w14:paraId="26F69F8C" w14:textId="77777777" w:rsidR="00CB0FCB" w:rsidRDefault="009D2B11">
            <w:pPr>
              <w:pStyle w:val="P68B1DB1-Normal9"/>
              <w:spacing w:after="0" w:line="240" w:lineRule="auto"/>
              <w:rPr>
                <w:rFonts w:eastAsia="Times New Roman" w:cs="Calibri"/>
                <w:noProof/>
                <w:szCs w:val="18"/>
              </w:rPr>
            </w:pPr>
            <w:r>
              <w:rPr>
                <w:noProof/>
              </w:rPr>
              <w:t>Valsts procedūru reģistra izveide un valsts procesa vienkāršošanas plāna īstenošana (pirmais posms)</w:t>
            </w:r>
          </w:p>
        </w:tc>
        <w:tc>
          <w:tcPr>
            <w:tcW w:w="1530" w:type="dxa"/>
            <w:tcBorders>
              <w:top w:val="single" w:sz="4" w:space="0" w:color="auto"/>
              <w:left w:val="nil"/>
              <w:bottom w:val="single" w:sz="4" w:space="0" w:color="auto"/>
              <w:right w:val="single" w:sz="4" w:space="0" w:color="auto"/>
            </w:tcBorders>
            <w:shd w:val="clear" w:color="auto" w:fill="C6EFCE"/>
            <w:noWrap/>
          </w:tcPr>
          <w:p w14:paraId="5E537AA0" w14:textId="5E025FB0" w:rsidR="00CB0FCB" w:rsidRDefault="009D2B11">
            <w:pPr>
              <w:pStyle w:val="P68B1DB1-Normal9"/>
              <w:spacing w:after="0" w:line="240" w:lineRule="auto"/>
              <w:rPr>
                <w:rFonts w:eastAsia="Times New Roman" w:cs="Calibri"/>
                <w:noProof/>
                <w:szCs w:val="18"/>
              </w:rPr>
            </w:pPr>
            <w:r>
              <w:rPr>
                <w:noProof/>
              </w:rPr>
              <w:t xml:space="preserve">Digitālās pārvaldības ministrijas ziņojums, kas apliecina valsts procedūru reģistra darbības uzsākšanu un darba plūsmu pabeigšanu saskaņā ar valsts procesu vienkāršošanas programmas pirmo posmu </w:t>
            </w:r>
          </w:p>
        </w:tc>
        <w:tc>
          <w:tcPr>
            <w:tcW w:w="880" w:type="dxa"/>
            <w:tcBorders>
              <w:top w:val="single" w:sz="4" w:space="0" w:color="auto"/>
              <w:left w:val="nil"/>
              <w:bottom w:val="single" w:sz="4" w:space="0" w:color="auto"/>
              <w:right w:val="single" w:sz="4" w:space="0" w:color="auto"/>
            </w:tcBorders>
            <w:shd w:val="clear" w:color="auto" w:fill="C6EFCE"/>
            <w:noWrap/>
          </w:tcPr>
          <w:p w14:paraId="439431E1"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tcPr>
          <w:p w14:paraId="274A51D7" w14:textId="77777777" w:rsidR="00CB0FCB" w:rsidRDefault="00CB0FCB">
            <w:pPr>
              <w:spacing w:after="0" w:line="240" w:lineRule="auto"/>
              <w:rPr>
                <w:rFonts w:eastAsia="Times New Roman" w:cs="Calibri"/>
                <w:noProof/>
                <w:color w:val="006100"/>
                <w:sz w:val="18"/>
                <w:szCs w:val="18"/>
              </w:rPr>
            </w:pPr>
          </w:p>
        </w:tc>
        <w:tc>
          <w:tcPr>
            <w:tcW w:w="888" w:type="dxa"/>
            <w:tcBorders>
              <w:top w:val="nil"/>
              <w:left w:val="nil"/>
              <w:bottom w:val="single" w:sz="4" w:space="0" w:color="auto"/>
              <w:right w:val="single" w:sz="4" w:space="0" w:color="auto"/>
            </w:tcBorders>
            <w:shd w:val="clear" w:color="auto" w:fill="C6EFCE"/>
            <w:noWrap/>
          </w:tcPr>
          <w:p w14:paraId="69327B6C" w14:textId="77777777" w:rsidR="00CB0FCB" w:rsidRDefault="00CB0FCB">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tcPr>
          <w:p w14:paraId="50B5C1AA" w14:textId="77777777" w:rsidR="00CB0FCB" w:rsidRDefault="009D2B11">
            <w:pPr>
              <w:pStyle w:val="P68B1DB1-Normal9"/>
              <w:spacing w:after="0" w:line="240" w:lineRule="auto"/>
              <w:rPr>
                <w:rFonts w:eastAsia="Times New Roman" w:cs="Calibri"/>
                <w:noProof/>
                <w:szCs w:val="18"/>
              </w:rPr>
            </w:pPr>
            <w:r>
              <w:rPr>
                <w:noProof/>
              </w:rPr>
              <w:t>CET.</w:t>
            </w:r>
          </w:p>
        </w:tc>
        <w:tc>
          <w:tcPr>
            <w:tcW w:w="960" w:type="dxa"/>
            <w:tcBorders>
              <w:top w:val="nil"/>
              <w:left w:val="nil"/>
              <w:bottom w:val="single" w:sz="4" w:space="0" w:color="auto"/>
              <w:right w:val="single" w:sz="4" w:space="0" w:color="auto"/>
            </w:tcBorders>
            <w:shd w:val="clear" w:color="auto" w:fill="C6EFCE"/>
            <w:noWrap/>
          </w:tcPr>
          <w:p w14:paraId="67D37205" w14:textId="77777777" w:rsidR="00CB0FCB" w:rsidRDefault="009D2B11">
            <w:pPr>
              <w:pStyle w:val="P68B1DB1-Normal9"/>
              <w:spacing w:after="0" w:line="240" w:lineRule="auto"/>
              <w:rPr>
                <w:rFonts w:eastAsia="Times New Roman" w:cs="Calibri"/>
                <w:noProof/>
                <w:szCs w:val="18"/>
              </w:rPr>
            </w:pPr>
            <w:r>
              <w:rPr>
                <w:noProof/>
              </w:rPr>
              <w:t>2022</w:t>
            </w:r>
          </w:p>
        </w:tc>
        <w:tc>
          <w:tcPr>
            <w:tcW w:w="3593" w:type="dxa"/>
            <w:tcBorders>
              <w:top w:val="single" w:sz="4" w:space="0" w:color="auto"/>
              <w:left w:val="nil"/>
              <w:bottom w:val="single" w:sz="4" w:space="0" w:color="auto"/>
              <w:right w:val="single" w:sz="4" w:space="0" w:color="auto"/>
            </w:tcBorders>
            <w:shd w:val="clear" w:color="auto" w:fill="C6EFCE"/>
            <w:noWrap/>
          </w:tcPr>
          <w:p w14:paraId="35CA0CCC" w14:textId="77777777" w:rsidR="00CB0FCB" w:rsidRDefault="009D2B11">
            <w:pPr>
              <w:pStyle w:val="P68B1DB1-Normal9"/>
              <w:spacing w:before="120" w:after="120" w:line="240" w:lineRule="auto"/>
              <w:jc w:val="both"/>
              <w:rPr>
                <w:rFonts w:eastAsia="Times New Roman" w:cs="Calibri"/>
                <w:noProof/>
                <w:szCs w:val="18"/>
              </w:rPr>
            </w:pPr>
            <w:r>
              <w:rPr>
                <w:noProof/>
              </w:rPr>
              <w:t>Valsts procedūru reģistra (“Diavlos” saskaņā ar Likuma Nr. 4727/2020 90. pantu) darbības uzsākšana un integrēšana gov.gr portālā; un vienkāršošanas darba plūsmu pirmā posma pabeigšana saskaņā ar grafiku, kas paredzēts 4 gadu valsts procesa vienkāršošanas programmā, tostarp publiskā iepirkuma procedūru digitalizācija.</w:t>
            </w:r>
          </w:p>
        </w:tc>
      </w:tr>
      <w:tr w:rsidR="00CB0FCB" w14:paraId="563902F6"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460AEA71" w14:textId="77777777" w:rsidR="00CB0FCB" w:rsidRDefault="009D2B11">
            <w:pPr>
              <w:pStyle w:val="P68B1DB1-Normal9"/>
              <w:spacing w:after="0" w:line="240" w:lineRule="auto"/>
              <w:rPr>
                <w:rFonts w:eastAsia="Times New Roman" w:cs="Calibri"/>
                <w:noProof/>
                <w:szCs w:val="18"/>
              </w:rPr>
            </w:pPr>
            <w:r>
              <w:rPr>
                <w:noProof/>
              </w:rPr>
              <w:t>97</w:t>
            </w:r>
          </w:p>
        </w:tc>
        <w:tc>
          <w:tcPr>
            <w:tcW w:w="2229" w:type="dxa"/>
            <w:tcBorders>
              <w:top w:val="nil"/>
              <w:left w:val="nil"/>
              <w:bottom w:val="single" w:sz="4" w:space="0" w:color="auto"/>
              <w:right w:val="single" w:sz="4" w:space="0" w:color="auto"/>
            </w:tcBorders>
            <w:shd w:val="clear" w:color="auto" w:fill="C6EFCE"/>
            <w:noWrap/>
          </w:tcPr>
          <w:p w14:paraId="2BD0C69F" w14:textId="77777777" w:rsidR="00CB0FCB" w:rsidRDefault="009D2B11">
            <w:pPr>
              <w:pStyle w:val="P68B1DB1-Normal9"/>
              <w:spacing w:after="0" w:line="240" w:lineRule="auto"/>
              <w:rPr>
                <w:rFonts w:eastAsia="Times New Roman" w:cs="Calibri"/>
                <w:noProof/>
                <w:szCs w:val="18"/>
              </w:rPr>
            </w:pPr>
            <w:r>
              <w:rPr>
                <w:noProof/>
              </w:rPr>
              <w:t>6–2.2. Modernizēt — 16929_Virzība uz valsts pārvaldes “klientu” pakalpojumiem, vienkāršojot un uzlabojot procesus, sistēmu uzlabojumus un atbilstību Eiropas stratēģijām un politikai</w:t>
            </w:r>
          </w:p>
        </w:tc>
        <w:tc>
          <w:tcPr>
            <w:tcW w:w="1134" w:type="dxa"/>
            <w:tcBorders>
              <w:top w:val="nil"/>
              <w:left w:val="nil"/>
              <w:bottom w:val="single" w:sz="4" w:space="0" w:color="auto"/>
              <w:right w:val="single" w:sz="4" w:space="0" w:color="auto"/>
            </w:tcBorders>
            <w:shd w:val="clear" w:color="auto" w:fill="C6EFCE"/>
            <w:noWrap/>
          </w:tcPr>
          <w:p w14:paraId="036085E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5" w:type="dxa"/>
            <w:tcBorders>
              <w:top w:val="nil"/>
              <w:left w:val="nil"/>
              <w:bottom w:val="single" w:sz="4" w:space="0" w:color="auto"/>
              <w:right w:val="single" w:sz="4" w:space="0" w:color="auto"/>
            </w:tcBorders>
            <w:shd w:val="clear" w:color="auto" w:fill="C6EFCE"/>
            <w:noWrap/>
          </w:tcPr>
          <w:p w14:paraId="28FC9A20" w14:textId="77777777" w:rsidR="00CB0FCB" w:rsidRDefault="009D2B11">
            <w:pPr>
              <w:pStyle w:val="P68B1DB1-Normal9"/>
              <w:spacing w:after="0" w:line="240" w:lineRule="auto"/>
              <w:rPr>
                <w:rFonts w:eastAsia="Times New Roman" w:cs="Calibri"/>
                <w:noProof/>
                <w:szCs w:val="18"/>
              </w:rPr>
            </w:pPr>
            <w:r>
              <w:rPr>
                <w:noProof/>
              </w:rPr>
              <w:t>Valsts procesa vienkāršošanas plāna īstenošana (otrais posms)</w:t>
            </w:r>
          </w:p>
        </w:tc>
        <w:tc>
          <w:tcPr>
            <w:tcW w:w="1530" w:type="dxa"/>
            <w:tcBorders>
              <w:top w:val="nil"/>
              <w:left w:val="nil"/>
              <w:bottom w:val="single" w:sz="4" w:space="0" w:color="auto"/>
              <w:right w:val="single" w:sz="4" w:space="0" w:color="auto"/>
            </w:tcBorders>
            <w:shd w:val="clear" w:color="auto" w:fill="C6EFCE"/>
            <w:noWrap/>
          </w:tcPr>
          <w:p w14:paraId="7DB1767E" w14:textId="1C1DC58C" w:rsidR="00CB0FCB" w:rsidRDefault="009D2B11">
            <w:pPr>
              <w:pStyle w:val="P68B1DB1-Normal9"/>
              <w:spacing w:after="0" w:line="240" w:lineRule="auto"/>
              <w:rPr>
                <w:rFonts w:eastAsia="Times New Roman" w:cs="Calibri"/>
                <w:noProof/>
                <w:szCs w:val="18"/>
              </w:rPr>
            </w:pPr>
            <w:r>
              <w:rPr>
                <w:noProof/>
              </w:rPr>
              <w:t xml:space="preserve">Iekšlietu ministrijas ziņojums, kas apliecina vienkāršošanas darba plūsmu otrā posma pabeigšanu saskaņā ar valsts procesa vienkāršošanas programmu </w:t>
            </w:r>
          </w:p>
        </w:tc>
        <w:tc>
          <w:tcPr>
            <w:tcW w:w="880" w:type="dxa"/>
            <w:tcBorders>
              <w:top w:val="nil"/>
              <w:left w:val="nil"/>
              <w:bottom w:val="single" w:sz="4" w:space="0" w:color="auto"/>
              <w:right w:val="single" w:sz="4" w:space="0" w:color="auto"/>
            </w:tcBorders>
            <w:shd w:val="clear" w:color="auto" w:fill="C6EFCE"/>
            <w:noWrap/>
          </w:tcPr>
          <w:p w14:paraId="1C1BBACF"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tcPr>
          <w:p w14:paraId="6EDA5490" w14:textId="77777777" w:rsidR="00CB0FCB" w:rsidRDefault="00CB0FCB">
            <w:pPr>
              <w:spacing w:after="0" w:line="240" w:lineRule="auto"/>
              <w:rPr>
                <w:rFonts w:eastAsia="Times New Roman" w:cs="Calibri"/>
                <w:noProof/>
                <w:color w:val="006100"/>
                <w:sz w:val="18"/>
                <w:szCs w:val="18"/>
              </w:rPr>
            </w:pPr>
          </w:p>
        </w:tc>
        <w:tc>
          <w:tcPr>
            <w:tcW w:w="888" w:type="dxa"/>
            <w:tcBorders>
              <w:top w:val="nil"/>
              <w:left w:val="nil"/>
              <w:bottom w:val="single" w:sz="4" w:space="0" w:color="auto"/>
              <w:right w:val="single" w:sz="4" w:space="0" w:color="auto"/>
            </w:tcBorders>
            <w:shd w:val="clear" w:color="auto" w:fill="C6EFCE"/>
            <w:noWrap/>
          </w:tcPr>
          <w:p w14:paraId="48EB0F73" w14:textId="77777777" w:rsidR="00CB0FCB" w:rsidRDefault="00CB0FCB">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tcPr>
          <w:p w14:paraId="7CBC816B" w14:textId="77777777" w:rsidR="00CB0FCB" w:rsidRDefault="009D2B11">
            <w:pPr>
              <w:pStyle w:val="P68B1DB1-Normal9"/>
              <w:spacing w:after="0" w:line="240" w:lineRule="auto"/>
              <w:rPr>
                <w:rFonts w:eastAsia="Times New Roman" w:cs="Calibri"/>
                <w:noProof/>
                <w:szCs w:val="18"/>
              </w:rPr>
            </w:pPr>
            <w:r>
              <w:rPr>
                <w:noProof/>
              </w:rPr>
              <w:t>4. CET.</w:t>
            </w:r>
          </w:p>
        </w:tc>
        <w:tc>
          <w:tcPr>
            <w:tcW w:w="960" w:type="dxa"/>
            <w:tcBorders>
              <w:top w:val="nil"/>
              <w:left w:val="nil"/>
              <w:bottom w:val="single" w:sz="4" w:space="0" w:color="auto"/>
              <w:right w:val="single" w:sz="4" w:space="0" w:color="auto"/>
            </w:tcBorders>
            <w:shd w:val="clear" w:color="auto" w:fill="C6EFCE"/>
            <w:noWrap/>
          </w:tcPr>
          <w:p w14:paraId="66BDF37C" w14:textId="77777777" w:rsidR="00CB0FCB" w:rsidRDefault="009D2B11">
            <w:pPr>
              <w:pStyle w:val="P68B1DB1-Normal9"/>
              <w:spacing w:after="0" w:line="240" w:lineRule="auto"/>
              <w:rPr>
                <w:rFonts w:eastAsia="Times New Roman" w:cs="Calibri"/>
                <w:noProof/>
                <w:szCs w:val="18"/>
              </w:rPr>
            </w:pPr>
            <w:r>
              <w:rPr>
                <w:noProof/>
              </w:rPr>
              <w:t>2023</w:t>
            </w:r>
          </w:p>
        </w:tc>
        <w:tc>
          <w:tcPr>
            <w:tcW w:w="3593" w:type="dxa"/>
            <w:tcBorders>
              <w:top w:val="nil"/>
              <w:left w:val="nil"/>
              <w:bottom w:val="single" w:sz="4" w:space="0" w:color="auto"/>
              <w:right w:val="single" w:sz="4" w:space="0" w:color="auto"/>
            </w:tcBorders>
            <w:shd w:val="clear" w:color="auto" w:fill="C6EFCE"/>
            <w:noWrap/>
          </w:tcPr>
          <w:p w14:paraId="2032C194" w14:textId="1FE5B7D8" w:rsidR="00CB0FCB" w:rsidRDefault="009D2B11">
            <w:pPr>
              <w:pStyle w:val="P68B1DB1-Normal9"/>
              <w:spacing w:after="0" w:line="240" w:lineRule="auto"/>
              <w:rPr>
                <w:rFonts w:eastAsia="Times New Roman" w:cs="Calibri"/>
                <w:noProof/>
                <w:szCs w:val="18"/>
              </w:rPr>
            </w:pPr>
            <w:r>
              <w:rPr>
                <w:noProof/>
              </w:rPr>
              <w:t>Pabeigt vienkāršošanas darba plūsmu otro posmu saskaņā ar grafiku, kas paredzēts četru gadu valsts procesa vienkāršošanas programmā, tostarp ietekmes novērtēšanas procesu digitalizāciju, individuālo uzņēmumu darbības uzsākšanu, procedūru vienkāršošanu saistībā ar iedzīvotāju “dzīves notikumiem”, tostarp dzimšanu, aiziešanu mūžībā un laulības šķiršanu, ar juristiem saistīto tiesvedības procedūru vienkāršošanu, tiesu lēmumiem, digitālajiem parakstiem, tiesu izdotiem sertifikātiem, autovadītāja apliecības atjaunošanu un mifoto.gov.gr darbību un dokumentu elektronisku apriti valsts pārvaldē (apliecināta ar izdotiem apkārtrakstiem).</w:t>
            </w:r>
          </w:p>
        </w:tc>
      </w:tr>
      <w:tr w:rsidR="00CB0FCB" w14:paraId="3838CA73"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64337A0C" w14:textId="77777777" w:rsidR="00CB0FCB" w:rsidRDefault="009D2B11">
            <w:pPr>
              <w:pStyle w:val="P68B1DB1-Normal9"/>
              <w:spacing w:after="0" w:line="240" w:lineRule="auto"/>
              <w:rPr>
                <w:rFonts w:eastAsia="Times New Roman" w:cs="Calibri"/>
                <w:noProof/>
                <w:szCs w:val="18"/>
              </w:rPr>
            </w:pPr>
            <w:r>
              <w:rPr>
                <w:noProof/>
              </w:rPr>
              <w:t>98</w:t>
            </w:r>
          </w:p>
        </w:tc>
        <w:tc>
          <w:tcPr>
            <w:tcW w:w="2229" w:type="dxa"/>
            <w:tcBorders>
              <w:top w:val="nil"/>
              <w:left w:val="nil"/>
              <w:bottom w:val="single" w:sz="4" w:space="0" w:color="auto"/>
              <w:right w:val="single" w:sz="4" w:space="0" w:color="auto"/>
            </w:tcBorders>
            <w:shd w:val="clear" w:color="auto" w:fill="C6EFCE"/>
            <w:noWrap/>
          </w:tcPr>
          <w:p w14:paraId="25DE00AB" w14:textId="77777777" w:rsidR="00CB0FCB" w:rsidRDefault="009D2B11">
            <w:pPr>
              <w:pStyle w:val="P68B1DB1-Normal9"/>
              <w:spacing w:after="0" w:line="240" w:lineRule="auto"/>
              <w:rPr>
                <w:rFonts w:eastAsia="Times New Roman" w:cs="Calibri"/>
                <w:noProof/>
                <w:szCs w:val="18"/>
              </w:rPr>
            </w:pPr>
            <w:r>
              <w:rPr>
                <w:noProof/>
              </w:rPr>
              <w:t>6–2.2. Modernizēt — 16782_reģistru, sistēmu un pakalpojumu savstarpēja savienojamība un sadarbspēja datu apmaiņai starp valstu publiskajām organizācijām</w:t>
            </w:r>
          </w:p>
        </w:tc>
        <w:tc>
          <w:tcPr>
            <w:tcW w:w="1134" w:type="dxa"/>
            <w:tcBorders>
              <w:top w:val="nil"/>
              <w:left w:val="nil"/>
              <w:bottom w:val="single" w:sz="4" w:space="0" w:color="auto"/>
              <w:right w:val="single" w:sz="4" w:space="0" w:color="auto"/>
            </w:tcBorders>
            <w:shd w:val="clear" w:color="auto" w:fill="C6EFCE"/>
            <w:noWrap/>
          </w:tcPr>
          <w:p w14:paraId="50CC5F9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5" w:type="dxa"/>
            <w:tcBorders>
              <w:top w:val="nil"/>
              <w:left w:val="nil"/>
              <w:bottom w:val="single" w:sz="4" w:space="0" w:color="auto"/>
              <w:right w:val="single" w:sz="4" w:space="0" w:color="auto"/>
            </w:tcBorders>
            <w:shd w:val="clear" w:color="auto" w:fill="C6EFCE"/>
            <w:noWrap/>
          </w:tcPr>
          <w:p w14:paraId="4B7BD190" w14:textId="3D3040D6" w:rsidR="00CB0FCB" w:rsidRDefault="009D2B11">
            <w:pPr>
              <w:pStyle w:val="P68B1DB1-Normal9"/>
              <w:spacing w:after="0" w:line="240" w:lineRule="auto"/>
              <w:rPr>
                <w:rFonts w:eastAsia="Times New Roman" w:cs="Calibri"/>
                <w:noProof/>
                <w:szCs w:val="18"/>
              </w:rPr>
            </w:pPr>
            <w:r>
              <w:rPr>
                <w:noProof/>
              </w:rPr>
              <w:t>Regulatīvais pamats reģistru savstarpējai savienojamībai un savstarpējai izmantojamībai</w:t>
            </w:r>
          </w:p>
        </w:tc>
        <w:tc>
          <w:tcPr>
            <w:tcW w:w="1530" w:type="dxa"/>
            <w:tcBorders>
              <w:top w:val="nil"/>
              <w:left w:val="nil"/>
              <w:bottom w:val="single" w:sz="4" w:space="0" w:color="auto"/>
              <w:right w:val="single" w:sz="4" w:space="0" w:color="auto"/>
            </w:tcBorders>
            <w:shd w:val="clear" w:color="auto" w:fill="C6EFCE"/>
            <w:noWrap/>
          </w:tcPr>
          <w:p w14:paraId="68235382" w14:textId="77777777" w:rsidR="00CB0FCB" w:rsidRDefault="009D2B11">
            <w:pPr>
              <w:pStyle w:val="P68B1DB1-Normal9"/>
              <w:spacing w:after="0" w:line="240" w:lineRule="auto"/>
              <w:rPr>
                <w:rFonts w:eastAsia="Times New Roman" w:cs="Calibri"/>
                <w:noProof/>
                <w:szCs w:val="18"/>
              </w:rPr>
            </w:pPr>
            <w:r>
              <w:rPr>
                <w:noProof/>
              </w:rPr>
              <w:t>Digitālās pārvaldības ministrijas ziņojums, kas apliecina regulatīvo izmaiņu pieņemšanu, tostarp visus saistītos primāros un sekundāros tiesību aktus reģistru un pakalpojumu savstarpējai savienojamībai un sadarbspējai</w:t>
            </w:r>
          </w:p>
        </w:tc>
        <w:tc>
          <w:tcPr>
            <w:tcW w:w="880" w:type="dxa"/>
            <w:tcBorders>
              <w:top w:val="nil"/>
              <w:left w:val="nil"/>
              <w:bottom w:val="single" w:sz="4" w:space="0" w:color="auto"/>
              <w:right w:val="single" w:sz="4" w:space="0" w:color="auto"/>
            </w:tcBorders>
            <w:shd w:val="clear" w:color="auto" w:fill="C6EFCE"/>
            <w:noWrap/>
          </w:tcPr>
          <w:p w14:paraId="2E478608"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tcPr>
          <w:p w14:paraId="08EDB8A7" w14:textId="77777777" w:rsidR="00CB0FCB" w:rsidRDefault="00CB0FCB">
            <w:pPr>
              <w:spacing w:after="0" w:line="240" w:lineRule="auto"/>
              <w:rPr>
                <w:rFonts w:eastAsia="Times New Roman" w:cs="Calibri"/>
                <w:noProof/>
                <w:color w:val="006100"/>
                <w:sz w:val="18"/>
                <w:szCs w:val="18"/>
              </w:rPr>
            </w:pPr>
          </w:p>
        </w:tc>
        <w:tc>
          <w:tcPr>
            <w:tcW w:w="888" w:type="dxa"/>
            <w:tcBorders>
              <w:top w:val="nil"/>
              <w:left w:val="nil"/>
              <w:bottom w:val="single" w:sz="4" w:space="0" w:color="auto"/>
              <w:right w:val="single" w:sz="4" w:space="0" w:color="auto"/>
            </w:tcBorders>
            <w:shd w:val="clear" w:color="auto" w:fill="C6EFCE"/>
            <w:noWrap/>
          </w:tcPr>
          <w:p w14:paraId="22D186AF" w14:textId="77777777" w:rsidR="00CB0FCB" w:rsidRDefault="00CB0FCB">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tcPr>
          <w:p w14:paraId="5B289AE6" w14:textId="77777777" w:rsidR="00CB0FCB" w:rsidRDefault="009D2B11">
            <w:pPr>
              <w:pStyle w:val="P68B1DB1-Normal9"/>
              <w:spacing w:after="0" w:line="240" w:lineRule="auto"/>
              <w:rPr>
                <w:rFonts w:eastAsia="Times New Roman" w:cs="Calibri"/>
                <w:noProof/>
                <w:szCs w:val="18"/>
              </w:rPr>
            </w:pPr>
            <w:r>
              <w:rPr>
                <w:noProof/>
              </w:rPr>
              <w:t>4. CET.</w:t>
            </w:r>
          </w:p>
        </w:tc>
        <w:tc>
          <w:tcPr>
            <w:tcW w:w="960" w:type="dxa"/>
            <w:tcBorders>
              <w:top w:val="nil"/>
              <w:left w:val="nil"/>
              <w:bottom w:val="single" w:sz="4" w:space="0" w:color="auto"/>
              <w:right w:val="single" w:sz="4" w:space="0" w:color="auto"/>
            </w:tcBorders>
            <w:shd w:val="clear" w:color="auto" w:fill="C6EFCE"/>
            <w:noWrap/>
          </w:tcPr>
          <w:p w14:paraId="3FCB53A7" w14:textId="77777777" w:rsidR="00CB0FCB" w:rsidRDefault="009D2B11">
            <w:pPr>
              <w:pStyle w:val="P68B1DB1-Normal9"/>
              <w:spacing w:after="0" w:line="240" w:lineRule="auto"/>
              <w:rPr>
                <w:rFonts w:eastAsia="Times New Roman" w:cs="Calibri"/>
                <w:noProof/>
                <w:szCs w:val="18"/>
              </w:rPr>
            </w:pPr>
            <w:r>
              <w:rPr>
                <w:noProof/>
              </w:rPr>
              <w:t>2024</w:t>
            </w:r>
          </w:p>
        </w:tc>
        <w:tc>
          <w:tcPr>
            <w:tcW w:w="3593" w:type="dxa"/>
            <w:tcBorders>
              <w:top w:val="nil"/>
              <w:left w:val="nil"/>
              <w:bottom w:val="single" w:sz="4" w:space="0" w:color="auto"/>
              <w:right w:val="single" w:sz="4" w:space="0" w:color="auto"/>
            </w:tcBorders>
            <w:shd w:val="clear" w:color="auto" w:fill="C6EFCE"/>
            <w:noWrap/>
          </w:tcPr>
          <w:p w14:paraId="76550F4C" w14:textId="528E996C" w:rsidR="00CB0FCB" w:rsidRDefault="009D2B11">
            <w:pPr>
              <w:pStyle w:val="P68B1DB1-Normal10"/>
              <w:spacing w:before="120" w:after="120" w:line="240" w:lineRule="auto"/>
              <w:jc w:val="both"/>
              <w:rPr>
                <w:rFonts w:eastAsia="Times New Roman" w:cs="Calibri"/>
                <w:noProof/>
              </w:rPr>
            </w:pPr>
            <w:r>
              <w:rPr>
                <w:noProof/>
              </w:rPr>
              <w:t>Regulatīvo izmaiņu pieņemšana, lai izveidotu plašu regulatīvo pamatu reģistru un pakalpojumu savstarpējai savienojamībai un sadarbspējai datu apmaiņai starp valstu publiskajām organizācijām saskaņā ar Sadarbspējīgas Eiropas aktu;</w:t>
            </w:r>
          </w:p>
        </w:tc>
      </w:tr>
      <w:tr w:rsidR="00CB0FCB" w14:paraId="448E2E51"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75BB70B8" w14:textId="77777777" w:rsidR="00CB0FCB" w:rsidRDefault="009D2B11">
            <w:pPr>
              <w:pStyle w:val="P68B1DB1-Normal9"/>
              <w:spacing w:after="0" w:line="240" w:lineRule="auto"/>
              <w:rPr>
                <w:rFonts w:eastAsia="Times New Roman" w:cs="Calibri"/>
                <w:noProof/>
                <w:szCs w:val="18"/>
              </w:rPr>
            </w:pPr>
            <w:r>
              <w:rPr>
                <w:noProof/>
              </w:rPr>
              <w:t>99</w:t>
            </w:r>
          </w:p>
        </w:tc>
        <w:tc>
          <w:tcPr>
            <w:tcW w:w="2229" w:type="dxa"/>
            <w:tcBorders>
              <w:top w:val="nil"/>
              <w:left w:val="nil"/>
              <w:bottom w:val="single" w:sz="4" w:space="0" w:color="auto"/>
              <w:right w:val="single" w:sz="4" w:space="0" w:color="auto"/>
            </w:tcBorders>
            <w:shd w:val="clear" w:color="auto" w:fill="C6EFCE"/>
            <w:noWrap/>
            <w:hideMark/>
          </w:tcPr>
          <w:p w14:paraId="32E045F8" w14:textId="689BBAF9" w:rsidR="00CB0FCB" w:rsidRDefault="009D2B11">
            <w:pPr>
              <w:pStyle w:val="P68B1DB1-Normal9"/>
              <w:spacing w:after="0" w:line="240" w:lineRule="auto"/>
              <w:rPr>
                <w:rFonts w:eastAsia="Times New Roman" w:cs="Calibri"/>
                <w:noProof/>
                <w:szCs w:val="18"/>
              </w:rPr>
            </w:pPr>
            <w:r>
              <w:rPr>
                <w:noProof/>
              </w:rPr>
              <w:t>6–2.2. Modernizēt — 16929_Virzība uz valsts pārvaldes “klientu” pakalpojumiem, vienkāršojot un uzlabojot procesus, sistēmu uzlabojumus un atbilstību Eiropas stratēģijām un politikai</w:t>
            </w:r>
          </w:p>
        </w:tc>
        <w:tc>
          <w:tcPr>
            <w:tcW w:w="1134" w:type="dxa"/>
            <w:tcBorders>
              <w:top w:val="nil"/>
              <w:left w:val="nil"/>
              <w:bottom w:val="single" w:sz="4" w:space="0" w:color="auto"/>
              <w:right w:val="single" w:sz="4" w:space="0" w:color="auto"/>
            </w:tcBorders>
            <w:shd w:val="clear" w:color="auto" w:fill="C6EFCE"/>
            <w:noWrap/>
            <w:hideMark/>
          </w:tcPr>
          <w:p w14:paraId="60E9102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5" w:type="dxa"/>
            <w:tcBorders>
              <w:top w:val="nil"/>
              <w:left w:val="nil"/>
              <w:bottom w:val="single" w:sz="4" w:space="0" w:color="auto"/>
              <w:right w:val="single" w:sz="4" w:space="0" w:color="auto"/>
            </w:tcBorders>
            <w:shd w:val="clear" w:color="auto" w:fill="C6EFCE"/>
            <w:noWrap/>
            <w:hideMark/>
          </w:tcPr>
          <w:p w14:paraId="681CEEC5" w14:textId="77777777" w:rsidR="00CB0FCB" w:rsidRDefault="009D2B11">
            <w:pPr>
              <w:pStyle w:val="P68B1DB1-Normal9"/>
              <w:spacing w:after="0" w:line="240" w:lineRule="auto"/>
              <w:rPr>
                <w:rFonts w:eastAsia="Times New Roman" w:cs="Calibri"/>
                <w:noProof/>
                <w:szCs w:val="18"/>
              </w:rPr>
            </w:pPr>
            <w:r>
              <w:rPr>
                <w:noProof/>
              </w:rPr>
              <w:t>Administratīvā sloga samazināšanas stratēģijas un valsts procesa vienkāršošanas plāna pabeigšana (galīgais posms)</w:t>
            </w:r>
          </w:p>
        </w:tc>
        <w:tc>
          <w:tcPr>
            <w:tcW w:w="1530" w:type="dxa"/>
            <w:tcBorders>
              <w:top w:val="nil"/>
              <w:left w:val="nil"/>
              <w:bottom w:val="single" w:sz="4" w:space="0" w:color="auto"/>
              <w:right w:val="single" w:sz="4" w:space="0" w:color="auto"/>
            </w:tcBorders>
            <w:shd w:val="clear" w:color="auto" w:fill="C6EFCE"/>
            <w:noWrap/>
            <w:hideMark/>
          </w:tcPr>
          <w:p w14:paraId="3900F686" w14:textId="77777777" w:rsidR="00CB0FCB" w:rsidRDefault="009D2B11">
            <w:pPr>
              <w:pStyle w:val="P68B1DB1-Normal9"/>
              <w:spacing w:after="0" w:line="240" w:lineRule="auto"/>
              <w:rPr>
                <w:rFonts w:eastAsia="Times New Roman" w:cs="Calibri"/>
                <w:noProof/>
                <w:szCs w:val="18"/>
              </w:rPr>
            </w:pPr>
            <w:r>
              <w:rPr>
                <w:noProof/>
              </w:rPr>
              <w:t xml:space="preserve">Iekšlietu ministrijas ziņojums, kurā apliecināts, ka ir pabeigtas visas vienkāršošanas un digitalizācijas darba plūsmas saskaņā ar valsts procesu vienkāršošanas programmas četru gadu rīcības plānu, </w:t>
            </w:r>
          </w:p>
        </w:tc>
        <w:tc>
          <w:tcPr>
            <w:tcW w:w="880" w:type="dxa"/>
            <w:tcBorders>
              <w:top w:val="nil"/>
              <w:left w:val="nil"/>
              <w:bottom w:val="single" w:sz="4" w:space="0" w:color="auto"/>
              <w:right w:val="single" w:sz="4" w:space="0" w:color="auto"/>
            </w:tcBorders>
            <w:shd w:val="clear" w:color="auto" w:fill="C6EFCE"/>
            <w:noWrap/>
            <w:hideMark/>
          </w:tcPr>
          <w:p w14:paraId="74FE4F4A"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tcPr>
          <w:p w14:paraId="5B34B734" w14:textId="77777777" w:rsidR="00CB0FCB" w:rsidRDefault="00CB0FCB">
            <w:pPr>
              <w:spacing w:after="0" w:line="240" w:lineRule="auto"/>
              <w:rPr>
                <w:rFonts w:eastAsia="Times New Roman" w:cs="Calibri"/>
                <w:noProof/>
                <w:color w:val="006100"/>
                <w:sz w:val="18"/>
                <w:szCs w:val="18"/>
              </w:rPr>
            </w:pPr>
          </w:p>
        </w:tc>
        <w:tc>
          <w:tcPr>
            <w:tcW w:w="888" w:type="dxa"/>
            <w:tcBorders>
              <w:top w:val="nil"/>
              <w:left w:val="nil"/>
              <w:bottom w:val="single" w:sz="4" w:space="0" w:color="auto"/>
              <w:right w:val="single" w:sz="4" w:space="0" w:color="auto"/>
            </w:tcBorders>
            <w:shd w:val="clear" w:color="auto" w:fill="C6EFCE"/>
            <w:noWrap/>
            <w:hideMark/>
          </w:tcPr>
          <w:p w14:paraId="10652055" w14:textId="77777777" w:rsidR="00CB0FCB" w:rsidRDefault="00CB0FCB">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tcPr>
          <w:p w14:paraId="12961993" w14:textId="77777777" w:rsidR="00CB0FCB" w:rsidRDefault="009D2B11">
            <w:pPr>
              <w:pStyle w:val="P68B1DB1-Normal9"/>
              <w:spacing w:after="0" w:line="240" w:lineRule="auto"/>
              <w:rPr>
                <w:rFonts w:eastAsia="Times New Roman" w:cs="Calibri"/>
                <w:noProof/>
                <w:szCs w:val="18"/>
              </w:rPr>
            </w:pPr>
            <w:r>
              <w:rPr>
                <w:noProof/>
              </w:rPr>
              <w:t>4. CET.</w:t>
            </w:r>
          </w:p>
        </w:tc>
        <w:tc>
          <w:tcPr>
            <w:tcW w:w="960" w:type="dxa"/>
            <w:tcBorders>
              <w:top w:val="nil"/>
              <w:left w:val="nil"/>
              <w:bottom w:val="single" w:sz="4" w:space="0" w:color="auto"/>
              <w:right w:val="single" w:sz="4" w:space="0" w:color="auto"/>
            </w:tcBorders>
            <w:shd w:val="clear" w:color="auto" w:fill="C6EFCE"/>
            <w:noWrap/>
            <w:hideMark/>
          </w:tcPr>
          <w:p w14:paraId="235FD4D3" w14:textId="77777777" w:rsidR="00CB0FCB" w:rsidRDefault="009D2B11">
            <w:pPr>
              <w:pStyle w:val="P68B1DB1-Normal9"/>
              <w:spacing w:after="0" w:line="240" w:lineRule="auto"/>
              <w:rPr>
                <w:rFonts w:eastAsia="Times New Roman" w:cs="Calibri"/>
                <w:noProof/>
                <w:szCs w:val="18"/>
              </w:rPr>
            </w:pPr>
            <w:r>
              <w:rPr>
                <w:noProof/>
              </w:rPr>
              <w:t>2025</w:t>
            </w:r>
          </w:p>
        </w:tc>
        <w:tc>
          <w:tcPr>
            <w:tcW w:w="3593" w:type="dxa"/>
            <w:tcBorders>
              <w:top w:val="nil"/>
              <w:left w:val="nil"/>
              <w:bottom w:val="single" w:sz="4" w:space="0" w:color="auto"/>
              <w:right w:val="single" w:sz="4" w:space="0" w:color="auto"/>
            </w:tcBorders>
            <w:shd w:val="clear" w:color="auto" w:fill="C6EFCE"/>
            <w:noWrap/>
            <w:hideMark/>
          </w:tcPr>
          <w:p w14:paraId="2E7473E0" w14:textId="5ACB7BFE" w:rsidR="00CB0FCB" w:rsidRDefault="009D2B11">
            <w:pPr>
              <w:spacing w:after="0" w:line="240" w:lineRule="auto"/>
              <w:rPr>
                <w:rFonts w:eastAsia="Times New Roman" w:cs="Calibri"/>
                <w:noProof/>
                <w:color w:val="006100"/>
                <w:sz w:val="18"/>
                <w:szCs w:val="18"/>
              </w:rPr>
            </w:pPr>
            <w:r>
              <w:rPr>
                <w:noProof/>
                <w:color w:val="006100"/>
                <w:sz w:val="18"/>
              </w:rPr>
              <w:t>Pilnībā īstenot vidēja termiņa stratēģiju administratīvā sloga samazināšanai un uz klientu vērstu pakalpojumu izveidei valsts pārvaldē, pabeidzot darba pēdējo posmu saskaņā ar 4 gadu valsts programmu procesu vienkāršošanai. Konkrētāk, tas ietver pētījumu veikšanu administratīvo procedūru vienkāršošanai, novērošanas centra izveidi regulējuma ietekmes uzraudzībai, tostarp administratīvā sloga mērīšanai, un Valsts procedūru reģistra (“Mitos”) funkciju  uzlabošanu (ko apliecina Iekšlietu ministrijas ziņojums).</w:t>
            </w:r>
          </w:p>
        </w:tc>
      </w:tr>
    </w:tbl>
    <w:p w14:paraId="1BFFF79D" w14:textId="77777777" w:rsidR="00CB0FCB" w:rsidRDefault="00CB0FCB">
      <w:pPr>
        <w:keepNext/>
        <w:keepLines/>
        <w:spacing w:before="40" w:after="0" w:line="240" w:lineRule="auto"/>
        <w:jc w:val="both"/>
        <w:outlineLvl w:val="4"/>
        <w:rPr>
          <w:rFonts w:ascii="Cambria" w:hAnsi="Cambria"/>
          <w:noProof/>
          <w:color w:val="365F91"/>
          <w:sz w:val="24"/>
        </w:rPr>
      </w:pPr>
    </w:p>
    <w:p w14:paraId="484812BE" w14:textId="2AA5216C" w:rsidR="00CB0FCB" w:rsidRDefault="009D2B11">
      <w:pPr>
        <w:pStyle w:val="P68B1DB1-Normal6"/>
        <w:keepNext/>
        <w:keepLines/>
        <w:spacing w:before="40" w:after="0" w:line="240" w:lineRule="auto"/>
        <w:jc w:val="both"/>
        <w:outlineLvl w:val="4"/>
        <w:rPr>
          <w:rFonts w:eastAsia="Times New Roman"/>
          <w:noProof/>
        </w:rPr>
      </w:pPr>
      <w:r>
        <w:rPr>
          <w:noProof/>
        </w:rPr>
        <w:t>Grupa: Iniciatīvas, kas saistītas ar uzlabotiem uz klientu orientētiem un drošiem digitālajiem pakalpojumiem, izmantojot sadarbspējīgas IT sistēmas un atvērto datu politiku</w:t>
      </w:r>
    </w:p>
    <w:p w14:paraId="1003E422" w14:textId="77777777" w:rsidR="00CB0FCB" w:rsidRDefault="009D2B11">
      <w:pPr>
        <w:pStyle w:val="P68B1DB1-Normal4"/>
        <w:spacing w:before="120" w:after="120" w:line="240" w:lineRule="auto"/>
        <w:ind w:left="709"/>
        <w:rPr>
          <w:rFonts w:cs="Times New Roman"/>
          <w:noProof/>
        </w:rPr>
      </w:pPr>
      <w:r>
        <w:rPr>
          <w:noProof/>
        </w:rPr>
        <w:t>Šajā grupā ietilpst šādi pasākumi:</w:t>
      </w:r>
    </w:p>
    <w:p w14:paraId="0053AF6B"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Attiecību ar klientiem pārvaldība vispārējās valdības vajadzībām (ID: 16810)</w:t>
      </w:r>
    </w:p>
    <w:p w14:paraId="257D3ECA"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Valsts pārvaldes vienas pieturas aģentūru turpmāka modernizācija (ID: 16780)</w:t>
      </w:r>
    </w:p>
    <w:p w14:paraId="50DE9796"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Jauna publiskā iepirkuma sistēma (ID: 16736)</w:t>
      </w:r>
    </w:p>
    <w:p w14:paraId="066A334E"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Ārlietu ministrijas digitālā pārveide (ID: 16742)</w:t>
      </w:r>
    </w:p>
    <w:p w14:paraId="333EFAB3"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Iesaukto digitālo prasmju uzlabošanas programmas (ID: 16826)</w:t>
      </w:r>
    </w:p>
    <w:p w14:paraId="122463D2" w14:textId="4B12AAFE" w:rsidR="00CB0FCB" w:rsidRDefault="009D2B11">
      <w:pPr>
        <w:spacing w:before="120" w:after="120" w:line="240" w:lineRule="auto"/>
        <w:ind w:left="709"/>
        <w:rPr>
          <w:rFonts w:ascii="Times New Roman" w:hAnsi="Times New Roman" w:cs="Times New Roman"/>
          <w:noProof/>
          <w:sz w:val="24"/>
          <w:szCs w:val="24"/>
        </w:rPr>
      </w:pPr>
      <w:r>
        <w:rPr>
          <w:rFonts w:ascii="Times New Roman" w:hAnsi="Times New Roman"/>
          <w:noProof/>
          <w:sz w:val="24"/>
          <w:szCs w:val="24"/>
        </w:rPr>
        <w:t>●</w:t>
      </w:r>
      <w:r>
        <w:rPr>
          <w:noProof/>
        </w:rPr>
        <w:t xml:space="preserve"> </w:t>
      </w:r>
      <w:r>
        <w:rPr>
          <w:rFonts w:ascii="Times New Roman" w:hAnsi="Times New Roman"/>
          <w:noProof/>
          <w:sz w:val="24"/>
          <w:szCs w:val="24"/>
        </w:rPr>
        <w:t>Grieķijas Valsts tūrisma organizācijas digitālā pārveide (ID: 16791)</w:t>
      </w:r>
    </w:p>
    <w:p w14:paraId="19162B02"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Kiberdrošības stratēģija un politika publiskajam sektoram un valsts kiberdrošības operāciju centra izveidei (ID: 16823)</w:t>
      </w:r>
    </w:p>
    <w:p w14:paraId="065E0CBE" w14:textId="7DC9DB81" w:rsidR="00CB0FCB" w:rsidRDefault="009D2B11">
      <w:pPr>
        <w:spacing w:before="120" w:after="120" w:line="240" w:lineRule="auto"/>
        <w:ind w:left="709"/>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4"/>
        </w:rPr>
        <w:t>Sadarbspējas un tīmekļa pakalpojumu izstrāde (ID: 16779)</w:t>
      </w:r>
      <w:r>
        <w:rPr>
          <w:noProof/>
        </w:rPr>
        <w:tab/>
      </w:r>
    </w:p>
    <w:p w14:paraId="611B7FBC"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Nākamās paaudzes sadarbspējas centrs (KED) (ID: 16964)</w:t>
      </w:r>
    </w:p>
    <w:p w14:paraId="77002E4B"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Ereģistrs (ID: 16824)</w:t>
      </w:r>
    </w:p>
    <w:p w14:paraId="5CFCF073" w14:textId="77777777" w:rsidR="00CB0FCB" w:rsidRDefault="009D2B11">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Progresīvu drošības pakalpojumu sniegšana G-Cloud kritiskajā infrastruktūrā (ID: 16823)</w:t>
      </w:r>
    </w:p>
    <w:p w14:paraId="69597AA5" w14:textId="77777777" w:rsidR="00CB0FCB" w:rsidRDefault="009D2B11">
      <w:pPr>
        <w:spacing w:before="120" w:after="120" w:line="240" w:lineRule="auto"/>
        <w:ind w:left="709"/>
        <w:rPr>
          <w:rFonts w:ascii="Times New Roman" w:hAnsi="Times New Roman"/>
          <w:noProof/>
          <w:sz w:val="24"/>
        </w:rPr>
      </w:pPr>
      <w:r>
        <w:rPr>
          <w:rFonts w:ascii="Times New Roman" w:hAnsi="Times New Roman"/>
          <w:noProof/>
          <w:sz w:val="24"/>
        </w:rPr>
        <w:t>●</w:t>
      </w:r>
      <w:r>
        <w:rPr>
          <w:noProof/>
        </w:rPr>
        <w:t xml:space="preserve"> </w:t>
      </w:r>
      <w:r>
        <w:rPr>
          <w:rFonts w:ascii="Times New Roman" w:hAnsi="Times New Roman"/>
          <w:noProof/>
          <w:sz w:val="24"/>
        </w:rPr>
        <w:t>Tūrisma reģistra e-MHTE (ID: 16785)</w:t>
      </w:r>
    </w:p>
    <w:p w14:paraId="39FEE67B" w14:textId="77777777" w:rsidR="00CB0FCB" w:rsidRDefault="009D2B11">
      <w:pPr>
        <w:spacing w:before="120" w:after="120" w:line="240" w:lineRule="auto"/>
        <w:ind w:left="709"/>
        <w:rPr>
          <w:rFonts w:ascii="Times New Roman" w:hAnsi="Times New Roman"/>
          <w:noProof/>
          <w:sz w:val="24"/>
        </w:rPr>
      </w:pPr>
      <w:r>
        <w:rPr>
          <w:rFonts w:ascii="Times New Roman" w:hAnsi="Times New Roman"/>
          <w:noProof/>
          <w:sz w:val="24"/>
        </w:rPr>
        <w:t>●</w:t>
      </w:r>
      <w:r>
        <w:rPr>
          <w:noProof/>
        </w:rPr>
        <w:t xml:space="preserve"> </w:t>
      </w:r>
      <w:r>
        <w:rPr>
          <w:rFonts w:ascii="Times New Roman" w:hAnsi="Times New Roman"/>
          <w:noProof/>
          <w:sz w:val="24"/>
        </w:rPr>
        <w:t>Centrālā dokumentu pārvaldības sistēma (ID: 16738)</w:t>
      </w:r>
    </w:p>
    <w:p w14:paraId="6BA6154A" w14:textId="13D67EEE" w:rsidR="00CB0FCB" w:rsidRDefault="009D2B11">
      <w:pPr>
        <w:pStyle w:val="P68B1DB1-Normal4"/>
        <w:rPr>
          <w:noProof/>
        </w:rPr>
      </w:pPr>
      <w:r>
        <w:rPr>
          <w:noProof/>
        </w:rPr>
        <w:br w:type="page"/>
      </w:r>
    </w:p>
    <w:p w14:paraId="37CC31FD" w14:textId="77777777" w:rsidR="00CB0FCB" w:rsidRDefault="00CB0FCB">
      <w:pPr>
        <w:spacing w:before="120" w:after="120" w:line="240" w:lineRule="auto"/>
        <w:ind w:left="709"/>
        <w:rPr>
          <w:rFonts w:ascii="Times New Roman" w:hAnsi="Times New Roman" w:cs="Times New Roman"/>
          <w:noProof/>
          <w:sz w:val="24"/>
        </w:rPr>
      </w:pPr>
    </w:p>
    <w:tbl>
      <w:tblPr>
        <w:tblW w:w="0" w:type="auto"/>
        <w:jc w:val="center"/>
        <w:tblLook w:val="04A0" w:firstRow="1" w:lastRow="0" w:firstColumn="1" w:lastColumn="0" w:noHBand="0" w:noVBand="1"/>
      </w:tblPr>
      <w:tblGrid>
        <w:gridCol w:w="1008"/>
        <w:gridCol w:w="1719"/>
        <w:gridCol w:w="1676"/>
        <w:gridCol w:w="1290"/>
        <w:gridCol w:w="1407"/>
        <w:gridCol w:w="877"/>
        <w:gridCol w:w="1299"/>
        <w:gridCol w:w="741"/>
        <w:gridCol w:w="960"/>
        <w:gridCol w:w="642"/>
        <w:gridCol w:w="3770"/>
      </w:tblGrid>
      <w:tr w:rsidR="00CB0FCB" w14:paraId="75390B61" w14:textId="77777777">
        <w:trPr>
          <w:trHeight w:val="939"/>
          <w:tblHeader/>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A6982B"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287A9F"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F4E6CD"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47136C"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C104FB"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73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EE8D6A4"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627"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57F3A06"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0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E2007A"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0A0C8AA9" w14:textId="77777777">
        <w:trPr>
          <w:trHeight w:val="531"/>
          <w:tblHeade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87677E2" w14:textId="77777777" w:rsidR="00CB0FCB" w:rsidRDefault="00CB0FCB">
            <w:pPr>
              <w:spacing w:after="0" w:line="240" w:lineRule="auto"/>
              <w:rPr>
                <w:rFonts w:ascii="Times New Roman" w:eastAsia="Times New Roman" w:hAnsi="Times New Roman" w:cs="Times New Roman"/>
                <w:b/>
                <w:noProof/>
                <w:sz w:val="18"/>
                <w:szCs w:val="1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63E1E574" w14:textId="77777777" w:rsidR="00CB0FCB" w:rsidRDefault="00CB0FCB">
            <w:pPr>
              <w:spacing w:after="0" w:line="240" w:lineRule="auto"/>
              <w:rPr>
                <w:rFonts w:ascii="Times New Roman" w:eastAsia="Times New Roman" w:hAnsi="Times New Roman" w:cs="Times New Roman"/>
                <w:b/>
                <w:noProof/>
                <w:sz w:val="18"/>
                <w:szCs w:val="18"/>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6C2C7080" w14:textId="77777777" w:rsidR="00CB0FCB" w:rsidRDefault="00CB0FCB">
            <w:pPr>
              <w:spacing w:after="0" w:line="240" w:lineRule="auto"/>
              <w:rPr>
                <w:rFonts w:ascii="Times New Roman" w:eastAsia="Times New Roman" w:hAnsi="Times New Roman" w:cs="Times New Roman"/>
                <w:b/>
                <w:noProof/>
                <w:sz w:val="18"/>
                <w:szCs w:val="18"/>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FE4C4C6" w14:textId="77777777" w:rsidR="00CB0FCB" w:rsidRDefault="00CB0FCB">
            <w:pPr>
              <w:spacing w:after="0" w:line="240" w:lineRule="auto"/>
              <w:rPr>
                <w:rFonts w:ascii="Times New Roman" w:eastAsia="Times New Roman" w:hAnsi="Times New Roman" w:cs="Times New Roman"/>
                <w:b/>
                <w:noProof/>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065DDDE3" w14:textId="77777777" w:rsidR="00CB0FCB" w:rsidRDefault="00CB0FCB">
            <w:pPr>
              <w:spacing w:after="0" w:line="240" w:lineRule="auto"/>
              <w:rPr>
                <w:rFonts w:ascii="Times New Roman" w:eastAsia="Times New Roman" w:hAnsi="Times New Roman" w:cs="Times New Roman"/>
                <w:b/>
                <w:noProof/>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A160DFA"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1010" w:type="dxa"/>
            <w:tcBorders>
              <w:top w:val="single" w:sz="4" w:space="0" w:color="auto"/>
              <w:left w:val="nil"/>
              <w:bottom w:val="single" w:sz="4" w:space="0" w:color="auto"/>
              <w:right w:val="single" w:sz="4" w:space="0" w:color="auto"/>
            </w:tcBorders>
            <w:shd w:val="clear" w:color="auto" w:fill="BDD7EE"/>
            <w:vAlign w:val="center"/>
            <w:hideMark/>
          </w:tcPr>
          <w:p w14:paraId="1B2318B9"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88" w:type="dxa"/>
            <w:tcBorders>
              <w:top w:val="single" w:sz="4" w:space="0" w:color="auto"/>
              <w:left w:val="nil"/>
              <w:bottom w:val="single" w:sz="4" w:space="0" w:color="auto"/>
              <w:right w:val="single" w:sz="4" w:space="0" w:color="auto"/>
            </w:tcBorders>
            <w:shd w:val="clear" w:color="auto" w:fill="BDD7EE"/>
            <w:vAlign w:val="center"/>
            <w:hideMark/>
          </w:tcPr>
          <w:p w14:paraId="2C783013"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47" w:type="dxa"/>
            <w:tcBorders>
              <w:top w:val="single" w:sz="4" w:space="0" w:color="auto"/>
              <w:left w:val="nil"/>
              <w:bottom w:val="single" w:sz="4" w:space="0" w:color="auto"/>
              <w:right w:val="single" w:sz="4" w:space="0" w:color="auto"/>
            </w:tcBorders>
            <w:shd w:val="clear" w:color="auto" w:fill="BDD7EE"/>
            <w:vAlign w:val="center"/>
            <w:hideMark/>
          </w:tcPr>
          <w:p w14:paraId="19D90B97"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680" w:type="dxa"/>
            <w:tcBorders>
              <w:top w:val="single" w:sz="4" w:space="0" w:color="auto"/>
              <w:left w:val="nil"/>
              <w:bottom w:val="single" w:sz="4" w:space="0" w:color="auto"/>
              <w:right w:val="single" w:sz="4" w:space="0" w:color="auto"/>
            </w:tcBorders>
            <w:shd w:val="clear" w:color="auto" w:fill="BDD7EE"/>
            <w:vAlign w:val="center"/>
            <w:hideMark/>
          </w:tcPr>
          <w:p w14:paraId="369E6CA8"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090" w:type="dxa"/>
            <w:vMerge/>
            <w:tcBorders>
              <w:top w:val="single" w:sz="4" w:space="0" w:color="auto"/>
              <w:bottom w:val="single" w:sz="4" w:space="0" w:color="auto"/>
              <w:right w:val="single" w:sz="4" w:space="0" w:color="auto"/>
            </w:tcBorders>
            <w:vAlign w:val="center"/>
            <w:hideMark/>
          </w:tcPr>
          <w:p w14:paraId="76BB49D6" w14:textId="77777777" w:rsidR="00CB0FCB" w:rsidRDefault="00CB0FCB">
            <w:pPr>
              <w:spacing w:after="0" w:line="240" w:lineRule="auto"/>
              <w:rPr>
                <w:rFonts w:ascii="Times New Roman" w:eastAsia="Times New Roman" w:hAnsi="Times New Roman" w:cs="Times New Roman"/>
                <w:b/>
                <w:noProof/>
                <w:sz w:val="18"/>
                <w:szCs w:val="18"/>
              </w:rPr>
            </w:pPr>
          </w:p>
        </w:tc>
      </w:tr>
      <w:tr w:rsidR="00CB0FCB" w14:paraId="45C81D47" w14:textId="77777777">
        <w:trPr>
          <w:trHeight w:val="313"/>
          <w:jc w:val="center"/>
        </w:trPr>
        <w:tc>
          <w:tcPr>
            <w:tcW w:w="1080" w:type="dxa"/>
            <w:tcBorders>
              <w:top w:val="single" w:sz="4" w:space="0" w:color="auto"/>
              <w:left w:val="single" w:sz="4" w:space="0" w:color="auto"/>
              <w:bottom w:val="single" w:sz="4" w:space="0" w:color="auto"/>
              <w:right w:val="single" w:sz="4" w:space="0" w:color="auto"/>
            </w:tcBorders>
            <w:shd w:val="clear" w:color="auto" w:fill="C6EFCE"/>
            <w:noWrap/>
          </w:tcPr>
          <w:p w14:paraId="1E3028DF" w14:textId="77777777" w:rsidR="00CB0FCB" w:rsidRDefault="009D2B11">
            <w:pPr>
              <w:pStyle w:val="P68B1DB1-Normal9"/>
              <w:spacing w:after="0" w:line="240" w:lineRule="auto"/>
              <w:rPr>
                <w:rFonts w:eastAsia="Times New Roman" w:cs="Calibri"/>
                <w:noProof/>
                <w:szCs w:val="18"/>
              </w:rPr>
            </w:pPr>
            <w:r>
              <w:rPr>
                <w:noProof/>
              </w:rPr>
              <w:t>100</w:t>
            </w:r>
          </w:p>
        </w:tc>
        <w:tc>
          <w:tcPr>
            <w:tcW w:w="1855" w:type="dxa"/>
            <w:tcBorders>
              <w:top w:val="single" w:sz="4" w:space="0" w:color="auto"/>
              <w:left w:val="nil"/>
              <w:bottom w:val="single" w:sz="4" w:space="0" w:color="auto"/>
              <w:right w:val="single" w:sz="4" w:space="0" w:color="auto"/>
            </w:tcBorders>
            <w:shd w:val="clear" w:color="auto" w:fill="C6EFCE"/>
            <w:noWrap/>
          </w:tcPr>
          <w:p w14:paraId="389CC4AF" w14:textId="77777777" w:rsidR="00CB0FCB" w:rsidRDefault="009D2B11">
            <w:pPr>
              <w:pStyle w:val="P68B1DB1-Normal9"/>
              <w:spacing w:after="0" w:line="240" w:lineRule="auto"/>
              <w:rPr>
                <w:rFonts w:eastAsia="Times New Roman" w:cs="Calibri"/>
                <w:noProof/>
                <w:szCs w:val="18"/>
              </w:rPr>
            </w:pPr>
            <w:r>
              <w:rPr>
                <w:noProof/>
              </w:rPr>
              <w:t>6–2.2. Modernizācija — 16779_ Sadarbspēja un tīmekļa pakalpojumu izstrāde</w:t>
            </w:r>
          </w:p>
        </w:tc>
        <w:tc>
          <w:tcPr>
            <w:tcW w:w="1101" w:type="dxa"/>
            <w:tcBorders>
              <w:top w:val="single" w:sz="4" w:space="0" w:color="auto"/>
              <w:left w:val="nil"/>
              <w:bottom w:val="single" w:sz="4" w:space="0" w:color="auto"/>
              <w:right w:val="single" w:sz="4" w:space="0" w:color="auto"/>
            </w:tcBorders>
            <w:shd w:val="clear" w:color="auto" w:fill="C6EFCE"/>
            <w:noWrap/>
          </w:tcPr>
          <w:p w14:paraId="713246F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single" w:sz="4" w:space="0" w:color="auto"/>
              <w:left w:val="nil"/>
              <w:bottom w:val="single" w:sz="4" w:space="0" w:color="auto"/>
              <w:right w:val="single" w:sz="4" w:space="0" w:color="auto"/>
            </w:tcBorders>
            <w:shd w:val="clear" w:color="auto" w:fill="C6EFCE"/>
            <w:noWrap/>
          </w:tcPr>
          <w:p w14:paraId="30D93FF5" w14:textId="77777777" w:rsidR="00CB0FCB" w:rsidRDefault="009D2B11">
            <w:pPr>
              <w:pStyle w:val="P68B1DB1-Normal9"/>
              <w:spacing w:after="0" w:line="240" w:lineRule="auto"/>
              <w:rPr>
                <w:rFonts w:eastAsia="Times New Roman" w:cs="Calibri"/>
                <w:noProof/>
                <w:szCs w:val="18"/>
              </w:rPr>
            </w:pPr>
            <w:r>
              <w:rPr>
                <w:noProof/>
              </w:rPr>
              <w:t>Līguma slēgšanas tiesību piešķiršana sadarbspējas un tīmekļa pakalpojumu izstrādes projektam</w:t>
            </w:r>
          </w:p>
        </w:tc>
        <w:tc>
          <w:tcPr>
            <w:tcW w:w="1514" w:type="dxa"/>
            <w:tcBorders>
              <w:top w:val="single" w:sz="4" w:space="0" w:color="auto"/>
              <w:left w:val="nil"/>
              <w:bottom w:val="single" w:sz="4" w:space="0" w:color="auto"/>
              <w:right w:val="single" w:sz="4" w:space="0" w:color="auto"/>
            </w:tcBorders>
            <w:shd w:val="clear" w:color="auto" w:fill="C6EFCE"/>
            <w:noWrap/>
          </w:tcPr>
          <w:p w14:paraId="197765C2"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937" w:type="dxa"/>
            <w:tcBorders>
              <w:top w:val="single" w:sz="4" w:space="0" w:color="auto"/>
              <w:left w:val="nil"/>
              <w:bottom w:val="single" w:sz="4" w:space="0" w:color="auto"/>
              <w:right w:val="single" w:sz="4" w:space="0" w:color="auto"/>
            </w:tcBorders>
            <w:shd w:val="clear" w:color="auto" w:fill="C6EFCE"/>
            <w:noWrap/>
          </w:tcPr>
          <w:p w14:paraId="14878F75" w14:textId="77777777" w:rsidR="00CB0FCB" w:rsidRDefault="00CB0FCB">
            <w:pPr>
              <w:spacing w:after="0" w:line="240" w:lineRule="auto"/>
              <w:rPr>
                <w:rFonts w:eastAsia="Times New Roman" w:cs="Calibri"/>
                <w:noProof/>
                <w:color w:val="006100"/>
                <w:sz w:val="18"/>
                <w:szCs w:val="18"/>
              </w:rPr>
            </w:pPr>
          </w:p>
        </w:tc>
        <w:tc>
          <w:tcPr>
            <w:tcW w:w="1010" w:type="dxa"/>
            <w:tcBorders>
              <w:top w:val="single" w:sz="4" w:space="0" w:color="auto"/>
              <w:left w:val="nil"/>
              <w:bottom w:val="single" w:sz="4" w:space="0" w:color="auto"/>
              <w:right w:val="single" w:sz="4" w:space="0" w:color="auto"/>
            </w:tcBorders>
            <w:shd w:val="clear" w:color="auto" w:fill="C6EFCE"/>
            <w:noWrap/>
          </w:tcPr>
          <w:p w14:paraId="2F973606" w14:textId="77777777" w:rsidR="00CB0FCB" w:rsidRDefault="00CB0FCB">
            <w:pPr>
              <w:spacing w:after="0" w:line="240" w:lineRule="auto"/>
              <w:rPr>
                <w:rFonts w:eastAsia="Times New Roman" w:cs="Calibri"/>
                <w:noProof/>
                <w:color w:val="006100"/>
                <w:sz w:val="18"/>
                <w:szCs w:val="18"/>
              </w:rPr>
            </w:pPr>
          </w:p>
        </w:tc>
        <w:tc>
          <w:tcPr>
            <w:tcW w:w="788" w:type="dxa"/>
            <w:tcBorders>
              <w:top w:val="single" w:sz="4" w:space="0" w:color="auto"/>
              <w:left w:val="nil"/>
              <w:bottom w:val="single" w:sz="4" w:space="0" w:color="auto"/>
              <w:right w:val="single" w:sz="4" w:space="0" w:color="auto"/>
            </w:tcBorders>
            <w:shd w:val="clear" w:color="auto" w:fill="C6EFCE"/>
            <w:noWrap/>
          </w:tcPr>
          <w:p w14:paraId="570058B3" w14:textId="77777777" w:rsidR="00CB0FCB" w:rsidRDefault="00CB0FCB">
            <w:pPr>
              <w:spacing w:after="0" w:line="240" w:lineRule="auto"/>
              <w:rPr>
                <w:rFonts w:eastAsia="Times New Roman" w:cs="Calibri"/>
                <w:noProof/>
                <w:color w:val="006100"/>
                <w:sz w:val="18"/>
                <w:szCs w:val="18"/>
              </w:rPr>
            </w:pPr>
          </w:p>
        </w:tc>
        <w:tc>
          <w:tcPr>
            <w:tcW w:w="947" w:type="dxa"/>
            <w:tcBorders>
              <w:top w:val="single" w:sz="4" w:space="0" w:color="auto"/>
              <w:left w:val="nil"/>
              <w:bottom w:val="single" w:sz="4" w:space="0" w:color="auto"/>
              <w:right w:val="single" w:sz="4" w:space="0" w:color="auto"/>
            </w:tcBorders>
            <w:shd w:val="clear" w:color="auto" w:fill="C6EFCE"/>
            <w:noWrap/>
          </w:tcPr>
          <w:p w14:paraId="4357A0AC"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single" w:sz="4" w:space="0" w:color="auto"/>
              <w:left w:val="nil"/>
              <w:bottom w:val="single" w:sz="4" w:space="0" w:color="auto"/>
              <w:right w:val="single" w:sz="4" w:space="0" w:color="auto"/>
            </w:tcBorders>
            <w:shd w:val="clear" w:color="auto" w:fill="C6EFCE"/>
            <w:noWrap/>
          </w:tcPr>
          <w:p w14:paraId="13BBB191" w14:textId="77777777" w:rsidR="00CB0FCB" w:rsidRDefault="009D2B11">
            <w:pPr>
              <w:pStyle w:val="P68B1DB1-Normal9"/>
              <w:spacing w:after="0" w:line="240" w:lineRule="auto"/>
              <w:rPr>
                <w:rFonts w:eastAsia="Times New Roman" w:cs="Calibri"/>
                <w:noProof/>
                <w:szCs w:val="18"/>
              </w:rPr>
            </w:pPr>
            <w:r>
              <w:rPr>
                <w:noProof/>
              </w:rPr>
              <w:t>2022</w:t>
            </w:r>
          </w:p>
        </w:tc>
        <w:tc>
          <w:tcPr>
            <w:tcW w:w="4090" w:type="dxa"/>
            <w:tcBorders>
              <w:top w:val="single" w:sz="4" w:space="0" w:color="auto"/>
              <w:left w:val="nil"/>
              <w:bottom w:val="single" w:sz="4" w:space="0" w:color="auto"/>
              <w:right w:val="single" w:sz="4" w:space="0" w:color="auto"/>
            </w:tcBorders>
            <w:shd w:val="clear" w:color="auto" w:fill="C6EFCE"/>
            <w:noWrap/>
          </w:tcPr>
          <w:p w14:paraId="2297BB4E" w14:textId="77777777" w:rsidR="00CB0FCB" w:rsidRDefault="009D2B11">
            <w:pPr>
              <w:pStyle w:val="P68B1DB1-Normal9"/>
              <w:spacing w:after="0" w:line="240" w:lineRule="auto"/>
              <w:rPr>
                <w:rFonts w:eastAsia="Times New Roman" w:cs="Calibri"/>
                <w:noProof/>
                <w:szCs w:val="18"/>
              </w:rPr>
            </w:pPr>
            <w:r>
              <w:rPr>
                <w:noProof/>
              </w:rPr>
              <w:t xml:space="preserve">Līguma slēgšanas tiesību piešķiršana sadarbspējas un tīmekļa pakalpojumu izstrādes projektam. </w:t>
            </w:r>
          </w:p>
          <w:p w14:paraId="31F95895" w14:textId="77777777" w:rsidR="00CB0FCB" w:rsidRDefault="009D2B11">
            <w:pPr>
              <w:pStyle w:val="P68B1DB1-Normal9"/>
              <w:spacing w:after="0" w:line="240" w:lineRule="auto"/>
              <w:rPr>
                <w:rFonts w:eastAsia="Times New Roman" w:cs="Calibri"/>
                <w:noProof/>
                <w:szCs w:val="18"/>
              </w:rPr>
            </w:pPr>
            <w:r>
              <w:rPr>
                <w:noProof/>
              </w:rPr>
              <w:t>Ministrija/publiskā sektora informācijas sistēmu ģenerālsekretariāts/Informācijas sabiedrības SA izskata visus iesniegtos priekšlikumus un apstiprina, vai pieteikumi pienācīgi atbilst RFP prasībām.     Pēc tam, kad ir izvēlēts attiecīgais līgumslēdzējs, ministrija piešķir līgumu, kurā nosaka abu iesaistīto pušu pienākumus, uzdevumus un atbildību.</w:t>
            </w:r>
          </w:p>
        </w:tc>
      </w:tr>
      <w:tr w:rsidR="00CB0FCB" w14:paraId="282AA1C2"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2917FBC5" w14:textId="77777777" w:rsidR="00CB0FCB" w:rsidRDefault="009D2B11">
            <w:pPr>
              <w:pStyle w:val="P68B1DB1-Normal9"/>
              <w:spacing w:after="0" w:line="240" w:lineRule="auto"/>
              <w:rPr>
                <w:rFonts w:eastAsia="Times New Roman" w:cs="Calibri"/>
                <w:noProof/>
                <w:szCs w:val="18"/>
              </w:rPr>
            </w:pPr>
            <w:r>
              <w:rPr>
                <w:noProof/>
              </w:rPr>
              <w:t>101</w:t>
            </w:r>
          </w:p>
        </w:tc>
        <w:tc>
          <w:tcPr>
            <w:tcW w:w="1855" w:type="dxa"/>
            <w:tcBorders>
              <w:top w:val="nil"/>
              <w:left w:val="nil"/>
              <w:bottom w:val="single" w:sz="4" w:space="0" w:color="auto"/>
              <w:right w:val="single" w:sz="4" w:space="0" w:color="auto"/>
            </w:tcBorders>
            <w:shd w:val="clear" w:color="auto" w:fill="C6EFCE"/>
            <w:noWrap/>
          </w:tcPr>
          <w:p w14:paraId="18227947" w14:textId="77777777" w:rsidR="00CB0FCB" w:rsidRDefault="009D2B11">
            <w:pPr>
              <w:pStyle w:val="P68B1DB1-Normal9"/>
              <w:spacing w:after="0" w:line="240" w:lineRule="auto"/>
              <w:rPr>
                <w:rFonts w:eastAsia="Times New Roman" w:cs="Calibri"/>
                <w:noProof/>
                <w:szCs w:val="18"/>
              </w:rPr>
            </w:pPr>
            <w:r>
              <w:rPr>
                <w:noProof/>
              </w:rPr>
              <w:t>6–2.2. Modernizācija — 16810_CRM Vispārējai valdībai</w:t>
            </w:r>
          </w:p>
        </w:tc>
        <w:tc>
          <w:tcPr>
            <w:tcW w:w="1101" w:type="dxa"/>
            <w:tcBorders>
              <w:top w:val="nil"/>
              <w:left w:val="nil"/>
              <w:bottom w:val="single" w:sz="4" w:space="0" w:color="auto"/>
              <w:right w:val="single" w:sz="4" w:space="0" w:color="auto"/>
            </w:tcBorders>
            <w:shd w:val="clear" w:color="auto" w:fill="C6EFCE"/>
            <w:noWrap/>
          </w:tcPr>
          <w:p w14:paraId="7D9361EB"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1A207F5E" w14:textId="77777777" w:rsidR="00CB0FCB" w:rsidRDefault="009D2B11">
            <w:pPr>
              <w:pStyle w:val="P68B1DB1-Normal9"/>
              <w:spacing w:after="0" w:line="240" w:lineRule="auto"/>
              <w:rPr>
                <w:rFonts w:eastAsia="Times New Roman" w:cs="Calibri"/>
                <w:noProof/>
                <w:szCs w:val="18"/>
              </w:rPr>
            </w:pPr>
            <w:r>
              <w:rPr>
                <w:noProof/>
              </w:rPr>
              <w:t xml:space="preserve">Līguma slēgšanas tiesību piešķiršana CRM vispārējās valdības vārdā </w:t>
            </w:r>
          </w:p>
        </w:tc>
        <w:tc>
          <w:tcPr>
            <w:tcW w:w="1514" w:type="dxa"/>
            <w:tcBorders>
              <w:top w:val="nil"/>
              <w:left w:val="nil"/>
              <w:bottom w:val="single" w:sz="4" w:space="0" w:color="auto"/>
              <w:right w:val="single" w:sz="4" w:space="0" w:color="auto"/>
            </w:tcBorders>
            <w:shd w:val="clear" w:color="auto" w:fill="C6EFCE"/>
            <w:noWrap/>
          </w:tcPr>
          <w:p w14:paraId="6BC2EA86"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937" w:type="dxa"/>
            <w:tcBorders>
              <w:top w:val="nil"/>
              <w:left w:val="nil"/>
              <w:bottom w:val="single" w:sz="4" w:space="0" w:color="auto"/>
              <w:right w:val="single" w:sz="4" w:space="0" w:color="auto"/>
            </w:tcBorders>
            <w:shd w:val="clear" w:color="auto" w:fill="C6EFCE"/>
            <w:noWrap/>
          </w:tcPr>
          <w:p w14:paraId="2FAC0B6B"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763EE1B5"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6565D4C9"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0EA122ED"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56C593E5" w14:textId="77777777" w:rsidR="00CB0FCB" w:rsidRDefault="009D2B11">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74C7A210" w14:textId="77777777" w:rsidR="00CB0FCB" w:rsidRDefault="009D2B11">
            <w:pPr>
              <w:pStyle w:val="P68B1DB1-Normal9"/>
              <w:spacing w:after="0" w:line="240" w:lineRule="auto"/>
              <w:rPr>
                <w:rFonts w:eastAsia="Times New Roman" w:cs="Calibri"/>
                <w:noProof/>
                <w:szCs w:val="18"/>
              </w:rPr>
            </w:pPr>
            <w:r>
              <w:rPr>
                <w:noProof/>
              </w:rPr>
              <w:t xml:space="preserve">Līguma slēgšanas tiesību piešķiršana par JAM vispārējās valdības vārdā. Ministrija/publiskā sektora informācijas sistēmu ģenerālsekretariāts/Informācijas sabiedrības SA izskata visus iesniegtos priekšlikumus un apstiprina, vai pieteikumi pienācīgi atbilst RFP prasībām. </w:t>
            </w:r>
          </w:p>
          <w:p w14:paraId="29A132E7" w14:textId="77777777" w:rsidR="00CB0FCB" w:rsidRDefault="009D2B11">
            <w:pPr>
              <w:pStyle w:val="P68B1DB1-Normal9"/>
              <w:spacing w:after="0" w:line="240" w:lineRule="auto"/>
              <w:rPr>
                <w:rFonts w:eastAsia="Times New Roman" w:cs="Calibri"/>
                <w:noProof/>
                <w:szCs w:val="18"/>
              </w:rPr>
            </w:pPr>
            <w:r>
              <w:rPr>
                <w:noProof/>
              </w:rPr>
              <w:t xml:space="preserve">  Pēc attiecīgā ārējā partnera izraudzīšanās ministrija veic līguma slēgšanas tiesību piešķiršanu, kurā nosaka abu iesaistīto pušu pienākumus, uzdevumus un atbildību.</w:t>
            </w:r>
          </w:p>
        </w:tc>
      </w:tr>
      <w:tr w:rsidR="00CB0FCB" w14:paraId="65AD5A4B"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068C6127" w14:textId="77777777" w:rsidR="00CB0FCB" w:rsidRDefault="009D2B11">
            <w:pPr>
              <w:pStyle w:val="P68B1DB1-Normal9"/>
              <w:spacing w:after="0" w:line="240" w:lineRule="auto"/>
              <w:rPr>
                <w:rFonts w:eastAsia="Times New Roman" w:cs="Calibri"/>
                <w:noProof/>
                <w:szCs w:val="18"/>
              </w:rPr>
            </w:pPr>
            <w:r>
              <w:rPr>
                <w:noProof/>
              </w:rPr>
              <w:t>102</w:t>
            </w:r>
          </w:p>
        </w:tc>
        <w:tc>
          <w:tcPr>
            <w:tcW w:w="1855" w:type="dxa"/>
            <w:tcBorders>
              <w:top w:val="nil"/>
              <w:left w:val="nil"/>
              <w:bottom w:val="single" w:sz="4" w:space="0" w:color="auto"/>
              <w:right w:val="single" w:sz="4" w:space="0" w:color="auto"/>
            </w:tcBorders>
            <w:shd w:val="clear" w:color="auto" w:fill="C6EFCE"/>
            <w:noWrap/>
          </w:tcPr>
          <w:p w14:paraId="5277C831" w14:textId="77777777" w:rsidR="00CB0FCB" w:rsidRDefault="009D2B11">
            <w:pPr>
              <w:pStyle w:val="P68B1DB1-Normal9"/>
              <w:spacing w:after="0" w:line="240" w:lineRule="auto"/>
              <w:rPr>
                <w:rFonts w:eastAsia="Times New Roman" w:cs="Calibri"/>
                <w:noProof/>
                <w:szCs w:val="18"/>
              </w:rPr>
            </w:pPr>
            <w:r>
              <w:rPr>
                <w:noProof/>
              </w:rPr>
              <w:t>6–2.2. Modernizācija — 16780_Valsts pārvaldes vienas pieturas aģentūru turpmāka modernizācija</w:t>
            </w:r>
          </w:p>
        </w:tc>
        <w:tc>
          <w:tcPr>
            <w:tcW w:w="1101" w:type="dxa"/>
            <w:tcBorders>
              <w:top w:val="nil"/>
              <w:left w:val="nil"/>
              <w:bottom w:val="single" w:sz="4" w:space="0" w:color="auto"/>
              <w:right w:val="single" w:sz="4" w:space="0" w:color="auto"/>
            </w:tcBorders>
            <w:shd w:val="clear" w:color="auto" w:fill="C6EFCE"/>
            <w:noWrap/>
          </w:tcPr>
          <w:p w14:paraId="5847F46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5B776C14" w14:textId="77777777" w:rsidR="00CB0FCB" w:rsidRDefault="009D2B11">
            <w:pPr>
              <w:pStyle w:val="P68B1DB1-Normal9"/>
              <w:spacing w:after="0" w:line="240" w:lineRule="auto"/>
              <w:rPr>
                <w:rFonts w:eastAsia="Times New Roman" w:cs="Calibri"/>
                <w:noProof/>
                <w:szCs w:val="18"/>
              </w:rPr>
            </w:pPr>
            <w:r>
              <w:rPr>
                <w:noProof/>
              </w:rPr>
              <w:t>Līguma slēgšanas tiesību piešķiršana par valsts pārvaldes vienas pieturas aģentūru turpmāku modernizāciju</w:t>
            </w:r>
          </w:p>
        </w:tc>
        <w:tc>
          <w:tcPr>
            <w:tcW w:w="1514" w:type="dxa"/>
            <w:tcBorders>
              <w:top w:val="nil"/>
              <w:left w:val="nil"/>
              <w:bottom w:val="single" w:sz="4" w:space="0" w:color="auto"/>
              <w:right w:val="single" w:sz="4" w:space="0" w:color="auto"/>
            </w:tcBorders>
            <w:shd w:val="clear" w:color="auto" w:fill="C6EFCE"/>
            <w:noWrap/>
          </w:tcPr>
          <w:p w14:paraId="0F7A2D9C"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937" w:type="dxa"/>
            <w:tcBorders>
              <w:top w:val="nil"/>
              <w:left w:val="nil"/>
              <w:bottom w:val="single" w:sz="4" w:space="0" w:color="auto"/>
              <w:right w:val="single" w:sz="4" w:space="0" w:color="auto"/>
            </w:tcBorders>
            <w:shd w:val="clear" w:color="auto" w:fill="C6EFCE"/>
            <w:noWrap/>
          </w:tcPr>
          <w:p w14:paraId="5D347430"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405A5052"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63C82F6E"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11D08068"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06DAC969" w14:textId="77777777" w:rsidR="00CB0FCB" w:rsidRDefault="009D2B11">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126D7A65" w14:textId="77777777" w:rsidR="00CB0FCB" w:rsidRDefault="009D2B11">
            <w:pPr>
              <w:pStyle w:val="P68B1DB1-Normal9"/>
              <w:spacing w:after="0" w:line="240" w:lineRule="auto"/>
              <w:rPr>
                <w:rFonts w:eastAsia="Times New Roman" w:cs="Calibri"/>
                <w:noProof/>
                <w:szCs w:val="18"/>
              </w:rPr>
            </w:pPr>
            <w:r>
              <w:rPr>
                <w:noProof/>
              </w:rPr>
              <w:t xml:space="preserve">Līguma slēgšanas tiesību piešķiršana par valsts pārvaldes vienas pieturas aģentūru modernizāciju. </w:t>
            </w:r>
          </w:p>
          <w:p w14:paraId="0CFD1F7B" w14:textId="77777777" w:rsidR="00CB0FCB" w:rsidRDefault="009D2B11">
            <w:pPr>
              <w:pStyle w:val="P68B1DB1-Normal9"/>
              <w:spacing w:after="0" w:line="240" w:lineRule="auto"/>
              <w:rPr>
                <w:rFonts w:eastAsia="Times New Roman" w:cs="Calibri"/>
                <w:noProof/>
                <w:szCs w:val="18"/>
              </w:rPr>
            </w:pPr>
            <w:r>
              <w:rPr>
                <w:noProof/>
              </w:rPr>
              <w:t>Ministrija/publiskā sektora informācijas sistēmu ģenerālsekretariāts/Informācijas sabiedrības uzraudzības iestāde nodrošina, ka visi iesniegtie priekšlikumi tiek izskatīti, un apstiprina, vai pieteikumi pienācīgi atbilst RFP prasībām.    Pēc attiecīgā ārējā partnera izraudzīšanās ministrija veic līguma slēgšanas tiesību piešķiršanu, kurā nosaka abu iesaistīto pušu pienākumus, uzdevumus un atbildību.</w:t>
            </w:r>
          </w:p>
        </w:tc>
      </w:tr>
      <w:tr w:rsidR="00CB0FCB" w14:paraId="6274B493"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466DDA52" w14:textId="77777777" w:rsidR="00CB0FCB" w:rsidRDefault="009D2B11">
            <w:pPr>
              <w:pStyle w:val="P68B1DB1-Normal9"/>
              <w:spacing w:after="0" w:line="240" w:lineRule="auto"/>
              <w:rPr>
                <w:rFonts w:eastAsia="Times New Roman" w:cs="Calibri"/>
                <w:noProof/>
                <w:szCs w:val="18"/>
              </w:rPr>
            </w:pPr>
            <w:r>
              <w:rPr>
                <w:noProof/>
              </w:rPr>
              <w:t>103</w:t>
            </w:r>
          </w:p>
        </w:tc>
        <w:tc>
          <w:tcPr>
            <w:tcW w:w="1855" w:type="dxa"/>
            <w:tcBorders>
              <w:top w:val="nil"/>
              <w:left w:val="nil"/>
              <w:bottom w:val="single" w:sz="4" w:space="0" w:color="auto"/>
              <w:right w:val="single" w:sz="4" w:space="0" w:color="auto"/>
            </w:tcBorders>
            <w:shd w:val="clear" w:color="auto" w:fill="C6EFCE"/>
            <w:noWrap/>
          </w:tcPr>
          <w:p w14:paraId="7F5D44EA" w14:textId="77777777" w:rsidR="00CB0FCB" w:rsidRDefault="009D2B11">
            <w:pPr>
              <w:pStyle w:val="P68B1DB1-Normal9"/>
              <w:spacing w:after="0" w:line="240" w:lineRule="auto"/>
              <w:rPr>
                <w:rFonts w:eastAsia="Times New Roman" w:cs="Calibri"/>
                <w:noProof/>
                <w:szCs w:val="18"/>
              </w:rPr>
            </w:pPr>
            <w:r>
              <w:rPr>
                <w:noProof/>
              </w:rPr>
              <w:t>6–2.2. Modernizācija — 16736_Jauna publiskā iepirkuma sistēma</w:t>
            </w:r>
          </w:p>
        </w:tc>
        <w:tc>
          <w:tcPr>
            <w:tcW w:w="1101" w:type="dxa"/>
            <w:tcBorders>
              <w:top w:val="nil"/>
              <w:left w:val="nil"/>
              <w:bottom w:val="single" w:sz="4" w:space="0" w:color="auto"/>
              <w:right w:val="single" w:sz="4" w:space="0" w:color="auto"/>
            </w:tcBorders>
            <w:shd w:val="clear" w:color="auto" w:fill="C6EFCE"/>
            <w:noWrap/>
          </w:tcPr>
          <w:p w14:paraId="3829D00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371D67BE" w14:textId="77777777" w:rsidR="00CB0FCB" w:rsidRDefault="009D2B11">
            <w:pPr>
              <w:pStyle w:val="P68B1DB1-Normal9"/>
              <w:spacing w:after="0" w:line="240" w:lineRule="auto"/>
              <w:rPr>
                <w:rFonts w:eastAsia="Times New Roman" w:cs="Calibri"/>
                <w:noProof/>
                <w:szCs w:val="18"/>
              </w:rPr>
            </w:pPr>
            <w:r>
              <w:rPr>
                <w:noProof/>
              </w:rPr>
              <w:t>Līguma slēgšanas tiesību piešķiršana jaunajai publiskā iepirkuma sistēmai</w:t>
            </w:r>
          </w:p>
        </w:tc>
        <w:tc>
          <w:tcPr>
            <w:tcW w:w="1514" w:type="dxa"/>
            <w:tcBorders>
              <w:top w:val="nil"/>
              <w:left w:val="nil"/>
              <w:bottom w:val="single" w:sz="4" w:space="0" w:color="auto"/>
              <w:right w:val="single" w:sz="4" w:space="0" w:color="auto"/>
            </w:tcBorders>
            <w:shd w:val="clear" w:color="auto" w:fill="C6EFCE"/>
            <w:noWrap/>
          </w:tcPr>
          <w:p w14:paraId="7E21B265"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937" w:type="dxa"/>
            <w:tcBorders>
              <w:top w:val="nil"/>
              <w:left w:val="nil"/>
              <w:bottom w:val="single" w:sz="4" w:space="0" w:color="auto"/>
              <w:right w:val="single" w:sz="4" w:space="0" w:color="auto"/>
            </w:tcBorders>
            <w:shd w:val="clear" w:color="auto" w:fill="C6EFCE"/>
            <w:noWrap/>
          </w:tcPr>
          <w:p w14:paraId="6DC5CCBE"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584C7F32"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09B889D8"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078CCD6F"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3FB1C403" w14:textId="77777777" w:rsidR="00CB0FCB" w:rsidRDefault="009D2B11">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21B972C5" w14:textId="77777777" w:rsidR="00CB0FCB" w:rsidRDefault="009D2B11">
            <w:pPr>
              <w:pStyle w:val="P68B1DB1-Normal9"/>
              <w:spacing w:after="0" w:line="240" w:lineRule="auto"/>
              <w:rPr>
                <w:rFonts w:eastAsia="Times New Roman" w:cs="Calibri"/>
                <w:noProof/>
                <w:szCs w:val="18"/>
              </w:rPr>
            </w:pPr>
            <w:r>
              <w:rPr>
                <w:noProof/>
              </w:rPr>
              <w:t>Līguma slēgšanas tiesību piešķiršana projekta jaunajai publiskā iepirkuma sistēmai. Ministrija/publiskā sektora/informācijas sabiedrības informācijas sistēmu ģenerālsekretariāts izskata visus iesniegtos priekšlikumus un apstiprina, vai pieteikumi pienācīgi atbilst RfP prasībām.     Izvēloties attiecīgo darbuzņēmēju, atbildīgā struktūra piešķir līgumu, kurā nosaka abu iesaistīto pušu pienākumus, uzdevumus un atbildību.</w:t>
            </w:r>
          </w:p>
        </w:tc>
      </w:tr>
      <w:tr w:rsidR="00CB0FCB" w14:paraId="320C6691"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32405068" w14:textId="77777777" w:rsidR="00CB0FCB" w:rsidRDefault="009D2B11">
            <w:pPr>
              <w:pStyle w:val="P68B1DB1-Normal9"/>
              <w:spacing w:after="0" w:line="240" w:lineRule="auto"/>
              <w:rPr>
                <w:rFonts w:eastAsia="Times New Roman" w:cs="Calibri"/>
                <w:noProof/>
                <w:szCs w:val="18"/>
              </w:rPr>
            </w:pPr>
            <w:r>
              <w:rPr>
                <w:noProof/>
              </w:rPr>
              <w:t>104</w:t>
            </w:r>
          </w:p>
        </w:tc>
        <w:tc>
          <w:tcPr>
            <w:tcW w:w="1855" w:type="dxa"/>
            <w:tcBorders>
              <w:top w:val="nil"/>
              <w:left w:val="nil"/>
              <w:bottom w:val="single" w:sz="4" w:space="0" w:color="auto"/>
              <w:right w:val="single" w:sz="4" w:space="0" w:color="auto"/>
            </w:tcBorders>
            <w:shd w:val="clear" w:color="auto" w:fill="C6EFCE"/>
            <w:noWrap/>
          </w:tcPr>
          <w:p w14:paraId="685979EC" w14:textId="77777777" w:rsidR="00CB0FCB" w:rsidRDefault="009D2B11">
            <w:pPr>
              <w:pStyle w:val="P68B1DB1-Normal9"/>
              <w:spacing w:after="0" w:line="240" w:lineRule="auto"/>
              <w:rPr>
                <w:rFonts w:eastAsia="Times New Roman" w:cs="Calibri"/>
                <w:noProof/>
                <w:szCs w:val="18"/>
              </w:rPr>
            </w:pPr>
            <w:r>
              <w:rPr>
                <w:noProof/>
              </w:rPr>
              <w:t>6–2.2. Modernizācija — 16823_Kiberdrošības stratēģija un politika publiskajam sektoram un progresīviem drošības pakalpojumiem valstu kritiskajām infrastruktūrām</w:t>
            </w:r>
          </w:p>
        </w:tc>
        <w:tc>
          <w:tcPr>
            <w:tcW w:w="1101" w:type="dxa"/>
            <w:tcBorders>
              <w:top w:val="nil"/>
              <w:left w:val="nil"/>
              <w:bottom w:val="single" w:sz="4" w:space="0" w:color="auto"/>
              <w:right w:val="single" w:sz="4" w:space="0" w:color="auto"/>
            </w:tcBorders>
            <w:shd w:val="clear" w:color="auto" w:fill="C6EFCE"/>
            <w:noWrap/>
          </w:tcPr>
          <w:p w14:paraId="4BA7524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6D0BB405" w14:textId="77777777" w:rsidR="00CB0FCB" w:rsidRDefault="009D2B11">
            <w:pPr>
              <w:pStyle w:val="P68B1DB1-Normal9"/>
              <w:spacing w:after="0" w:line="240" w:lineRule="auto"/>
              <w:rPr>
                <w:rFonts w:eastAsia="Times New Roman" w:cs="Calibri"/>
                <w:noProof/>
                <w:szCs w:val="18"/>
              </w:rPr>
            </w:pPr>
            <w:r>
              <w:rPr>
                <w:noProof/>
              </w:rPr>
              <w:t>Līguma slēgšanas tiesību piešķiršana kiberdrošības stratēģijai</w:t>
            </w:r>
          </w:p>
        </w:tc>
        <w:tc>
          <w:tcPr>
            <w:tcW w:w="1514" w:type="dxa"/>
            <w:tcBorders>
              <w:top w:val="nil"/>
              <w:left w:val="nil"/>
              <w:bottom w:val="single" w:sz="4" w:space="0" w:color="auto"/>
              <w:right w:val="single" w:sz="4" w:space="0" w:color="auto"/>
            </w:tcBorders>
            <w:shd w:val="clear" w:color="auto" w:fill="C6EFCE"/>
            <w:noWrap/>
          </w:tcPr>
          <w:p w14:paraId="7506224B"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937" w:type="dxa"/>
            <w:tcBorders>
              <w:top w:val="nil"/>
              <w:left w:val="nil"/>
              <w:bottom w:val="single" w:sz="4" w:space="0" w:color="auto"/>
              <w:right w:val="single" w:sz="4" w:space="0" w:color="auto"/>
            </w:tcBorders>
            <w:shd w:val="clear" w:color="auto" w:fill="C6EFCE"/>
            <w:noWrap/>
          </w:tcPr>
          <w:p w14:paraId="075E8877"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50A60263"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0BB682E9"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73C8CA2E"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790146FC" w14:textId="77777777" w:rsidR="00CB0FCB" w:rsidRDefault="009D2B11">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410D308D" w14:textId="77777777" w:rsidR="00CB0FCB" w:rsidRDefault="009D2B11">
            <w:pPr>
              <w:pStyle w:val="P68B1DB1-Normal9"/>
              <w:spacing w:after="0" w:line="240" w:lineRule="auto"/>
              <w:rPr>
                <w:rFonts w:eastAsia="Times New Roman" w:cs="Calibri"/>
                <w:noProof/>
                <w:szCs w:val="18"/>
              </w:rPr>
            </w:pPr>
            <w:r>
              <w:rPr>
                <w:noProof/>
              </w:rPr>
              <w:t>Līguma slēgšanas tiesību piešķiršana projektam “Kiberdrošības stratēģija un politika publiskajam sektoram un progresīviem drošības pakalpojumiem valsts kritiskajām infrastruktūrām”. Pēc tam, kad ir izraudzīts atbilstošs ārējais konsultants, ministrija piešķir līgumu, kurā nosaka abu iesaistīto pušu pienākumus, uzdevumus un atbildību.</w:t>
            </w:r>
          </w:p>
        </w:tc>
      </w:tr>
      <w:tr w:rsidR="00CB0FCB" w14:paraId="7DAF8157"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20C79E3F" w14:textId="77777777" w:rsidR="00CB0FCB" w:rsidRDefault="009D2B11">
            <w:pPr>
              <w:pStyle w:val="P68B1DB1-Normal9"/>
              <w:spacing w:after="0" w:line="240" w:lineRule="auto"/>
              <w:rPr>
                <w:rFonts w:eastAsia="Times New Roman" w:cs="Calibri"/>
                <w:noProof/>
                <w:szCs w:val="18"/>
              </w:rPr>
            </w:pPr>
            <w:r>
              <w:rPr>
                <w:noProof/>
              </w:rPr>
              <w:t>105</w:t>
            </w:r>
          </w:p>
        </w:tc>
        <w:tc>
          <w:tcPr>
            <w:tcW w:w="1855" w:type="dxa"/>
            <w:tcBorders>
              <w:top w:val="nil"/>
              <w:left w:val="nil"/>
              <w:bottom w:val="single" w:sz="4" w:space="0" w:color="auto"/>
              <w:right w:val="single" w:sz="4" w:space="0" w:color="auto"/>
            </w:tcBorders>
            <w:shd w:val="clear" w:color="auto" w:fill="C6EFCE"/>
            <w:noWrap/>
          </w:tcPr>
          <w:p w14:paraId="250E9B00" w14:textId="77777777" w:rsidR="00CB0FCB" w:rsidRDefault="009D2B11">
            <w:pPr>
              <w:pStyle w:val="P68B1DB1-Normal9"/>
              <w:spacing w:after="0" w:line="240" w:lineRule="auto"/>
              <w:rPr>
                <w:rFonts w:eastAsia="Times New Roman" w:cs="Calibri"/>
                <w:noProof/>
                <w:szCs w:val="18"/>
              </w:rPr>
            </w:pPr>
            <w:r>
              <w:rPr>
                <w:noProof/>
              </w:rPr>
              <w:t>6–2.2. Modernizācija — 16826_Iesaukto digitālo prasmju uzlabošanas programmas</w:t>
            </w:r>
          </w:p>
        </w:tc>
        <w:tc>
          <w:tcPr>
            <w:tcW w:w="1101" w:type="dxa"/>
            <w:tcBorders>
              <w:top w:val="nil"/>
              <w:left w:val="nil"/>
              <w:bottom w:val="single" w:sz="4" w:space="0" w:color="auto"/>
              <w:right w:val="single" w:sz="4" w:space="0" w:color="auto"/>
            </w:tcBorders>
            <w:shd w:val="clear" w:color="auto" w:fill="C6EFCE"/>
            <w:noWrap/>
          </w:tcPr>
          <w:p w14:paraId="3C5D06B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57D8AC9F" w14:textId="77777777" w:rsidR="00CB0FCB" w:rsidRDefault="009D2B11">
            <w:pPr>
              <w:pStyle w:val="P68B1DB1-Normal9"/>
              <w:spacing w:after="0" w:line="240" w:lineRule="auto"/>
              <w:rPr>
                <w:rFonts w:eastAsia="Times New Roman" w:cs="Calibri"/>
                <w:noProof/>
                <w:szCs w:val="18"/>
              </w:rPr>
            </w:pPr>
            <w:r>
              <w:rPr>
                <w:noProof/>
              </w:rPr>
              <w:t>Līguma slēgšanas tiesību piešķiršana par iesaukto digitālo prasmju uzlabošanas programmām</w:t>
            </w:r>
          </w:p>
        </w:tc>
        <w:tc>
          <w:tcPr>
            <w:tcW w:w="1514" w:type="dxa"/>
            <w:tcBorders>
              <w:top w:val="nil"/>
              <w:left w:val="nil"/>
              <w:bottom w:val="single" w:sz="4" w:space="0" w:color="auto"/>
              <w:right w:val="single" w:sz="4" w:space="0" w:color="auto"/>
            </w:tcBorders>
            <w:shd w:val="clear" w:color="auto" w:fill="C6EFCE"/>
            <w:noWrap/>
          </w:tcPr>
          <w:p w14:paraId="2E63246F"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937" w:type="dxa"/>
            <w:tcBorders>
              <w:top w:val="nil"/>
              <w:left w:val="nil"/>
              <w:bottom w:val="single" w:sz="4" w:space="0" w:color="auto"/>
              <w:right w:val="single" w:sz="4" w:space="0" w:color="auto"/>
            </w:tcBorders>
            <w:shd w:val="clear" w:color="auto" w:fill="C6EFCE"/>
            <w:noWrap/>
          </w:tcPr>
          <w:p w14:paraId="2C79738B"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4A525E55"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54F9BD9E"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0BEC2EF8"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7ED28807" w14:textId="77777777" w:rsidR="00CB0FCB" w:rsidRDefault="009D2B11">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6DB96DA0" w14:textId="7D4FACE0" w:rsidR="00CB0FCB" w:rsidRDefault="009D2B11">
            <w:pPr>
              <w:pStyle w:val="P68B1DB1-Normal9"/>
              <w:spacing w:after="0" w:line="240" w:lineRule="auto"/>
              <w:rPr>
                <w:rFonts w:eastAsia="Times New Roman" w:cs="Calibri"/>
                <w:noProof/>
                <w:szCs w:val="18"/>
              </w:rPr>
            </w:pPr>
            <w:r>
              <w:rPr>
                <w:noProof/>
              </w:rPr>
              <w:t>Līguma slēgšanas tiesību piešķiršana par iesaukto digitālo prasmju uzlabošanas programmām. Ministrija izskata visus iesniegtos priekšlikumus un apstiprina, vai pieteikumi pienācīgi atbilst RFP prasībām.     Pēc attiecīgā ārējā partnera izraudzīšanās ministrija veic līguma slēgšanas tiesību piešķiršanu, kurā nosaka abu iesaistīto pušu pienākumus, uzdevumus un atbildību.</w:t>
            </w:r>
          </w:p>
        </w:tc>
      </w:tr>
      <w:tr w:rsidR="00CB0FCB" w14:paraId="07F23BAD"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5101EE4D" w14:textId="77777777" w:rsidR="00CB0FCB" w:rsidRDefault="009D2B11">
            <w:pPr>
              <w:pStyle w:val="P68B1DB1-Normal9"/>
              <w:spacing w:after="0" w:line="240" w:lineRule="auto"/>
              <w:rPr>
                <w:rFonts w:eastAsia="Times New Roman" w:cs="Calibri"/>
                <w:noProof/>
                <w:szCs w:val="18"/>
              </w:rPr>
            </w:pPr>
            <w:r>
              <w:rPr>
                <w:noProof/>
              </w:rPr>
              <w:t>106</w:t>
            </w:r>
          </w:p>
        </w:tc>
        <w:tc>
          <w:tcPr>
            <w:tcW w:w="1855" w:type="dxa"/>
            <w:tcBorders>
              <w:top w:val="nil"/>
              <w:left w:val="nil"/>
              <w:bottom w:val="single" w:sz="4" w:space="0" w:color="auto"/>
              <w:right w:val="single" w:sz="4" w:space="0" w:color="auto"/>
            </w:tcBorders>
            <w:shd w:val="clear" w:color="auto" w:fill="C6EFCE"/>
            <w:noWrap/>
          </w:tcPr>
          <w:p w14:paraId="521FD803" w14:textId="77777777" w:rsidR="00CB0FCB" w:rsidRDefault="009D2B11">
            <w:pPr>
              <w:pStyle w:val="P68B1DB1-Normal9"/>
              <w:spacing w:after="0" w:line="240" w:lineRule="auto"/>
              <w:rPr>
                <w:rFonts w:eastAsia="Times New Roman" w:cs="Calibri"/>
                <w:noProof/>
                <w:szCs w:val="18"/>
              </w:rPr>
            </w:pPr>
            <w:r>
              <w:rPr>
                <w:noProof/>
              </w:rPr>
              <w:t>6–2.2. Modernizācija — 16742_Ārlietu ministrijas digitālā pārveide</w:t>
            </w:r>
          </w:p>
        </w:tc>
        <w:tc>
          <w:tcPr>
            <w:tcW w:w="1101" w:type="dxa"/>
            <w:tcBorders>
              <w:top w:val="nil"/>
              <w:left w:val="nil"/>
              <w:bottom w:val="single" w:sz="4" w:space="0" w:color="auto"/>
              <w:right w:val="single" w:sz="4" w:space="0" w:color="auto"/>
            </w:tcBorders>
            <w:shd w:val="clear" w:color="auto" w:fill="C6EFCE"/>
            <w:noWrap/>
          </w:tcPr>
          <w:p w14:paraId="2AAED55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103B33D0" w14:textId="77777777" w:rsidR="00CB0FCB" w:rsidRDefault="009D2B11">
            <w:pPr>
              <w:pStyle w:val="P68B1DB1-Normal9"/>
              <w:spacing w:after="0" w:line="240" w:lineRule="auto"/>
              <w:rPr>
                <w:rFonts w:eastAsia="Times New Roman" w:cs="Calibri"/>
                <w:noProof/>
                <w:szCs w:val="18"/>
              </w:rPr>
            </w:pPr>
            <w:r>
              <w:rPr>
                <w:noProof/>
              </w:rPr>
              <w:t>Līguma slēgšanas tiesību piešķiršana Ārlietu ministrijas digitālajai pārveidei</w:t>
            </w:r>
          </w:p>
        </w:tc>
        <w:tc>
          <w:tcPr>
            <w:tcW w:w="1514" w:type="dxa"/>
            <w:tcBorders>
              <w:top w:val="nil"/>
              <w:left w:val="nil"/>
              <w:bottom w:val="single" w:sz="4" w:space="0" w:color="auto"/>
              <w:right w:val="single" w:sz="4" w:space="0" w:color="auto"/>
            </w:tcBorders>
            <w:shd w:val="clear" w:color="auto" w:fill="C6EFCE"/>
            <w:noWrap/>
          </w:tcPr>
          <w:p w14:paraId="4A3F77CC"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937" w:type="dxa"/>
            <w:tcBorders>
              <w:top w:val="nil"/>
              <w:left w:val="nil"/>
              <w:bottom w:val="single" w:sz="4" w:space="0" w:color="auto"/>
              <w:right w:val="single" w:sz="4" w:space="0" w:color="auto"/>
            </w:tcBorders>
            <w:shd w:val="clear" w:color="auto" w:fill="C6EFCE"/>
            <w:noWrap/>
          </w:tcPr>
          <w:p w14:paraId="7FE3A0A7"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5A9714D0"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71064A00"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1951C50F"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71018904" w14:textId="77777777" w:rsidR="00CB0FCB" w:rsidRDefault="009D2B11">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62F263F9" w14:textId="77777777" w:rsidR="00CB0FCB" w:rsidRDefault="009D2B11">
            <w:pPr>
              <w:pStyle w:val="P68B1DB1-Normal9"/>
              <w:spacing w:after="0" w:line="240" w:lineRule="auto"/>
              <w:rPr>
                <w:rFonts w:eastAsia="Times New Roman" w:cs="Calibri"/>
                <w:noProof/>
                <w:szCs w:val="18"/>
              </w:rPr>
            </w:pPr>
            <w:r>
              <w:rPr>
                <w:noProof/>
              </w:rPr>
              <w:t>Līguma slēgšanas tiesību piešķiršana par digitālo pārveidi Ārlietu ministrijā. Ministrija izskata visus iesniegtos priekšlikumus un apstiprina, vai pieteikumi pienācīgi atbilst RFP prasībām.     Pēc attiecīgā ārējā partnera izraudzīšanās ministrija veic līguma slēgšanas tiesību piešķiršanu, kurā nosaka abu iesaistīto pušu pienākumus, uzdevumus un atbildību.</w:t>
            </w:r>
          </w:p>
        </w:tc>
      </w:tr>
      <w:tr w:rsidR="00CB0FCB" w14:paraId="1B884BE7"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72E804C1" w14:textId="77777777" w:rsidR="00CB0FCB" w:rsidRDefault="009D2B11">
            <w:pPr>
              <w:pStyle w:val="P68B1DB1-Normal9"/>
              <w:spacing w:after="0" w:line="240" w:lineRule="auto"/>
              <w:rPr>
                <w:rFonts w:eastAsia="Times New Roman" w:cs="Calibri"/>
                <w:noProof/>
                <w:szCs w:val="18"/>
              </w:rPr>
            </w:pPr>
            <w:r>
              <w:rPr>
                <w:noProof/>
              </w:rPr>
              <w:t>107</w:t>
            </w:r>
          </w:p>
        </w:tc>
        <w:tc>
          <w:tcPr>
            <w:tcW w:w="1855" w:type="dxa"/>
            <w:tcBorders>
              <w:top w:val="nil"/>
              <w:left w:val="nil"/>
              <w:bottom w:val="single" w:sz="4" w:space="0" w:color="auto"/>
              <w:right w:val="single" w:sz="4" w:space="0" w:color="auto"/>
            </w:tcBorders>
            <w:shd w:val="clear" w:color="auto" w:fill="C6EFCE"/>
            <w:noWrap/>
          </w:tcPr>
          <w:p w14:paraId="4A0B670F" w14:textId="77777777" w:rsidR="00CB0FCB" w:rsidRDefault="009D2B11">
            <w:pPr>
              <w:pStyle w:val="P68B1DB1-Normal9"/>
              <w:spacing w:after="0" w:line="240" w:lineRule="auto"/>
              <w:rPr>
                <w:rFonts w:eastAsia="Times New Roman" w:cs="Calibri"/>
                <w:noProof/>
                <w:szCs w:val="18"/>
              </w:rPr>
            </w:pPr>
            <w:r>
              <w:rPr>
                <w:noProof/>
              </w:rPr>
              <w:t>6–2.2. Modernizācija — 16824_ERegistry</w:t>
            </w:r>
          </w:p>
        </w:tc>
        <w:tc>
          <w:tcPr>
            <w:tcW w:w="1101" w:type="dxa"/>
            <w:tcBorders>
              <w:top w:val="nil"/>
              <w:left w:val="nil"/>
              <w:bottom w:val="single" w:sz="4" w:space="0" w:color="auto"/>
              <w:right w:val="single" w:sz="4" w:space="0" w:color="auto"/>
            </w:tcBorders>
            <w:shd w:val="clear" w:color="auto" w:fill="C6EFCE"/>
            <w:noWrap/>
          </w:tcPr>
          <w:p w14:paraId="327D898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15121381" w14:textId="77777777" w:rsidR="00CB0FCB" w:rsidRDefault="009D2B11">
            <w:pPr>
              <w:pStyle w:val="P68B1DB1-Normal9"/>
              <w:spacing w:after="0" w:line="240" w:lineRule="auto"/>
              <w:rPr>
                <w:rFonts w:eastAsia="Times New Roman" w:cs="Calibri"/>
                <w:noProof/>
                <w:szCs w:val="18"/>
              </w:rPr>
            </w:pPr>
            <w:r>
              <w:rPr>
                <w:noProof/>
              </w:rPr>
              <w:t>Līguma slēgšanas tiesību piešķiršana e-reģistriem</w:t>
            </w:r>
          </w:p>
        </w:tc>
        <w:tc>
          <w:tcPr>
            <w:tcW w:w="1514" w:type="dxa"/>
            <w:tcBorders>
              <w:top w:val="nil"/>
              <w:left w:val="nil"/>
              <w:bottom w:val="single" w:sz="4" w:space="0" w:color="auto"/>
              <w:right w:val="single" w:sz="4" w:space="0" w:color="auto"/>
            </w:tcBorders>
            <w:shd w:val="clear" w:color="auto" w:fill="C6EFCE"/>
            <w:noWrap/>
          </w:tcPr>
          <w:p w14:paraId="71830152"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937" w:type="dxa"/>
            <w:tcBorders>
              <w:top w:val="nil"/>
              <w:left w:val="nil"/>
              <w:bottom w:val="single" w:sz="4" w:space="0" w:color="auto"/>
              <w:right w:val="single" w:sz="4" w:space="0" w:color="auto"/>
            </w:tcBorders>
            <w:shd w:val="clear" w:color="auto" w:fill="C6EFCE"/>
            <w:noWrap/>
          </w:tcPr>
          <w:p w14:paraId="49D68F3D"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4741F917"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48FDD0B4"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4C3C7211"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45F0C680" w14:textId="77777777" w:rsidR="00CB0FCB" w:rsidRDefault="009D2B11">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40FBEB8D" w14:textId="77777777" w:rsidR="00CB0FCB" w:rsidRDefault="009D2B11">
            <w:pPr>
              <w:pStyle w:val="P68B1DB1-Normal9"/>
              <w:spacing w:after="0" w:line="240" w:lineRule="auto"/>
              <w:rPr>
                <w:rFonts w:eastAsia="Times New Roman" w:cs="Calibri"/>
                <w:noProof/>
                <w:szCs w:val="18"/>
              </w:rPr>
            </w:pPr>
            <w:r>
              <w:rPr>
                <w:noProof/>
              </w:rPr>
              <w:t>Līguma slēgšanas tiesību piešķiršana e-reģistra projektam. Ministrija/publiskā sektora informācijas sistēmu ģenerālsekretariāts/Informācijas sabiedrības SA izskata visus iesniegtos priekšlikumus un apstiprina, vai pieteikumi pienācīgi atbilst RFP prasībām.   Pēc attiecīgā ārējā partnera izraudzīšanās ministrija veic līguma slēgšanas tiesību piešķiršanu, kurā nosaka abu iesaistīto pušu pienākumus, uzdevumus un atbildību.</w:t>
            </w:r>
          </w:p>
        </w:tc>
      </w:tr>
      <w:tr w:rsidR="00CB0FCB" w14:paraId="70DEA7E7"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56D4A1ED" w14:textId="77777777" w:rsidR="00CB0FCB" w:rsidRDefault="009D2B11">
            <w:pPr>
              <w:pStyle w:val="P68B1DB1-Normal9"/>
              <w:spacing w:after="0" w:line="240" w:lineRule="auto"/>
              <w:rPr>
                <w:rFonts w:eastAsia="Times New Roman" w:cs="Calibri"/>
                <w:noProof/>
                <w:szCs w:val="18"/>
              </w:rPr>
            </w:pPr>
            <w:r>
              <w:rPr>
                <w:noProof/>
              </w:rPr>
              <w:t>108</w:t>
            </w:r>
          </w:p>
        </w:tc>
        <w:tc>
          <w:tcPr>
            <w:tcW w:w="1855" w:type="dxa"/>
            <w:tcBorders>
              <w:top w:val="nil"/>
              <w:left w:val="nil"/>
              <w:bottom w:val="single" w:sz="4" w:space="0" w:color="auto"/>
              <w:right w:val="single" w:sz="4" w:space="0" w:color="auto"/>
            </w:tcBorders>
            <w:shd w:val="clear" w:color="auto" w:fill="C6EFCE"/>
            <w:noWrap/>
          </w:tcPr>
          <w:p w14:paraId="3654E61A" w14:textId="77777777" w:rsidR="00CB0FCB" w:rsidRDefault="009D2B11">
            <w:pPr>
              <w:pStyle w:val="P68B1DB1-Normal9"/>
              <w:spacing w:after="0" w:line="240" w:lineRule="auto"/>
              <w:rPr>
                <w:rFonts w:eastAsia="Times New Roman" w:cs="Calibri"/>
                <w:noProof/>
                <w:szCs w:val="18"/>
              </w:rPr>
            </w:pPr>
            <w:r>
              <w:rPr>
                <w:noProof/>
              </w:rPr>
              <w:t>6–2.2. Modernizācija — 16779_ Sadarbspēja un tīmekļa pakalpojumu izstrāde</w:t>
            </w:r>
          </w:p>
        </w:tc>
        <w:tc>
          <w:tcPr>
            <w:tcW w:w="1101" w:type="dxa"/>
            <w:tcBorders>
              <w:top w:val="nil"/>
              <w:left w:val="nil"/>
              <w:bottom w:val="single" w:sz="4" w:space="0" w:color="auto"/>
              <w:right w:val="single" w:sz="4" w:space="0" w:color="auto"/>
            </w:tcBorders>
            <w:shd w:val="clear" w:color="auto" w:fill="C6EFCE"/>
            <w:noWrap/>
          </w:tcPr>
          <w:p w14:paraId="720C479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5C234505" w14:textId="77777777" w:rsidR="00CB0FCB" w:rsidRDefault="009D2B11">
            <w:pPr>
              <w:pStyle w:val="P68B1DB1-Normal9"/>
              <w:spacing w:after="0" w:line="240" w:lineRule="auto"/>
              <w:rPr>
                <w:rFonts w:eastAsia="Times New Roman" w:cs="Calibri"/>
                <w:noProof/>
                <w:szCs w:val="18"/>
              </w:rPr>
            </w:pPr>
            <w:r>
              <w:rPr>
                <w:noProof/>
              </w:rPr>
              <w:t xml:space="preserve">Projekta “Sadarbspēja un tīmekļa pakalpojumu izstrāde” pabeigšana </w:t>
            </w:r>
          </w:p>
        </w:tc>
        <w:tc>
          <w:tcPr>
            <w:tcW w:w="1514" w:type="dxa"/>
            <w:tcBorders>
              <w:top w:val="nil"/>
              <w:left w:val="nil"/>
              <w:bottom w:val="single" w:sz="4" w:space="0" w:color="auto"/>
              <w:right w:val="single" w:sz="4" w:space="0" w:color="auto"/>
            </w:tcBorders>
            <w:shd w:val="clear" w:color="auto" w:fill="C6EFCE"/>
            <w:noWrap/>
          </w:tcPr>
          <w:p w14:paraId="501BB0A6" w14:textId="77777777" w:rsidR="00CB0FCB" w:rsidRDefault="009D2B11">
            <w:pPr>
              <w:pStyle w:val="P68B1DB1-Normal9"/>
              <w:spacing w:after="0" w:line="240" w:lineRule="auto"/>
              <w:rPr>
                <w:rFonts w:eastAsia="Times New Roman" w:cs="Calibri"/>
                <w:noProof/>
                <w:szCs w:val="18"/>
              </w:rPr>
            </w:pPr>
            <w:r>
              <w:rPr>
                <w:noProof/>
              </w:rPr>
              <w:t>Ministrijas Digitālās pārvaldības ziņojums, kurā dokumentēta sistēmas sadarbspējas projekta pabeigšana un atvērto datu pabeigšana</w:t>
            </w:r>
          </w:p>
        </w:tc>
        <w:tc>
          <w:tcPr>
            <w:tcW w:w="937" w:type="dxa"/>
            <w:tcBorders>
              <w:top w:val="nil"/>
              <w:left w:val="nil"/>
              <w:bottom w:val="single" w:sz="4" w:space="0" w:color="auto"/>
              <w:right w:val="single" w:sz="4" w:space="0" w:color="auto"/>
            </w:tcBorders>
            <w:shd w:val="clear" w:color="auto" w:fill="C6EFCE"/>
            <w:noWrap/>
          </w:tcPr>
          <w:p w14:paraId="5154B65B"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39E4AA09"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145BE11B"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23D78760"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1E713B0E" w14:textId="43F6E231" w:rsidR="00CB0FCB" w:rsidRDefault="009D2B11">
            <w:pPr>
              <w:pStyle w:val="P68B1DB1-Normal10"/>
              <w:spacing w:after="0" w:line="240" w:lineRule="auto"/>
              <w:rPr>
                <w:rFonts w:eastAsia="Times New Roman" w:cs="Calibri"/>
                <w:noProof/>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78F33F01" w14:textId="7150553A" w:rsidR="00CB0FCB" w:rsidRDefault="009D2B11">
            <w:pPr>
              <w:pStyle w:val="P68B1DB1-Normal10"/>
              <w:spacing w:after="0" w:line="240" w:lineRule="auto"/>
              <w:rPr>
                <w:rFonts w:eastAsia="Times New Roman" w:cs="Calibri"/>
                <w:noProof/>
              </w:rPr>
            </w:pPr>
            <w:r>
              <w:rPr>
                <w:noProof/>
              </w:rPr>
              <w:t>Projekta pabeigšana: Sadarbspējas un tīmekļa pakalpojumu izstrāde saskaņā ar pasākuma aprakstu.</w:t>
            </w:r>
          </w:p>
          <w:p w14:paraId="26C50F0A" w14:textId="38EF11D3" w:rsidR="00CB0FCB" w:rsidRDefault="00CB0FCB">
            <w:pPr>
              <w:spacing w:after="0" w:line="240" w:lineRule="auto"/>
              <w:rPr>
                <w:noProof/>
                <w:color w:val="006100"/>
                <w:sz w:val="18"/>
                <w:szCs w:val="18"/>
              </w:rPr>
            </w:pPr>
          </w:p>
        </w:tc>
      </w:tr>
      <w:tr w:rsidR="00CB0FCB" w14:paraId="345756D8"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28DC4EBE" w14:textId="77777777" w:rsidR="00CB0FCB" w:rsidRDefault="009D2B11">
            <w:pPr>
              <w:pStyle w:val="P68B1DB1-Normal9"/>
              <w:spacing w:after="0" w:line="240" w:lineRule="auto"/>
              <w:rPr>
                <w:rFonts w:eastAsia="Times New Roman" w:cs="Calibri"/>
                <w:noProof/>
                <w:szCs w:val="18"/>
              </w:rPr>
            </w:pPr>
            <w:r>
              <w:rPr>
                <w:noProof/>
              </w:rPr>
              <w:t>109</w:t>
            </w:r>
          </w:p>
        </w:tc>
        <w:tc>
          <w:tcPr>
            <w:tcW w:w="1855" w:type="dxa"/>
            <w:tcBorders>
              <w:top w:val="nil"/>
              <w:left w:val="nil"/>
              <w:bottom w:val="single" w:sz="4" w:space="0" w:color="auto"/>
              <w:right w:val="single" w:sz="4" w:space="0" w:color="auto"/>
            </w:tcBorders>
            <w:shd w:val="clear" w:color="auto" w:fill="C6EFCE"/>
            <w:noWrap/>
          </w:tcPr>
          <w:p w14:paraId="26C59263" w14:textId="77777777" w:rsidR="00CB0FCB" w:rsidRDefault="009D2B11">
            <w:pPr>
              <w:pStyle w:val="P68B1DB1-Normal9"/>
              <w:spacing w:after="0" w:line="240" w:lineRule="auto"/>
              <w:rPr>
                <w:rFonts w:eastAsia="Times New Roman" w:cs="Calibri"/>
                <w:noProof/>
                <w:szCs w:val="18"/>
              </w:rPr>
            </w:pPr>
            <w:r>
              <w:rPr>
                <w:noProof/>
              </w:rPr>
              <w:t>6–2.2. Modernizācija — 16810_CRM Vispārējai valdībai</w:t>
            </w:r>
          </w:p>
        </w:tc>
        <w:tc>
          <w:tcPr>
            <w:tcW w:w="1101" w:type="dxa"/>
            <w:tcBorders>
              <w:top w:val="nil"/>
              <w:left w:val="nil"/>
              <w:bottom w:val="single" w:sz="4" w:space="0" w:color="auto"/>
              <w:right w:val="single" w:sz="4" w:space="0" w:color="auto"/>
            </w:tcBorders>
            <w:shd w:val="clear" w:color="auto" w:fill="C6EFCE"/>
            <w:noWrap/>
          </w:tcPr>
          <w:p w14:paraId="048D9EC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48103432" w14:textId="468B8C64" w:rsidR="00CB0FCB" w:rsidRDefault="009D2B11">
            <w:pPr>
              <w:spacing w:after="0" w:line="240" w:lineRule="auto"/>
              <w:rPr>
                <w:rFonts w:eastAsia="Times New Roman" w:cs="Calibri"/>
                <w:noProof/>
                <w:color w:val="006100"/>
                <w:sz w:val="18"/>
                <w:szCs w:val="18"/>
              </w:rPr>
            </w:pPr>
            <w:r>
              <w:rPr>
                <w:noProof/>
                <w:color w:val="006100"/>
                <w:sz w:val="18"/>
              </w:rPr>
              <w:t>Vispārējās valdības JAM un Gov.gr — kurjeru projektu pabeigšana</w:t>
            </w:r>
          </w:p>
        </w:tc>
        <w:tc>
          <w:tcPr>
            <w:tcW w:w="1514" w:type="dxa"/>
            <w:tcBorders>
              <w:top w:val="nil"/>
              <w:left w:val="nil"/>
              <w:bottom w:val="single" w:sz="4" w:space="0" w:color="auto"/>
              <w:right w:val="single" w:sz="4" w:space="0" w:color="auto"/>
            </w:tcBorders>
            <w:shd w:val="clear" w:color="auto" w:fill="C6EFCE"/>
            <w:noWrap/>
          </w:tcPr>
          <w:p w14:paraId="30AF3316" w14:textId="7384F16E" w:rsidR="00CB0FCB" w:rsidRDefault="009D2B11">
            <w:pPr>
              <w:spacing w:after="0" w:line="240" w:lineRule="auto"/>
              <w:rPr>
                <w:rFonts w:eastAsia="Times New Roman" w:cs="Calibri"/>
                <w:noProof/>
                <w:color w:val="006100"/>
                <w:sz w:val="18"/>
                <w:szCs w:val="18"/>
              </w:rPr>
            </w:pPr>
            <w:r>
              <w:rPr>
                <w:noProof/>
              </w:rPr>
              <w:t xml:space="preserve">Digitālās pārvaldības ministrijas </w:t>
            </w:r>
            <w:r>
              <w:rPr>
                <w:noProof/>
                <w:color w:val="006100"/>
                <w:sz w:val="18"/>
              </w:rPr>
              <w:t>ziņojums, kurā dokumentēta: a)integrēto sistēmu valsts pārvaldes attiecību ar iedzīvotājiem un uzņēmumiem pilna dzīves cikla pārvaldībai</w:t>
            </w:r>
            <w:r>
              <w:rPr>
                <w:noProof/>
              </w:rPr>
              <w:t xml:space="preserve"> </w:t>
            </w:r>
            <w:r>
              <w:rPr>
                <w:noProof/>
                <w:color w:val="006100"/>
                <w:sz w:val="18"/>
              </w:rPr>
              <w:t>un b) integrēto elektronisko sakaru sistēmu starp publiskā sektora un Grieķijas iedzīvotāju sistēmām un pakalpojumiem (Gov. gr — kurjers</w:t>
            </w:r>
            <w:r>
              <w:rPr>
                <w:noProof/>
              </w:rPr>
              <w:t>)</w:t>
            </w:r>
          </w:p>
        </w:tc>
        <w:tc>
          <w:tcPr>
            <w:tcW w:w="937" w:type="dxa"/>
            <w:tcBorders>
              <w:top w:val="nil"/>
              <w:left w:val="nil"/>
              <w:bottom w:val="single" w:sz="4" w:space="0" w:color="auto"/>
              <w:right w:val="single" w:sz="4" w:space="0" w:color="auto"/>
            </w:tcBorders>
            <w:shd w:val="clear" w:color="auto" w:fill="C6EFCE"/>
            <w:noWrap/>
          </w:tcPr>
          <w:p w14:paraId="4C47B36D"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75BB2DAB"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28D3E77E"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646495AD" w14:textId="4E2EF349" w:rsidR="00CB0FCB" w:rsidRDefault="009D2B11">
            <w:pPr>
              <w:pStyle w:val="P68B1DB1-Normal9"/>
              <w:spacing w:after="0" w:line="240" w:lineRule="auto"/>
              <w:rPr>
                <w:rFonts w:eastAsia="Times New Roman" w:cs="Calibri"/>
                <w:noProof/>
                <w:szCs w:val="18"/>
              </w:rPr>
            </w:pPr>
            <w:r>
              <w:rPr>
                <w:noProof/>
              </w:rPr>
              <w:t>2. CET.</w:t>
            </w:r>
          </w:p>
        </w:tc>
        <w:tc>
          <w:tcPr>
            <w:tcW w:w="680" w:type="dxa"/>
            <w:tcBorders>
              <w:top w:val="nil"/>
              <w:left w:val="nil"/>
              <w:bottom w:val="single" w:sz="4" w:space="0" w:color="auto"/>
              <w:right w:val="single" w:sz="4" w:space="0" w:color="auto"/>
            </w:tcBorders>
            <w:shd w:val="clear" w:color="auto" w:fill="C6EFCE"/>
            <w:noWrap/>
          </w:tcPr>
          <w:p w14:paraId="01CF03F0" w14:textId="7A3807C4" w:rsidR="00CB0FCB" w:rsidRDefault="009D2B11">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7DD6CBDA" w14:textId="4D1A2841" w:rsidR="00CB0FCB" w:rsidRDefault="009D2B11">
            <w:pPr>
              <w:pStyle w:val="P68B1DB1-Normal9"/>
              <w:spacing w:after="0" w:line="240" w:lineRule="auto"/>
              <w:rPr>
                <w:rFonts w:eastAsia="Times New Roman" w:cs="Calibri"/>
                <w:noProof/>
                <w:szCs w:val="18"/>
              </w:rPr>
            </w:pPr>
            <w:r>
              <w:rPr>
                <w:noProof/>
              </w:rPr>
              <w:t>Projektu pabeigšana: a) Vispārējās valdības klientu attiecību pārvaldības sistēma, kas ļauj pārvaldīt valsts pārvaldes mijiedarbību ar iedzīvotājiem un uzņēmumiem, un b) integrēta elektroniskās saziņas sistēma starp publiskā sektora un Grieķijas iedzīvotāju sistēmām un pakalpojumiem (Gov. gr — kurjers)</w:t>
            </w:r>
          </w:p>
        </w:tc>
      </w:tr>
      <w:tr w:rsidR="00CB0FCB" w14:paraId="29F996B0"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15AB7590" w14:textId="77777777" w:rsidR="00CB0FCB" w:rsidRDefault="009D2B11">
            <w:pPr>
              <w:pStyle w:val="P68B1DB1-Normal9"/>
              <w:spacing w:after="0" w:line="240" w:lineRule="auto"/>
              <w:rPr>
                <w:rFonts w:eastAsia="Times New Roman" w:cs="Calibri"/>
                <w:noProof/>
                <w:szCs w:val="18"/>
              </w:rPr>
            </w:pPr>
            <w:r>
              <w:rPr>
                <w:noProof/>
              </w:rPr>
              <w:t>110</w:t>
            </w:r>
          </w:p>
        </w:tc>
        <w:tc>
          <w:tcPr>
            <w:tcW w:w="1855" w:type="dxa"/>
            <w:tcBorders>
              <w:top w:val="nil"/>
              <w:left w:val="nil"/>
              <w:bottom w:val="single" w:sz="4" w:space="0" w:color="auto"/>
              <w:right w:val="single" w:sz="4" w:space="0" w:color="auto"/>
            </w:tcBorders>
            <w:shd w:val="clear" w:color="auto" w:fill="C6EFCE"/>
            <w:noWrap/>
          </w:tcPr>
          <w:p w14:paraId="6DC9C7A9" w14:textId="77777777" w:rsidR="00CB0FCB" w:rsidRDefault="009D2B11">
            <w:pPr>
              <w:pStyle w:val="P68B1DB1-Normal9"/>
              <w:spacing w:after="0" w:line="240" w:lineRule="auto"/>
              <w:rPr>
                <w:rFonts w:eastAsia="Times New Roman" w:cs="Calibri"/>
                <w:noProof/>
                <w:szCs w:val="18"/>
              </w:rPr>
            </w:pPr>
            <w:r>
              <w:rPr>
                <w:noProof/>
              </w:rPr>
              <w:t>6–2.2. Modernizācija — 16780_Valsts pārvaldes vienas pieturas aģentūru turpmāka modernizācija</w:t>
            </w:r>
          </w:p>
        </w:tc>
        <w:tc>
          <w:tcPr>
            <w:tcW w:w="1101" w:type="dxa"/>
            <w:tcBorders>
              <w:top w:val="nil"/>
              <w:left w:val="nil"/>
              <w:bottom w:val="single" w:sz="4" w:space="0" w:color="auto"/>
              <w:right w:val="single" w:sz="4" w:space="0" w:color="auto"/>
            </w:tcBorders>
            <w:shd w:val="clear" w:color="auto" w:fill="C6EFCE"/>
            <w:noWrap/>
          </w:tcPr>
          <w:p w14:paraId="70FDA0F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4D162131" w14:textId="77777777" w:rsidR="00CB0FCB" w:rsidRDefault="009D2B11">
            <w:pPr>
              <w:pStyle w:val="P68B1DB1-Normal9"/>
              <w:spacing w:after="0" w:line="240" w:lineRule="auto"/>
              <w:rPr>
                <w:rFonts w:eastAsia="Times New Roman" w:cs="Calibri"/>
                <w:noProof/>
                <w:szCs w:val="18"/>
              </w:rPr>
            </w:pPr>
            <w:r>
              <w:rPr>
                <w:noProof/>
              </w:rPr>
              <w:t>Projekta “One-Stop Shops” pabeigšana</w:t>
            </w:r>
          </w:p>
        </w:tc>
        <w:tc>
          <w:tcPr>
            <w:tcW w:w="1514" w:type="dxa"/>
            <w:tcBorders>
              <w:top w:val="nil"/>
              <w:left w:val="nil"/>
              <w:bottom w:val="single" w:sz="4" w:space="0" w:color="auto"/>
              <w:right w:val="single" w:sz="4" w:space="0" w:color="auto"/>
            </w:tcBorders>
            <w:shd w:val="clear" w:color="auto" w:fill="C6EFCE"/>
            <w:noWrap/>
          </w:tcPr>
          <w:p w14:paraId="65042473" w14:textId="7F87182E" w:rsidR="00CB0FCB" w:rsidRDefault="009D2B11">
            <w:pPr>
              <w:pStyle w:val="P68B1DB1-Normal10"/>
              <w:spacing w:after="0" w:line="240" w:lineRule="auto"/>
              <w:rPr>
                <w:rFonts w:eastAsia="Times New Roman" w:cs="Calibri"/>
                <w:noProof/>
              </w:rPr>
            </w:pPr>
            <w:r>
              <w:rPr>
                <w:noProof/>
              </w:rPr>
              <w:t xml:space="preserve">Iekšlietu ministrijas projekta galīgais ziņojums, kurā dokumentēta valsts pārvaldes vienas pieturas aģentūru turpmākas modernizācijas pabeigšana. </w:t>
            </w:r>
          </w:p>
        </w:tc>
        <w:tc>
          <w:tcPr>
            <w:tcW w:w="937" w:type="dxa"/>
            <w:tcBorders>
              <w:top w:val="nil"/>
              <w:left w:val="nil"/>
              <w:bottom w:val="single" w:sz="4" w:space="0" w:color="auto"/>
              <w:right w:val="single" w:sz="4" w:space="0" w:color="auto"/>
            </w:tcBorders>
            <w:shd w:val="clear" w:color="auto" w:fill="C6EFCE"/>
            <w:noWrap/>
          </w:tcPr>
          <w:p w14:paraId="6AF72CD6"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277FFE83"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7453A94D"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4892D447"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43E67173" w14:textId="77777777" w:rsidR="00CB0FCB" w:rsidRDefault="009D2B11">
            <w:pPr>
              <w:pStyle w:val="P68B1DB1-Normal9"/>
              <w:spacing w:after="0" w:line="240" w:lineRule="auto"/>
              <w:rPr>
                <w:rFonts w:eastAsia="Times New Roman" w:cs="Calibri"/>
                <w:noProof/>
                <w:szCs w:val="18"/>
              </w:rPr>
            </w:pPr>
            <w:r>
              <w:rPr>
                <w:noProof/>
              </w:rPr>
              <w:t>2024</w:t>
            </w:r>
          </w:p>
        </w:tc>
        <w:tc>
          <w:tcPr>
            <w:tcW w:w="4090" w:type="dxa"/>
            <w:tcBorders>
              <w:top w:val="nil"/>
              <w:left w:val="nil"/>
              <w:bottom w:val="single" w:sz="4" w:space="0" w:color="auto"/>
              <w:right w:val="single" w:sz="4" w:space="0" w:color="auto"/>
            </w:tcBorders>
            <w:shd w:val="clear" w:color="auto" w:fill="C6EFCE"/>
            <w:noWrap/>
          </w:tcPr>
          <w:p w14:paraId="7A9B1174" w14:textId="7CB7A35B" w:rsidR="00CB0FCB" w:rsidRDefault="009D2B11">
            <w:pPr>
              <w:pStyle w:val="P68B1DB1-Normal10"/>
              <w:spacing w:after="0" w:line="240" w:lineRule="auto"/>
              <w:rPr>
                <w:rFonts w:eastAsia="Times New Roman" w:cs="Calibri"/>
                <w:noProof/>
              </w:rPr>
            </w:pPr>
            <w:r>
              <w:rPr>
                <w:noProof/>
              </w:rPr>
              <w:t>Projekta pabeigšana: Turpināt modernizēt valsts pārvaldes vienas pieturas aģentūras, iegādājoties 6325 personālos datorus/printerus/planšetdatorus, ko izmanto elektroniskā paraksta procesā, 145 sistēmas rindu pārvaldībai un viedai paziņošanai, 730 atgriezeniskās saites termināļus, izvērtēšanas platformu un mobilo lietotni un to izmantošanu.</w:t>
            </w:r>
          </w:p>
        </w:tc>
      </w:tr>
      <w:tr w:rsidR="00CB0FCB" w14:paraId="16D3F468"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3EB061E1" w14:textId="77777777" w:rsidR="00CB0FCB" w:rsidRDefault="009D2B11">
            <w:pPr>
              <w:pStyle w:val="P68B1DB1-Normal9"/>
              <w:spacing w:after="0" w:line="240" w:lineRule="auto"/>
              <w:rPr>
                <w:rFonts w:eastAsia="Times New Roman" w:cs="Calibri"/>
                <w:noProof/>
                <w:szCs w:val="18"/>
              </w:rPr>
            </w:pPr>
            <w:r>
              <w:rPr>
                <w:noProof/>
              </w:rPr>
              <w:t>112</w:t>
            </w:r>
          </w:p>
        </w:tc>
        <w:tc>
          <w:tcPr>
            <w:tcW w:w="1855" w:type="dxa"/>
            <w:tcBorders>
              <w:top w:val="nil"/>
              <w:left w:val="nil"/>
              <w:bottom w:val="single" w:sz="4" w:space="0" w:color="auto"/>
              <w:right w:val="single" w:sz="4" w:space="0" w:color="auto"/>
            </w:tcBorders>
            <w:shd w:val="clear" w:color="auto" w:fill="C6EFCE"/>
            <w:noWrap/>
          </w:tcPr>
          <w:p w14:paraId="0FA7D387" w14:textId="77777777" w:rsidR="00CB0FCB" w:rsidRDefault="009D2B11">
            <w:pPr>
              <w:pStyle w:val="P68B1DB1-Normal9"/>
              <w:spacing w:after="0" w:line="240" w:lineRule="auto"/>
              <w:rPr>
                <w:rFonts w:eastAsia="Times New Roman" w:cs="Calibri"/>
                <w:noProof/>
                <w:szCs w:val="18"/>
              </w:rPr>
            </w:pPr>
            <w:r>
              <w:rPr>
                <w:noProof/>
              </w:rPr>
              <w:t>6–2.2. Modernizācija — 16823_Kiberdrošības stratēģija un politika publiskajam sektoram un progresīviem drošības pakalpojumiem valstu kritiskajām infrastruktūrām</w:t>
            </w:r>
          </w:p>
        </w:tc>
        <w:tc>
          <w:tcPr>
            <w:tcW w:w="1101" w:type="dxa"/>
            <w:tcBorders>
              <w:top w:val="nil"/>
              <w:left w:val="nil"/>
              <w:bottom w:val="single" w:sz="4" w:space="0" w:color="auto"/>
              <w:right w:val="single" w:sz="4" w:space="0" w:color="auto"/>
            </w:tcBorders>
            <w:shd w:val="clear" w:color="auto" w:fill="C6EFCE"/>
            <w:noWrap/>
          </w:tcPr>
          <w:p w14:paraId="346A8CE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76AC4FDC" w14:textId="77777777" w:rsidR="00CB0FCB" w:rsidRDefault="009D2B11">
            <w:pPr>
              <w:pStyle w:val="P68B1DB1-Normal9"/>
              <w:spacing w:after="0" w:line="240" w:lineRule="auto"/>
              <w:rPr>
                <w:rFonts w:eastAsia="Times New Roman" w:cs="Calibri"/>
                <w:noProof/>
                <w:szCs w:val="18"/>
              </w:rPr>
            </w:pPr>
            <w:r>
              <w:rPr>
                <w:noProof/>
              </w:rPr>
              <w:t>Projekta “Kiberdrošības stratēģija” pabeigšana</w:t>
            </w:r>
          </w:p>
        </w:tc>
        <w:tc>
          <w:tcPr>
            <w:tcW w:w="1514" w:type="dxa"/>
            <w:tcBorders>
              <w:top w:val="nil"/>
              <w:left w:val="nil"/>
              <w:bottom w:val="single" w:sz="4" w:space="0" w:color="auto"/>
              <w:right w:val="single" w:sz="4" w:space="0" w:color="auto"/>
            </w:tcBorders>
            <w:shd w:val="clear" w:color="auto" w:fill="C6EFCE"/>
            <w:noWrap/>
          </w:tcPr>
          <w:p w14:paraId="4B8091DF" w14:textId="77777777" w:rsidR="00CB0FCB" w:rsidRDefault="009D2B11">
            <w:pPr>
              <w:pStyle w:val="P68B1DB1-Normal9"/>
              <w:spacing w:after="0" w:line="240" w:lineRule="auto"/>
              <w:rPr>
                <w:rFonts w:eastAsia="Times New Roman" w:cs="Calibri"/>
                <w:noProof/>
                <w:szCs w:val="18"/>
              </w:rPr>
            </w:pPr>
            <w:r>
              <w:rPr>
                <w:noProof/>
              </w:rPr>
              <w:t>Ministrijas Digitālās pārvaldības ziņojums par jaunās kiberdrošības stratēģijas un valsts pārvaldes politikas un tajā iekļauto projektu īstenošanas dokumentēšanu</w:t>
            </w:r>
          </w:p>
        </w:tc>
        <w:tc>
          <w:tcPr>
            <w:tcW w:w="937" w:type="dxa"/>
            <w:tcBorders>
              <w:top w:val="nil"/>
              <w:left w:val="nil"/>
              <w:bottom w:val="single" w:sz="4" w:space="0" w:color="auto"/>
              <w:right w:val="single" w:sz="4" w:space="0" w:color="auto"/>
            </w:tcBorders>
            <w:shd w:val="clear" w:color="auto" w:fill="C6EFCE"/>
            <w:noWrap/>
          </w:tcPr>
          <w:p w14:paraId="1E690808"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3E65E396"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65D8D2AC"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4A1700E0"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nil"/>
              <w:left w:val="nil"/>
              <w:bottom w:val="single" w:sz="4" w:space="0" w:color="auto"/>
              <w:right w:val="single" w:sz="4" w:space="0" w:color="auto"/>
            </w:tcBorders>
            <w:shd w:val="clear" w:color="auto" w:fill="C6EFCE"/>
            <w:noWrap/>
          </w:tcPr>
          <w:p w14:paraId="6F897CE5" w14:textId="77777777" w:rsidR="00CB0FCB" w:rsidRDefault="009D2B11">
            <w:pPr>
              <w:pStyle w:val="P68B1DB1-Normal9"/>
              <w:spacing w:after="0" w:line="240" w:lineRule="auto"/>
              <w:rPr>
                <w:rFonts w:eastAsia="Times New Roman" w:cs="Calibri"/>
                <w:noProof/>
                <w:szCs w:val="18"/>
              </w:rPr>
            </w:pPr>
            <w:r>
              <w:rPr>
                <w:noProof/>
              </w:rPr>
              <w:t>2024</w:t>
            </w:r>
          </w:p>
        </w:tc>
        <w:tc>
          <w:tcPr>
            <w:tcW w:w="4090" w:type="dxa"/>
            <w:tcBorders>
              <w:top w:val="nil"/>
              <w:left w:val="nil"/>
              <w:bottom w:val="single" w:sz="4" w:space="0" w:color="auto"/>
              <w:right w:val="single" w:sz="4" w:space="0" w:color="auto"/>
            </w:tcBorders>
            <w:shd w:val="clear" w:color="auto" w:fill="C6EFCE"/>
            <w:noWrap/>
          </w:tcPr>
          <w:p w14:paraId="08895023" w14:textId="77777777" w:rsidR="00CB0FCB" w:rsidRDefault="009D2B11">
            <w:pPr>
              <w:pStyle w:val="P68B1DB1-Normal9"/>
              <w:spacing w:after="0" w:line="240" w:lineRule="auto"/>
              <w:rPr>
                <w:rFonts w:eastAsia="Times New Roman" w:cs="Calibri"/>
                <w:noProof/>
                <w:szCs w:val="18"/>
              </w:rPr>
            </w:pPr>
            <w:r>
              <w:rPr>
                <w:noProof/>
              </w:rPr>
              <w:t>Projekta “Jauna kiberdrošības stratēģija un politika valsts pārvaldē” pabeigšana, īstenojot izmaiņas kiberdrošības procesos un procedūrās, kā arī izveidojot Valsts drošības operāciju centru (SOC) un nodrošinot tā darbību saskaņā ar jauno stratēģiju.</w:t>
            </w:r>
          </w:p>
        </w:tc>
      </w:tr>
      <w:tr w:rsidR="00CB0FCB" w14:paraId="2791E1E8"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5C53FB44" w14:textId="77777777" w:rsidR="00CB0FCB" w:rsidRDefault="009D2B11">
            <w:pPr>
              <w:pStyle w:val="P68B1DB1-Normal9"/>
              <w:spacing w:after="0" w:line="240" w:lineRule="auto"/>
              <w:rPr>
                <w:rFonts w:eastAsia="Times New Roman" w:cs="Calibri"/>
                <w:noProof/>
                <w:szCs w:val="18"/>
              </w:rPr>
            </w:pPr>
            <w:r>
              <w:rPr>
                <w:noProof/>
              </w:rPr>
              <w:t>113</w:t>
            </w:r>
          </w:p>
        </w:tc>
        <w:tc>
          <w:tcPr>
            <w:tcW w:w="1855" w:type="dxa"/>
            <w:tcBorders>
              <w:top w:val="nil"/>
              <w:left w:val="nil"/>
              <w:bottom w:val="single" w:sz="4" w:space="0" w:color="auto"/>
              <w:right w:val="single" w:sz="4" w:space="0" w:color="auto"/>
            </w:tcBorders>
            <w:shd w:val="clear" w:color="auto" w:fill="C6EFCE"/>
            <w:noWrap/>
          </w:tcPr>
          <w:p w14:paraId="1CDB5678" w14:textId="77777777" w:rsidR="00CB0FCB" w:rsidRDefault="009D2B11">
            <w:pPr>
              <w:pStyle w:val="P68B1DB1-Normal9"/>
              <w:spacing w:after="0" w:line="240" w:lineRule="auto"/>
              <w:rPr>
                <w:rFonts w:eastAsia="Times New Roman" w:cs="Calibri"/>
                <w:noProof/>
                <w:szCs w:val="18"/>
              </w:rPr>
            </w:pPr>
            <w:r>
              <w:rPr>
                <w:noProof/>
              </w:rPr>
              <w:t>6–2.2. Modernizācija — 16738_Centrālā dokumentu pārvaldības sistēma</w:t>
            </w:r>
          </w:p>
        </w:tc>
        <w:tc>
          <w:tcPr>
            <w:tcW w:w="1101" w:type="dxa"/>
            <w:tcBorders>
              <w:top w:val="nil"/>
              <w:left w:val="nil"/>
              <w:bottom w:val="single" w:sz="4" w:space="0" w:color="auto"/>
              <w:right w:val="single" w:sz="4" w:space="0" w:color="auto"/>
            </w:tcBorders>
            <w:shd w:val="clear" w:color="auto" w:fill="C6EFCE"/>
            <w:noWrap/>
          </w:tcPr>
          <w:p w14:paraId="2590E94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435103CF" w14:textId="77777777" w:rsidR="00CB0FCB" w:rsidRDefault="009D2B11">
            <w:pPr>
              <w:pStyle w:val="P68B1DB1-Normal9"/>
              <w:spacing w:after="0" w:line="240" w:lineRule="auto"/>
              <w:rPr>
                <w:rFonts w:eastAsia="Times New Roman" w:cs="Calibri"/>
                <w:noProof/>
                <w:szCs w:val="18"/>
              </w:rPr>
            </w:pPr>
            <w:r>
              <w:rPr>
                <w:noProof/>
              </w:rPr>
              <w:t xml:space="preserve">Centrālās dokumentu pārvaldības sistēmas projekta pabeigšana </w:t>
            </w:r>
          </w:p>
        </w:tc>
        <w:tc>
          <w:tcPr>
            <w:tcW w:w="1514" w:type="dxa"/>
            <w:tcBorders>
              <w:top w:val="nil"/>
              <w:left w:val="nil"/>
              <w:bottom w:val="single" w:sz="4" w:space="0" w:color="auto"/>
              <w:right w:val="single" w:sz="4" w:space="0" w:color="auto"/>
            </w:tcBorders>
            <w:shd w:val="clear" w:color="auto" w:fill="C6EFCE"/>
            <w:noWrap/>
          </w:tcPr>
          <w:p w14:paraId="160BE196" w14:textId="77777777" w:rsidR="00CB0FCB" w:rsidRDefault="009D2B11">
            <w:pPr>
              <w:pStyle w:val="P68B1DB1-Normal9"/>
              <w:spacing w:after="0" w:line="240" w:lineRule="auto"/>
              <w:rPr>
                <w:rFonts w:eastAsia="Times New Roman" w:cs="Calibri"/>
                <w:noProof/>
                <w:szCs w:val="18"/>
              </w:rPr>
            </w:pPr>
            <w:r>
              <w:rPr>
                <w:noProof/>
              </w:rPr>
              <w:t>Digitālās pārvaldības ministrijas galīgais ziņojums, kurā dokumentēta centrālās dokumentu pārvaldības sistēmas pabeigšana</w:t>
            </w:r>
          </w:p>
        </w:tc>
        <w:tc>
          <w:tcPr>
            <w:tcW w:w="937" w:type="dxa"/>
            <w:tcBorders>
              <w:top w:val="nil"/>
              <w:left w:val="nil"/>
              <w:bottom w:val="single" w:sz="4" w:space="0" w:color="auto"/>
              <w:right w:val="single" w:sz="4" w:space="0" w:color="auto"/>
            </w:tcBorders>
            <w:shd w:val="clear" w:color="auto" w:fill="C6EFCE"/>
            <w:noWrap/>
          </w:tcPr>
          <w:p w14:paraId="60D9F29C"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243D3094"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5A7D5270"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14D08721" w14:textId="77777777" w:rsidR="00CB0FCB" w:rsidRDefault="009D2B11">
            <w:pPr>
              <w:pStyle w:val="P68B1DB1-Normal9"/>
              <w:spacing w:after="0" w:line="240" w:lineRule="auto"/>
              <w:rPr>
                <w:rFonts w:eastAsia="Times New Roman" w:cs="Calibri"/>
                <w:noProof/>
                <w:szCs w:val="18"/>
              </w:rPr>
            </w:pPr>
            <w:r>
              <w:rPr>
                <w:noProof/>
              </w:rPr>
              <w:t>2. CET.</w:t>
            </w:r>
          </w:p>
        </w:tc>
        <w:tc>
          <w:tcPr>
            <w:tcW w:w="680" w:type="dxa"/>
            <w:tcBorders>
              <w:top w:val="nil"/>
              <w:left w:val="nil"/>
              <w:bottom w:val="single" w:sz="4" w:space="0" w:color="auto"/>
              <w:right w:val="single" w:sz="4" w:space="0" w:color="auto"/>
            </w:tcBorders>
            <w:shd w:val="clear" w:color="auto" w:fill="C6EFCE"/>
            <w:noWrap/>
          </w:tcPr>
          <w:p w14:paraId="1EDCBACE" w14:textId="2C02C3A2" w:rsidR="00CB0FCB" w:rsidRDefault="009D2B11">
            <w:pPr>
              <w:pStyle w:val="P68B1DB1-Normal10"/>
              <w:spacing w:after="0" w:line="240" w:lineRule="auto"/>
              <w:rPr>
                <w:rFonts w:eastAsia="Times New Roman" w:cs="Calibri"/>
                <w:noProof/>
              </w:rPr>
            </w:pPr>
            <w:r>
              <w:rPr>
                <w:noProof/>
              </w:rPr>
              <w:t>2024</w:t>
            </w:r>
          </w:p>
        </w:tc>
        <w:tc>
          <w:tcPr>
            <w:tcW w:w="4090" w:type="dxa"/>
            <w:tcBorders>
              <w:top w:val="nil"/>
              <w:left w:val="nil"/>
              <w:bottom w:val="single" w:sz="4" w:space="0" w:color="auto"/>
              <w:right w:val="single" w:sz="4" w:space="0" w:color="auto"/>
            </w:tcBorders>
            <w:shd w:val="clear" w:color="auto" w:fill="C6EFCE"/>
            <w:noWrap/>
          </w:tcPr>
          <w:p w14:paraId="14F7450F" w14:textId="0038A392" w:rsidR="00CB0FCB" w:rsidRDefault="009D2B11">
            <w:pPr>
              <w:pStyle w:val="P68B1DB1-Normal10"/>
              <w:spacing w:after="0" w:line="240" w:lineRule="auto"/>
              <w:rPr>
                <w:noProof/>
              </w:rPr>
            </w:pPr>
            <w:r>
              <w:rPr>
                <w:noProof/>
              </w:rPr>
              <w:t xml:space="preserve">Centrālā dokumentu pārvaldības sistēma darbojas, tostarp nodrošina: </w:t>
            </w:r>
          </w:p>
          <w:p w14:paraId="6D210A37" w14:textId="69327FF1" w:rsidR="00CB0FCB" w:rsidRDefault="009D2B11">
            <w:pPr>
              <w:pStyle w:val="P68B1DB1-Normal9"/>
              <w:spacing w:after="0" w:line="240" w:lineRule="auto"/>
              <w:rPr>
                <w:rFonts w:eastAsia="Times New Roman" w:cs="Calibri"/>
                <w:noProof/>
                <w:szCs w:val="18"/>
              </w:rPr>
            </w:pPr>
            <w:r>
              <w:rPr>
                <w:noProof/>
              </w:rPr>
              <w:t>20000 apstiprināti attālināti digitālie paraksti, kam pievienotas lietojumprogrammas un palīdzības dienests.</w:t>
            </w:r>
          </w:p>
        </w:tc>
      </w:tr>
      <w:tr w:rsidR="00CB0FCB" w14:paraId="3B176CF9"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229459EC" w14:textId="77777777" w:rsidR="00CB0FCB" w:rsidRDefault="009D2B11">
            <w:pPr>
              <w:pStyle w:val="P68B1DB1-Normal9"/>
              <w:spacing w:after="0" w:line="240" w:lineRule="auto"/>
              <w:rPr>
                <w:rFonts w:eastAsia="Times New Roman" w:cs="Calibri"/>
                <w:noProof/>
                <w:szCs w:val="18"/>
              </w:rPr>
            </w:pPr>
            <w:r>
              <w:rPr>
                <w:noProof/>
              </w:rPr>
              <w:t>114</w:t>
            </w:r>
          </w:p>
        </w:tc>
        <w:tc>
          <w:tcPr>
            <w:tcW w:w="1855" w:type="dxa"/>
            <w:tcBorders>
              <w:top w:val="nil"/>
              <w:left w:val="nil"/>
              <w:bottom w:val="single" w:sz="4" w:space="0" w:color="auto"/>
              <w:right w:val="single" w:sz="4" w:space="0" w:color="auto"/>
            </w:tcBorders>
            <w:shd w:val="clear" w:color="auto" w:fill="C6EFCE"/>
            <w:noWrap/>
          </w:tcPr>
          <w:p w14:paraId="304A8801" w14:textId="77777777" w:rsidR="00CB0FCB" w:rsidRDefault="009D2B11">
            <w:pPr>
              <w:pStyle w:val="P68B1DB1-Normal9"/>
              <w:spacing w:after="0" w:line="240" w:lineRule="auto"/>
              <w:rPr>
                <w:rFonts w:eastAsia="Times New Roman" w:cs="Calibri"/>
                <w:noProof/>
                <w:szCs w:val="18"/>
              </w:rPr>
            </w:pPr>
            <w:r>
              <w:rPr>
                <w:noProof/>
              </w:rPr>
              <w:t>6–2.2. Modernizācija — 16742_Ārlietu ministrijas digitālā pārveide</w:t>
            </w:r>
          </w:p>
        </w:tc>
        <w:tc>
          <w:tcPr>
            <w:tcW w:w="1101" w:type="dxa"/>
            <w:tcBorders>
              <w:top w:val="nil"/>
              <w:left w:val="nil"/>
              <w:bottom w:val="single" w:sz="4" w:space="0" w:color="auto"/>
              <w:right w:val="single" w:sz="4" w:space="0" w:color="auto"/>
            </w:tcBorders>
            <w:shd w:val="clear" w:color="auto" w:fill="C6EFCE"/>
            <w:noWrap/>
          </w:tcPr>
          <w:p w14:paraId="36505CF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440B37F6" w14:textId="77777777" w:rsidR="00CB0FCB" w:rsidRDefault="009D2B11">
            <w:pPr>
              <w:pStyle w:val="P68B1DB1-Normal9"/>
              <w:spacing w:after="0" w:line="240" w:lineRule="auto"/>
              <w:rPr>
                <w:rFonts w:eastAsia="Times New Roman" w:cs="Calibri"/>
                <w:noProof/>
                <w:szCs w:val="18"/>
              </w:rPr>
            </w:pPr>
            <w:r>
              <w:rPr>
                <w:noProof/>
              </w:rPr>
              <w:t>Ārlietu ministrijas digitālās pārveides pabeigšana</w:t>
            </w:r>
          </w:p>
        </w:tc>
        <w:tc>
          <w:tcPr>
            <w:tcW w:w="1514" w:type="dxa"/>
            <w:tcBorders>
              <w:top w:val="nil"/>
              <w:left w:val="nil"/>
              <w:bottom w:val="single" w:sz="4" w:space="0" w:color="auto"/>
              <w:right w:val="single" w:sz="4" w:space="0" w:color="auto"/>
            </w:tcBorders>
            <w:shd w:val="clear" w:color="auto" w:fill="C6EFCE"/>
            <w:noWrap/>
          </w:tcPr>
          <w:p w14:paraId="7D6EB619" w14:textId="77777777" w:rsidR="00CB0FCB" w:rsidRDefault="009D2B11">
            <w:pPr>
              <w:pStyle w:val="P68B1DB1-Normal9"/>
              <w:spacing w:after="0" w:line="240" w:lineRule="auto"/>
              <w:rPr>
                <w:rFonts w:eastAsia="Times New Roman" w:cs="Calibri"/>
                <w:noProof/>
                <w:szCs w:val="18"/>
              </w:rPr>
            </w:pPr>
            <w:r>
              <w:rPr>
                <w:noProof/>
              </w:rPr>
              <w:t>Ārlietu ministrijas ziņojums, kurā dokumentēta visu projekta “Ārlietu ministrijas digitalizācija” apakšprojektu pabeigšana</w:t>
            </w:r>
          </w:p>
        </w:tc>
        <w:tc>
          <w:tcPr>
            <w:tcW w:w="937" w:type="dxa"/>
            <w:tcBorders>
              <w:top w:val="nil"/>
              <w:left w:val="nil"/>
              <w:bottom w:val="single" w:sz="4" w:space="0" w:color="auto"/>
              <w:right w:val="single" w:sz="4" w:space="0" w:color="auto"/>
            </w:tcBorders>
            <w:shd w:val="clear" w:color="auto" w:fill="C6EFCE"/>
            <w:noWrap/>
          </w:tcPr>
          <w:p w14:paraId="1B4CE634"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70281BF3"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4DC528EC"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1FBFB217" w14:textId="77777777" w:rsidR="00CB0FCB" w:rsidRDefault="009D2B11">
            <w:pPr>
              <w:pStyle w:val="P68B1DB1-Normal9"/>
              <w:spacing w:after="0" w:line="240" w:lineRule="auto"/>
              <w:rPr>
                <w:rFonts w:eastAsia="Times New Roman" w:cs="Calibri"/>
                <w:noProof/>
                <w:szCs w:val="18"/>
              </w:rPr>
            </w:pPr>
            <w:r>
              <w:rPr>
                <w:noProof/>
              </w:rPr>
              <w:t>2. CET.</w:t>
            </w:r>
          </w:p>
        </w:tc>
        <w:tc>
          <w:tcPr>
            <w:tcW w:w="680" w:type="dxa"/>
            <w:tcBorders>
              <w:top w:val="nil"/>
              <w:left w:val="nil"/>
              <w:bottom w:val="single" w:sz="4" w:space="0" w:color="auto"/>
              <w:right w:val="single" w:sz="4" w:space="0" w:color="auto"/>
            </w:tcBorders>
            <w:shd w:val="clear" w:color="auto" w:fill="C6EFCE"/>
            <w:noWrap/>
          </w:tcPr>
          <w:p w14:paraId="181FD35B" w14:textId="77777777" w:rsidR="00CB0FCB" w:rsidRDefault="009D2B11">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17FC09FA" w14:textId="77777777" w:rsidR="00CB0FCB" w:rsidRDefault="009D2B11">
            <w:pPr>
              <w:pStyle w:val="P68B1DB1-Normal9"/>
              <w:spacing w:after="0" w:line="240" w:lineRule="auto"/>
              <w:rPr>
                <w:rFonts w:eastAsia="Times New Roman" w:cs="Calibri"/>
                <w:noProof/>
                <w:szCs w:val="18"/>
              </w:rPr>
            </w:pPr>
            <w:r>
              <w:rPr>
                <w:noProof/>
              </w:rPr>
              <w:t>Ārlietu ministrijas digitālās pārveides pabeigšana, tostarp 1) stratēģiskās un operatīvās plānošanas atbalsta sistēma, 2) diplomātisko un vēsturisko arhīvu digitalizācija, 3) Globālā digitālās informācijas centra platforma un 4) kriptogrāfijas IT un telesakaru drošības infrastruktūras modernizācija.</w:t>
            </w:r>
          </w:p>
        </w:tc>
      </w:tr>
      <w:tr w:rsidR="00CB0FCB" w14:paraId="116B46E7"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0CBC6C4B" w14:textId="77777777" w:rsidR="00CB0FCB" w:rsidRDefault="009D2B11">
            <w:pPr>
              <w:pStyle w:val="P68B1DB1-Normal9"/>
              <w:spacing w:after="0" w:line="240" w:lineRule="auto"/>
              <w:rPr>
                <w:rFonts w:eastAsia="Times New Roman" w:cs="Calibri"/>
                <w:noProof/>
                <w:szCs w:val="18"/>
              </w:rPr>
            </w:pPr>
            <w:r>
              <w:rPr>
                <w:noProof/>
              </w:rPr>
              <w:t>115</w:t>
            </w:r>
          </w:p>
        </w:tc>
        <w:tc>
          <w:tcPr>
            <w:tcW w:w="1855" w:type="dxa"/>
            <w:tcBorders>
              <w:top w:val="nil"/>
              <w:left w:val="nil"/>
              <w:bottom w:val="single" w:sz="4" w:space="0" w:color="auto"/>
              <w:right w:val="single" w:sz="4" w:space="0" w:color="auto"/>
            </w:tcBorders>
            <w:shd w:val="clear" w:color="auto" w:fill="C6EFCE"/>
            <w:noWrap/>
          </w:tcPr>
          <w:p w14:paraId="339338F0" w14:textId="77777777" w:rsidR="00CB0FCB" w:rsidRDefault="009D2B11">
            <w:pPr>
              <w:pStyle w:val="P68B1DB1-Normal9"/>
              <w:spacing w:after="0" w:line="240" w:lineRule="auto"/>
              <w:rPr>
                <w:rFonts w:eastAsia="Times New Roman" w:cs="Calibri"/>
                <w:noProof/>
                <w:szCs w:val="18"/>
              </w:rPr>
            </w:pPr>
            <w:r>
              <w:rPr>
                <w:noProof/>
              </w:rPr>
              <w:t>6–2.2. Modernizācija — 16791_Grieķijas Valsts tūrisma organizācijas digitālā pārveide</w:t>
            </w:r>
          </w:p>
        </w:tc>
        <w:tc>
          <w:tcPr>
            <w:tcW w:w="1101" w:type="dxa"/>
            <w:tcBorders>
              <w:top w:val="nil"/>
              <w:left w:val="nil"/>
              <w:bottom w:val="single" w:sz="4" w:space="0" w:color="auto"/>
              <w:right w:val="single" w:sz="4" w:space="0" w:color="auto"/>
            </w:tcBorders>
            <w:shd w:val="clear" w:color="auto" w:fill="C6EFCE"/>
            <w:noWrap/>
          </w:tcPr>
          <w:p w14:paraId="31FC11C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2E43AB4F" w14:textId="77777777" w:rsidR="00CB0FCB" w:rsidRDefault="009D2B11">
            <w:pPr>
              <w:pStyle w:val="P68B1DB1-Normal9"/>
              <w:spacing w:after="0" w:line="240" w:lineRule="auto"/>
              <w:rPr>
                <w:rFonts w:eastAsia="Times New Roman" w:cs="Calibri"/>
                <w:noProof/>
                <w:szCs w:val="18"/>
              </w:rPr>
            </w:pPr>
            <w:r>
              <w:rPr>
                <w:noProof/>
              </w:rPr>
              <w:t xml:space="preserve">Grieķijas Nacionālās tūrisma organizācijas digitalizācijas pabeigšana </w:t>
            </w:r>
          </w:p>
        </w:tc>
        <w:tc>
          <w:tcPr>
            <w:tcW w:w="1514" w:type="dxa"/>
            <w:tcBorders>
              <w:top w:val="nil"/>
              <w:left w:val="nil"/>
              <w:bottom w:val="single" w:sz="4" w:space="0" w:color="auto"/>
              <w:right w:val="single" w:sz="4" w:space="0" w:color="auto"/>
            </w:tcBorders>
            <w:shd w:val="clear" w:color="auto" w:fill="C6EFCE"/>
            <w:noWrap/>
          </w:tcPr>
          <w:p w14:paraId="750FB443" w14:textId="77777777" w:rsidR="00CB0FCB" w:rsidRDefault="009D2B11">
            <w:pPr>
              <w:pStyle w:val="P68B1DB1-Normal9"/>
              <w:spacing w:after="0" w:line="240" w:lineRule="auto"/>
              <w:rPr>
                <w:rFonts w:eastAsia="Times New Roman" w:cs="Calibri"/>
                <w:noProof/>
                <w:szCs w:val="18"/>
              </w:rPr>
            </w:pPr>
            <w:r>
              <w:rPr>
                <w:noProof/>
              </w:rPr>
              <w:t>Grieķijas Nacionālās tūrisma organizācijas ziņojums, kurā dokumentēta projekta “Grieķijas Valsts tūrisma organizācijas digitālā pārveide” pabeigšana</w:t>
            </w:r>
          </w:p>
        </w:tc>
        <w:tc>
          <w:tcPr>
            <w:tcW w:w="937" w:type="dxa"/>
            <w:tcBorders>
              <w:top w:val="nil"/>
              <w:left w:val="nil"/>
              <w:bottom w:val="single" w:sz="4" w:space="0" w:color="auto"/>
              <w:right w:val="single" w:sz="4" w:space="0" w:color="auto"/>
            </w:tcBorders>
            <w:shd w:val="clear" w:color="auto" w:fill="C6EFCE"/>
            <w:noWrap/>
          </w:tcPr>
          <w:p w14:paraId="768361E0"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294ED22D"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4FE1CF4E"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24DABDB4" w14:textId="77777777" w:rsidR="00CB0FCB" w:rsidRDefault="009D2B11">
            <w:pPr>
              <w:pStyle w:val="P68B1DB1-Normal9"/>
              <w:spacing w:after="0" w:line="240" w:lineRule="auto"/>
              <w:rPr>
                <w:rFonts w:eastAsia="Times New Roman" w:cs="Calibri"/>
                <w:noProof/>
                <w:szCs w:val="18"/>
              </w:rPr>
            </w:pPr>
            <w:r>
              <w:rPr>
                <w:noProof/>
              </w:rPr>
              <w:t>2. CET.</w:t>
            </w:r>
          </w:p>
        </w:tc>
        <w:tc>
          <w:tcPr>
            <w:tcW w:w="680" w:type="dxa"/>
            <w:tcBorders>
              <w:top w:val="nil"/>
              <w:left w:val="nil"/>
              <w:bottom w:val="single" w:sz="4" w:space="0" w:color="auto"/>
              <w:right w:val="single" w:sz="4" w:space="0" w:color="auto"/>
            </w:tcBorders>
            <w:shd w:val="clear" w:color="auto" w:fill="C6EFCE"/>
            <w:noWrap/>
          </w:tcPr>
          <w:p w14:paraId="76AC581C" w14:textId="77777777" w:rsidR="00CB0FCB" w:rsidRDefault="009D2B11">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4CBD3371" w14:textId="77777777" w:rsidR="00CB0FCB" w:rsidRDefault="009D2B11">
            <w:pPr>
              <w:pStyle w:val="P68B1DB1-Normal9"/>
              <w:spacing w:after="0" w:line="240" w:lineRule="auto"/>
              <w:rPr>
                <w:rFonts w:eastAsia="Times New Roman" w:cs="Calibri"/>
                <w:noProof/>
                <w:szCs w:val="18"/>
              </w:rPr>
            </w:pPr>
            <w:r>
              <w:rPr>
                <w:noProof/>
              </w:rPr>
              <w:t>Grieķijas Valsts tūrisma organizācijas digitālās pārveides pabeigšana, tostarp 1) digitālās tūrisma kartes izveide, 2) Grieķijas kultūras vērtību digitāla repozitorija izveide un 3) jaunas tūrisma informācijas sistēmas izveide.</w:t>
            </w:r>
          </w:p>
        </w:tc>
      </w:tr>
      <w:tr w:rsidR="00CB0FCB" w14:paraId="6F38ACFE"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5B8BBF05" w14:textId="77777777" w:rsidR="00CB0FCB" w:rsidRDefault="009D2B11">
            <w:pPr>
              <w:pStyle w:val="P68B1DB1-Normal9"/>
              <w:spacing w:after="0" w:line="240" w:lineRule="auto"/>
              <w:rPr>
                <w:rFonts w:eastAsia="Times New Roman" w:cs="Calibri"/>
                <w:noProof/>
                <w:szCs w:val="18"/>
              </w:rPr>
            </w:pPr>
            <w:r>
              <w:rPr>
                <w:noProof/>
              </w:rPr>
              <w:t>116</w:t>
            </w:r>
          </w:p>
        </w:tc>
        <w:tc>
          <w:tcPr>
            <w:tcW w:w="1855" w:type="dxa"/>
            <w:tcBorders>
              <w:top w:val="nil"/>
              <w:left w:val="nil"/>
              <w:bottom w:val="single" w:sz="4" w:space="0" w:color="auto"/>
              <w:right w:val="single" w:sz="4" w:space="0" w:color="auto"/>
            </w:tcBorders>
            <w:shd w:val="clear" w:color="auto" w:fill="C6EFCE"/>
            <w:noWrap/>
          </w:tcPr>
          <w:p w14:paraId="1B2BF803" w14:textId="77777777" w:rsidR="00CB0FCB" w:rsidRDefault="009D2B11">
            <w:pPr>
              <w:pStyle w:val="P68B1DB1-Normal9"/>
              <w:spacing w:after="0" w:line="240" w:lineRule="auto"/>
              <w:rPr>
                <w:rFonts w:eastAsia="Times New Roman" w:cs="Calibri"/>
                <w:noProof/>
                <w:szCs w:val="18"/>
              </w:rPr>
            </w:pPr>
            <w:r>
              <w:rPr>
                <w:noProof/>
              </w:rPr>
              <w:t>6–2.2. Modernizācija — 16964_Nākamās paaudzes sadarbspējas centrs (KED)</w:t>
            </w:r>
          </w:p>
        </w:tc>
        <w:tc>
          <w:tcPr>
            <w:tcW w:w="1101" w:type="dxa"/>
            <w:tcBorders>
              <w:top w:val="nil"/>
              <w:left w:val="nil"/>
              <w:bottom w:val="single" w:sz="4" w:space="0" w:color="auto"/>
              <w:right w:val="single" w:sz="4" w:space="0" w:color="auto"/>
            </w:tcBorders>
            <w:shd w:val="clear" w:color="auto" w:fill="C6EFCE"/>
            <w:noWrap/>
          </w:tcPr>
          <w:p w14:paraId="00D652B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39304F8F" w14:textId="77777777" w:rsidR="00CB0FCB" w:rsidRDefault="009D2B11">
            <w:pPr>
              <w:pStyle w:val="P68B1DB1-Normal9"/>
              <w:spacing w:after="0" w:line="240" w:lineRule="auto"/>
              <w:rPr>
                <w:rFonts w:eastAsia="Times New Roman" w:cs="Calibri"/>
                <w:noProof/>
                <w:szCs w:val="18"/>
              </w:rPr>
            </w:pPr>
            <w:r>
              <w:rPr>
                <w:noProof/>
              </w:rPr>
              <w:t>Nākamās paaudzes sadarbspējas centra pabeigšana</w:t>
            </w:r>
          </w:p>
        </w:tc>
        <w:tc>
          <w:tcPr>
            <w:tcW w:w="1514" w:type="dxa"/>
            <w:tcBorders>
              <w:top w:val="nil"/>
              <w:left w:val="nil"/>
              <w:bottom w:val="single" w:sz="4" w:space="0" w:color="auto"/>
              <w:right w:val="single" w:sz="4" w:space="0" w:color="auto"/>
            </w:tcBorders>
            <w:shd w:val="clear" w:color="auto" w:fill="C6EFCE"/>
            <w:noWrap/>
          </w:tcPr>
          <w:p w14:paraId="0D68FE50" w14:textId="77777777" w:rsidR="00CB0FCB" w:rsidRDefault="009D2B11">
            <w:pPr>
              <w:pStyle w:val="P68B1DB1-Normal9"/>
              <w:spacing w:after="0" w:line="240" w:lineRule="auto"/>
              <w:rPr>
                <w:rFonts w:eastAsia="Times New Roman" w:cs="Calibri"/>
                <w:noProof/>
                <w:szCs w:val="18"/>
              </w:rPr>
            </w:pPr>
            <w:r>
              <w:rPr>
                <w:noProof/>
              </w:rPr>
              <w:t>Digitālās pārvaldības ministrijas ziņojums, kurā dokumentēta projekta “Nākamās paaudzes sadarbspējas centrs” pabeigšana.</w:t>
            </w:r>
          </w:p>
        </w:tc>
        <w:tc>
          <w:tcPr>
            <w:tcW w:w="937" w:type="dxa"/>
            <w:tcBorders>
              <w:top w:val="nil"/>
              <w:left w:val="nil"/>
              <w:bottom w:val="single" w:sz="4" w:space="0" w:color="auto"/>
              <w:right w:val="single" w:sz="4" w:space="0" w:color="auto"/>
            </w:tcBorders>
            <w:shd w:val="clear" w:color="auto" w:fill="C6EFCE"/>
            <w:noWrap/>
          </w:tcPr>
          <w:p w14:paraId="0FF10E72"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2DC3D48D"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4CBDF459"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2E53CCFB" w14:textId="77777777" w:rsidR="00CB0FCB" w:rsidRDefault="009D2B11">
            <w:pPr>
              <w:pStyle w:val="P68B1DB1-Normal9"/>
              <w:spacing w:after="0" w:line="240" w:lineRule="auto"/>
              <w:rPr>
                <w:rFonts w:eastAsia="Times New Roman" w:cs="Calibri"/>
                <w:noProof/>
                <w:szCs w:val="18"/>
              </w:rPr>
            </w:pPr>
            <w:r>
              <w:rPr>
                <w:noProof/>
              </w:rPr>
              <w:t>2. CET.</w:t>
            </w:r>
          </w:p>
        </w:tc>
        <w:tc>
          <w:tcPr>
            <w:tcW w:w="680" w:type="dxa"/>
            <w:tcBorders>
              <w:top w:val="nil"/>
              <w:left w:val="nil"/>
              <w:bottom w:val="single" w:sz="4" w:space="0" w:color="auto"/>
              <w:right w:val="single" w:sz="4" w:space="0" w:color="auto"/>
            </w:tcBorders>
            <w:shd w:val="clear" w:color="auto" w:fill="C6EFCE"/>
            <w:noWrap/>
          </w:tcPr>
          <w:p w14:paraId="5FEB7A12" w14:textId="77777777" w:rsidR="00CB0FCB" w:rsidRDefault="009D2B11">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67B6E9EA" w14:textId="77777777" w:rsidR="00CB0FCB" w:rsidRDefault="009D2B11">
            <w:pPr>
              <w:pStyle w:val="P68B1DB1-Normal9"/>
              <w:spacing w:after="0" w:line="240" w:lineRule="auto"/>
              <w:rPr>
                <w:rFonts w:eastAsia="Times New Roman" w:cs="Calibri"/>
                <w:noProof/>
                <w:szCs w:val="18"/>
              </w:rPr>
            </w:pPr>
            <w:r>
              <w:rPr>
                <w:noProof/>
              </w:rPr>
              <w:t>Nākamās paaudzes sadarbspējas centra (KED) pabeigšana, tostarp priekšizpētes un drošības pētījuma pabeigšana, nepieciešamo licenču piegāde un uzstādīšana datubāzei un hibrīdmākoņdatošanas lietojumprogrammu platformai, kā arī centra izveide un attiecīgo tīmekļa pakalpojumu īstenošana.</w:t>
            </w:r>
          </w:p>
        </w:tc>
      </w:tr>
      <w:tr w:rsidR="00CB0FCB" w14:paraId="3B33985D"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6C517732" w14:textId="77777777" w:rsidR="00CB0FCB" w:rsidRDefault="009D2B11">
            <w:pPr>
              <w:pStyle w:val="P68B1DB1-Normal9"/>
              <w:spacing w:after="0" w:line="240" w:lineRule="auto"/>
              <w:rPr>
                <w:rFonts w:eastAsia="Times New Roman" w:cs="Calibri"/>
                <w:noProof/>
                <w:szCs w:val="18"/>
              </w:rPr>
            </w:pPr>
            <w:r>
              <w:rPr>
                <w:noProof/>
              </w:rPr>
              <w:t>117</w:t>
            </w:r>
          </w:p>
        </w:tc>
        <w:tc>
          <w:tcPr>
            <w:tcW w:w="1855" w:type="dxa"/>
            <w:tcBorders>
              <w:top w:val="nil"/>
              <w:left w:val="nil"/>
              <w:bottom w:val="single" w:sz="4" w:space="0" w:color="auto"/>
              <w:right w:val="single" w:sz="4" w:space="0" w:color="auto"/>
            </w:tcBorders>
            <w:shd w:val="clear" w:color="auto" w:fill="C6EFCE"/>
            <w:noWrap/>
          </w:tcPr>
          <w:p w14:paraId="0C569ACD" w14:textId="77777777" w:rsidR="00CB0FCB" w:rsidRDefault="009D2B11">
            <w:pPr>
              <w:pStyle w:val="P68B1DB1-Normal9"/>
              <w:spacing w:after="0" w:line="240" w:lineRule="auto"/>
              <w:rPr>
                <w:rFonts w:eastAsia="Times New Roman" w:cs="Calibri"/>
                <w:noProof/>
                <w:szCs w:val="18"/>
              </w:rPr>
            </w:pPr>
            <w:r>
              <w:rPr>
                <w:noProof/>
              </w:rPr>
              <w:t>6–2.2. Modernizācija — 16785_Tūrisma reģistra e-MHTE</w:t>
            </w:r>
          </w:p>
        </w:tc>
        <w:tc>
          <w:tcPr>
            <w:tcW w:w="1101" w:type="dxa"/>
            <w:tcBorders>
              <w:top w:val="nil"/>
              <w:left w:val="nil"/>
              <w:bottom w:val="single" w:sz="4" w:space="0" w:color="auto"/>
              <w:right w:val="single" w:sz="4" w:space="0" w:color="auto"/>
            </w:tcBorders>
            <w:shd w:val="clear" w:color="auto" w:fill="C6EFCE"/>
            <w:noWrap/>
          </w:tcPr>
          <w:p w14:paraId="717D51A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nil"/>
              <w:left w:val="nil"/>
              <w:bottom w:val="single" w:sz="4" w:space="0" w:color="auto"/>
              <w:right w:val="single" w:sz="4" w:space="0" w:color="auto"/>
            </w:tcBorders>
            <w:shd w:val="clear" w:color="auto" w:fill="C6EFCE"/>
            <w:noWrap/>
          </w:tcPr>
          <w:p w14:paraId="6FB29A28" w14:textId="77777777" w:rsidR="00CB0FCB" w:rsidRDefault="009D2B11">
            <w:pPr>
              <w:pStyle w:val="P68B1DB1-Normal9"/>
              <w:spacing w:after="0" w:line="240" w:lineRule="auto"/>
              <w:rPr>
                <w:rFonts w:eastAsia="Times New Roman" w:cs="Calibri"/>
                <w:noProof/>
                <w:szCs w:val="18"/>
              </w:rPr>
            </w:pPr>
            <w:r>
              <w:rPr>
                <w:noProof/>
              </w:rPr>
              <w:t xml:space="preserve">Digitālā tūrisma reģistra pabeigšana </w:t>
            </w:r>
          </w:p>
        </w:tc>
        <w:tc>
          <w:tcPr>
            <w:tcW w:w="1514" w:type="dxa"/>
            <w:tcBorders>
              <w:top w:val="nil"/>
              <w:left w:val="nil"/>
              <w:bottom w:val="single" w:sz="4" w:space="0" w:color="auto"/>
              <w:right w:val="single" w:sz="4" w:space="0" w:color="auto"/>
            </w:tcBorders>
            <w:shd w:val="clear" w:color="auto" w:fill="C6EFCE"/>
            <w:noWrap/>
          </w:tcPr>
          <w:p w14:paraId="31D0E1C0" w14:textId="77777777" w:rsidR="00CB0FCB" w:rsidRDefault="009D2B11">
            <w:pPr>
              <w:pStyle w:val="P68B1DB1-Normal9"/>
              <w:spacing w:after="0" w:line="240" w:lineRule="auto"/>
              <w:rPr>
                <w:rFonts w:eastAsia="Times New Roman" w:cs="Calibri"/>
                <w:noProof/>
                <w:szCs w:val="18"/>
              </w:rPr>
            </w:pPr>
            <w:r>
              <w:rPr>
                <w:noProof/>
              </w:rPr>
              <w:t>Tūrisma ministrijas nobeiguma ziņojums, kurā dokumentēta platformas “New e-MHTE” darbības uzsākšana</w:t>
            </w:r>
          </w:p>
        </w:tc>
        <w:tc>
          <w:tcPr>
            <w:tcW w:w="937" w:type="dxa"/>
            <w:tcBorders>
              <w:top w:val="nil"/>
              <w:left w:val="nil"/>
              <w:bottom w:val="single" w:sz="4" w:space="0" w:color="auto"/>
              <w:right w:val="single" w:sz="4" w:space="0" w:color="auto"/>
            </w:tcBorders>
            <w:shd w:val="clear" w:color="auto" w:fill="C6EFCE"/>
            <w:noWrap/>
          </w:tcPr>
          <w:p w14:paraId="357147E9" w14:textId="77777777" w:rsidR="00CB0FCB" w:rsidRDefault="00CB0FCB">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55E08238" w14:textId="77777777" w:rsidR="00CB0FCB" w:rsidRDefault="00CB0FCB">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20F0909D" w14:textId="77777777" w:rsidR="00CB0FCB" w:rsidRDefault="00CB0FCB">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47E88A96" w14:textId="77777777" w:rsidR="00CB0FCB" w:rsidRDefault="009D2B11">
            <w:pPr>
              <w:pStyle w:val="P68B1DB1-Normal9"/>
              <w:spacing w:after="0" w:line="240" w:lineRule="auto"/>
              <w:rPr>
                <w:rFonts w:eastAsia="Times New Roman" w:cs="Calibri"/>
                <w:noProof/>
                <w:szCs w:val="18"/>
              </w:rPr>
            </w:pPr>
            <w:r>
              <w:rPr>
                <w:noProof/>
              </w:rPr>
              <w:t>2. CET.</w:t>
            </w:r>
          </w:p>
        </w:tc>
        <w:tc>
          <w:tcPr>
            <w:tcW w:w="680" w:type="dxa"/>
            <w:tcBorders>
              <w:top w:val="nil"/>
              <w:left w:val="nil"/>
              <w:bottom w:val="single" w:sz="4" w:space="0" w:color="auto"/>
              <w:right w:val="single" w:sz="4" w:space="0" w:color="auto"/>
            </w:tcBorders>
            <w:shd w:val="clear" w:color="auto" w:fill="C6EFCE"/>
            <w:noWrap/>
          </w:tcPr>
          <w:p w14:paraId="3F197522" w14:textId="77777777" w:rsidR="00CB0FCB" w:rsidRDefault="009D2B11">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4EAF6E9F" w14:textId="77FCD110" w:rsidR="00CB0FCB" w:rsidRDefault="009D2B11">
            <w:pPr>
              <w:pStyle w:val="P68B1DB1-Normal23"/>
              <w:spacing w:after="0" w:line="240" w:lineRule="auto"/>
              <w:rPr>
                <w:rFonts w:eastAsia="Times New Roman" w:cs="Calibri"/>
                <w:noProof/>
                <w:sz w:val="18"/>
                <w:szCs w:val="18"/>
              </w:rPr>
            </w:pPr>
            <w:r>
              <w:rPr>
                <w:noProof/>
                <w:sz w:val="18"/>
              </w:rPr>
              <w:t>Tūrisma reģistra “e-MHTE” platformas pabeigšana,</w:t>
            </w:r>
            <w:r>
              <w:rPr>
                <w:noProof/>
              </w:rPr>
              <w:t xml:space="preserve"> tostarp arhīva digitalizācijas pabeigšana (1875000 Telpiskās plānošanas un infrastruktūras nodaļas datnes), tostarp metamarķēšana un uzglabāšana. </w:t>
            </w:r>
          </w:p>
        </w:tc>
      </w:tr>
      <w:tr w:rsidR="00CB0FCB" w14:paraId="2D3DF8C5" w14:textId="77777777">
        <w:trPr>
          <w:trHeight w:val="313"/>
          <w:jc w:val="center"/>
        </w:trPr>
        <w:tc>
          <w:tcPr>
            <w:tcW w:w="1080" w:type="dxa"/>
            <w:tcBorders>
              <w:top w:val="single" w:sz="4" w:space="0" w:color="auto"/>
              <w:left w:val="single" w:sz="4" w:space="0" w:color="auto"/>
              <w:bottom w:val="single" w:sz="4" w:space="0" w:color="auto"/>
              <w:right w:val="single" w:sz="4" w:space="0" w:color="auto"/>
            </w:tcBorders>
            <w:shd w:val="clear" w:color="auto" w:fill="C6EFCE"/>
            <w:noWrap/>
          </w:tcPr>
          <w:p w14:paraId="3BE05402" w14:textId="77777777" w:rsidR="00CB0FCB" w:rsidRDefault="009D2B11">
            <w:pPr>
              <w:pStyle w:val="P68B1DB1-Normal9"/>
              <w:spacing w:after="0" w:line="240" w:lineRule="auto"/>
              <w:rPr>
                <w:rFonts w:eastAsia="Times New Roman" w:cs="Calibri"/>
                <w:noProof/>
                <w:szCs w:val="18"/>
              </w:rPr>
            </w:pPr>
            <w:r>
              <w:rPr>
                <w:noProof/>
              </w:rPr>
              <w:t>119</w:t>
            </w:r>
          </w:p>
        </w:tc>
        <w:tc>
          <w:tcPr>
            <w:tcW w:w="1855" w:type="dxa"/>
            <w:tcBorders>
              <w:top w:val="single" w:sz="4" w:space="0" w:color="auto"/>
              <w:left w:val="nil"/>
              <w:bottom w:val="single" w:sz="4" w:space="0" w:color="auto"/>
              <w:right w:val="single" w:sz="4" w:space="0" w:color="auto"/>
            </w:tcBorders>
            <w:shd w:val="clear" w:color="auto" w:fill="C6EFCE"/>
            <w:noWrap/>
          </w:tcPr>
          <w:p w14:paraId="28039AE8" w14:textId="77777777" w:rsidR="00CB0FCB" w:rsidRDefault="009D2B11">
            <w:pPr>
              <w:pStyle w:val="P68B1DB1-Normal9"/>
              <w:spacing w:after="0" w:line="240" w:lineRule="auto"/>
              <w:rPr>
                <w:rFonts w:eastAsia="Times New Roman" w:cs="Calibri"/>
                <w:noProof/>
                <w:szCs w:val="18"/>
              </w:rPr>
            </w:pPr>
            <w:r>
              <w:rPr>
                <w:noProof/>
              </w:rPr>
              <w:t>6–2.2. Modernizācija — 16736_Jauna publiskā iepirkuma sistēma</w:t>
            </w:r>
          </w:p>
        </w:tc>
        <w:tc>
          <w:tcPr>
            <w:tcW w:w="1101" w:type="dxa"/>
            <w:tcBorders>
              <w:top w:val="single" w:sz="4" w:space="0" w:color="auto"/>
              <w:left w:val="nil"/>
              <w:bottom w:val="single" w:sz="4" w:space="0" w:color="auto"/>
              <w:right w:val="single" w:sz="4" w:space="0" w:color="auto"/>
            </w:tcBorders>
            <w:shd w:val="clear" w:color="auto" w:fill="C6EFCE"/>
            <w:noWrap/>
          </w:tcPr>
          <w:p w14:paraId="2D5A896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single" w:sz="4" w:space="0" w:color="auto"/>
              <w:left w:val="nil"/>
              <w:bottom w:val="single" w:sz="4" w:space="0" w:color="auto"/>
              <w:right w:val="single" w:sz="4" w:space="0" w:color="auto"/>
            </w:tcBorders>
            <w:shd w:val="clear" w:color="auto" w:fill="C6EFCE"/>
            <w:noWrap/>
          </w:tcPr>
          <w:p w14:paraId="05551294" w14:textId="77777777" w:rsidR="00CB0FCB" w:rsidRDefault="009D2B11">
            <w:pPr>
              <w:pStyle w:val="P68B1DB1-Normal9"/>
              <w:spacing w:after="0" w:line="240" w:lineRule="auto"/>
              <w:rPr>
                <w:rFonts w:eastAsia="Times New Roman" w:cs="Calibri"/>
                <w:noProof/>
                <w:szCs w:val="18"/>
              </w:rPr>
            </w:pPr>
            <w:r>
              <w:rPr>
                <w:noProof/>
              </w:rPr>
              <w:t xml:space="preserve">Jaunās publiskā iepirkuma sistēmas pabeigšana </w:t>
            </w:r>
          </w:p>
        </w:tc>
        <w:tc>
          <w:tcPr>
            <w:tcW w:w="1514" w:type="dxa"/>
            <w:tcBorders>
              <w:top w:val="single" w:sz="4" w:space="0" w:color="auto"/>
              <w:left w:val="nil"/>
              <w:bottom w:val="single" w:sz="4" w:space="0" w:color="auto"/>
              <w:right w:val="single" w:sz="4" w:space="0" w:color="auto"/>
            </w:tcBorders>
            <w:shd w:val="clear" w:color="auto" w:fill="C6EFCE"/>
            <w:noWrap/>
          </w:tcPr>
          <w:p w14:paraId="2BB65E0E" w14:textId="77777777" w:rsidR="00CB0FCB" w:rsidRDefault="009D2B11">
            <w:pPr>
              <w:pStyle w:val="P68B1DB1-Normal9"/>
              <w:spacing w:after="0" w:line="240" w:lineRule="auto"/>
              <w:rPr>
                <w:rFonts w:eastAsia="Times New Roman" w:cs="Calibri"/>
                <w:noProof/>
                <w:szCs w:val="18"/>
              </w:rPr>
            </w:pPr>
            <w:r>
              <w:rPr>
                <w:noProof/>
              </w:rPr>
              <w:t>Digitālās pārvaldības ministrijas ziņojums “Jaunās publiskā iepirkuma sistēmas” projekta īstenošanas dokumentēšana</w:t>
            </w:r>
          </w:p>
        </w:tc>
        <w:tc>
          <w:tcPr>
            <w:tcW w:w="937" w:type="dxa"/>
            <w:tcBorders>
              <w:top w:val="single" w:sz="4" w:space="0" w:color="auto"/>
              <w:left w:val="nil"/>
              <w:bottom w:val="single" w:sz="4" w:space="0" w:color="auto"/>
              <w:right w:val="single" w:sz="4" w:space="0" w:color="auto"/>
            </w:tcBorders>
            <w:shd w:val="clear" w:color="auto" w:fill="C6EFCE"/>
            <w:noWrap/>
          </w:tcPr>
          <w:p w14:paraId="0E4311F6" w14:textId="77777777" w:rsidR="00CB0FCB" w:rsidRDefault="00CB0FCB">
            <w:pPr>
              <w:spacing w:after="0" w:line="240" w:lineRule="auto"/>
              <w:rPr>
                <w:rFonts w:eastAsia="Times New Roman" w:cs="Calibri"/>
                <w:noProof/>
                <w:color w:val="006100"/>
                <w:sz w:val="18"/>
                <w:szCs w:val="18"/>
              </w:rPr>
            </w:pPr>
          </w:p>
        </w:tc>
        <w:tc>
          <w:tcPr>
            <w:tcW w:w="1010" w:type="dxa"/>
            <w:tcBorders>
              <w:top w:val="single" w:sz="4" w:space="0" w:color="auto"/>
              <w:left w:val="nil"/>
              <w:bottom w:val="single" w:sz="4" w:space="0" w:color="auto"/>
              <w:right w:val="single" w:sz="4" w:space="0" w:color="auto"/>
            </w:tcBorders>
            <w:shd w:val="clear" w:color="auto" w:fill="C6EFCE"/>
            <w:noWrap/>
          </w:tcPr>
          <w:p w14:paraId="3E14B9CC" w14:textId="77777777" w:rsidR="00CB0FCB" w:rsidRDefault="00CB0FCB">
            <w:pPr>
              <w:spacing w:after="0" w:line="240" w:lineRule="auto"/>
              <w:rPr>
                <w:rFonts w:eastAsia="Times New Roman" w:cs="Calibri"/>
                <w:noProof/>
                <w:color w:val="006100"/>
                <w:sz w:val="18"/>
                <w:szCs w:val="18"/>
              </w:rPr>
            </w:pPr>
          </w:p>
        </w:tc>
        <w:tc>
          <w:tcPr>
            <w:tcW w:w="788" w:type="dxa"/>
            <w:tcBorders>
              <w:top w:val="single" w:sz="4" w:space="0" w:color="auto"/>
              <w:left w:val="nil"/>
              <w:bottom w:val="single" w:sz="4" w:space="0" w:color="auto"/>
              <w:right w:val="single" w:sz="4" w:space="0" w:color="auto"/>
            </w:tcBorders>
            <w:shd w:val="clear" w:color="auto" w:fill="C6EFCE"/>
            <w:noWrap/>
          </w:tcPr>
          <w:p w14:paraId="3C28A020" w14:textId="77777777" w:rsidR="00CB0FCB" w:rsidRDefault="00CB0FCB">
            <w:pPr>
              <w:spacing w:after="0" w:line="240" w:lineRule="auto"/>
              <w:rPr>
                <w:rFonts w:eastAsia="Times New Roman" w:cs="Calibri"/>
                <w:noProof/>
                <w:color w:val="006100"/>
                <w:sz w:val="18"/>
                <w:szCs w:val="18"/>
              </w:rPr>
            </w:pPr>
          </w:p>
        </w:tc>
        <w:tc>
          <w:tcPr>
            <w:tcW w:w="947" w:type="dxa"/>
            <w:tcBorders>
              <w:top w:val="single" w:sz="4" w:space="0" w:color="auto"/>
              <w:left w:val="nil"/>
              <w:bottom w:val="single" w:sz="4" w:space="0" w:color="auto"/>
              <w:right w:val="single" w:sz="4" w:space="0" w:color="auto"/>
            </w:tcBorders>
            <w:shd w:val="clear" w:color="auto" w:fill="C6EFCE"/>
            <w:noWrap/>
          </w:tcPr>
          <w:p w14:paraId="7D93BD5E"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single" w:sz="4" w:space="0" w:color="auto"/>
              <w:left w:val="nil"/>
              <w:bottom w:val="single" w:sz="4" w:space="0" w:color="auto"/>
              <w:right w:val="single" w:sz="4" w:space="0" w:color="auto"/>
            </w:tcBorders>
            <w:shd w:val="clear" w:color="auto" w:fill="C6EFCE"/>
            <w:noWrap/>
          </w:tcPr>
          <w:p w14:paraId="27D4C5DF" w14:textId="77777777" w:rsidR="00CB0FCB" w:rsidRDefault="009D2B11">
            <w:pPr>
              <w:pStyle w:val="P68B1DB1-Normal9"/>
              <w:spacing w:after="0" w:line="240" w:lineRule="auto"/>
              <w:rPr>
                <w:rFonts w:eastAsia="Times New Roman" w:cs="Calibri"/>
                <w:noProof/>
                <w:szCs w:val="18"/>
              </w:rPr>
            </w:pPr>
            <w:r>
              <w:rPr>
                <w:noProof/>
              </w:rPr>
              <w:t>2025</w:t>
            </w:r>
          </w:p>
        </w:tc>
        <w:tc>
          <w:tcPr>
            <w:tcW w:w="4090" w:type="dxa"/>
            <w:tcBorders>
              <w:top w:val="single" w:sz="4" w:space="0" w:color="auto"/>
              <w:left w:val="nil"/>
              <w:bottom w:val="single" w:sz="4" w:space="0" w:color="auto"/>
              <w:right w:val="single" w:sz="4" w:space="0" w:color="auto"/>
            </w:tcBorders>
            <w:shd w:val="clear" w:color="auto" w:fill="C6EFCE"/>
            <w:noWrap/>
          </w:tcPr>
          <w:p w14:paraId="28B7C644" w14:textId="308A5ECF" w:rsidR="00CB0FCB" w:rsidRDefault="009D2B11">
            <w:pPr>
              <w:pStyle w:val="P68B1DB1-Normal9"/>
              <w:spacing w:after="0" w:line="240" w:lineRule="auto"/>
              <w:rPr>
                <w:rFonts w:eastAsia="Times New Roman" w:cs="Calibri"/>
                <w:noProof/>
                <w:szCs w:val="18"/>
              </w:rPr>
            </w:pPr>
            <w:r>
              <w:rPr>
                <w:noProof/>
              </w:rPr>
              <w:t>Jaunās publiskā iepirkuma sistēmas pabeigšana saskaņā ar pasākuma aprakstu.</w:t>
            </w:r>
          </w:p>
        </w:tc>
      </w:tr>
      <w:tr w:rsidR="00CB0FCB" w14:paraId="3C67EB08" w14:textId="77777777">
        <w:trPr>
          <w:trHeight w:val="313"/>
          <w:jc w:val="center"/>
        </w:trPr>
        <w:tc>
          <w:tcPr>
            <w:tcW w:w="1080" w:type="dxa"/>
            <w:tcBorders>
              <w:top w:val="single" w:sz="4" w:space="0" w:color="auto"/>
              <w:left w:val="single" w:sz="4" w:space="0" w:color="auto"/>
              <w:bottom w:val="single" w:sz="4" w:space="0" w:color="auto"/>
              <w:right w:val="single" w:sz="4" w:space="0" w:color="auto"/>
            </w:tcBorders>
            <w:shd w:val="clear" w:color="auto" w:fill="C6EFCE"/>
            <w:noWrap/>
          </w:tcPr>
          <w:p w14:paraId="3D7D5DC8" w14:textId="77777777" w:rsidR="00CB0FCB" w:rsidRDefault="009D2B11">
            <w:pPr>
              <w:pStyle w:val="P68B1DB1-Normal9"/>
              <w:spacing w:after="0" w:line="240" w:lineRule="auto"/>
              <w:rPr>
                <w:rFonts w:eastAsia="Times New Roman" w:cs="Calibri"/>
                <w:noProof/>
                <w:szCs w:val="18"/>
              </w:rPr>
            </w:pPr>
            <w:r>
              <w:rPr>
                <w:noProof/>
              </w:rPr>
              <w:t>120</w:t>
            </w:r>
          </w:p>
        </w:tc>
        <w:tc>
          <w:tcPr>
            <w:tcW w:w="1855" w:type="dxa"/>
            <w:tcBorders>
              <w:top w:val="single" w:sz="4" w:space="0" w:color="auto"/>
              <w:left w:val="nil"/>
              <w:bottom w:val="single" w:sz="4" w:space="0" w:color="auto"/>
              <w:right w:val="single" w:sz="4" w:space="0" w:color="auto"/>
            </w:tcBorders>
            <w:shd w:val="clear" w:color="auto" w:fill="C6EFCE"/>
            <w:noWrap/>
          </w:tcPr>
          <w:p w14:paraId="0D838EB0" w14:textId="77777777" w:rsidR="00CB0FCB" w:rsidRDefault="009D2B11">
            <w:pPr>
              <w:pStyle w:val="P68B1DB1-Normal9"/>
              <w:spacing w:after="0" w:line="240" w:lineRule="auto"/>
              <w:rPr>
                <w:rFonts w:eastAsia="Times New Roman" w:cs="Calibri"/>
                <w:noProof/>
                <w:szCs w:val="18"/>
              </w:rPr>
            </w:pPr>
            <w:r>
              <w:rPr>
                <w:noProof/>
              </w:rPr>
              <w:t>6–2.2. Modernizācija — 16824_ERegistry</w:t>
            </w:r>
          </w:p>
        </w:tc>
        <w:tc>
          <w:tcPr>
            <w:tcW w:w="1101" w:type="dxa"/>
            <w:tcBorders>
              <w:top w:val="single" w:sz="4" w:space="0" w:color="auto"/>
              <w:left w:val="nil"/>
              <w:bottom w:val="single" w:sz="4" w:space="0" w:color="auto"/>
              <w:right w:val="single" w:sz="4" w:space="0" w:color="auto"/>
            </w:tcBorders>
            <w:shd w:val="clear" w:color="auto" w:fill="C6EFCE"/>
            <w:noWrap/>
          </w:tcPr>
          <w:p w14:paraId="0B059EE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87" w:type="dxa"/>
            <w:tcBorders>
              <w:top w:val="single" w:sz="4" w:space="0" w:color="auto"/>
              <w:left w:val="nil"/>
              <w:bottom w:val="single" w:sz="4" w:space="0" w:color="auto"/>
              <w:right w:val="single" w:sz="4" w:space="0" w:color="auto"/>
            </w:tcBorders>
            <w:shd w:val="clear" w:color="auto" w:fill="C6EFCE"/>
            <w:noWrap/>
          </w:tcPr>
          <w:p w14:paraId="71AEAB48" w14:textId="77777777" w:rsidR="00CB0FCB" w:rsidRDefault="009D2B11">
            <w:pPr>
              <w:pStyle w:val="P68B1DB1-Normal9"/>
              <w:spacing w:after="0" w:line="240" w:lineRule="auto"/>
              <w:rPr>
                <w:rFonts w:eastAsia="Times New Roman" w:cs="Calibri"/>
                <w:noProof/>
                <w:szCs w:val="18"/>
              </w:rPr>
            </w:pPr>
            <w:r>
              <w:rPr>
                <w:noProof/>
              </w:rPr>
              <w:t xml:space="preserve">Ereģistriju projekta pabeigšana </w:t>
            </w:r>
          </w:p>
        </w:tc>
        <w:tc>
          <w:tcPr>
            <w:tcW w:w="1514" w:type="dxa"/>
            <w:tcBorders>
              <w:top w:val="single" w:sz="4" w:space="0" w:color="auto"/>
              <w:left w:val="nil"/>
              <w:bottom w:val="single" w:sz="4" w:space="0" w:color="auto"/>
              <w:right w:val="single" w:sz="4" w:space="0" w:color="auto"/>
            </w:tcBorders>
            <w:shd w:val="clear" w:color="auto" w:fill="C6EFCE"/>
            <w:noWrap/>
          </w:tcPr>
          <w:p w14:paraId="54EDEA68" w14:textId="77777777" w:rsidR="00CB0FCB" w:rsidRDefault="009D2B11">
            <w:pPr>
              <w:pStyle w:val="P68B1DB1-Normal9"/>
              <w:spacing w:after="0" w:line="240" w:lineRule="auto"/>
              <w:rPr>
                <w:rFonts w:eastAsia="Times New Roman" w:cs="Calibri"/>
                <w:noProof/>
                <w:szCs w:val="18"/>
              </w:rPr>
            </w:pPr>
            <w:r>
              <w:rPr>
                <w:noProof/>
              </w:rPr>
              <w:t>Digitālās pārvaldības ministrijas ziņojums, kurā dokumentēta “e-reģistru” īstenošana</w:t>
            </w:r>
          </w:p>
        </w:tc>
        <w:tc>
          <w:tcPr>
            <w:tcW w:w="937" w:type="dxa"/>
            <w:tcBorders>
              <w:top w:val="single" w:sz="4" w:space="0" w:color="auto"/>
              <w:left w:val="nil"/>
              <w:bottom w:val="single" w:sz="4" w:space="0" w:color="auto"/>
              <w:right w:val="single" w:sz="4" w:space="0" w:color="auto"/>
            </w:tcBorders>
            <w:shd w:val="clear" w:color="auto" w:fill="C6EFCE"/>
            <w:noWrap/>
          </w:tcPr>
          <w:p w14:paraId="46467E5C" w14:textId="77777777" w:rsidR="00CB0FCB" w:rsidRDefault="00CB0FCB">
            <w:pPr>
              <w:spacing w:after="0" w:line="240" w:lineRule="auto"/>
              <w:rPr>
                <w:rFonts w:eastAsia="Times New Roman" w:cs="Calibri"/>
                <w:noProof/>
                <w:color w:val="006100"/>
                <w:sz w:val="18"/>
                <w:szCs w:val="18"/>
              </w:rPr>
            </w:pPr>
          </w:p>
        </w:tc>
        <w:tc>
          <w:tcPr>
            <w:tcW w:w="1010" w:type="dxa"/>
            <w:tcBorders>
              <w:top w:val="single" w:sz="4" w:space="0" w:color="auto"/>
              <w:left w:val="nil"/>
              <w:bottom w:val="single" w:sz="4" w:space="0" w:color="auto"/>
              <w:right w:val="single" w:sz="4" w:space="0" w:color="auto"/>
            </w:tcBorders>
            <w:shd w:val="clear" w:color="auto" w:fill="C6EFCE"/>
            <w:noWrap/>
          </w:tcPr>
          <w:p w14:paraId="196A5C73" w14:textId="77777777" w:rsidR="00CB0FCB" w:rsidRDefault="00CB0FCB">
            <w:pPr>
              <w:spacing w:after="0" w:line="240" w:lineRule="auto"/>
              <w:rPr>
                <w:rFonts w:eastAsia="Times New Roman" w:cs="Calibri"/>
                <w:noProof/>
                <w:color w:val="006100"/>
                <w:sz w:val="18"/>
                <w:szCs w:val="18"/>
              </w:rPr>
            </w:pPr>
          </w:p>
        </w:tc>
        <w:tc>
          <w:tcPr>
            <w:tcW w:w="788" w:type="dxa"/>
            <w:tcBorders>
              <w:top w:val="single" w:sz="4" w:space="0" w:color="auto"/>
              <w:left w:val="nil"/>
              <w:bottom w:val="single" w:sz="4" w:space="0" w:color="auto"/>
              <w:right w:val="single" w:sz="4" w:space="0" w:color="auto"/>
            </w:tcBorders>
            <w:shd w:val="clear" w:color="auto" w:fill="C6EFCE"/>
            <w:noWrap/>
          </w:tcPr>
          <w:p w14:paraId="20697721" w14:textId="77777777" w:rsidR="00CB0FCB" w:rsidRDefault="00CB0FCB">
            <w:pPr>
              <w:spacing w:after="0" w:line="240" w:lineRule="auto"/>
              <w:rPr>
                <w:rFonts w:eastAsia="Times New Roman" w:cs="Calibri"/>
                <w:noProof/>
                <w:color w:val="006100"/>
                <w:sz w:val="18"/>
                <w:szCs w:val="18"/>
              </w:rPr>
            </w:pPr>
          </w:p>
        </w:tc>
        <w:tc>
          <w:tcPr>
            <w:tcW w:w="947" w:type="dxa"/>
            <w:tcBorders>
              <w:top w:val="single" w:sz="4" w:space="0" w:color="auto"/>
              <w:left w:val="nil"/>
              <w:bottom w:val="single" w:sz="4" w:space="0" w:color="auto"/>
              <w:right w:val="single" w:sz="4" w:space="0" w:color="auto"/>
            </w:tcBorders>
            <w:shd w:val="clear" w:color="auto" w:fill="C6EFCE"/>
            <w:noWrap/>
          </w:tcPr>
          <w:p w14:paraId="090BEE2E" w14:textId="77777777" w:rsidR="00CB0FCB" w:rsidRDefault="009D2B11">
            <w:pPr>
              <w:pStyle w:val="P68B1DB1-Normal9"/>
              <w:spacing w:after="0" w:line="240" w:lineRule="auto"/>
              <w:rPr>
                <w:rFonts w:eastAsia="Times New Roman" w:cs="Calibri"/>
                <w:noProof/>
                <w:szCs w:val="18"/>
              </w:rPr>
            </w:pPr>
            <w:r>
              <w:rPr>
                <w:noProof/>
              </w:rPr>
              <w:t>4. CET.</w:t>
            </w:r>
          </w:p>
        </w:tc>
        <w:tc>
          <w:tcPr>
            <w:tcW w:w="680" w:type="dxa"/>
            <w:tcBorders>
              <w:top w:val="single" w:sz="4" w:space="0" w:color="auto"/>
              <w:left w:val="nil"/>
              <w:bottom w:val="single" w:sz="4" w:space="0" w:color="auto"/>
              <w:right w:val="single" w:sz="4" w:space="0" w:color="auto"/>
            </w:tcBorders>
            <w:shd w:val="clear" w:color="auto" w:fill="C6EFCE"/>
            <w:noWrap/>
          </w:tcPr>
          <w:p w14:paraId="29BD0F3D" w14:textId="77777777" w:rsidR="00CB0FCB" w:rsidRDefault="009D2B11">
            <w:pPr>
              <w:pStyle w:val="P68B1DB1-Normal9"/>
              <w:spacing w:after="0" w:line="240" w:lineRule="auto"/>
              <w:rPr>
                <w:rFonts w:eastAsia="Times New Roman" w:cs="Calibri"/>
                <w:noProof/>
                <w:szCs w:val="18"/>
              </w:rPr>
            </w:pPr>
            <w:r>
              <w:rPr>
                <w:noProof/>
              </w:rPr>
              <w:t>2025</w:t>
            </w:r>
          </w:p>
        </w:tc>
        <w:tc>
          <w:tcPr>
            <w:tcW w:w="4090" w:type="dxa"/>
            <w:tcBorders>
              <w:top w:val="single" w:sz="4" w:space="0" w:color="auto"/>
              <w:left w:val="nil"/>
              <w:bottom w:val="single" w:sz="4" w:space="0" w:color="auto"/>
              <w:right w:val="single" w:sz="4" w:space="0" w:color="auto"/>
            </w:tcBorders>
            <w:shd w:val="clear" w:color="auto" w:fill="C6EFCE"/>
            <w:noWrap/>
          </w:tcPr>
          <w:p w14:paraId="54FE574C" w14:textId="77777777" w:rsidR="00CB0FCB" w:rsidRDefault="009D2B11">
            <w:pPr>
              <w:pStyle w:val="P68B1DB1-Normal9"/>
              <w:spacing w:after="0" w:line="240" w:lineRule="auto"/>
              <w:rPr>
                <w:rFonts w:eastAsia="Times New Roman" w:cs="Calibri"/>
                <w:noProof/>
                <w:szCs w:val="18"/>
              </w:rPr>
            </w:pPr>
            <w:r>
              <w:rPr>
                <w:noProof/>
              </w:rPr>
              <w:t>“E-reģistru” pabeigšana, tostarp to sadarbspēja un saskarnes ar esošajiem reģistriem valsts pārvaldē.</w:t>
            </w:r>
          </w:p>
        </w:tc>
      </w:tr>
    </w:tbl>
    <w:p w14:paraId="79B06560" w14:textId="77777777" w:rsidR="00CB0FCB" w:rsidRDefault="00CB0FCB">
      <w:pPr>
        <w:spacing w:before="120" w:after="120" w:line="240" w:lineRule="auto"/>
        <w:ind w:left="709"/>
        <w:rPr>
          <w:rFonts w:ascii="Times New Roman" w:hAnsi="Times New Roman" w:cs="Times New Roman"/>
          <w:noProof/>
          <w:sz w:val="24"/>
        </w:rPr>
      </w:pPr>
    </w:p>
    <w:p w14:paraId="7F2DFB0C" w14:textId="77777777" w:rsidR="00CB0FCB" w:rsidRDefault="009D2B11">
      <w:pPr>
        <w:pStyle w:val="P68B1DB1-Normal6"/>
        <w:keepNext/>
        <w:keepLines/>
        <w:spacing w:before="40" w:after="0" w:line="240" w:lineRule="auto"/>
        <w:jc w:val="both"/>
        <w:outlineLvl w:val="4"/>
        <w:rPr>
          <w:rFonts w:eastAsia="Times New Roman"/>
          <w:noProof/>
        </w:rPr>
      </w:pPr>
      <w:r>
        <w:rPr>
          <w:noProof/>
        </w:rPr>
        <w:t>Grupa: Iniciatīvas, kas saistītas ar jaunu tehnoloģiju iekļaušanu publiskās pārvaldes digitālās pārkārtošanās un modernizācijas virzienā</w:t>
      </w:r>
    </w:p>
    <w:p w14:paraId="22050036" w14:textId="77777777" w:rsidR="00CB0FCB" w:rsidRDefault="009D2B11">
      <w:pPr>
        <w:pStyle w:val="P68B1DB1-Normal4"/>
        <w:numPr>
          <w:ilvl w:val="0"/>
          <w:numId w:val="44"/>
        </w:numPr>
        <w:spacing w:before="120" w:after="0" w:line="240" w:lineRule="auto"/>
        <w:jc w:val="both"/>
        <w:rPr>
          <w:rFonts w:cs="Times New Roman"/>
          <w:noProof/>
        </w:rPr>
      </w:pPr>
      <w:r>
        <w:rPr>
          <w:noProof/>
        </w:rPr>
        <w:t>Jaunu tehnoloģiju un valsts pārvaldes progresīvo pakalpojumu tendenču iekļaušana, efektivitātes un lietderības palielināšana un sistēmu ekspluatācijas, modernizācijas un uzturēšanas izmaksu samazināšana (ID: 16928)</w:t>
      </w:r>
    </w:p>
    <w:p w14:paraId="34E5CD0B" w14:textId="77777777" w:rsidR="00CB0FCB" w:rsidRDefault="009D2B11">
      <w:pPr>
        <w:pStyle w:val="P68B1DB1-Normal4"/>
        <w:numPr>
          <w:ilvl w:val="0"/>
          <w:numId w:val="44"/>
        </w:numPr>
        <w:spacing w:before="120" w:after="0" w:line="240" w:lineRule="auto"/>
        <w:jc w:val="both"/>
        <w:rPr>
          <w:rFonts w:cs="Times New Roman"/>
          <w:noProof/>
        </w:rPr>
      </w:pPr>
      <w:r>
        <w:rPr>
          <w:noProof/>
        </w:rPr>
        <w:t>Viedās pilsētas (ID: 16854)</w:t>
      </w:r>
    </w:p>
    <w:p w14:paraId="6EF7E607" w14:textId="77777777" w:rsidR="00CB0FCB" w:rsidRDefault="009D2B11">
      <w:pPr>
        <w:pStyle w:val="P68B1DB1-Normal4"/>
        <w:numPr>
          <w:ilvl w:val="0"/>
          <w:numId w:val="44"/>
        </w:numPr>
        <w:spacing w:before="120" w:after="0" w:line="240" w:lineRule="auto"/>
        <w:jc w:val="both"/>
        <w:rPr>
          <w:rFonts w:cs="Times New Roman"/>
          <w:noProof/>
        </w:rPr>
      </w:pPr>
      <w:r>
        <w:rPr>
          <w:noProof/>
        </w:rPr>
        <w:t>Centrālās mākoņdatošanas infrastruktūras un pakalpojuma sniegšana (ID: 16853)</w:t>
      </w:r>
    </w:p>
    <w:p w14:paraId="37407BE0" w14:textId="77777777" w:rsidR="00CB0FCB" w:rsidRDefault="009D2B11">
      <w:pPr>
        <w:pStyle w:val="P68B1DB1-Normal4"/>
        <w:numPr>
          <w:ilvl w:val="0"/>
          <w:numId w:val="44"/>
        </w:numPr>
        <w:spacing w:before="120" w:after="0" w:line="240" w:lineRule="auto"/>
        <w:jc w:val="both"/>
        <w:rPr>
          <w:rFonts w:cs="Times New Roman"/>
          <w:noProof/>
        </w:rPr>
      </w:pPr>
      <w:r>
        <w:rPr>
          <w:noProof/>
        </w:rPr>
        <w:t>Mākoņdatošanas infrastruktūras un valsts pētniecības un tehnoloģiju infrastruktūru pakalpojumu (GRNET) modernizācija (ID: 16955)</w:t>
      </w:r>
    </w:p>
    <w:p w14:paraId="3FDD186B" w14:textId="77777777" w:rsidR="00CB0FCB" w:rsidRDefault="009D2B11">
      <w:pPr>
        <w:pStyle w:val="P68B1DB1-Normal4"/>
        <w:numPr>
          <w:ilvl w:val="0"/>
          <w:numId w:val="44"/>
        </w:numPr>
        <w:spacing w:before="120" w:after="0" w:line="240" w:lineRule="auto"/>
        <w:jc w:val="both"/>
        <w:rPr>
          <w:rFonts w:cs="Times New Roman"/>
          <w:noProof/>
        </w:rPr>
      </w:pPr>
      <w:r>
        <w:rPr>
          <w:noProof/>
        </w:rPr>
        <w:t>Syzefksis II paplašināšana (ID: 16956)</w:t>
      </w:r>
    </w:p>
    <w:p w14:paraId="1FFE84C2" w14:textId="77777777" w:rsidR="00CB0FCB" w:rsidRDefault="009D2B11">
      <w:pPr>
        <w:pStyle w:val="P68B1DB1-Normal4"/>
        <w:numPr>
          <w:ilvl w:val="0"/>
          <w:numId w:val="44"/>
        </w:numPr>
        <w:spacing w:before="120" w:after="0" w:line="240" w:lineRule="auto"/>
        <w:jc w:val="both"/>
        <w:rPr>
          <w:rFonts w:cs="Times New Roman"/>
          <w:noProof/>
        </w:rPr>
      </w:pPr>
      <w:r>
        <w:rPr>
          <w:noProof/>
        </w:rPr>
        <w:t>Datu pārvaldības stratēģija un politika publiskajam sektoram (ID: 16827)</w:t>
      </w:r>
    </w:p>
    <w:p w14:paraId="0237CFB0" w14:textId="77777777" w:rsidR="00CB0FCB" w:rsidRDefault="009D2B11">
      <w:pPr>
        <w:pStyle w:val="P68B1DB1-Normal4"/>
        <w:numPr>
          <w:ilvl w:val="0"/>
          <w:numId w:val="44"/>
        </w:numPr>
        <w:spacing w:before="120" w:after="120" w:line="240" w:lineRule="auto"/>
        <w:jc w:val="both"/>
        <w:rPr>
          <w:rFonts w:cs="Times New Roman"/>
          <w:noProof/>
        </w:rPr>
      </w:pPr>
      <w:r>
        <w:rPr>
          <w:noProof/>
        </w:rPr>
        <w:t>Centrālā BI — datu analīze (ID: 16842)</w:t>
      </w:r>
    </w:p>
    <w:tbl>
      <w:tblPr>
        <w:tblW w:w="15588" w:type="dxa"/>
        <w:jc w:val="center"/>
        <w:tblLayout w:type="fixed"/>
        <w:tblLook w:val="04A0" w:firstRow="1" w:lastRow="0" w:firstColumn="1" w:lastColumn="0" w:noHBand="0" w:noVBand="1"/>
      </w:tblPr>
      <w:tblGrid>
        <w:gridCol w:w="1129"/>
        <w:gridCol w:w="1710"/>
        <w:gridCol w:w="1130"/>
        <w:gridCol w:w="1701"/>
        <w:gridCol w:w="1417"/>
        <w:gridCol w:w="1134"/>
        <w:gridCol w:w="1134"/>
        <w:gridCol w:w="993"/>
        <w:gridCol w:w="850"/>
        <w:gridCol w:w="992"/>
        <w:gridCol w:w="3398"/>
      </w:tblGrid>
      <w:tr w:rsidR="00CB0FCB" w14:paraId="4CABCC32" w14:textId="77777777">
        <w:trPr>
          <w:trHeight w:val="939"/>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2731CF"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8906C3" w14:textId="77777777" w:rsidR="00CB0FCB" w:rsidRDefault="009D2B11">
            <w:pPr>
              <w:pStyle w:val="P68B1DB1-Normal7"/>
              <w:spacing w:after="0" w:line="240" w:lineRule="auto"/>
              <w:jc w:val="center"/>
              <w:rPr>
                <w:noProof/>
              </w:rPr>
            </w:pPr>
            <w:r>
              <w:rPr>
                <w:noProof/>
              </w:rPr>
              <w:t xml:space="preserve">Saistītais pasākums </w:t>
            </w:r>
          </w:p>
          <w:p w14:paraId="24AEA5C0" w14:textId="49939A08" w:rsidR="00CB0FCB" w:rsidRDefault="009D2B11">
            <w:pPr>
              <w:pStyle w:val="P68B1DB1-Normal7"/>
              <w:spacing w:after="0" w:line="240" w:lineRule="auto"/>
              <w:jc w:val="center"/>
              <w:rPr>
                <w:rFonts w:eastAsia="Times New Roman" w:cs="Times New Roman"/>
                <w:bCs/>
                <w:noProof/>
                <w:szCs w:val="18"/>
              </w:rPr>
            </w:pPr>
            <w:r>
              <w:rPr>
                <w:noProof/>
              </w:rPr>
              <w:t>(Reforma vai investīcijas)</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196F2B"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CABC34"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A31332"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26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8244C31"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842" w:type="dxa"/>
            <w:gridSpan w:val="2"/>
            <w:tcBorders>
              <w:top w:val="single" w:sz="4" w:space="0" w:color="auto"/>
              <w:left w:val="nil"/>
              <w:bottom w:val="single" w:sz="4" w:space="0" w:color="auto"/>
              <w:right w:val="single" w:sz="4" w:space="0" w:color="auto"/>
            </w:tcBorders>
            <w:shd w:val="clear" w:color="auto" w:fill="BDD7EE"/>
            <w:vAlign w:val="center"/>
            <w:hideMark/>
          </w:tcPr>
          <w:p w14:paraId="438BC459"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F86E49"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62119656" w14:textId="77777777">
        <w:trPr>
          <w:trHeight w:val="356"/>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5C586A8" w14:textId="77777777" w:rsidR="00CB0FCB" w:rsidRDefault="00CB0FCB">
            <w:pPr>
              <w:spacing w:after="0" w:line="240" w:lineRule="auto"/>
              <w:rPr>
                <w:rFonts w:ascii="Times New Roman" w:eastAsia="Times New Roman" w:hAnsi="Times New Roman" w:cs="Times New Roman"/>
                <w:b/>
                <w:noProof/>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5CBDBD5" w14:textId="77777777" w:rsidR="00CB0FCB" w:rsidRDefault="00CB0FCB">
            <w:pPr>
              <w:spacing w:after="0" w:line="240" w:lineRule="auto"/>
              <w:rPr>
                <w:rFonts w:ascii="Times New Roman" w:eastAsia="Times New Roman" w:hAnsi="Times New Roman" w:cs="Times New Roman"/>
                <w:b/>
                <w:noProof/>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8BD5D82" w14:textId="77777777" w:rsidR="00CB0FCB" w:rsidRDefault="00CB0FCB">
            <w:pPr>
              <w:spacing w:after="0" w:line="240" w:lineRule="auto"/>
              <w:rPr>
                <w:rFonts w:ascii="Times New Roman" w:eastAsia="Times New Roman" w:hAnsi="Times New Roman" w:cs="Times New Roman"/>
                <w:b/>
                <w:noProo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B929FB" w14:textId="77777777" w:rsidR="00CB0FCB" w:rsidRDefault="00CB0FCB">
            <w:pPr>
              <w:spacing w:after="0" w:line="240" w:lineRule="auto"/>
              <w:rPr>
                <w:rFonts w:ascii="Times New Roman" w:eastAsia="Times New Roman" w:hAnsi="Times New Roman" w:cs="Times New Roman"/>
                <w:b/>
                <w:noProof/>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8C4F49" w14:textId="77777777" w:rsidR="00CB0FCB" w:rsidRDefault="00CB0FCB">
            <w:pPr>
              <w:spacing w:after="0" w:line="240" w:lineRule="auto"/>
              <w:rPr>
                <w:rFonts w:ascii="Times New Roman" w:eastAsia="Times New Roman" w:hAnsi="Times New Roman" w:cs="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CA79D6"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14:paraId="68B0EA2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993" w:type="dxa"/>
            <w:tcBorders>
              <w:top w:val="single" w:sz="4" w:space="0" w:color="auto"/>
              <w:left w:val="nil"/>
              <w:bottom w:val="single" w:sz="4" w:space="0" w:color="auto"/>
              <w:right w:val="single" w:sz="4" w:space="0" w:color="auto"/>
            </w:tcBorders>
            <w:shd w:val="clear" w:color="auto" w:fill="BDD7EE"/>
            <w:vAlign w:val="center"/>
            <w:hideMark/>
          </w:tcPr>
          <w:p w14:paraId="66147552"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39E5B4BD"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992" w:type="dxa"/>
            <w:tcBorders>
              <w:top w:val="single" w:sz="4" w:space="0" w:color="auto"/>
              <w:left w:val="nil"/>
              <w:bottom w:val="single" w:sz="4" w:space="0" w:color="auto"/>
              <w:right w:val="single" w:sz="4" w:space="0" w:color="auto"/>
            </w:tcBorders>
            <w:shd w:val="clear" w:color="auto" w:fill="BDD7EE"/>
            <w:vAlign w:val="center"/>
          </w:tcPr>
          <w:p w14:paraId="3C538A5B"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BEF9AC6" w14:textId="77777777" w:rsidR="00CB0FCB" w:rsidRDefault="00CB0FCB">
            <w:pPr>
              <w:spacing w:after="0" w:line="240" w:lineRule="auto"/>
              <w:ind w:right="690"/>
              <w:rPr>
                <w:rFonts w:ascii="Times New Roman" w:eastAsia="Times New Roman" w:hAnsi="Times New Roman" w:cs="Times New Roman"/>
                <w:b/>
                <w:noProof/>
                <w:sz w:val="18"/>
                <w:szCs w:val="18"/>
              </w:rPr>
            </w:pPr>
          </w:p>
        </w:tc>
      </w:tr>
      <w:tr w:rsidR="00CB0FCB" w14:paraId="6179488E"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7C15D8C" w14:textId="77777777" w:rsidR="00CB0FCB" w:rsidRDefault="009D2B11">
            <w:pPr>
              <w:pStyle w:val="P68B1DB1-Normal9"/>
              <w:spacing w:after="0" w:line="240" w:lineRule="auto"/>
              <w:rPr>
                <w:rFonts w:eastAsia="Times New Roman" w:cs="Calibri"/>
                <w:noProof/>
                <w:szCs w:val="18"/>
              </w:rPr>
            </w:pPr>
            <w:r>
              <w:rPr>
                <w:noProof/>
              </w:rPr>
              <w:t>121</w:t>
            </w:r>
          </w:p>
        </w:tc>
        <w:tc>
          <w:tcPr>
            <w:tcW w:w="1710" w:type="dxa"/>
            <w:tcBorders>
              <w:top w:val="single" w:sz="4" w:space="0" w:color="auto"/>
              <w:left w:val="nil"/>
              <w:bottom w:val="single" w:sz="4" w:space="0" w:color="auto"/>
              <w:right w:val="single" w:sz="4" w:space="0" w:color="auto"/>
            </w:tcBorders>
            <w:shd w:val="clear" w:color="auto" w:fill="C6EFCE"/>
            <w:noWrap/>
          </w:tcPr>
          <w:p w14:paraId="302EAAD0" w14:textId="77777777" w:rsidR="00CB0FCB" w:rsidRDefault="009D2B11">
            <w:pPr>
              <w:pStyle w:val="P68B1DB1-Normal9"/>
              <w:spacing w:after="0" w:line="240" w:lineRule="auto"/>
              <w:rPr>
                <w:rFonts w:eastAsia="Times New Roman" w:cs="Calibri"/>
                <w:noProof/>
                <w:szCs w:val="18"/>
              </w:rPr>
            </w:pPr>
            <w:r>
              <w:rPr>
                <w:noProof/>
              </w:rPr>
              <w:t>6–2.2. Modernizācija — 16842_Centrālā BI — datu analīze</w:t>
            </w:r>
          </w:p>
        </w:tc>
        <w:tc>
          <w:tcPr>
            <w:tcW w:w="1130" w:type="dxa"/>
            <w:tcBorders>
              <w:top w:val="single" w:sz="4" w:space="0" w:color="auto"/>
              <w:left w:val="nil"/>
              <w:bottom w:val="single" w:sz="4" w:space="0" w:color="auto"/>
              <w:right w:val="single" w:sz="4" w:space="0" w:color="auto"/>
            </w:tcBorders>
            <w:shd w:val="clear" w:color="auto" w:fill="C6EFCE"/>
            <w:noWrap/>
          </w:tcPr>
          <w:p w14:paraId="095BB71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01" w:type="dxa"/>
            <w:tcBorders>
              <w:top w:val="single" w:sz="4" w:space="0" w:color="auto"/>
              <w:left w:val="nil"/>
              <w:bottom w:val="single" w:sz="4" w:space="0" w:color="auto"/>
              <w:right w:val="single" w:sz="4" w:space="0" w:color="auto"/>
            </w:tcBorders>
            <w:shd w:val="clear" w:color="auto" w:fill="C6EFCE"/>
            <w:noWrap/>
          </w:tcPr>
          <w:p w14:paraId="1E8AE849" w14:textId="77777777" w:rsidR="00CB0FCB" w:rsidRDefault="009D2B11">
            <w:pPr>
              <w:pStyle w:val="P68B1DB1-Normal9"/>
              <w:spacing w:after="0" w:line="240" w:lineRule="auto"/>
              <w:rPr>
                <w:rFonts w:eastAsia="Times New Roman" w:cs="Calibri"/>
                <w:noProof/>
                <w:szCs w:val="18"/>
              </w:rPr>
            </w:pPr>
            <w:r>
              <w:rPr>
                <w:noProof/>
              </w:rPr>
              <w:t xml:space="preserve">Līguma slēgšanas tiesību piešķiršana Central Business Intelligence (BI) </w:t>
            </w:r>
          </w:p>
        </w:tc>
        <w:tc>
          <w:tcPr>
            <w:tcW w:w="1417" w:type="dxa"/>
            <w:tcBorders>
              <w:top w:val="single" w:sz="4" w:space="0" w:color="auto"/>
              <w:left w:val="nil"/>
              <w:bottom w:val="single" w:sz="4" w:space="0" w:color="auto"/>
              <w:right w:val="single" w:sz="4" w:space="0" w:color="auto"/>
            </w:tcBorders>
            <w:shd w:val="clear" w:color="auto" w:fill="C6EFCE"/>
            <w:noWrap/>
          </w:tcPr>
          <w:p w14:paraId="51FDFB94"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1134" w:type="dxa"/>
            <w:tcBorders>
              <w:top w:val="single" w:sz="4" w:space="0" w:color="auto"/>
              <w:left w:val="nil"/>
              <w:bottom w:val="single" w:sz="4" w:space="0" w:color="auto"/>
              <w:right w:val="single" w:sz="4" w:space="0" w:color="auto"/>
            </w:tcBorders>
            <w:shd w:val="clear" w:color="auto" w:fill="C6EFCE"/>
            <w:noWrap/>
          </w:tcPr>
          <w:p w14:paraId="17A94C69" w14:textId="77777777" w:rsidR="00CB0FCB" w:rsidRDefault="00CB0FCB">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54E52458" w14:textId="77777777" w:rsidR="00CB0FCB" w:rsidRDefault="00CB0FCB">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75B039C1"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04A48FA3" w14:textId="77777777" w:rsidR="00CB0FCB" w:rsidRDefault="009D2B11">
            <w:pPr>
              <w:pStyle w:val="P68B1DB1-Normal9"/>
              <w:spacing w:after="0" w:line="240" w:lineRule="auto"/>
              <w:rPr>
                <w:rFonts w:eastAsia="Times New Roman" w:cs="Calibri"/>
                <w:noProof/>
                <w:szCs w:val="18"/>
              </w:rPr>
            </w:pPr>
            <w:r>
              <w:rPr>
                <w:noProof/>
              </w:rPr>
              <w:t>4. CET.</w:t>
            </w:r>
          </w:p>
        </w:tc>
        <w:tc>
          <w:tcPr>
            <w:tcW w:w="992" w:type="dxa"/>
            <w:tcBorders>
              <w:top w:val="nil"/>
              <w:left w:val="nil"/>
              <w:bottom w:val="single" w:sz="4" w:space="0" w:color="auto"/>
              <w:right w:val="single" w:sz="4" w:space="0" w:color="auto"/>
            </w:tcBorders>
            <w:shd w:val="clear" w:color="auto" w:fill="C6EFCE"/>
            <w:noWrap/>
          </w:tcPr>
          <w:p w14:paraId="382710B2" w14:textId="77777777" w:rsidR="00CB0FCB" w:rsidRDefault="009D2B11">
            <w:pPr>
              <w:pStyle w:val="P68B1DB1-Normal9"/>
              <w:spacing w:after="0" w:line="240" w:lineRule="auto"/>
              <w:rPr>
                <w:rFonts w:eastAsia="Times New Roman" w:cs="Calibri"/>
                <w:noProof/>
                <w:szCs w:val="18"/>
              </w:rPr>
            </w:pPr>
            <w:r>
              <w:rPr>
                <w:noProof/>
              </w:rPr>
              <w:t>2022</w:t>
            </w:r>
          </w:p>
        </w:tc>
        <w:tc>
          <w:tcPr>
            <w:tcW w:w="3398" w:type="dxa"/>
            <w:tcBorders>
              <w:top w:val="single" w:sz="4" w:space="0" w:color="auto"/>
              <w:left w:val="nil"/>
              <w:bottom w:val="single" w:sz="4" w:space="0" w:color="auto"/>
              <w:right w:val="single" w:sz="4" w:space="0" w:color="auto"/>
            </w:tcBorders>
            <w:shd w:val="clear" w:color="auto" w:fill="C6EFCE"/>
            <w:noWrap/>
          </w:tcPr>
          <w:p w14:paraId="4DB84425" w14:textId="77777777" w:rsidR="00CB0FCB" w:rsidRDefault="009D2B11">
            <w:pPr>
              <w:pStyle w:val="P68B1DB1-Normal9"/>
              <w:spacing w:after="0" w:line="240" w:lineRule="auto"/>
              <w:rPr>
                <w:rFonts w:eastAsia="Times New Roman" w:cs="Calibri"/>
                <w:noProof/>
                <w:szCs w:val="18"/>
              </w:rPr>
            </w:pPr>
            <w:r>
              <w:rPr>
                <w:noProof/>
              </w:rPr>
              <w:t>Digitālās pārvaldības ministrija piešķir līguma slēgšanas tiesības par centrālo BI — dati. Analītika, kas aptver:</w:t>
            </w:r>
          </w:p>
          <w:p w14:paraId="311B2439"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a)</w:t>
            </w:r>
            <w:r>
              <w:rPr>
                <w:noProof/>
              </w:rPr>
              <w:t xml:space="preserve"> </w:t>
            </w:r>
            <w:r>
              <w:rPr>
                <w:noProof/>
                <w:color w:val="006100"/>
                <w:sz w:val="18"/>
              </w:rPr>
              <w:t>Izstrādāt un apstiprināt datu pārvaldības sistēmu, datu vārdnīcu un galveno darbības rādītāju noteikšanu</w:t>
            </w:r>
          </w:p>
          <w:p w14:paraId="79495DF1"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b)</w:t>
            </w:r>
            <w:r>
              <w:rPr>
                <w:noProof/>
              </w:rPr>
              <w:t xml:space="preserve"> </w:t>
            </w:r>
            <w:r>
              <w:rPr>
                <w:noProof/>
                <w:color w:val="006100"/>
                <w:sz w:val="18"/>
              </w:rPr>
              <w:t>Galveno darbības rādītāju noteikšana</w:t>
            </w:r>
          </w:p>
          <w:p w14:paraId="0EA5F272"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C)</w:t>
            </w:r>
            <w:r>
              <w:rPr>
                <w:noProof/>
              </w:rPr>
              <w:t xml:space="preserve"> </w:t>
            </w:r>
            <w:r>
              <w:rPr>
                <w:noProof/>
                <w:color w:val="006100"/>
                <w:sz w:val="18"/>
              </w:rPr>
              <w:t>Datu vārdnīca</w:t>
            </w:r>
          </w:p>
          <w:p w14:paraId="0F52B7B0"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d)</w:t>
            </w:r>
            <w:r>
              <w:rPr>
                <w:noProof/>
              </w:rPr>
              <w:t xml:space="preserve"> </w:t>
            </w:r>
            <w:r>
              <w:rPr>
                <w:noProof/>
                <w:color w:val="006100"/>
                <w:sz w:val="18"/>
              </w:rPr>
              <w:t>Datu pārvaldības satvars</w:t>
            </w:r>
          </w:p>
          <w:p w14:paraId="735D9E38"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e)</w:t>
            </w:r>
            <w:r>
              <w:rPr>
                <w:noProof/>
              </w:rPr>
              <w:t xml:space="preserve"> </w:t>
            </w:r>
            <w:r>
              <w:rPr>
                <w:noProof/>
                <w:color w:val="006100"/>
                <w:sz w:val="18"/>
              </w:rPr>
              <w:t>Arhitektūras pieejas un integrācijas punktu izstrāde</w:t>
            </w:r>
          </w:p>
          <w:p w14:paraId="698BCEE4"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F)</w:t>
            </w:r>
            <w:r>
              <w:rPr>
                <w:noProof/>
              </w:rPr>
              <w:t xml:space="preserve"> </w:t>
            </w:r>
            <w:r>
              <w:rPr>
                <w:noProof/>
                <w:color w:val="006100"/>
                <w:sz w:val="18"/>
              </w:rPr>
              <w:t>Datu noliktavas konfigurācija</w:t>
            </w:r>
          </w:p>
          <w:p w14:paraId="338CE71B"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g)</w:t>
            </w:r>
            <w:r>
              <w:rPr>
                <w:noProof/>
              </w:rPr>
              <w:t xml:space="preserve"> </w:t>
            </w:r>
            <w:r>
              <w:rPr>
                <w:noProof/>
                <w:color w:val="006100"/>
                <w:sz w:val="18"/>
              </w:rPr>
              <w:t>Integrācija ar administrācijas informācijas sistēmām</w:t>
            </w:r>
          </w:p>
          <w:p w14:paraId="3F8ACE53"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H)</w:t>
            </w:r>
            <w:r>
              <w:rPr>
                <w:noProof/>
              </w:rPr>
              <w:t xml:space="preserve"> </w:t>
            </w:r>
            <w:r>
              <w:rPr>
                <w:noProof/>
                <w:color w:val="006100"/>
                <w:sz w:val="18"/>
              </w:rPr>
              <w:t>BI ziņojumu un analītikas veidošana</w:t>
            </w:r>
          </w:p>
          <w:p w14:paraId="4B1A25FC"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I)</w:t>
            </w:r>
            <w:r>
              <w:rPr>
                <w:noProof/>
              </w:rPr>
              <w:t xml:space="preserve"> </w:t>
            </w:r>
            <w:r>
              <w:rPr>
                <w:noProof/>
                <w:color w:val="006100"/>
                <w:sz w:val="18"/>
              </w:rPr>
              <w:t>Atbalsts BI ekosistēmas darbībai 3 gadus</w:t>
            </w:r>
          </w:p>
          <w:p w14:paraId="45301A99" w14:textId="77777777" w:rsidR="00CB0FCB" w:rsidRDefault="009D2B11">
            <w:pPr>
              <w:spacing w:after="0" w:line="240" w:lineRule="auto"/>
              <w:ind w:left="383" w:hanging="284"/>
              <w:rPr>
                <w:rFonts w:eastAsia="Times New Roman" w:cs="Calibri"/>
                <w:noProof/>
                <w:color w:val="006100"/>
                <w:sz w:val="18"/>
                <w:szCs w:val="18"/>
              </w:rPr>
            </w:pPr>
            <w:r>
              <w:rPr>
                <w:noProof/>
                <w:color w:val="006100"/>
                <w:sz w:val="18"/>
              </w:rPr>
              <w:t>J)</w:t>
            </w:r>
            <w:r>
              <w:rPr>
                <w:noProof/>
              </w:rPr>
              <w:t xml:space="preserve"> </w:t>
            </w:r>
            <w:r>
              <w:rPr>
                <w:noProof/>
                <w:color w:val="006100"/>
                <w:sz w:val="18"/>
              </w:rPr>
              <w:t>Licences maksas 200 lietotājiem ar superadministratīvajām tiesībām un 200 TB uzglabāšanas pakalpojumiem.</w:t>
            </w:r>
          </w:p>
        </w:tc>
      </w:tr>
      <w:tr w:rsidR="00CB0FCB" w14:paraId="12395F12" w14:textId="77777777">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tcPr>
          <w:p w14:paraId="04E15BC9" w14:textId="77777777" w:rsidR="00CB0FCB" w:rsidRDefault="009D2B11">
            <w:pPr>
              <w:pStyle w:val="P68B1DB1-Normal9"/>
              <w:spacing w:after="0" w:line="240" w:lineRule="auto"/>
              <w:rPr>
                <w:rFonts w:eastAsia="Times New Roman" w:cs="Calibri"/>
                <w:noProof/>
                <w:szCs w:val="18"/>
              </w:rPr>
            </w:pPr>
            <w:r>
              <w:rPr>
                <w:noProof/>
              </w:rPr>
              <w:t>122</w:t>
            </w:r>
          </w:p>
        </w:tc>
        <w:tc>
          <w:tcPr>
            <w:tcW w:w="1710" w:type="dxa"/>
            <w:tcBorders>
              <w:top w:val="nil"/>
              <w:left w:val="nil"/>
              <w:bottom w:val="single" w:sz="4" w:space="0" w:color="auto"/>
              <w:right w:val="single" w:sz="4" w:space="0" w:color="auto"/>
            </w:tcBorders>
            <w:shd w:val="clear" w:color="auto" w:fill="C6EFCE"/>
            <w:noWrap/>
          </w:tcPr>
          <w:p w14:paraId="548AEC95" w14:textId="77777777" w:rsidR="00CB0FCB" w:rsidRDefault="009D2B11">
            <w:pPr>
              <w:pStyle w:val="P68B1DB1-Normal9"/>
              <w:spacing w:after="0" w:line="240" w:lineRule="auto"/>
              <w:rPr>
                <w:rFonts w:eastAsia="Times New Roman" w:cs="Calibri"/>
                <w:noProof/>
                <w:szCs w:val="18"/>
              </w:rPr>
            </w:pPr>
            <w:r>
              <w:rPr>
                <w:noProof/>
              </w:rPr>
              <w:t>6–2.2. Modernizācija — 16853 Centrālās mākoņdatošanas infrastruktūras un pakalpojumu piegāde</w:t>
            </w:r>
          </w:p>
        </w:tc>
        <w:tc>
          <w:tcPr>
            <w:tcW w:w="1130" w:type="dxa"/>
            <w:tcBorders>
              <w:top w:val="nil"/>
              <w:left w:val="nil"/>
              <w:bottom w:val="single" w:sz="4" w:space="0" w:color="auto"/>
              <w:right w:val="single" w:sz="4" w:space="0" w:color="auto"/>
            </w:tcBorders>
            <w:shd w:val="clear" w:color="auto" w:fill="C6EFCE"/>
            <w:noWrap/>
          </w:tcPr>
          <w:p w14:paraId="70A303A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01" w:type="dxa"/>
            <w:tcBorders>
              <w:top w:val="nil"/>
              <w:left w:val="nil"/>
              <w:bottom w:val="single" w:sz="4" w:space="0" w:color="auto"/>
              <w:right w:val="single" w:sz="4" w:space="0" w:color="auto"/>
            </w:tcBorders>
            <w:shd w:val="clear" w:color="auto" w:fill="C6EFCE"/>
            <w:noWrap/>
          </w:tcPr>
          <w:p w14:paraId="38D09468" w14:textId="77777777" w:rsidR="00CB0FCB" w:rsidRDefault="009D2B11">
            <w:pPr>
              <w:pStyle w:val="P68B1DB1-Normal9"/>
              <w:spacing w:after="0" w:line="240" w:lineRule="auto"/>
              <w:rPr>
                <w:rFonts w:eastAsia="Times New Roman" w:cs="Calibri"/>
                <w:noProof/>
                <w:szCs w:val="18"/>
              </w:rPr>
            </w:pPr>
            <w:r>
              <w:rPr>
                <w:noProof/>
              </w:rPr>
              <w:t>Centrālās mākoņdatošanas infrastruktūras un pakalpojuma pabeigšana</w:t>
            </w:r>
          </w:p>
        </w:tc>
        <w:tc>
          <w:tcPr>
            <w:tcW w:w="1417" w:type="dxa"/>
            <w:tcBorders>
              <w:top w:val="nil"/>
              <w:left w:val="nil"/>
              <w:bottom w:val="single" w:sz="4" w:space="0" w:color="auto"/>
              <w:right w:val="single" w:sz="4" w:space="0" w:color="auto"/>
            </w:tcBorders>
            <w:shd w:val="clear" w:color="auto" w:fill="C6EFCE"/>
            <w:noWrap/>
          </w:tcPr>
          <w:p w14:paraId="34DA392A" w14:textId="77777777" w:rsidR="00CB0FCB" w:rsidRDefault="009D2B11">
            <w:pPr>
              <w:pStyle w:val="P68B1DB1-Normal9"/>
              <w:spacing w:after="0" w:line="240" w:lineRule="auto"/>
              <w:rPr>
                <w:rFonts w:eastAsia="Times New Roman" w:cs="Calibri"/>
                <w:noProof/>
                <w:szCs w:val="18"/>
              </w:rPr>
            </w:pPr>
            <w:r>
              <w:rPr>
                <w:noProof/>
              </w:rPr>
              <w:t>Digitālās pārvaldības ministrijas ziņojums, kurā dokumentēta visu centrālās mākoņdatošanas infrastruktūras un pakalpojumu projekta projektu komponentu un parametru infrastruktūras izveides pabeigšana.</w:t>
            </w:r>
          </w:p>
        </w:tc>
        <w:tc>
          <w:tcPr>
            <w:tcW w:w="1134" w:type="dxa"/>
            <w:tcBorders>
              <w:top w:val="nil"/>
              <w:left w:val="nil"/>
              <w:bottom w:val="single" w:sz="4" w:space="0" w:color="auto"/>
              <w:right w:val="single" w:sz="4" w:space="0" w:color="auto"/>
            </w:tcBorders>
            <w:shd w:val="clear" w:color="auto" w:fill="C6EFCE"/>
            <w:noWrap/>
          </w:tcPr>
          <w:p w14:paraId="32CFE2DD" w14:textId="77777777" w:rsidR="00CB0FCB" w:rsidRDefault="00CB0FCB">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6C3F139F" w14:textId="77777777" w:rsidR="00CB0FCB" w:rsidRDefault="00CB0FCB">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4AE0A4B6"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271BADF7" w14:textId="77777777" w:rsidR="00CB0FCB" w:rsidRDefault="009D2B11">
            <w:pPr>
              <w:pStyle w:val="P68B1DB1-Normal9"/>
              <w:spacing w:after="0" w:line="240" w:lineRule="auto"/>
              <w:rPr>
                <w:rFonts w:eastAsia="Times New Roman" w:cs="Calibri"/>
                <w:noProof/>
                <w:szCs w:val="18"/>
              </w:rPr>
            </w:pPr>
            <w:r>
              <w:rPr>
                <w:noProof/>
              </w:rPr>
              <w:t>2. CET.</w:t>
            </w:r>
          </w:p>
        </w:tc>
        <w:tc>
          <w:tcPr>
            <w:tcW w:w="992" w:type="dxa"/>
            <w:tcBorders>
              <w:top w:val="nil"/>
              <w:left w:val="nil"/>
              <w:bottom w:val="single" w:sz="4" w:space="0" w:color="auto"/>
              <w:right w:val="single" w:sz="4" w:space="0" w:color="auto"/>
            </w:tcBorders>
            <w:shd w:val="clear" w:color="auto" w:fill="C6EFCE"/>
            <w:noWrap/>
          </w:tcPr>
          <w:p w14:paraId="6BED9A05" w14:textId="77777777" w:rsidR="00CB0FCB" w:rsidRDefault="009D2B11">
            <w:pPr>
              <w:pStyle w:val="P68B1DB1-Normal9"/>
              <w:spacing w:after="0" w:line="240" w:lineRule="auto"/>
              <w:rPr>
                <w:rFonts w:eastAsia="Times New Roman" w:cs="Calibri"/>
                <w:noProof/>
                <w:szCs w:val="18"/>
              </w:rPr>
            </w:pPr>
            <w:r>
              <w:rPr>
                <w:noProof/>
              </w:rPr>
              <w:t>2024</w:t>
            </w:r>
          </w:p>
        </w:tc>
        <w:tc>
          <w:tcPr>
            <w:tcW w:w="3398" w:type="dxa"/>
            <w:tcBorders>
              <w:top w:val="nil"/>
              <w:left w:val="nil"/>
              <w:bottom w:val="single" w:sz="4" w:space="0" w:color="auto"/>
              <w:right w:val="single" w:sz="4" w:space="0" w:color="auto"/>
            </w:tcBorders>
            <w:shd w:val="clear" w:color="auto" w:fill="C6EFCE"/>
            <w:noWrap/>
          </w:tcPr>
          <w:p w14:paraId="153AA1FD" w14:textId="22706240" w:rsidR="00CB0FCB" w:rsidRDefault="009D2B11">
            <w:pPr>
              <w:pStyle w:val="P68B1DB1-Normal10"/>
              <w:spacing w:after="0" w:line="240" w:lineRule="auto"/>
              <w:rPr>
                <w:rFonts w:eastAsia="Times New Roman" w:cs="Calibri"/>
                <w:noProof/>
              </w:rPr>
            </w:pPr>
            <w:r>
              <w:rPr>
                <w:noProof/>
              </w:rPr>
              <w:t>Visu projekta komponentu un parametru infrastruktūras izveides darbības sākšana centrālās mākoņdatošanas infrastruktūras un pakalpojumu projektam. Ieviest un īstenot centrālās mākoņdatošanas infrastruktūras un pakalpojumu projektu. Jaunā uzstādītā infrastruktūra ietver virtuālās mašīnas un attiecīgos virtuālos tīklus (infrastruktūra kā pakalpojums), platformu kā pakalpojumu, divus perifērdatošanas blokus, divas īpašas ātrgaitas optiskās šķiedras saskarnes un apmācības un atbalsta pakalpojumus visam projektam.</w:t>
            </w:r>
          </w:p>
          <w:p w14:paraId="0565173E" w14:textId="77777777" w:rsidR="00CB0FCB" w:rsidRDefault="009D2B11">
            <w:pPr>
              <w:pStyle w:val="P68B1DB1-Normal9"/>
              <w:spacing w:after="0" w:line="240" w:lineRule="auto"/>
              <w:rPr>
                <w:rFonts w:eastAsia="Times New Roman" w:cs="Calibri"/>
                <w:noProof/>
                <w:szCs w:val="18"/>
              </w:rPr>
            </w:pPr>
            <w:r>
              <w:rPr>
                <w:noProof/>
              </w:rPr>
              <w:t>Mākoņpakalpojumu sniedzēja datu centriem ir jāievēro “Eiropas rīcības kodekss attiecībā uz datu centru energoefektivitāti”.</w:t>
            </w:r>
          </w:p>
        </w:tc>
      </w:tr>
      <w:tr w:rsidR="00CB0FCB" w14:paraId="09938C57"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E00FC32" w14:textId="77777777" w:rsidR="00CB0FCB" w:rsidRDefault="009D2B11">
            <w:pPr>
              <w:pStyle w:val="P68B1DB1-Normal9"/>
              <w:spacing w:after="0" w:line="240" w:lineRule="auto"/>
              <w:rPr>
                <w:rFonts w:eastAsia="Times New Roman" w:cs="Calibri"/>
                <w:noProof/>
                <w:szCs w:val="18"/>
              </w:rPr>
            </w:pPr>
            <w:r>
              <w:rPr>
                <w:noProof/>
              </w:rPr>
              <w:t>123</w:t>
            </w:r>
          </w:p>
        </w:tc>
        <w:tc>
          <w:tcPr>
            <w:tcW w:w="1710" w:type="dxa"/>
            <w:tcBorders>
              <w:top w:val="single" w:sz="4" w:space="0" w:color="auto"/>
              <w:left w:val="nil"/>
              <w:bottom w:val="single" w:sz="4" w:space="0" w:color="auto"/>
              <w:right w:val="single" w:sz="4" w:space="0" w:color="auto"/>
            </w:tcBorders>
            <w:shd w:val="clear" w:color="auto" w:fill="C6EFCE"/>
            <w:noWrap/>
          </w:tcPr>
          <w:p w14:paraId="46D7EF04" w14:textId="77777777" w:rsidR="00CB0FCB" w:rsidRDefault="009D2B11">
            <w:pPr>
              <w:pStyle w:val="P68B1DB1-Normal9"/>
              <w:spacing w:after="0" w:line="240" w:lineRule="auto"/>
              <w:rPr>
                <w:rFonts w:eastAsia="Times New Roman" w:cs="Calibri"/>
                <w:noProof/>
                <w:szCs w:val="18"/>
              </w:rPr>
            </w:pPr>
            <w:r>
              <w:rPr>
                <w:noProof/>
              </w:rPr>
              <w:t>6–2.2. Modernizācija — 16854_Viedās pilsētas</w:t>
            </w:r>
          </w:p>
        </w:tc>
        <w:tc>
          <w:tcPr>
            <w:tcW w:w="1130" w:type="dxa"/>
            <w:tcBorders>
              <w:top w:val="single" w:sz="4" w:space="0" w:color="auto"/>
              <w:left w:val="nil"/>
              <w:bottom w:val="single" w:sz="4" w:space="0" w:color="auto"/>
              <w:right w:val="single" w:sz="4" w:space="0" w:color="auto"/>
            </w:tcBorders>
            <w:shd w:val="clear" w:color="auto" w:fill="C6EFCE"/>
            <w:noWrap/>
          </w:tcPr>
          <w:p w14:paraId="64F95906" w14:textId="77777777" w:rsidR="00CB0FCB" w:rsidRDefault="009D2B11">
            <w:pPr>
              <w:pStyle w:val="P68B1DB1-Normal9"/>
              <w:spacing w:after="0" w:line="240" w:lineRule="auto"/>
              <w:rPr>
                <w:rFonts w:eastAsia="Times New Roman" w:cs="Calibri"/>
                <w:noProof/>
                <w:szCs w:val="18"/>
              </w:rPr>
            </w:pPr>
            <w:r>
              <w:rPr>
                <w:noProof/>
              </w:rPr>
              <w:t>Mērķa</w:t>
            </w:r>
          </w:p>
        </w:tc>
        <w:tc>
          <w:tcPr>
            <w:tcW w:w="1701" w:type="dxa"/>
            <w:tcBorders>
              <w:top w:val="single" w:sz="4" w:space="0" w:color="auto"/>
              <w:left w:val="nil"/>
              <w:bottom w:val="single" w:sz="4" w:space="0" w:color="auto"/>
              <w:right w:val="single" w:sz="4" w:space="0" w:color="auto"/>
            </w:tcBorders>
            <w:shd w:val="clear" w:color="auto" w:fill="C6EFCE"/>
            <w:noWrap/>
          </w:tcPr>
          <w:p w14:paraId="4CD91C96" w14:textId="77777777" w:rsidR="00CB0FCB" w:rsidRDefault="009D2B11">
            <w:pPr>
              <w:pStyle w:val="P68B1DB1-Normal9"/>
              <w:spacing w:after="0" w:line="240" w:lineRule="auto"/>
              <w:rPr>
                <w:rFonts w:eastAsia="Times New Roman" w:cs="Calibri"/>
                <w:noProof/>
                <w:szCs w:val="18"/>
              </w:rPr>
            </w:pPr>
            <w:r>
              <w:rPr>
                <w:noProof/>
              </w:rPr>
              <w:t>Viedo pilsētu projektu pilnīga īstenošana</w:t>
            </w:r>
          </w:p>
        </w:tc>
        <w:tc>
          <w:tcPr>
            <w:tcW w:w="1417" w:type="dxa"/>
            <w:tcBorders>
              <w:top w:val="single" w:sz="4" w:space="0" w:color="auto"/>
              <w:left w:val="nil"/>
              <w:bottom w:val="single" w:sz="4" w:space="0" w:color="auto"/>
              <w:right w:val="single" w:sz="4" w:space="0" w:color="auto"/>
            </w:tcBorders>
            <w:shd w:val="clear" w:color="auto" w:fill="C6EFCE"/>
            <w:noWrap/>
          </w:tcPr>
          <w:p w14:paraId="402A856D"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3A4D85C2" w14:textId="4C75F429" w:rsidR="00CB0FCB" w:rsidRDefault="009D2B11">
            <w:pPr>
              <w:pStyle w:val="P68B1DB1-Normal9"/>
              <w:spacing w:after="0" w:line="240" w:lineRule="auto"/>
              <w:rPr>
                <w:rFonts w:eastAsia="Times New Roman" w:cs="Calibri"/>
                <w:noProof/>
                <w:szCs w:val="18"/>
              </w:rPr>
            </w:pPr>
            <w:r>
              <w:rPr>
                <w:noProof/>
              </w:rPr>
              <w:t xml:space="preserve">To municipālo </w:t>
            </w:r>
            <w:r>
              <w:rPr>
                <w:noProof/>
                <w:szCs w:val="18"/>
              </w:rPr>
              <w:t xml:space="preserve">vienību skaits, </w:t>
            </w:r>
            <w:r>
              <w:rPr>
                <w:noProof/>
              </w:rPr>
              <w:t xml:space="preserve">kas īstenojušas infrastruktūras, platformas un sistēmas, lai atbalstītu to pārveidi par viedām pilsētām </w:t>
            </w:r>
          </w:p>
        </w:tc>
        <w:tc>
          <w:tcPr>
            <w:tcW w:w="1134" w:type="dxa"/>
            <w:tcBorders>
              <w:top w:val="single" w:sz="4" w:space="0" w:color="auto"/>
              <w:left w:val="nil"/>
              <w:bottom w:val="single" w:sz="4" w:space="0" w:color="auto"/>
              <w:right w:val="single" w:sz="4" w:space="0" w:color="auto"/>
            </w:tcBorders>
            <w:shd w:val="clear" w:color="auto" w:fill="C6EFCE"/>
            <w:noWrap/>
          </w:tcPr>
          <w:p w14:paraId="4B11312D"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D98730C" w14:textId="77777777" w:rsidR="00CB0FCB" w:rsidRDefault="009D2B11">
            <w:pPr>
              <w:pStyle w:val="P68B1DB1-Normal9"/>
              <w:spacing w:after="0" w:line="240" w:lineRule="auto"/>
              <w:rPr>
                <w:rFonts w:eastAsia="Times New Roman" w:cs="Calibri"/>
                <w:noProof/>
                <w:szCs w:val="18"/>
              </w:rPr>
            </w:pPr>
            <w:r>
              <w:rPr>
                <w:noProof/>
              </w:rPr>
              <w:t>11</w:t>
            </w:r>
          </w:p>
          <w:p w14:paraId="0C827C30"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04E2F56A" w14:textId="77777777" w:rsidR="00CB0FCB" w:rsidRDefault="009D2B11">
            <w:pPr>
              <w:pStyle w:val="P68B1DB1-Normal9"/>
              <w:spacing w:after="0" w:line="240" w:lineRule="auto"/>
              <w:rPr>
                <w:rFonts w:eastAsia="Times New Roman" w:cs="Calibri"/>
                <w:noProof/>
                <w:szCs w:val="18"/>
              </w:rPr>
            </w:pPr>
            <w:r>
              <w:rPr>
                <w:noProof/>
              </w:rPr>
              <w:t>4. CET.</w:t>
            </w:r>
          </w:p>
        </w:tc>
        <w:tc>
          <w:tcPr>
            <w:tcW w:w="992" w:type="dxa"/>
            <w:tcBorders>
              <w:top w:val="single" w:sz="4" w:space="0" w:color="auto"/>
              <w:left w:val="nil"/>
              <w:bottom w:val="single" w:sz="4" w:space="0" w:color="auto"/>
              <w:right w:val="single" w:sz="4" w:space="0" w:color="auto"/>
            </w:tcBorders>
            <w:shd w:val="clear" w:color="auto" w:fill="C6EFCE"/>
            <w:noWrap/>
          </w:tcPr>
          <w:p w14:paraId="11ED8AEC" w14:textId="77777777" w:rsidR="00CB0FCB" w:rsidRDefault="009D2B11">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60F7480A" w14:textId="6DB1AA63" w:rsidR="00CB0FCB" w:rsidRDefault="009D2B11">
            <w:pPr>
              <w:pStyle w:val="P68B1DB1-Normal10"/>
              <w:spacing w:after="0" w:line="240" w:lineRule="auto"/>
              <w:rPr>
                <w:rFonts w:eastAsia="Times New Roman" w:cs="Calibri"/>
                <w:noProof/>
              </w:rPr>
            </w:pPr>
            <w:r>
              <w:rPr>
                <w:noProof/>
              </w:rPr>
              <w:t xml:space="preserve">Īstenot projektus, lai veicinātu 11 Grieķijas pašvaldību pārveidi par viedām pilsētām, veicot ieguldījumus viedās ilgtspējīgās pilsētās un infrastruktūrās un sistēmās ilgtspējīgai un zaļai pilsētu nākotnei, piemēram: atvērto datu pieejamība un izmantošana, kas veicina inovatīvu risinājumu un produktu tirgus attīstību viedām pilsētām (piemēram, lietu interneta lietojumprogrammas, lielie dati un mākoņdatošana); b) esošo fiksēto un bezvadu tīklu izmantošana; c) pētniecības un akadēmisko aprindu aktivizēšana papildu inovatīvu darbību organizēšanai; d) platformas, kas veicina atvērtu pilsētas datu laikrindu izveidi, un e) digitāla dvīņa izveide”, kā arī citi uz iedzīvotājiem orientēti risinājumi un pakalpojumi, kas jau no paša sākuma ir iekļauti iedzīvotāju līdzdalības pieejās (kopizstrādes veidā). </w:t>
            </w:r>
          </w:p>
        </w:tc>
      </w:tr>
      <w:tr w:rsidR="00CB0FCB" w14:paraId="50EC0C75"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C7B9DE0" w14:textId="77777777" w:rsidR="00CB0FCB" w:rsidRDefault="009D2B11">
            <w:pPr>
              <w:pStyle w:val="P68B1DB1-Normal9"/>
              <w:spacing w:after="0" w:line="240" w:lineRule="auto"/>
              <w:rPr>
                <w:rFonts w:eastAsia="Times New Roman" w:cs="Calibri"/>
                <w:noProof/>
                <w:szCs w:val="18"/>
              </w:rPr>
            </w:pPr>
            <w:r>
              <w:rPr>
                <w:noProof/>
              </w:rPr>
              <w:t>124</w:t>
            </w:r>
          </w:p>
        </w:tc>
        <w:tc>
          <w:tcPr>
            <w:tcW w:w="1710" w:type="dxa"/>
            <w:tcBorders>
              <w:top w:val="single" w:sz="4" w:space="0" w:color="auto"/>
              <w:left w:val="nil"/>
              <w:bottom w:val="single" w:sz="4" w:space="0" w:color="auto"/>
              <w:right w:val="single" w:sz="4" w:space="0" w:color="auto"/>
            </w:tcBorders>
            <w:shd w:val="clear" w:color="auto" w:fill="C6EFCE"/>
            <w:noWrap/>
          </w:tcPr>
          <w:p w14:paraId="2D648406" w14:textId="77777777" w:rsidR="00CB0FCB" w:rsidRDefault="009D2B11">
            <w:pPr>
              <w:pStyle w:val="P68B1DB1-Normal9"/>
              <w:spacing w:after="0" w:line="240" w:lineRule="auto"/>
              <w:rPr>
                <w:rFonts w:eastAsia="Times New Roman"/>
                <w:noProof/>
                <w:szCs w:val="18"/>
                <w:highlight w:val="yellow"/>
              </w:rPr>
            </w:pPr>
            <w:r>
              <w:rPr>
                <w:noProof/>
              </w:rPr>
              <w:t>6–2.2. Modernizācija — 16928_Jaunu tehnoloģiju un valsts pārvaldes progresīvo pakalpojumu tendenču ieviešana, efektivitātes un lietderības palielināšana un sistēmu ekspluatācijas, modernizācijas un uzturēšanas izmaksu samazināšana</w:t>
            </w:r>
          </w:p>
        </w:tc>
        <w:tc>
          <w:tcPr>
            <w:tcW w:w="1130" w:type="dxa"/>
            <w:tcBorders>
              <w:top w:val="single" w:sz="4" w:space="0" w:color="auto"/>
              <w:left w:val="nil"/>
              <w:bottom w:val="single" w:sz="4" w:space="0" w:color="auto"/>
              <w:right w:val="single" w:sz="4" w:space="0" w:color="auto"/>
            </w:tcBorders>
            <w:shd w:val="clear" w:color="auto" w:fill="C6EFCE"/>
            <w:noWrap/>
          </w:tcPr>
          <w:p w14:paraId="0429B885" w14:textId="77777777" w:rsidR="00CB0FCB" w:rsidRDefault="009D2B11">
            <w:pPr>
              <w:pStyle w:val="P68B1DB1-Normal9"/>
              <w:spacing w:after="0" w:line="240" w:lineRule="auto"/>
              <w:rPr>
                <w:rFonts w:eastAsia="Times New Roman" w:cs="Calibri"/>
                <w:noProof/>
                <w:szCs w:val="18"/>
              </w:rPr>
            </w:pPr>
            <w:r>
              <w:rPr>
                <w:noProof/>
              </w:rPr>
              <w:t>Atskaites punkts</w:t>
            </w:r>
          </w:p>
          <w:p w14:paraId="4F986DBA" w14:textId="77777777" w:rsidR="00CB0FCB" w:rsidRDefault="00CB0FCB">
            <w:pPr>
              <w:spacing w:after="0" w:line="240" w:lineRule="auto"/>
              <w:rPr>
                <w:rFonts w:eastAsia="Times New Roman" w:cs="Calibri"/>
                <w:noProof/>
                <w:color w:val="006100"/>
                <w:sz w:val="18"/>
                <w:szCs w:val="18"/>
              </w:rPr>
            </w:pPr>
          </w:p>
        </w:tc>
        <w:tc>
          <w:tcPr>
            <w:tcW w:w="1701" w:type="dxa"/>
            <w:tcBorders>
              <w:top w:val="single" w:sz="4" w:space="0" w:color="auto"/>
              <w:left w:val="nil"/>
              <w:bottom w:val="single" w:sz="4" w:space="0" w:color="auto"/>
              <w:right w:val="single" w:sz="4" w:space="0" w:color="auto"/>
            </w:tcBorders>
            <w:shd w:val="clear" w:color="auto" w:fill="C6EFCE"/>
            <w:noWrap/>
          </w:tcPr>
          <w:p w14:paraId="238A1501" w14:textId="53E28D01" w:rsidR="00CB0FCB" w:rsidRDefault="009D2B11">
            <w:pPr>
              <w:pStyle w:val="P68B1DB1-Normal9"/>
              <w:spacing w:after="0" w:line="240" w:lineRule="auto"/>
              <w:rPr>
                <w:noProof/>
              </w:rPr>
            </w:pPr>
            <w:r>
              <w:rPr>
                <w:noProof/>
              </w:rPr>
              <w:t>Sistēma jaunu tehnoloģiju iekļaušanai sabiedrībā</w:t>
            </w:r>
          </w:p>
          <w:p w14:paraId="25B6673E" w14:textId="777D78A4" w:rsidR="00CB0FCB" w:rsidRDefault="009D2B11">
            <w:pPr>
              <w:pStyle w:val="P68B1DB1-Normal9"/>
              <w:spacing w:after="0" w:line="240" w:lineRule="auto"/>
              <w:rPr>
                <w:rFonts w:eastAsia="Times New Roman" w:cs="Calibri"/>
                <w:noProof/>
                <w:szCs w:val="18"/>
              </w:rPr>
            </w:pPr>
            <w:r>
              <w:rPr>
                <w:noProof/>
              </w:rPr>
              <w:t>ievadīšana</w:t>
            </w:r>
          </w:p>
        </w:tc>
        <w:tc>
          <w:tcPr>
            <w:tcW w:w="1417" w:type="dxa"/>
            <w:tcBorders>
              <w:top w:val="single" w:sz="4" w:space="0" w:color="auto"/>
              <w:left w:val="nil"/>
              <w:bottom w:val="single" w:sz="4" w:space="0" w:color="auto"/>
              <w:right w:val="single" w:sz="4" w:space="0" w:color="auto"/>
            </w:tcBorders>
            <w:shd w:val="clear" w:color="auto" w:fill="C6EFCE"/>
            <w:noWrap/>
          </w:tcPr>
          <w:p w14:paraId="61A373DD" w14:textId="2D34E3AB" w:rsidR="00CB0FCB" w:rsidRDefault="009D2B11">
            <w:pPr>
              <w:pStyle w:val="P68B1DB1-Normal9"/>
              <w:spacing w:after="0" w:line="240" w:lineRule="auto"/>
              <w:rPr>
                <w:rFonts w:eastAsia="Times New Roman" w:cs="Calibri"/>
                <w:noProof/>
                <w:szCs w:val="18"/>
              </w:rPr>
            </w:pPr>
            <w:r>
              <w:rPr>
                <w:noProof/>
              </w:rPr>
              <w:t>Sistēmas pieņemšana jaunu tehnoloģiju iekļaušanai valsts pārvaldē.</w:t>
            </w:r>
          </w:p>
        </w:tc>
        <w:tc>
          <w:tcPr>
            <w:tcW w:w="1134" w:type="dxa"/>
            <w:tcBorders>
              <w:top w:val="single" w:sz="4" w:space="0" w:color="auto"/>
              <w:left w:val="nil"/>
              <w:bottom w:val="single" w:sz="4" w:space="0" w:color="auto"/>
              <w:right w:val="single" w:sz="4" w:space="0" w:color="auto"/>
            </w:tcBorders>
            <w:shd w:val="clear" w:color="auto" w:fill="C6EFCE"/>
            <w:noWrap/>
          </w:tcPr>
          <w:p w14:paraId="56A0C3EB"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7088F804"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519FB600"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77160446" w14:textId="77777777" w:rsidR="00CB0FCB" w:rsidRDefault="009D2B11">
            <w:pPr>
              <w:pStyle w:val="P68B1DB1-Normal9"/>
              <w:spacing w:after="0" w:line="240" w:lineRule="auto"/>
              <w:rPr>
                <w:rFonts w:eastAsia="Times New Roman" w:cs="Calibri"/>
                <w:noProof/>
                <w:szCs w:val="18"/>
              </w:rPr>
            </w:pPr>
            <w:r>
              <w:rPr>
                <w:noProof/>
              </w:rPr>
              <w:t>4. CET.</w:t>
            </w:r>
          </w:p>
        </w:tc>
        <w:tc>
          <w:tcPr>
            <w:tcW w:w="992" w:type="dxa"/>
            <w:tcBorders>
              <w:top w:val="single" w:sz="4" w:space="0" w:color="auto"/>
              <w:left w:val="nil"/>
              <w:bottom w:val="single" w:sz="4" w:space="0" w:color="auto"/>
              <w:right w:val="single" w:sz="4" w:space="0" w:color="auto"/>
            </w:tcBorders>
            <w:shd w:val="clear" w:color="auto" w:fill="C6EFCE"/>
            <w:noWrap/>
          </w:tcPr>
          <w:p w14:paraId="22AEEF50" w14:textId="77777777" w:rsidR="00CB0FCB" w:rsidRDefault="009D2B11">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2C1F8989" w14:textId="15671D3B" w:rsidR="00CB0FCB" w:rsidRDefault="009D2B11">
            <w:pPr>
              <w:pStyle w:val="P68B1DB1-Normal10"/>
              <w:spacing w:after="0" w:line="240" w:lineRule="auto"/>
              <w:rPr>
                <w:rFonts w:eastAsia="Times New Roman" w:cs="Calibri"/>
                <w:noProof/>
              </w:rPr>
            </w:pPr>
            <w:r>
              <w:rPr>
                <w:noProof/>
              </w:rPr>
              <w:t xml:space="preserve">Izveidot satvaru, kura mērķis ir ieviest jaunas tehnoloģijas un rīkus, lai atvieglotu valsts pārvaldes digitālo pārkārtošanos un modernizāciju. </w:t>
            </w:r>
          </w:p>
        </w:tc>
      </w:tr>
      <w:tr w:rsidR="00CB0FCB" w14:paraId="19A9935E"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AA6CD7B" w14:textId="77777777" w:rsidR="00CB0FCB" w:rsidRDefault="009D2B11">
            <w:pPr>
              <w:pStyle w:val="P68B1DB1-Normal9"/>
              <w:spacing w:after="0" w:line="240" w:lineRule="auto"/>
              <w:rPr>
                <w:rFonts w:eastAsia="Times New Roman" w:cs="Calibri"/>
                <w:noProof/>
                <w:szCs w:val="18"/>
              </w:rPr>
            </w:pPr>
            <w:r>
              <w:rPr>
                <w:noProof/>
              </w:rPr>
              <w:t>125</w:t>
            </w:r>
          </w:p>
        </w:tc>
        <w:tc>
          <w:tcPr>
            <w:tcW w:w="1710" w:type="dxa"/>
            <w:tcBorders>
              <w:top w:val="single" w:sz="4" w:space="0" w:color="auto"/>
              <w:left w:val="nil"/>
              <w:bottom w:val="single" w:sz="4" w:space="0" w:color="auto"/>
              <w:right w:val="single" w:sz="4" w:space="0" w:color="auto"/>
            </w:tcBorders>
            <w:shd w:val="clear" w:color="auto" w:fill="C6EFCE"/>
            <w:noWrap/>
          </w:tcPr>
          <w:p w14:paraId="3C25AD84" w14:textId="77777777" w:rsidR="00CB0FCB" w:rsidRDefault="009D2B11">
            <w:pPr>
              <w:pStyle w:val="P68B1DB1-Normal9"/>
              <w:spacing w:after="0" w:line="240" w:lineRule="auto"/>
              <w:rPr>
                <w:rFonts w:eastAsia="Times New Roman" w:cs="Calibri"/>
                <w:noProof/>
                <w:szCs w:val="18"/>
              </w:rPr>
            </w:pPr>
            <w:r>
              <w:rPr>
                <w:noProof/>
              </w:rPr>
              <w:t>6–2.2. Modernizēt — 16955_Valsts pētniecības un tehnoloģiju infrastruktūru mākoņdatošanas infrastruktūras un pakalpojumu modernizācija (GRNET)</w:t>
            </w:r>
          </w:p>
        </w:tc>
        <w:tc>
          <w:tcPr>
            <w:tcW w:w="1130" w:type="dxa"/>
            <w:tcBorders>
              <w:top w:val="single" w:sz="4" w:space="0" w:color="auto"/>
              <w:left w:val="nil"/>
              <w:bottom w:val="single" w:sz="4" w:space="0" w:color="auto"/>
              <w:right w:val="single" w:sz="4" w:space="0" w:color="auto"/>
            </w:tcBorders>
            <w:shd w:val="clear" w:color="auto" w:fill="C6EFCE"/>
            <w:noWrap/>
          </w:tcPr>
          <w:p w14:paraId="0C7E85E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01" w:type="dxa"/>
            <w:tcBorders>
              <w:top w:val="single" w:sz="4" w:space="0" w:color="auto"/>
              <w:left w:val="nil"/>
              <w:bottom w:val="single" w:sz="4" w:space="0" w:color="auto"/>
              <w:right w:val="single" w:sz="4" w:space="0" w:color="auto"/>
            </w:tcBorders>
            <w:shd w:val="clear" w:color="auto" w:fill="C6EFCE"/>
            <w:noWrap/>
          </w:tcPr>
          <w:p w14:paraId="6CE2FC46" w14:textId="77777777" w:rsidR="00CB0FCB" w:rsidRDefault="009D2B11">
            <w:pPr>
              <w:pStyle w:val="P68B1DB1-Normal9"/>
              <w:spacing w:after="0" w:line="240" w:lineRule="auto"/>
              <w:rPr>
                <w:rFonts w:eastAsia="Times New Roman" w:cs="Calibri"/>
                <w:noProof/>
                <w:szCs w:val="18"/>
              </w:rPr>
            </w:pPr>
            <w:r>
              <w:rPr>
                <w:noProof/>
              </w:rPr>
              <w:t xml:space="preserve">GRNET pabeigšana </w:t>
            </w:r>
          </w:p>
        </w:tc>
        <w:tc>
          <w:tcPr>
            <w:tcW w:w="1417" w:type="dxa"/>
            <w:tcBorders>
              <w:top w:val="single" w:sz="4" w:space="0" w:color="auto"/>
              <w:left w:val="nil"/>
              <w:bottom w:val="single" w:sz="4" w:space="0" w:color="auto"/>
              <w:right w:val="single" w:sz="4" w:space="0" w:color="auto"/>
            </w:tcBorders>
            <w:shd w:val="clear" w:color="auto" w:fill="C6EFCE"/>
            <w:noWrap/>
          </w:tcPr>
          <w:p w14:paraId="5AF50D14" w14:textId="2FD9267E" w:rsidR="00CB0FCB" w:rsidRDefault="009D2B11">
            <w:pPr>
              <w:pStyle w:val="P68B1DB1-Normal9"/>
              <w:spacing w:after="0" w:line="240" w:lineRule="auto"/>
              <w:rPr>
                <w:rFonts w:eastAsia="Times New Roman" w:cs="Calibri"/>
                <w:noProof/>
                <w:szCs w:val="18"/>
              </w:rPr>
            </w:pPr>
            <w:r>
              <w:rPr>
                <w:noProof/>
              </w:rPr>
              <w:t>Nobeiguma ziņojums par to, kā Digitālās pārvaldības ministrija īsteno visus pētniecības un tehnoloģiju valsts infrastruktūru (GRNET) mākoņdatošanas infrastruktūras un pakalpojumu apakšprojektus</w:t>
            </w:r>
          </w:p>
        </w:tc>
        <w:tc>
          <w:tcPr>
            <w:tcW w:w="1134" w:type="dxa"/>
            <w:tcBorders>
              <w:top w:val="single" w:sz="4" w:space="0" w:color="auto"/>
              <w:left w:val="nil"/>
              <w:bottom w:val="single" w:sz="4" w:space="0" w:color="auto"/>
              <w:right w:val="single" w:sz="4" w:space="0" w:color="auto"/>
            </w:tcBorders>
            <w:shd w:val="clear" w:color="auto" w:fill="C6EFCE"/>
            <w:noWrap/>
          </w:tcPr>
          <w:p w14:paraId="060397A7"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2DD9DE9"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1AFFCEFC"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62B45D21" w14:textId="77777777" w:rsidR="00CB0FCB" w:rsidRDefault="009D2B11">
            <w:pPr>
              <w:pStyle w:val="P68B1DB1-Normal9"/>
              <w:spacing w:after="0" w:line="240" w:lineRule="auto"/>
              <w:rPr>
                <w:rFonts w:eastAsia="Times New Roman" w:cs="Calibri"/>
                <w:noProof/>
                <w:szCs w:val="18"/>
              </w:rPr>
            </w:pPr>
            <w:r>
              <w:rPr>
                <w:noProof/>
              </w:rPr>
              <w:t>4. CET.</w:t>
            </w:r>
          </w:p>
        </w:tc>
        <w:tc>
          <w:tcPr>
            <w:tcW w:w="992" w:type="dxa"/>
            <w:tcBorders>
              <w:top w:val="single" w:sz="4" w:space="0" w:color="auto"/>
              <w:left w:val="nil"/>
              <w:bottom w:val="single" w:sz="4" w:space="0" w:color="auto"/>
              <w:right w:val="single" w:sz="4" w:space="0" w:color="auto"/>
            </w:tcBorders>
            <w:shd w:val="clear" w:color="auto" w:fill="C6EFCE"/>
            <w:noWrap/>
          </w:tcPr>
          <w:p w14:paraId="3C65B50C" w14:textId="77777777" w:rsidR="00CB0FCB" w:rsidRDefault="009D2B11">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24DF6314" w14:textId="77777777" w:rsidR="00CB0FCB" w:rsidRDefault="009D2B11">
            <w:pPr>
              <w:pStyle w:val="P68B1DB1-Normal9"/>
              <w:spacing w:after="0" w:line="240" w:lineRule="auto"/>
              <w:rPr>
                <w:rFonts w:eastAsia="Times New Roman" w:cs="Calibri"/>
                <w:noProof/>
                <w:szCs w:val="18"/>
              </w:rPr>
            </w:pPr>
            <w:r>
              <w:rPr>
                <w:noProof/>
              </w:rPr>
              <w:t>Valstu pētniecības un tehnoloģiju infrastruktūru (GRNET) mākoņdatošanas infrastruktūras un pakalpojumu modernizācijas pabeigšana.</w:t>
            </w:r>
          </w:p>
          <w:p w14:paraId="28E8C850" w14:textId="77777777" w:rsidR="00CB0FCB" w:rsidRDefault="00CB0FCB">
            <w:pPr>
              <w:spacing w:after="0" w:line="240" w:lineRule="auto"/>
              <w:rPr>
                <w:rFonts w:eastAsia="Times New Roman" w:cs="Calibri"/>
                <w:noProof/>
                <w:color w:val="006100"/>
                <w:sz w:val="18"/>
                <w:szCs w:val="18"/>
              </w:rPr>
            </w:pPr>
          </w:p>
          <w:p w14:paraId="05597AEF" w14:textId="6705C8B3" w:rsidR="00CB0FCB" w:rsidRDefault="009D2B11">
            <w:pPr>
              <w:pStyle w:val="P68B1DB1-Normal10"/>
              <w:spacing w:after="0" w:line="240" w:lineRule="auto"/>
              <w:rPr>
                <w:rFonts w:eastAsia="Times New Roman" w:cs="Calibri"/>
                <w:noProof/>
              </w:rPr>
            </w:pPr>
            <w:r>
              <w:rPr>
                <w:noProof/>
              </w:rPr>
              <w:t>Jauna superdatora piegāde un izvēršana. Prasība tiks izpildīta, kad būs pabeigts “A posms — Daedalus superdatoru ieviešana”.</w:t>
            </w:r>
          </w:p>
          <w:p w14:paraId="788ECF09" w14:textId="56A07B59" w:rsidR="00CB0FCB" w:rsidRDefault="009D2B11">
            <w:pPr>
              <w:pStyle w:val="P68B1DB1-Normal9"/>
              <w:spacing w:after="0" w:line="240" w:lineRule="auto"/>
              <w:rPr>
                <w:rFonts w:eastAsia="Times New Roman" w:cs="Calibri"/>
                <w:noProof/>
                <w:szCs w:val="18"/>
              </w:rPr>
            </w:pPr>
            <w:r>
              <w:rPr>
                <w:noProof/>
                <w:szCs w:val="18"/>
              </w:rPr>
              <w:t>Datu centra izveide jaunā superdatora atbalstam, programmatūras uzstādīšana</w:t>
            </w:r>
            <w:r>
              <w:rPr>
                <w:noProof/>
              </w:rPr>
              <w:t>, konfigurācija un izmēģinājuma darbība.</w:t>
            </w:r>
          </w:p>
        </w:tc>
      </w:tr>
      <w:tr w:rsidR="00CB0FCB" w14:paraId="14B08CDF"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98743CF" w14:textId="77777777" w:rsidR="00CB0FCB" w:rsidRDefault="009D2B11">
            <w:pPr>
              <w:pStyle w:val="P68B1DB1-Normal9"/>
              <w:spacing w:after="0" w:line="240" w:lineRule="auto"/>
              <w:rPr>
                <w:rFonts w:eastAsia="Times New Roman" w:cs="Calibri"/>
                <w:noProof/>
                <w:szCs w:val="18"/>
              </w:rPr>
            </w:pPr>
            <w:r>
              <w:rPr>
                <w:noProof/>
              </w:rPr>
              <w:t>127</w:t>
            </w:r>
          </w:p>
        </w:tc>
        <w:tc>
          <w:tcPr>
            <w:tcW w:w="1710" w:type="dxa"/>
            <w:tcBorders>
              <w:top w:val="single" w:sz="4" w:space="0" w:color="auto"/>
              <w:left w:val="nil"/>
              <w:bottom w:val="single" w:sz="4" w:space="0" w:color="auto"/>
              <w:right w:val="single" w:sz="4" w:space="0" w:color="auto"/>
            </w:tcBorders>
            <w:shd w:val="clear" w:color="auto" w:fill="C6EFCE"/>
            <w:noWrap/>
          </w:tcPr>
          <w:p w14:paraId="75411AB0" w14:textId="77777777" w:rsidR="00CB0FCB" w:rsidRDefault="009D2B11">
            <w:pPr>
              <w:pStyle w:val="P68B1DB1-Normal9"/>
              <w:spacing w:after="0" w:line="240" w:lineRule="auto"/>
              <w:rPr>
                <w:rFonts w:eastAsia="Times New Roman" w:cs="Calibri"/>
                <w:noProof/>
                <w:szCs w:val="18"/>
              </w:rPr>
            </w:pPr>
            <w:r>
              <w:rPr>
                <w:noProof/>
              </w:rPr>
              <w:t>6–2.2. Modernizācija — 16956_Syzefksis II paplašināšana</w:t>
            </w:r>
          </w:p>
        </w:tc>
        <w:tc>
          <w:tcPr>
            <w:tcW w:w="1130" w:type="dxa"/>
            <w:tcBorders>
              <w:top w:val="single" w:sz="4" w:space="0" w:color="auto"/>
              <w:left w:val="nil"/>
              <w:bottom w:val="single" w:sz="4" w:space="0" w:color="auto"/>
              <w:right w:val="single" w:sz="4" w:space="0" w:color="auto"/>
            </w:tcBorders>
            <w:shd w:val="clear" w:color="auto" w:fill="C6EFCE"/>
            <w:noWrap/>
          </w:tcPr>
          <w:p w14:paraId="5DA9BE8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01" w:type="dxa"/>
            <w:tcBorders>
              <w:top w:val="single" w:sz="4" w:space="0" w:color="auto"/>
              <w:left w:val="nil"/>
              <w:bottom w:val="single" w:sz="4" w:space="0" w:color="auto"/>
              <w:right w:val="single" w:sz="4" w:space="0" w:color="auto"/>
            </w:tcBorders>
            <w:shd w:val="clear" w:color="auto" w:fill="C6EFCE"/>
            <w:noWrap/>
          </w:tcPr>
          <w:p w14:paraId="53FE62B5" w14:textId="77777777" w:rsidR="00CB0FCB" w:rsidRDefault="009D2B11">
            <w:pPr>
              <w:pStyle w:val="P68B1DB1-Normal9"/>
              <w:spacing w:after="0" w:line="240" w:lineRule="auto"/>
              <w:rPr>
                <w:rFonts w:eastAsia="Times New Roman" w:cs="Calibri"/>
                <w:noProof/>
                <w:szCs w:val="18"/>
              </w:rPr>
            </w:pPr>
            <w:r>
              <w:rPr>
                <w:noProof/>
              </w:rPr>
              <w:t>Syzefksis II pabeigšana</w:t>
            </w:r>
          </w:p>
        </w:tc>
        <w:tc>
          <w:tcPr>
            <w:tcW w:w="1417" w:type="dxa"/>
            <w:tcBorders>
              <w:top w:val="single" w:sz="4" w:space="0" w:color="auto"/>
              <w:left w:val="nil"/>
              <w:bottom w:val="single" w:sz="4" w:space="0" w:color="auto"/>
              <w:right w:val="single" w:sz="4" w:space="0" w:color="auto"/>
            </w:tcBorders>
            <w:shd w:val="clear" w:color="auto" w:fill="C6EFCE"/>
            <w:noWrap/>
          </w:tcPr>
          <w:p w14:paraId="611D9FA8" w14:textId="77777777" w:rsidR="00CB0FCB" w:rsidRDefault="009D2B11">
            <w:pPr>
              <w:pStyle w:val="P68B1DB1-Normal9"/>
              <w:spacing w:after="0" w:line="240" w:lineRule="auto"/>
              <w:rPr>
                <w:rFonts w:eastAsia="Times New Roman" w:cs="Calibri"/>
                <w:noProof/>
                <w:szCs w:val="18"/>
              </w:rPr>
            </w:pPr>
            <w:r>
              <w:rPr>
                <w:noProof/>
              </w:rPr>
              <w:t>Kopsavilkuma dokuments, ar ko pārbauda jaunās infrastruktūras ieviešanu, publiskā sektora tīkla struktūru reģistrs, drošības pārvaldības sistēma, apsekojums, uzraudzības mehānisms, aprīkojuma piegāde saskaņā ar Syzefksis II paplašināšanu, ko veic Digitālās pārvaldības ministrija</w:t>
            </w:r>
          </w:p>
        </w:tc>
        <w:tc>
          <w:tcPr>
            <w:tcW w:w="1134" w:type="dxa"/>
            <w:tcBorders>
              <w:top w:val="single" w:sz="4" w:space="0" w:color="auto"/>
              <w:left w:val="nil"/>
              <w:bottom w:val="single" w:sz="4" w:space="0" w:color="auto"/>
              <w:right w:val="single" w:sz="4" w:space="0" w:color="auto"/>
            </w:tcBorders>
            <w:shd w:val="clear" w:color="auto" w:fill="C6EFCE"/>
            <w:noWrap/>
          </w:tcPr>
          <w:p w14:paraId="4882CB12"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CB53F9D"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30564E37"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7A036832" w14:textId="77777777" w:rsidR="00CB0FCB" w:rsidRDefault="009D2B11">
            <w:pPr>
              <w:pStyle w:val="P68B1DB1-Normal9"/>
              <w:spacing w:after="0" w:line="240" w:lineRule="auto"/>
              <w:rPr>
                <w:rFonts w:eastAsia="Times New Roman" w:cs="Calibri"/>
                <w:noProof/>
                <w:szCs w:val="18"/>
              </w:rPr>
            </w:pPr>
            <w:r>
              <w:rPr>
                <w:noProof/>
              </w:rPr>
              <w:t>4. CET.</w:t>
            </w:r>
          </w:p>
        </w:tc>
        <w:tc>
          <w:tcPr>
            <w:tcW w:w="992" w:type="dxa"/>
            <w:tcBorders>
              <w:top w:val="single" w:sz="4" w:space="0" w:color="auto"/>
              <w:left w:val="nil"/>
              <w:bottom w:val="single" w:sz="4" w:space="0" w:color="auto"/>
              <w:right w:val="single" w:sz="4" w:space="0" w:color="auto"/>
            </w:tcBorders>
            <w:shd w:val="clear" w:color="auto" w:fill="C6EFCE"/>
            <w:noWrap/>
          </w:tcPr>
          <w:p w14:paraId="6FC14CA8" w14:textId="77777777" w:rsidR="00CB0FCB" w:rsidRDefault="009D2B11">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65A6CB08" w14:textId="77777777" w:rsidR="00CB0FCB" w:rsidRDefault="009D2B11">
            <w:pPr>
              <w:pStyle w:val="P68B1DB1-Normal9"/>
              <w:spacing w:after="0" w:line="240" w:lineRule="auto"/>
              <w:rPr>
                <w:rFonts w:eastAsia="Times New Roman" w:cs="Calibri"/>
                <w:noProof/>
                <w:szCs w:val="18"/>
              </w:rPr>
            </w:pPr>
            <w:r>
              <w:rPr>
                <w:noProof/>
              </w:rPr>
              <w:t xml:space="preserve">Syzefksis II paplašināšanas pabeigšana. </w:t>
            </w:r>
          </w:p>
          <w:p w14:paraId="4AC7D171" w14:textId="77777777" w:rsidR="00CB0FCB" w:rsidRDefault="00CB0FCB">
            <w:pPr>
              <w:spacing w:after="0" w:line="240" w:lineRule="auto"/>
              <w:rPr>
                <w:rFonts w:eastAsia="Times New Roman" w:cs="Calibri"/>
                <w:noProof/>
                <w:color w:val="006100"/>
                <w:sz w:val="18"/>
                <w:szCs w:val="18"/>
              </w:rPr>
            </w:pPr>
          </w:p>
          <w:p w14:paraId="6EBAA63A" w14:textId="77777777" w:rsidR="00CB0FCB" w:rsidRDefault="009D2B11">
            <w:pPr>
              <w:pStyle w:val="P68B1DB1-Normal9"/>
              <w:spacing w:after="0" w:line="240" w:lineRule="auto"/>
              <w:rPr>
                <w:rFonts w:eastAsia="Times New Roman" w:cs="Calibri"/>
                <w:noProof/>
                <w:szCs w:val="18"/>
              </w:rPr>
            </w:pPr>
            <w:r>
              <w:rPr>
                <w:noProof/>
              </w:rPr>
              <w:t>Īstenošanas shēmā ir iekļauti šādi apakšprojekti:</w:t>
            </w:r>
          </w:p>
          <w:p w14:paraId="0987F888" w14:textId="77777777" w:rsidR="00CB0FCB" w:rsidRDefault="009D2B11">
            <w:pPr>
              <w:pStyle w:val="P68B1DB1-Normal9"/>
              <w:spacing w:after="0" w:line="240" w:lineRule="auto"/>
              <w:rPr>
                <w:rFonts w:eastAsia="Times New Roman" w:cs="Calibri"/>
                <w:noProof/>
                <w:szCs w:val="18"/>
              </w:rPr>
            </w:pPr>
            <w:r>
              <w:rPr>
                <w:noProof/>
              </w:rPr>
              <w:t xml:space="preserve">— Publiskā sektora tīklu starpsavienojumu modernizācija </w:t>
            </w:r>
          </w:p>
          <w:p w14:paraId="40563DD1" w14:textId="77777777" w:rsidR="00CB0FCB" w:rsidRDefault="009D2B11">
            <w:pPr>
              <w:pStyle w:val="P68B1DB1-Normal9"/>
              <w:spacing w:after="0" w:line="240" w:lineRule="auto"/>
              <w:rPr>
                <w:rFonts w:eastAsia="Times New Roman" w:cs="Calibri"/>
                <w:noProof/>
                <w:szCs w:val="18"/>
              </w:rPr>
            </w:pPr>
            <w:r>
              <w:rPr>
                <w:noProof/>
              </w:rPr>
              <w:t xml:space="preserve">— Vienību pakalpojumu pieslēgums/atvienošana/pārcelšana/pārgrupēšana un modernizācija </w:t>
            </w:r>
          </w:p>
          <w:p w14:paraId="478E4E8C" w14:textId="77777777" w:rsidR="00CB0FCB" w:rsidRDefault="009D2B11">
            <w:pPr>
              <w:pStyle w:val="P68B1DB1-Normal9"/>
              <w:spacing w:after="0" w:line="240" w:lineRule="auto"/>
              <w:rPr>
                <w:rFonts w:eastAsia="Times New Roman" w:cs="Calibri"/>
                <w:noProof/>
                <w:szCs w:val="18"/>
              </w:rPr>
            </w:pPr>
            <w:r>
              <w:rPr>
                <w:noProof/>
              </w:rPr>
              <w:t xml:space="preserve">— Publiskā sektora tīkla struktūru reģistra (teritorijas apsekojums) atbalsts/uzturēšana </w:t>
            </w:r>
          </w:p>
          <w:p w14:paraId="39681F9C" w14:textId="26792AE3" w:rsidR="00CB0FCB" w:rsidRDefault="009D2B11">
            <w:pPr>
              <w:pStyle w:val="P68B1DB1-Normal10"/>
              <w:spacing w:after="0" w:line="240" w:lineRule="auto"/>
              <w:rPr>
                <w:noProof/>
              </w:rPr>
            </w:pPr>
            <w:r>
              <w:rPr>
                <w:noProof/>
              </w:rPr>
              <w:t>— Publiskā sektora tīkla publicitātes un veicināšanas pasākumi (pabeigšana līdz 2024. gada 3. ceturksnim)</w:t>
            </w:r>
          </w:p>
          <w:p w14:paraId="6A9179D6" w14:textId="77777777" w:rsidR="00CB0FCB" w:rsidRDefault="009D2B11">
            <w:pPr>
              <w:pStyle w:val="P68B1DB1-Normal9"/>
              <w:spacing w:after="0" w:line="240" w:lineRule="auto"/>
              <w:rPr>
                <w:rFonts w:eastAsia="Times New Roman" w:cs="Calibri"/>
                <w:noProof/>
                <w:szCs w:val="18"/>
              </w:rPr>
            </w:pPr>
            <w:r>
              <w:rPr>
                <w:noProof/>
              </w:rPr>
              <w:t>— Publiskā sektora tīkla drošības uzraudzītājs un informācijas drošības pārvaldības sistēma (SIS)</w:t>
            </w:r>
          </w:p>
          <w:p w14:paraId="69FC0299" w14:textId="77777777" w:rsidR="00CB0FCB" w:rsidRDefault="009D2B11">
            <w:pPr>
              <w:pStyle w:val="P68B1DB1-Normal9"/>
              <w:spacing w:after="0" w:line="240" w:lineRule="auto"/>
              <w:rPr>
                <w:rFonts w:eastAsia="Times New Roman" w:cs="Calibri"/>
                <w:noProof/>
                <w:szCs w:val="18"/>
              </w:rPr>
            </w:pPr>
            <w:r>
              <w:rPr>
                <w:noProof/>
              </w:rPr>
              <w:t xml:space="preserve">Uzraudzība, kvalitātes kontrole, īstenošanas atbalsts un palīdzība pēc publiskā sektora tīkla strukturēto kabeļu sistēmu galīgās pieņemšanas </w:t>
            </w:r>
          </w:p>
          <w:p w14:paraId="03FC8B17" w14:textId="77777777" w:rsidR="00CB0FCB" w:rsidRDefault="009D2B11">
            <w:pPr>
              <w:pStyle w:val="P68B1DB1-Normal9"/>
              <w:spacing w:after="0" w:line="240" w:lineRule="auto"/>
              <w:rPr>
                <w:rFonts w:eastAsia="Times New Roman" w:cs="Calibri"/>
                <w:noProof/>
                <w:szCs w:val="18"/>
              </w:rPr>
            </w:pPr>
            <w:r>
              <w:rPr>
                <w:noProof/>
              </w:rPr>
              <w:t xml:space="preserve">— SYZEFXIS II objekta apsekojuma και izvēršanas posmu atbalsts un uzraudzība. </w:t>
            </w:r>
          </w:p>
          <w:p w14:paraId="0A70AD3A" w14:textId="77777777" w:rsidR="00CB0FCB" w:rsidRDefault="009D2B11">
            <w:pPr>
              <w:pStyle w:val="P68B1DB1-Normal9"/>
              <w:spacing w:after="0" w:line="240" w:lineRule="auto"/>
              <w:rPr>
                <w:rFonts w:eastAsia="Times New Roman" w:cs="Calibri"/>
                <w:noProof/>
                <w:szCs w:val="18"/>
              </w:rPr>
            </w:pPr>
            <w:r>
              <w:rPr>
                <w:noProof/>
              </w:rPr>
              <w:t xml:space="preserve">— Iekārtu piegāde pārtrauktai elektroenerģijas piegādei izraudzītās publiskā sektora struktūrās — publiskā sektora tīkls. </w:t>
            </w:r>
          </w:p>
          <w:p w14:paraId="1FB24292" w14:textId="77777777" w:rsidR="00CB0FCB" w:rsidRDefault="009D2B11">
            <w:pPr>
              <w:pStyle w:val="P68B1DB1-Normal9"/>
              <w:spacing w:after="0" w:line="240" w:lineRule="auto"/>
              <w:rPr>
                <w:rFonts w:eastAsia="Times New Roman" w:cs="Calibri"/>
                <w:noProof/>
                <w:szCs w:val="18"/>
              </w:rPr>
            </w:pPr>
            <w:r>
              <w:rPr>
                <w:noProof/>
              </w:rPr>
              <w:t xml:space="preserve">— Nākamās paaudzes publiskā sektora tīkla projektēšanas pakalpojumi (PSN Next Gen) — Panhelenikas skolu tīkla (SchoolNet) infrastruktūras modernizācija. </w:t>
            </w:r>
          </w:p>
        </w:tc>
      </w:tr>
      <w:tr w:rsidR="00CB0FCB" w14:paraId="1046766E"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418F278" w14:textId="77777777" w:rsidR="00CB0FCB" w:rsidRDefault="009D2B11">
            <w:pPr>
              <w:pStyle w:val="P68B1DB1-Normal9"/>
              <w:spacing w:after="0" w:line="240" w:lineRule="auto"/>
              <w:rPr>
                <w:rFonts w:eastAsia="Times New Roman" w:cs="Calibri"/>
                <w:noProof/>
                <w:szCs w:val="18"/>
              </w:rPr>
            </w:pPr>
            <w:r>
              <w:rPr>
                <w:noProof/>
              </w:rPr>
              <w:t>128</w:t>
            </w:r>
          </w:p>
        </w:tc>
        <w:tc>
          <w:tcPr>
            <w:tcW w:w="1710" w:type="dxa"/>
            <w:tcBorders>
              <w:top w:val="single" w:sz="4" w:space="0" w:color="auto"/>
              <w:left w:val="nil"/>
              <w:bottom w:val="single" w:sz="4" w:space="0" w:color="auto"/>
              <w:right w:val="single" w:sz="4" w:space="0" w:color="auto"/>
            </w:tcBorders>
            <w:shd w:val="clear" w:color="auto" w:fill="C6EFCE"/>
            <w:noWrap/>
          </w:tcPr>
          <w:p w14:paraId="5C1ACCEB" w14:textId="77777777" w:rsidR="00CB0FCB" w:rsidRDefault="009D2B11">
            <w:pPr>
              <w:pStyle w:val="P68B1DB1-Normal9"/>
              <w:spacing w:after="0" w:line="240" w:lineRule="auto"/>
              <w:rPr>
                <w:rFonts w:eastAsia="Times New Roman" w:cs="Calibri"/>
                <w:noProof/>
                <w:szCs w:val="18"/>
              </w:rPr>
            </w:pPr>
            <w:r>
              <w:rPr>
                <w:noProof/>
              </w:rPr>
              <w:t>6–2.2. Modernizācija — 16827_Datu pārvaldības stratēģija un politika publiskajam sektoram</w:t>
            </w:r>
          </w:p>
        </w:tc>
        <w:tc>
          <w:tcPr>
            <w:tcW w:w="1130" w:type="dxa"/>
            <w:tcBorders>
              <w:top w:val="single" w:sz="4" w:space="0" w:color="auto"/>
              <w:left w:val="nil"/>
              <w:bottom w:val="single" w:sz="4" w:space="0" w:color="auto"/>
              <w:right w:val="single" w:sz="4" w:space="0" w:color="auto"/>
            </w:tcBorders>
            <w:shd w:val="clear" w:color="auto" w:fill="C6EFCE"/>
            <w:noWrap/>
          </w:tcPr>
          <w:p w14:paraId="0B343FB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01" w:type="dxa"/>
            <w:tcBorders>
              <w:top w:val="single" w:sz="4" w:space="0" w:color="auto"/>
              <w:left w:val="nil"/>
              <w:bottom w:val="single" w:sz="4" w:space="0" w:color="auto"/>
              <w:right w:val="single" w:sz="4" w:space="0" w:color="auto"/>
            </w:tcBorders>
            <w:shd w:val="clear" w:color="auto" w:fill="C6EFCE"/>
            <w:noWrap/>
          </w:tcPr>
          <w:p w14:paraId="6E7D4258" w14:textId="77777777" w:rsidR="00CB0FCB" w:rsidRDefault="009D2B11">
            <w:pPr>
              <w:pStyle w:val="P68B1DB1-Normal9"/>
              <w:spacing w:after="0" w:line="240" w:lineRule="auto"/>
              <w:rPr>
                <w:rFonts w:eastAsia="Times New Roman" w:cs="Calibri"/>
                <w:noProof/>
                <w:szCs w:val="18"/>
              </w:rPr>
            </w:pPr>
            <w:r>
              <w:rPr>
                <w:noProof/>
              </w:rPr>
              <w:t>Datu pārvaldības stratēģijas pabeigšana</w:t>
            </w:r>
          </w:p>
        </w:tc>
        <w:tc>
          <w:tcPr>
            <w:tcW w:w="1417" w:type="dxa"/>
            <w:tcBorders>
              <w:top w:val="single" w:sz="4" w:space="0" w:color="auto"/>
              <w:left w:val="nil"/>
              <w:bottom w:val="single" w:sz="4" w:space="0" w:color="auto"/>
              <w:right w:val="single" w:sz="4" w:space="0" w:color="auto"/>
            </w:tcBorders>
            <w:shd w:val="clear" w:color="auto" w:fill="C6EFCE"/>
            <w:noWrap/>
          </w:tcPr>
          <w:p w14:paraId="56671544" w14:textId="77777777" w:rsidR="00CB0FCB" w:rsidRDefault="009D2B11">
            <w:pPr>
              <w:pStyle w:val="P68B1DB1-Normal9"/>
              <w:spacing w:after="0" w:line="240" w:lineRule="auto"/>
              <w:rPr>
                <w:rFonts w:eastAsia="Times New Roman" w:cs="Calibri"/>
                <w:noProof/>
                <w:szCs w:val="18"/>
              </w:rPr>
            </w:pPr>
            <w:r>
              <w:rPr>
                <w:noProof/>
              </w:rPr>
              <w:t xml:space="preserve">Digitālās pārvaldības ministrijas projekta noslēguma ziņojums, kurā sniegts kopsavilkums par to, kā datu pārvaldības stratēģija un politika publiskajā sektorā ir palīdzējusi izstrādāt valdības mākoņdatošanas datu pārvaldības stratēģiju un ekosistēmu atvērtiem un atkalizmantojamiem datiem publiskajā un privātajā sektorā. </w:t>
            </w:r>
          </w:p>
        </w:tc>
        <w:tc>
          <w:tcPr>
            <w:tcW w:w="1134" w:type="dxa"/>
            <w:tcBorders>
              <w:top w:val="single" w:sz="4" w:space="0" w:color="auto"/>
              <w:left w:val="nil"/>
              <w:bottom w:val="single" w:sz="4" w:space="0" w:color="auto"/>
              <w:right w:val="single" w:sz="4" w:space="0" w:color="auto"/>
            </w:tcBorders>
            <w:shd w:val="clear" w:color="auto" w:fill="C6EFCE"/>
            <w:noWrap/>
          </w:tcPr>
          <w:p w14:paraId="4BA7AFBD" w14:textId="77777777" w:rsidR="00CB0FCB" w:rsidRDefault="00CB0FCB">
            <w:pPr>
              <w:spacing w:after="0" w:line="240" w:lineRule="auto"/>
              <w:rPr>
                <w:rFonts w:eastAsia="Times New Roman" w:cs="Calibri"/>
                <w:noProof/>
                <w:color w:val="006100"/>
                <w:sz w:val="18"/>
                <w:szCs w:val="18"/>
              </w:rPr>
            </w:pPr>
          </w:p>
          <w:p w14:paraId="7B0DBDEC"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93C05E3"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EBAB8BE"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0C4E44B7" w14:textId="77777777" w:rsidR="00CB0FCB" w:rsidRDefault="009D2B11">
            <w:pPr>
              <w:pStyle w:val="P68B1DB1-Normal9"/>
              <w:spacing w:after="0" w:line="240" w:lineRule="auto"/>
              <w:rPr>
                <w:rFonts w:eastAsia="Times New Roman" w:cs="Calibri"/>
                <w:noProof/>
                <w:szCs w:val="18"/>
              </w:rPr>
            </w:pPr>
            <w:r>
              <w:rPr>
                <w:noProof/>
              </w:rPr>
              <w:t>4. CET.</w:t>
            </w:r>
          </w:p>
        </w:tc>
        <w:tc>
          <w:tcPr>
            <w:tcW w:w="992" w:type="dxa"/>
            <w:tcBorders>
              <w:top w:val="single" w:sz="4" w:space="0" w:color="auto"/>
              <w:left w:val="nil"/>
              <w:bottom w:val="single" w:sz="4" w:space="0" w:color="auto"/>
              <w:right w:val="single" w:sz="4" w:space="0" w:color="auto"/>
            </w:tcBorders>
            <w:shd w:val="clear" w:color="auto" w:fill="C6EFCE"/>
            <w:noWrap/>
          </w:tcPr>
          <w:p w14:paraId="31AEE557" w14:textId="77777777" w:rsidR="00CB0FCB" w:rsidRDefault="009D2B11">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1DA111AD" w14:textId="77777777" w:rsidR="00CB0FCB" w:rsidRDefault="009D2B11">
            <w:pPr>
              <w:pStyle w:val="P68B1DB1-Normal9"/>
              <w:spacing w:after="0" w:line="240" w:lineRule="auto"/>
              <w:rPr>
                <w:rFonts w:eastAsia="Times New Roman" w:cs="Calibri"/>
                <w:noProof/>
                <w:szCs w:val="18"/>
              </w:rPr>
            </w:pPr>
            <w:r>
              <w:rPr>
                <w:noProof/>
              </w:rPr>
              <w:t xml:space="preserve">Projekta datu pārvaldības stratēģijas un publiskā sektora politikas pabeigšana </w:t>
            </w:r>
          </w:p>
          <w:p w14:paraId="472FCFDF" w14:textId="674F21DB" w:rsidR="00CB0FCB" w:rsidRDefault="009D2B11">
            <w:pPr>
              <w:pStyle w:val="P68B1DB1-Normal10"/>
              <w:spacing w:after="0" w:line="240" w:lineRule="auto"/>
              <w:rPr>
                <w:rFonts w:eastAsia="Times New Roman" w:cs="Calibri"/>
                <w:noProof/>
              </w:rPr>
            </w:pPr>
            <w:r>
              <w:rPr>
                <w:noProof/>
              </w:rPr>
              <w:t>Projektā ir sasniegti šādi rezultāti: a) valdības mākoņdatošanas datu pārvaldības stratēģijas un politikas izveide un b) publisko datu pārvaldības sistēmas izveide, politika attiecībā uz atvērtiem un atkārtoti izmantojamiem datiem un attiecīgu pakalpojumu sniegšana publiskajam un privātajam sektoram, un</w:t>
            </w:r>
            <w:r>
              <w:rPr>
                <w:rFonts w:asciiTheme="minorHAnsi" w:eastAsiaTheme="minorEastAsia" w:hAnsiTheme="minorHAnsi" w:cstheme="minorBidi"/>
                <w:noProof/>
              </w:rPr>
              <w:t xml:space="preserve"> c) projekta “Datu klasifikācijas pētījumi” pabeigšana publiskā sektora informācijas sistēmām, kas nodrošina 220 datu klasifikācijas pētījumus.</w:t>
            </w:r>
          </w:p>
        </w:tc>
      </w:tr>
      <w:tr w:rsidR="00CB0FCB" w14:paraId="0F7F64AA"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A3A1A52" w14:textId="77777777" w:rsidR="00CB0FCB" w:rsidRDefault="009D2B11">
            <w:pPr>
              <w:pStyle w:val="P68B1DB1-Normal9"/>
              <w:spacing w:after="0" w:line="240" w:lineRule="auto"/>
              <w:rPr>
                <w:rFonts w:eastAsia="Times New Roman" w:cs="Calibri"/>
                <w:noProof/>
                <w:szCs w:val="18"/>
              </w:rPr>
            </w:pPr>
            <w:r>
              <w:rPr>
                <w:noProof/>
              </w:rPr>
              <w:t>129</w:t>
            </w:r>
          </w:p>
        </w:tc>
        <w:tc>
          <w:tcPr>
            <w:tcW w:w="1710" w:type="dxa"/>
            <w:tcBorders>
              <w:top w:val="single" w:sz="4" w:space="0" w:color="auto"/>
              <w:left w:val="nil"/>
              <w:bottom w:val="single" w:sz="4" w:space="0" w:color="auto"/>
              <w:right w:val="single" w:sz="4" w:space="0" w:color="auto"/>
            </w:tcBorders>
            <w:shd w:val="clear" w:color="auto" w:fill="C6EFCE"/>
            <w:noWrap/>
          </w:tcPr>
          <w:p w14:paraId="2210BD1E" w14:textId="77777777" w:rsidR="00CB0FCB" w:rsidRDefault="009D2B11">
            <w:pPr>
              <w:pStyle w:val="P68B1DB1-Normal9"/>
              <w:spacing w:after="0" w:line="240" w:lineRule="auto"/>
              <w:rPr>
                <w:rFonts w:eastAsia="Times New Roman" w:cs="Calibri"/>
                <w:noProof/>
                <w:szCs w:val="18"/>
              </w:rPr>
            </w:pPr>
            <w:r>
              <w:rPr>
                <w:noProof/>
              </w:rPr>
              <w:t>6–2.2. Modernizācija — 16842_Centrālā BI — datu analīze</w:t>
            </w:r>
          </w:p>
        </w:tc>
        <w:tc>
          <w:tcPr>
            <w:tcW w:w="1130" w:type="dxa"/>
            <w:tcBorders>
              <w:top w:val="single" w:sz="4" w:space="0" w:color="auto"/>
              <w:left w:val="nil"/>
              <w:bottom w:val="single" w:sz="4" w:space="0" w:color="auto"/>
              <w:right w:val="single" w:sz="4" w:space="0" w:color="auto"/>
            </w:tcBorders>
            <w:shd w:val="clear" w:color="auto" w:fill="C6EFCE"/>
            <w:noWrap/>
          </w:tcPr>
          <w:p w14:paraId="7733EF2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01" w:type="dxa"/>
            <w:tcBorders>
              <w:top w:val="single" w:sz="4" w:space="0" w:color="auto"/>
              <w:left w:val="nil"/>
              <w:bottom w:val="single" w:sz="4" w:space="0" w:color="auto"/>
              <w:right w:val="single" w:sz="4" w:space="0" w:color="auto"/>
            </w:tcBorders>
            <w:shd w:val="clear" w:color="auto" w:fill="C6EFCE"/>
            <w:noWrap/>
          </w:tcPr>
          <w:p w14:paraId="1E6AA168" w14:textId="77777777" w:rsidR="00CB0FCB" w:rsidRDefault="009D2B11">
            <w:pPr>
              <w:pStyle w:val="P68B1DB1-Normal9"/>
              <w:spacing w:after="0" w:line="240" w:lineRule="auto"/>
              <w:rPr>
                <w:rFonts w:eastAsia="Times New Roman" w:cs="Calibri"/>
                <w:noProof/>
                <w:szCs w:val="18"/>
              </w:rPr>
            </w:pPr>
            <w:r>
              <w:rPr>
                <w:noProof/>
              </w:rPr>
              <w:t>Centrālās BI pabeigšana</w:t>
            </w:r>
          </w:p>
        </w:tc>
        <w:tc>
          <w:tcPr>
            <w:tcW w:w="1417" w:type="dxa"/>
            <w:tcBorders>
              <w:top w:val="single" w:sz="4" w:space="0" w:color="auto"/>
              <w:left w:val="nil"/>
              <w:bottom w:val="single" w:sz="4" w:space="0" w:color="auto"/>
              <w:right w:val="single" w:sz="4" w:space="0" w:color="auto"/>
            </w:tcBorders>
            <w:shd w:val="clear" w:color="auto" w:fill="C6EFCE"/>
            <w:noWrap/>
          </w:tcPr>
          <w:p w14:paraId="7BBEDE88" w14:textId="77777777" w:rsidR="00CB0FCB" w:rsidRDefault="009D2B11">
            <w:pPr>
              <w:pStyle w:val="P68B1DB1-Normal9"/>
              <w:spacing w:after="0" w:line="240" w:lineRule="auto"/>
              <w:rPr>
                <w:rFonts w:eastAsia="Times New Roman" w:cs="Calibri"/>
                <w:noProof/>
                <w:szCs w:val="18"/>
              </w:rPr>
            </w:pPr>
            <w:r>
              <w:rPr>
                <w:noProof/>
              </w:rPr>
              <w:t xml:space="preserve"> Digitālās pārvaldības ministrijas projekta ziņojums, kurā izklāstīts, kā centrālā BI projekts ir izveidojis centrālu uzņēmējdarbības izlūkošanas un datu analīzes platformu un kā to izmanto valsts pārvalde. </w:t>
            </w:r>
          </w:p>
        </w:tc>
        <w:tc>
          <w:tcPr>
            <w:tcW w:w="1134" w:type="dxa"/>
            <w:tcBorders>
              <w:top w:val="single" w:sz="4" w:space="0" w:color="auto"/>
              <w:left w:val="nil"/>
              <w:bottom w:val="single" w:sz="4" w:space="0" w:color="auto"/>
              <w:right w:val="single" w:sz="4" w:space="0" w:color="auto"/>
            </w:tcBorders>
            <w:shd w:val="clear" w:color="auto" w:fill="C6EFCE"/>
            <w:noWrap/>
          </w:tcPr>
          <w:p w14:paraId="646BF9BF"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1D58F56C"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78CBEC53"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42361FEB" w14:textId="77777777" w:rsidR="00CB0FCB" w:rsidRDefault="009D2B11">
            <w:pPr>
              <w:pStyle w:val="P68B1DB1-Normal9"/>
              <w:spacing w:after="0" w:line="240" w:lineRule="auto"/>
              <w:rPr>
                <w:rFonts w:eastAsia="Times New Roman" w:cs="Calibri"/>
                <w:noProof/>
                <w:szCs w:val="18"/>
              </w:rPr>
            </w:pPr>
            <w:r>
              <w:rPr>
                <w:noProof/>
              </w:rPr>
              <w:t>4. CET.</w:t>
            </w:r>
          </w:p>
        </w:tc>
        <w:tc>
          <w:tcPr>
            <w:tcW w:w="992" w:type="dxa"/>
            <w:tcBorders>
              <w:top w:val="single" w:sz="4" w:space="0" w:color="auto"/>
              <w:left w:val="nil"/>
              <w:bottom w:val="single" w:sz="4" w:space="0" w:color="auto"/>
              <w:right w:val="single" w:sz="4" w:space="0" w:color="auto"/>
            </w:tcBorders>
            <w:shd w:val="clear" w:color="auto" w:fill="C6EFCE"/>
            <w:noWrap/>
          </w:tcPr>
          <w:p w14:paraId="31734646" w14:textId="77777777" w:rsidR="00CB0FCB" w:rsidRDefault="009D2B11">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2E5BC558" w14:textId="77777777" w:rsidR="00CB0FCB" w:rsidRDefault="009D2B11">
            <w:pPr>
              <w:pStyle w:val="P68B1DB1-Normal9"/>
              <w:spacing w:after="0" w:line="240" w:lineRule="auto"/>
              <w:rPr>
                <w:rFonts w:eastAsia="Times New Roman" w:cs="Calibri"/>
                <w:noProof/>
                <w:szCs w:val="18"/>
              </w:rPr>
            </w:pPr>
            <w:r>
              <w:rPr>
                <w:noProof/>
              </w:rPr>
              <w:t>Šāda projekta pabeigšana: Centrālā BI — datu analīze.</w:t>
            </w:r>
          </w:p>
          <w:p w14:paraId="11AE999D" w14:textId="77777777" w:rsidR="00CB0FCB" w:rsidRDefault="00CB0FCB">
            <w:pPr>
              <w:spacing w:after="0" w:line="240" w:lineRule="auto"/>
              <w:rPr>
                <w:rFonts w:eastAsia="Times New Roman" w:cs="Calibri"/>
                <w:noProof/>
                <w:color w:val="006100"/>
                <w:sz w:val="18"/>
                <w:szCs w:val="18"/>
              </w:rPr>
            </w:pPr>
          </w:p>
          <w:p w14:paraId="7247CAF0" w14:textId="77777777" w:rsidR="00CB0FCB" w:rsidRDefault="009D2B11">
            <w:pPr>
              <w:pStyle w:val="P68B1DB1-Normal9"/>
              <w:spacing w:after="0" w:line="240" w:lineRule="auto"/>
              <w:rPr>
                <w:rFonts w:eastAsia="Times New Roman" w:cs="Calibri"/>
                <w:noProof/>
                <w:szCs w:val="18"/>
              </w:rPr>
            </w:pPr>
            <w:r>
              <w:rPr>
                <w:noProof/>
              </w:rPr>
              <w:t>Vienota “valsts infopaneļa” uzņēmējdarbības izlūkošanas risinājuma īstenošana un tā darbības rezultātu novērtēšana.</w:t>
            </w:r>
          </w:p>
          <w:p w14:paraId="47414E27" w14:textId="77777777" w:rsidR="00CB0FCB" w:rsidRDefault="009D2B11">
            <w:pPr>
              <w:pStyle w:val="P68B1DB1-Normal9"/>
              <w:spacing w:after="0" w:line="240" w:lineRule="auto"/>
              <w:rPr>
                <w:rFonts w:eastAsia="Times New Roman" w:cs="Calibri"/>
                <w:noProof/>
                <w:szCs w:val="18"/>
              </w:rPr>
            </w:pPr>
            <w:r>
              <w:rPr>
                <w:noProof/>
              </w:rPr>
              <w:t>Projektā ir sasniegti šādi rezultāti:</w:t>
            </w:r>
          </w:p>
          <w:p w14:paraId="2F5FF67A" w14:textId="77777777" w:rsidR="00CB0FCB" w:rsidRDefault="009D2B11">
            <w:pPr>
              <w:pStyle w:val="P68B1DB1-Normal9"/>
              <w:spacing w:after="0" w:line="240" w:lineRule="auto"/>
              <w:rPr>
                <w:rFonts w:eastAsia="Times New Roman" w:cs="Calibri"/>
                <w:noProof/>
                <w:szCs w:val="18"/>
              </w:rPr>
            </w:pPr>
            <w:r>
              <w:rPr>
                <w:noProof/>
              </w:rPr>
              <w:t>centrālās uzņēmējdarbības izlūkošanas — datu analīzes platformas — ieviešana, kas ļauj valsts pārvaldes aģentūrām iegūt, integrēt un interpretēt datus no jebkura avota un izmantot tos, lai analizētu informāciju, kas ietekmē to darbību un darbplūsmas un atvieglo stratēģiju un lēmumu pieņemšanu.</w:t>
            </w:r>
          </w:p>
        </w:tc>
      </w:tr>
    </w:tbl>
    <w:p w14:paraId="25458608" w14:textId="77777777" w:rsidR="00CB0FCB" w:rsidRDefault="00CB0FCB">
      <w:pPr>
        <w:spacing w:before="120" w:after="120" w:line="240" w:lineRule="auto"/>
        <w:ind w:left="709"/>
        <w:rPr>
          <w:rFonts w:ascii="Times New Roman" w:hAnsi="Times New Roman" w:cs="Times New Roman"/>
          <w:noProof/>
          <w:sz w:val="24"/>
        </w:rPr>
        <w:sectPr w:rsidR="00CB0FCB" w:rsidSect="00271D33">
          <w:headerReference w:type="even" r:id="rId115"/>
          <w:headerReference w:type="default" r:id="rId116"/>
          <w:footerReference w:type="even" r:id="rId117"/>
          <w:footerReference w:type="default" r:id="rId118"/>
          <w:headerReference w:type="first" r:id="rId119"/>
          <w:footerReference w:type="first" r:id="rId120"/>
          <w:pgSz w:w="16839" w:h="11907" w:orient="landscape"/>
          <w:pgMar w:top="720" w:right="720" w:bottom="720" w:left="720" w:header="709" w:footer="709" w:gutter="0"/>
          <w:cols w:space="720"/>
          <w:docGrid w:linePitch="360"/>
        </w:sectPr>
      </w:pPr>
    </w:p>
    <w:p w14:paraId="7733A430" w14:textId="77777777" w:rsidR="00CB0FCB" w:rsidRDefault="009D2B11">
      <w:pPr>
        <w:pStyle w:val="P68B1DB1-Normal2"/>
        <w:spacing w:before="120" w:after="120" w:line="240" w:lineRule="auto"/>
        <w:ind w:firstLine="6"/>
        <w:jc w:val="both"/>
        <w:outlineLvl w:val="3"/>
        <w:rPr>
          <w:rFonts w:cs="Times New Roman"/>
          <w:bCs/>
          <w:noProof/>
        </w:rPr>
      </w:pPr>
      <w:r>
        <w:rPr>
          <w:noProof/>
        </w:rPr>
        <w:t>G. 2.3. KOMPONENTS: UZŅĒMĒJDARBĪBAS DIGITALIZĀCIJA</w:t>
      </w:r>
    </w:p>
    <w:p w14:paraId="132EC9FD" w14:textId="69C40087" w:rsidR="00CB0FCB" w:rsidRDefault="009D2B11">
      <w:pPr>
        <w:pStyle w:val="P68B1DB1-Normal4"/>
        <w:spacing w:before="120" w:after="120" w:line="240" w:lineRule="auto"/>
        <w:jc w:val="both"/>
        <w:rPr>
          <w:rFonts w:cs="Times New Roman"/>
          <w:noProof/>
        </w:rPr>
      </w:pPr>
      <w:r>
        <w:rPr>
          <w:noProof/>
        </w:rPr>
        <w:t xml:space="preserve">Šis </w:t>
      </w:r>
      <w:r>
        <w:rPr>
          <w:noProof/>
          <w:color w:val="000000" w:themeColor="text1"/>
          <w:szCs w:val="24"/>
        </w:rPr>
        <w:t xml:space="preserve">Grieķijas atveseļošanas un noturības </w:t>
      </w:r>
      <w:r>
        <w:rPr>
          <w:noProof/>
        </w:rPr>
        <w:t xml:space="preserve">komponents attiecas uz kapitāla nodrošināšanu Grieķijas mazajiem un vidējiem uzņēmumiem, lai finansētu investīcijas digitālajās tehnoloģijās un saistīto pakalpojumu iegādi. Tās mērķis ir novērst pašlaik zemo digitālo brieduma līmeni to vidū, tostarp zemo digitālo prasmju dēļ, vienlaikus veicinot produktivitāti un inovatīvu uzņēmumu attīstību. Tajā pašā laikā paredzams, ka tas palīdzēs šādiem uzņēmumiem pielāgoties jauniem izaicinājumiem un izmantot jaunās uzņēmējdarbības tendences. Jo īpaši komponents paredz izveidot vienotu digitālo tirgu, kam ir piekļuve gan šo produktu piegādātājiem, gan pakalpojumu sniedzējiem. </w:t>
      </w:r>
      <w:r>
        <w:rPr>
          <w:noProof/>
          <w:szCs w:val="24"/>
        </w:rPr>
        <w:t>Šā komponenta galvenie mērķi ir elektronisko maksājumu un pārdošanas veicināšana, kases aparātu un POS ekosistēmas modernizācija un rūpniecības datu produktu izstrāde.</w:t>
      </w:r>
      <w:r>
        <w:rPr>
          <w:noProof/>
        </w:rPr>
        <w:t xml:space="preserve"> Turklāt komponenta mērķis ir arī palīdzēt izveidot digitālu uzņēmējdarbības ekosistēmu, kas veicina mazo un vidējo uzņēmumu digitālo pārveidi. Ir paredzēts arī centrāls mazo un vidējo uzņēmumu atbalsta mehānisms, kas atvieglotu apmācības un izpratnes veicināšanas programmu nodrošināšanu, lai tie varētu maksimāli izmantot digitālajā tirgū piedāvātos rīkus un pakalpojumus. </w:t>
      </w:r>
    </w:p>
    <w:p w14:paraId="0507AED4" w14:textId="77777777" w:rsidR="00CB0FCB" w:rsidRDefault="009D2B11">
      <w:pPr>
        <w:pStyle w:val="P68B1DB1-Normal4"/>
        <w:spacing w:before="120" w:after="120" w:line="240" w:lineRule="auto"/>
        <w:jc w:val="both"/>
        <w:rPr>
          <w:rFonts w:cs="Times New Roman"/>
          <w:noProof/>
          <w:szCs w:val="24"/>
        </w:rPr>
      </w:pPr>
      <w:r>
        <w:rPr>
          <w:noProof/>
        </w:rPr>
        <w:t>Paredzams, ka pasākumi reaģēs uz digitālo pārkārtošanos un no tās izrietošajām problēmām, jo paredzams, ka tie veicinās digitālo tehnoloģiju ieviešanu un mazo un vidējo uzņēmumu digitālo prasmju pilnveidi Grieķijā. Turklāt paredzams, ka pasākumi veicinās arī gudru un ilgtspējīgu izaugsmi, vēl vairāk stimulējot privātās investīcijas, tādējādi palīdzot īstenot konkrētai valstij adresēto ieteikumu par publiskajām un privātajām investīcijām (2020. gada KVAI Nr. 3).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12CAAC2C" w14:textId="77777777" w:rsidR="00CB0FCB" w:rsidRDefault="009D2B11">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G.1. </w:t>
      </w:r>
      <w:r>
        <w:rPr>
          <w:noProof/>
        </w:rPr>
        <w:t xml:space="preserve"> </w:t>
      </w:r>
      <w:r>
        <w:rPr>
          <w:rFonts w:ascii="Times New Roman" w:hAnsi="Times New Roman"/>
          <w:b/>
          <w:noProof/>
          <w:sz w:val="24"/>
          <w:u w:val="single"/>
        </w:rPr>
        <w:t>Reformu un investīciju apraksts neatmaksājamam finansiālajam atbalstam</w:t>
      </w:r>
    </w:p>
    <w:p w14:paraId="043BCD75" w14:textId="1F551B1A" w:rsidR="00CB0FCB" w:rsidRDefault="009D2B11">
      <w:pPr>
        <w:pStyle w:val="P68B1DB1-Normal4"/>
        <w:spacing w:before="120" w:after="120" w:line="240" w:lineRule="auto"/>
        <w:jc w:val="both"/>
        <w:rPr>
          <w:rFonts w:cs="Times New Roman"/>
          <w:noProof/>
        </w:rPr>
      </w:pPr>
      <w:r>
        <w:rPr>
          <w:b/>
          <w:noProof/>
        </w:rPr>
        <w:t>Reforma:</w:t>
      </w:r>
      <w:r>
        <w:rPr>
          <w:noProof/>
        </w:rPr>
        <w:t xml:space="preserve"> Digitālās uzņēmējdarbības ekosistēmas izveide MVU digitālās pārveides veicināšanai (pasākums ID 16973)</w:t>
      </w:r>
    </w:p>
    <w:p w14:paraId="46836F46" w14:textId="2F1D5E12" w:rsidR="00CB0FCB" w:rsidRDefault="009D2B11">
      <w:pPr>
        <w:pStyle w:val="P68B1DB1-Normal4"/>
        <w:spacing w:before="120" w:after="120" w:line="240" w:lineRule="auto"/>
        <w:jc w:val="both"/>
        <w:rPr>
          <w:rFonts w:cs="Times New Roman"/>
          <w:noProof/>
        </w:rPr>
      </w:pPr>
      <w:r>
        <w:rPr>
          <w:noProof/>
          <w:szCs w:val="24"/>
        </w:rPr>
        <w:t xml:space="preserve">Reformas mērķis ir izveidot digitālās uzņēmējdarbības ekosistēmu, kas veicina MVU digitālo pārveidi. Konkrētāk, tas ietver satvara ieviešanu attiecībā uz: a) izveidot digitālo tirgu (e-tirgus) digitālo pakalpojumu un rīku piegādei un iegādei MVU digitālajai pārveidei un b) izveidot MI rūpnīcu “Pharos”, lai sniegtu pakalpojumus, piemēram, piekļuvi datiem, skaitļošanas resursiem un jaunuzņēmumu un MVU apmācību. </w:t>
      </w:r>
      <w:r>
        <w:rPr>
          <w:noProof/>
        </w:rPr>
        <w:t>Reformas īstenošanu pabeidz līdz 2025. gada 30. jūnijam.</w:t>
      </w:r>
    </w:p>
    <w:p w14:paraId="3B50BDAD"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MVU digitālā pārveide (pasākums ID 16706)</w:t>
      </w:r>
    </w:p>
    <w:p w14:paraId="2389693F" w14:textId="08C255AB" w:rsidR="00CB0FCB" w:rsidRDefault="009D2B11">
      <w:pPr>
        <w:pStyle w:val="P68B1DB1-Normal5"/>
        <w:spacing w:before="120" w:after="120" w:line="240" w:lineRule="auto"/>
        <w:jc w:val="both"/>
        <w:rPr>
          <w:rFonts w:cs="Times New Roman"/>
          <w:noProof/>
        </w:rPr>
      </w:pPr>
      <w:r>
        <w:rPr>
          <w:noProof/>
        </w:rPr>
        <w:t>Investīcija attiecas uz piemērotu digitālo rīku (produktu un pakalpojumu) izstrādi un nodrošināšanu Grieķijas MVU tādās jomās kā a) elektroniskie maksājumi un pārdošana, b) rūpnieciskās datu platformas un c) kases reģistri un POS ekosistēmas modernizācija. To panāk, izveidojot centrālu atbalsta mehānismu MVU, kas atvieglo apmācības un izpratnes veicināšanas programmu nodrošināšanu, lai tie varētu maksimāli izmantot digitālajā tirgū piedāvātos rīkus un pakalpojumus, un kura galvenais mērķis ir atbalstīt Grieķijas MVU digitālo pārveidi, kā arī uzlabot pārredzamību un veselīgu konkurenci, izmantojot Next-Gen POS un kases reģistrus. Investīciju īstenošanu pabeidz līdz 2025. gada 31. decembrim.</w:t>
      </w:r>
    </w:p>
    <w:p w14:paraId="69974FBB" w14:textId="35D08269" w:rsidR="00CB0FCB" w:rsidRDefault="009D2B11">
      <w:pPr>
        <w:pStyle w:val="P68B1DB1-Normal5"/>
        <w:spacing w:before="120" w:after="120" w:line="240" w:lineRule="auto"/>
        <w:jc w:val="both"/>
        <w:rPr>
          <w:rFonts w:cs="Times New Roman"/>
          <w:iCs/>
          <w:noProof/>
          <w:highlight w:val="green"/>
        </w:rPr>
      </w:pPr>
      <w:r>
        <w:rPr>
          <w:noProof/>
        </w:rPr>
        <w:t>Lai nodrošinātu, ka pasākums atbilst tehniskajiem norādījumiem “nenodarīt būtisku kaitējumu” (2021/C58/01), uzaicinājumos iesniegt projektus noteiktajos atbilstības kritērijos neiekļauj šādu darbību sarakstu:</w:t>
      </w:r>
      <w:r>
        <w:rPr>
          <w:noProof/>
          <w:color w:val="FF0000"/>
        </w:rPr>
        <w:t xml:space="preserve"> </w:t>
      </w:r>
      <w:r>
        <w:rPr>
          <w:noProof/>
        </w:rPr>
        <w:t>I) darbības, kas saistītas ar fosilo kurināmo, tostarp pakārtotu izmantošanu</w:t>
      </w:r>
      <w:r>
        <w:rPr>
          <w:noProof/>
        </w:rPr>
        <w:footnoteReference w:id="11"/>
      </w:r>
      <w:r>
        <w:rPr>
          <w:noProof/>
        </w:rPr>
        <w:t>; II) darbības saskaņā ar ES emisijas kvotu tirdzniecības sistēmu (ETS), kuru prognozētās siltumnīcefekta gāzu emisijas nav zemākas par attiecīgajām līmeņatzīmēm</w:t>
      </w:r>
      <w:r>
        <w:rPr>
          <w:noProof/>
        </w:rPr>
        <w:footnoteReference w:id="12"/>
      </w:r>
      <w:r>
        <w:rPr>
          <w:noProof/>
        </w:rPr>
        <w:t>; III) darbības, kas saistītas ar atkritumu poligoniem, sadedzināšanas iekārtām</w:t>
      </w:r>
      <w:r>
        <w:rPr>
          <w:noProof/>
        </w:rPr>
        <w:footnoteReference w:id="13"/>
      </w:r>
      <w:r>
        <w:rPr>
          <w:noProof/>
        </w:rPr>
        <w:t xml:space="preserve"> un mehāniski bioloģiskās apstrādes iekārtām</w:t>
      </w:r>
      <w:r>
        <w:rPr>
          <w:noProof/>
        </w:rPr>
        <w:footnoteReference w:id="14"/>
      </w:r>
      <w:r>
        <w:rPr>
          <w:noProof/>
        </w:rPr>
        <w:t>; un iv) darbības, kurās atkritumu ilgtermiņa apglabāšana var radīt kaitējumu videi. Darba uzdevumā papildus nosaka, ka var atlasīt tikai tās darbības, kas atbilst attiecīgajiem ES un valsts tiesību aktiem vides jomā.</w:t>
      </w:r>
    </w:p>
    <w:p w14:paraId="190236EF" w14:textId="77777777" w:rsidR="00CB0FCB" w:rsidRDefault="009D2B11">
      <w:pPr>
        <w:pStyle w:val="P68B1DB1-Normal4"/>
        <w:spacing w:before="120" w:after="120" w:line="240" w:lineRule="auto"/>
        <w:jc w:val="both"/>
        <w:rPr>
          <w:rFonts w:cs="Times New Roman"/>
          <w:noProof/>
        </w:rPr>
      </w:pPr>
      <w:r>
        <w:rPr>
          <w:noProof/>
        </w:rPr>
        <w:t xml:space="preserve">Atlases/atbilstības kritēriji ir vērsti arī uz šādām tehnoloģijām un pakalpojumiem, proti, e-maksājumu, e-pārdošanas un e-rēķinu lietojumprogrammām, digitālās reklāmas rīkiem, tāldarba sistēmām, uzņēmējdarbības analītiku, digitālo prasmju pilnveidi, dublēšanas un negadījuma seku novēršanas pakalpojumiem, mākslīgo intelektu, lietu internetu, integrētu risinājumu piegādi bezkontakta pakalpojumiem, kiberdrošības sistēmām, mākoņdatošanas infrastruktūrām un pakalpojumiem, rūpniecisko datu platformu veidnēm un programmatūru, kases reģistriem un POS ekosistēmu modernizāciju. </w:t>
      </w:r>
    </w:p>
    <w:p w14:paraId="05022FF1" w14:textId="77777777" w:rsidR="00CB0FCB" w:rsidRDefault="00CB0FCB">
      <w:pPr>
        <w:spacing w:before="120" w:after="120" w:line="240" w:lineRule="auto"/>
        <w:ind w:left="709"/>
        <w:jc w:val="both"/>
        <w:rPr>
          <w:rFonts w:ascii="Times New Roman" w:hAnsi="Times New Roman" w:cs="Times New Roman"/>
          <w:noProof/>
          <w:sz w:val="24"/>
        </w:rPr>
      </w:pPr>
    </w:p>
    <w:p w14:paraId="72FD1456"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121"/>
          <w:headerReference w:type="default" r:id="rId122"/>
          <w:footerReference w:type="even" r:id="rId123"/>
          <w:footerReference w:type="default" r:id="rId124"/>
          <w:headerReference w:type="first" r:id="rId125"/>
          <w:footerReference w:type="first" r:id="rId126"/>
          <w:pgSz w:w="11907" w:h="16839"/>
          <w:pgMar w:top="1134" w:right="1418" w:bottom="1134" w:left="1418" w:header="709" w:footer="326" w:gutter="0"/>
          <w:cols w:space="720"/>
          <w:docGrid w:linePitch="360"/>
        </w:sectPr>
      </w:pPr>
    </w:p>
    <w:p w14:paraId="720210F7"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G.2.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5451B8F5"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p w14:paraId="5E317820" w14:textId="77777777" w:rsidR="00CB0FCB" w:rsidRDefault="009D2B11">
      <w:pPr>
        <w:pStyle w:val="P68B1DB1-Normal6"/>
        <w:keepNext/>
        <w:keepLines/>
        <w:spacing w:before="40" w:after="0" w:line="240" w:lineRule="auto"/>
        <w:jc w:val="both"/>
        <w:outlineLvl w:val="4"/>
        <w:rPr>
          <w:noProof/>
        </w:rPr>
      </w:pPr>
      <w:r>
        <w:rPr>
          <w:noProof/>
        </w:rPr>
        <w:t>Lielākā investīcija Nr. 4: MVU digitālā pārveide</w:t>
      </w:r>
    </w:p>
    <w:p w14:paraId="2ADA5DC2"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797"/>
        <w:gridCol w:w="1807"/>
        <w:gridCol w:w="1324"/>
        <w:gridCol w:w="1462"/>
        <w:gridCol w:w="950"/>
        <w:gridCol w:w="1396"/>
        <w:gridCol w:w="766"/>
        <w:gridCol w:w="1027"/>
        <w:gridCol w:w="750"/>
        <w:gridCol w:w="3622"/>
      </w:tblGrid>
      <w:tr w:rsidR="00CB0FCB" w14:paraId="199E5AF6" w14:textId="77777777">
        <w:trPr>
          <w:trHeight w:val="695"/>
          <w:tblHeader/>
          <w:jc w:val="center"/>
        </w:trPr>
        <w:tc>
          <w:tcPr>
            <w:tcW w:w="1237" w:type="dxa"/>
            <w:vMerge w:val="restart"/>
            <w:shd w:val="clear" w:color="auto" w:fill="BDD7EE"/>
            <w:vAlign w:val="center"/>
            <w:hideMark/>
          </w:tcPr>
          <w:p w14:paraId="164BB82A"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74" w:type="dxa"/>
            <w:vMerge w:val="restart"/>
            <w:shd w:val="clear" w:color="auto" w:fill="BDD7EE"/>
            <w:vAlign w:val="center"/>
            <w:hideMark/>
          </w:tcPr>
          <w:p w14:paraId="71E4F12E"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82" w:type="dxa"/>
            <w:vMerge w:val="restart"/>
            <w:shd w:val="clear" w:color="auto" w:fill="BDD7EE"/>
            <w:vAlign w:val="center"/>
            <w:hideMark/>
          </w:tcPr>
          <w:p w14:paraId="77056E50"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08" w:type="dxa"/>
            <w:vMerge w:val="restart"/>
            <w:shd w:val="clear" w:color="auto" w:fill="BDD7EE"/>
            <w:vAlign w:val="center"/>
            <w:hideMark/>
          </w:tcPr>
          <w:p w14:paraId="2665F5F7"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376" w:type="dxa"/>
            <w:vMerge w:val="restart"/>
            <w:shd w:val="clear" w:color="auto" w:fill="BDD7EE"/>
            <w:vAlign w:val="center"/>
            <w:hideMark/>
          </w:tcPr>
          <w:p w14:paraId="3099C4CC"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599" w:type="dxa"/>
            <w:gridSpan w:val="3"/>
            <w:shd w:val="clear" w:color="auto" w:fill="BDD7EE"/>
            <w:vAlign w:val="center"/>
            <w:hideMark/>
          </w:tcPr>
          <w:p w14:paraId="161F8534"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776" w:type="dxa"/>
            <w:gridSpan w:val="2"/>
            <w:shd w:val="clear" w:color="auto" w:fill="BDD7EE"/>
            <w:vAlign w:val="center"/>
            <w:hideMark/>
          </w:tcPr>
          <w:p w14:paraId="5245CD1E"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622" w:type="dxa"/>
            <w:vMerge w:val="restart"/>
            <w:shd w:val="clear" w:color="auto" w:fill="BDD7EE"/>
            <w:vAlign w:val="center"/>
            <w:hideMark/>
          </w:tcPr>
          <w:p w14:paraId="5ADADEB3"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7B6B1175" w14:textId="77777777">
        <w:trPr>
          <w:trHeight w:val="465"/>
          <w:tblHeader/>
          <w:jc w:val="center"/>
        </w:trPr>
        <w:tc>
          <w:tcPr>
            <w:tcW w:w="1237" w:type="dxa"/>
            <w:vMerge/>
            <w:vAlign w:val="center"/>
            <w:hideMark/>
          </w:tcPr>
          <w:p w14:paraId="6B14525A" w14:textId="77777777" w:rsidR="00CB0FCB" w:rsidRDefault="00CB0FCB">
            <w:pPr>
              <w:spacing w:after="0" w:line="240" w:lineRule="auto"/>
              <w:rPr>
                <w:rFonts w:ascii="Times New Roman" w:eastAsia="Times New Roman" w:hAnsi="Times New Roman" w:cs="Times New Roman"/>
                <w:b/>
                <w:bCs/>
                <w:noProof/>
                <w:sz w:val="18"/>
                <w:szCs w:val="18"/>
              </w:rPr>
            </w:pPr>
          </w:p>
        </w:tc>
        <w:tc>
          <w:tcPr>
            <w:tcW w:w="1774" w:type="dxa"/>
            <w:vMerge/>
            <w:vAlign w:val="center"/>
            <w:hideMark/>
          </w:tcPr>
          <w:p w14:paraId="05A82F60" w14:textId="77777777" w:rsidR="00CB0FCB" w:rsidRDefault="00CB0FCB">
            <w:pPr>
              <w:spacing w:after="0" w:line="240" w:lineRule="auto"/>
              <w:rPr>
                <w:rFonts w:ascii="Times New Roman" w:eastAsia="Times New Roman" w:hAnsi="Times New Roman" w:cs="Times New Roman"/>
                <w:b/>
                <w:bCs/>
                <w:noProof/>
                <w:sz w:val="18"/>
                <w:szCs w:val="18"/>
              </w:rPr>
            </w:pPr>
          </w:p>
        </w:tc>
        <w:tc>
          <w:tcPr>
            <w:tcW w:w="982" w:type="dxa"/>
            <w:vMerge/>
            <w:vAlign w:val="center"/>
            <w:hideMark/>
          </w:tcPr>
          <w:p w14:paraId="202E1FE9" w14:textId="77777777" w:rsidR="00CB0FCB" w:rsidRDefault="00CB0FCB">
            <w:pPr>
              <w:spacing w:after="0" w:line="240" w:lineRule="auto"/>
              <w:rPr>
                <w:rFonts w:ascii="Times New Roman" w:eastAsia="Times New Roman" w:hAnsi="Times New Roman" w:cs="Times New Roman"/>
                <w:b/>
                <w:bCs/>
                <w:noProof/>
                <w:sz w:val="18"/>
                <w:szCs w:val="18"/>
              </w:rPr>
            </w:pPr>
          </w:p>
        </w:tc>
        <w:tc>
          <w:tcPr>
            <w:tcW w:w="1308" w:type="dxa"/>
            <w:vMerge/>
            <w:vAlign w:val="center"/>
            <w:hideMark/>
          </w:tcPr>
          <w:p w14:paraId="248B03AA" w14:textId="77777777" w:rsidR="00CB0FCB" w:rsidRDefault="00CB0FCB">
            <w:pPr>
              <w:spacing w:after="0" w:line="240" w:lineRule="auto"/>
              <w:rPr>
                <w:rFonts w:ascii="Times New Roman" w:eastAsia="Times New Roman" w:hAnsi="Times New Roman" w:cs="Times New Roman"/>
                <w:b/>
                <w:bCs/>
                <w:noProof/>
                <w:sz w:val="18"/>
                <w:szCs w:val="18"/>
              </w:rPr>
            </w:pPr>
          </w:p>
        </w:tc>
        <w:tc>
          <w:tcPr>
            <w:tcW w:w="1376" w:type="dxa"/>
            <w:vMerge/>
            <w:vAlign w:val="center"/>
            <w:hideMark/>
          </w:tcPr>
          <w:p w14:paraId="04185851" w14:textId="77777777" w:rsidR="00CB0FCB" w:rsidRDefault="00CB0FCB">
            <w:pPr>
              <w:spacing w:after="0" w:line="240" w:lineRule="auto"/>
              <w:rPr>
                <w:rFonts w:ascii="Times New Roman" w:eastAsia="Times New Roman" w:hAnsi="Times New Roman" w:cs="Times New Roman"/>
                <w:b/>
                <w:bCs/>
                <w:noProof/>
                <w:sz w:val="18"/>
                <w:szCs w:val="18"/>
              </w:rPr>
            </w:pPr>
          </w:p>
        </w:tc>
        <w:tc>
          <w:tcPr>
            <w:tcW w:w="950" w:type="dxa"/>
            <w:shd w:val="clear" w:color="auto" w:fill="BDD7EE"/>
            <w:vAlign w:val="center"/>
            <w:hideMark/>
          </w:tcPr>
          <w:p w14:paraId="3500E0CF"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58" w:type="dxa"/>
            <w:shd w:val="clear" w:color="auto" w:fill="BDD7EE"/>
            <w:vAlign w:val="center"/>
            <w:hideMark/>
          </w:tcPr>
          <w:p w14:paraId="7DBD46A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691" w:type="dxa"/>
            <w:shd w:val="clear" w:color="auto" w:fill="BDD7EE"/>
            <w:vAlign w:val="center"/>
            <w:hideMark/>
          </w:tcPr>
          <w:p w14:paraId="614D671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1026" w:type="dxa"/>
            <w:shd w:val="clear" w:color="auto" w:fill="BDD7EE"/>
            <w:vAlign w:val="center"/>
            <w:hideMark/>
          </w:tcPr>
          <w:p w14:paraId="71799E92"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50" w:type="dxa"/>
            <w:shd w:val="clear" w:color="auto" w:fill="BDD7EE"/>
            <w:vAlign w:val="center"/>
            <w:hideMark/>
          </w:tcPr>
          <w:p w14:paraId="61C53B7A"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622" w:type="dxa"/>
            <w:vMerge/>
            <w:vAlign w:val="center"/>
            <w:hideMark/>
          </w:tcPr>
          <w:p w14:paraId="66879BA6"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6437378B" w14:textId="77777777">
        <w:trPr>
          <w:trHeight w:val="309"/>
          <w:jc w:val="center"/>
        </w:trPr>
        <w:tc>
          <w:tcPr>
            <w:tcW w:w="1237" w:type="dxa"/>
            <w:shd w:val="clear" w:color="auto" w:fill="C6EFCE"/>
            <w:noWrap/>
          </w:tcPr>
          <w:p w14:paraId="5589B3C2" w14:textId="77777777" w:rsidR="00CB0FCB" w:rsidRDefault="009D2B11">
            <w:pPr>
              <w:pStyle w:val="P68B1DB1-Normal9"/>
              <w:spacing w:after="0" w:line="240" w:lineRule="auto"/>
              <w:rPr>
                <w:rFonts w:eastAsia="Times New Roman" w:cs="Calibri"/>
                <w:noProof/>
                <w:szCs w:val="18"/>
              </w:rPr>
            </w:pPr>
            <w:r>
              <w:rPr>
                <w:noProof/>
              </w:rPr>
              <w:t>130</w:t>
            </w:r>
          </w:p>
        </w:tc>
        <w:tc>
          <w:tcPr>
            <w:tcW w:w="1774" w:type="dxa"/>
            <w:shd w:val="clear" w:color="auto" w:fill="C6EFCE"/>
            <w:noWrap/>
          </w:tcPr>
          <w:p w14:paraId="1EC1F5DE" w14:textId="77777777" w:rsidR="00CB0FCB" w:rsidRDefault="009D2B11">
            <w:pPr>
              <w:pStyle w:val="P68B1DB1-Normal9"/>
              <w:spacing w:after="0" w:line="240" w:lineRule="auto"/>
              <w:rPr>
                <w:rFonts w:eastAsia="Times New Roman" w:cs="Calibri"/>
                <w:noProof/>
                <w:szCs w:val="18"/>
              </w:rPr>
            </w:pPr>
            <w:r>
              <w:rPr>
                <w:noProof/>
              </w:rPr>
              <w:t>7–2.3. Uzņēmumu digitalizācija — 16706_MVU digitālā pārveide</w:t>
            </w:r>
          </w:p>
        </w:tc>
        <w:tc>
          <w:tcPr>
            <w:tcW w:w="982" w:type="dxa"/>
            <w:shd w:val="clear" w:color="auto" w:fill="C6EFCE"/>
            <w:noWrap/>
          </w:tcPr>
          <w:p w14:paraId="1201F7B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08" w:type="dxa"/>
            <w:shd w:val="clear" w:color="auto" w:fill="C6EFCE"/>
            <w:noWrap/>
          </w:tcPr>
          <w:p w14:paraId="708874C0" w14:textId="29D54939" w:rsidR="00CB0FCB" w:rsidRDefault="009D2B11">
            <w:pPr>
              <w:pStyle w:val="P68B1DB1-Normal9"/>
              <w:spacing w:after="0" w:line="240" w:lineRule="auto"/>
              <w:rPr>
                <w:rFonts w:eastAsia="Times New Roman" w:cs="Calibri"/>
                <w:noProof/>
                <w:szCs w:val="18"/>
              </w:rPr>
            </w:pPr>
            <w:r>
              <w:rPr>
                <w:noProof/>
              </w:rPr>
              <w:t>MVU digitālā pārveide — uzaicinājumi iesniegt priekšlikumus</w:t>
            </w:r>
          </w:p>
        </w:tc>
        <w:tc>
          <w:tcPr>
            <w:tcW w:w="1376" w:type="dxa"/>
            <w:shd w:val="clear" w:color="auto" w:fill="C6EFCE"/>
            <w:noWrap/>
          </w:tcPr>
          <w:p w14:paraId="3DF3EB14" w14:textId="77777777" w:rsidR="00CB0FCB" w:rsidRDefault="009D2B11">
            <w:pPr>
              <w:pStyle w:val="P68B1DB1-Normal9"/>
              <w:spacing w:after="0" w:line="240" w:lineRule="auto"/>
              <w:rPr>
                <w:rFonts w:eastAsia="Times New Roman" w:cs="Calibri"/>
                <w:noProof/>
                <w:szCs w:val="18"/>
              </w:rPr>
            </w:pPr>
            <w:r>
              <w:rPr>
                <w:noProof/>
              </w:rPr>
              <w:t>Publicēts uzaicinājums iesniegt priekšlikumus</w:t>
            </w:r>
          </w:p>
        </w:tc>
        <w:tc>
          <w:tcPr>
            <w:tcW w:w="950" w:type="dxa"/>
            <w:shd w:val="clear" w:color="auto" w:fill="C6EFCE"/>
            <w:noWrap/>
          </w:tcPr>
          <w:p w14:paraId="518E2586" w14:textId="77777777" w:rsidR="00CB0FCB" w:rsidRDefault="00CB0FCB">
            <w:pPr>
              <w:spacing w:after="0" w:line="240" w:lineRule="auto"/>
              <w:rPr>
                <w:rFonts w:eastAsia="Times New Roman" w:cs="Calibri"/>
                <w:noProof/>
                <w:color w:val="006100"/>
                <w:sz w:val="18"/>
                <w:szCs w:val="18"/>
              </w:rPr>
            </w:pPr>
          </w:p>
        </w:tc>
        <w:tc>
          <w:tcPr>
            <w:tcW w:w="958" w:type="dxa"/>
            <w:shd w:val="clear" w:color="auto" w:fill="C6EFCE"/>
            <w:noWrap/>
          </w:tcPr>
          <w:p w14:paraId="5542558D" w14:textId="77777777" w:rsidR="00CB0FCB" w:rsidRDefault="00CB0FCB">
            <w:pPr>
              <w:spacing w:after="0" w:line="240" w:lineRule="auto"/>
              <w:rPr>
                <w:rFonts w:eastAsia="Times New Roman" w:cs="Calibri"/>
                <w:noProof/>
                <w:color w:val="006100"/>
                <w:sz w:val="18"/>
                <w:szCs w:val="18"/>
              </w:rPr>
            </w:pPr>
          </w:p>
        </w:tc>
        <w:tc>
          <w:tcPr>
            <w:tcW w:w="691" w:type="dxa"/>
            <w:shd w:val="clear" w:color="auto" w:fill="C6EFCE"/>
            <w:noWrap/>
          </w:tcPr>
          <w:p w14:paraId="6CD8F430" w14:textId="77777777" w:rsidR="00CB0FCB" w:rsidRDefault="00CB0FCB">
            <w:pPr>
              <w:spacing w:after="0" w:line="240" w:lineRule="auto"/>
              <w:rPr>
                <w:rFonts w:eastAsia="Times New Roman" w:cs="Calibri"/>
                <w:noProof/>
                <w:color w:val="006100"/>
                <w:sz w:val="18"/>
                <w:szCs w:val="18"/>
              </w:rPr>
            </w:pPr>
          </w:p>
        </w:tc>
        <w:tc>
          <w:tcPr>
            <w:tcW w:w="1026" w:type="dxa"/>
            <w:shd w:val="clear" w:color="auto" w:fill="C6EFCE"/>
            <w:noWrap/>
          </w:tcPr>
          <w:p w14:paraId="5A1CB9D7" w14:textId="77777777" w:rsidR="00CB0FCB" w:rsidRDefault="009D2B11">
            <w:pPr>
              <w:pStyle w:val="P68B1DB1-Normal9"/>
              <w:spacing w:after="0" w:line="240" w:lineRule="auto"/>
              <w:rPr>
                <w:rFonts w:eastAsia="Times New Roman" w:cs="Calibri"/>
                <w:noProof/>
                <w:szCs w:val="18"/>
              </w:rPr>
            </w:pPr>
            <w:r>
              <w:rPr>
                <w:noProof/>
              </w:rPr>
              <w:t>Q1</w:t>
            </w:r>
          </w:p>
        </w:tc>
        <w:tc>
          <w:tcPr>
            <w:tcW w:w="750" w:type="dxa"/>
            <w:shd w:val="clear" w:color="auto" w:fill="C6EFCE"/>
            <w:noWrap/>
          </w:tcPr>
          <w:p w14:paraId="1B12563C" w14:textId="77777777" w:rsidR="00CB0FCB" w:rsidRDefault="009D2B11">
            <w:pPr>
              <w:pStyle w:val="P68B1DB1-Normal9"/>
              <w:spacing w:after="0" w:line="240" w:lineRule="auto"/>
              <w:rPr>
                <w:rFonts w:eastAsia="Times New Roman" w:cs="Calibri"/>
                <w:noProof/>
                <w:szCs w:val="18"/>
              </w:rPr>
            </w:pPr>
            <w:r>
              <w:rPr>
                <w:noProof/>
              </w:rPr>
              <w:t>2022</w:t>
            </w:r>
          </w:p>
        </w:tc>
        <w:tc>
          <w:tcPr>
            <w:tcW w:w="3622" w:type="dxa"/>
            <w:shd w:val="clear" w:color="auto" w:fill="C6EFCE"/>
            <w:noWrap/>
          </w:tcPr>
          <w:p w14:paraId="2982E935" w14:textId="77777777" w:rsidR="00CB0FCB" w:rsidRDefault="009D2B11">
            <w:pPr>
              <w:pStyle w:val="P68B1DB1-Normal9"/>
              <w:spacing w:after="0" w:line="240" w:lineRule="auto"/>
              <w:rPr>
                <w:rFonts w:eastAsia="Times New Roman" w:cs="Calibri"/>
                <w:noProof/>
                <w:szCs w:val="18"/>
              </w:rPr>
            </w:pPr>
            <w:r>
              <w:rPr>
                <w:noProof/>
              </w:rPr>
              <w:t xml:space="preserve">Izsludināt visus konkursa uzaicinājumus iesniegt priekšlikumus, lai finansētu kuponu shēmu uzņēmumu digitālajai pārveidei (1. apakšprojekti), rūpniecisko datu platformas un datu telpas (2. apakšprojekti), naudas reģistrus un POS ekosistēmu modernizāciju (4. apakšprojekts) ar darba uzdevumiem, tostarp atbilstības kritērijiem, kas nodrošina, ka atlasītie projekti atbilst tehniskajiem norādījumiem “nenodarīt būtisku kaitējumu” (2021/C58/01), izmantojot izslēgšanas sarakstu un prasību par atbilstību attiecīgajiem ES un valsts tiesību aktiem vides jomā. </w:t>
            </w:r>
          </w:p>
          <w:p w14:paraId="1E394C94" w14:textId="77777777" w:rsidR="00CB0FCB" w:rsidRDefault="00CB0FCB">
            <w:pPr>
              <w:spacing w:after="0" w:line="240" w:lineRule="auto"/>
              <w:rPr>
                <w:rFonts w:eastAsia="Times New Roman" w:cs="Calibri"/>
                <w:noProof/>
                <w:color w:val="006100"/>
                <w:sz w:val="18"/>
                <w:szCs w:val="18"/>
              </w:rPr>
            </w:pPr>
          </w:p>
          <w:p w14:paraId="173B97B2" w14:textId="77777777" w:rsidR="00CB0FCB" w:rsidRDefault="009D2B11">
            <w:pPr>
              <w:pStyle w:val="P68B1DB1-Normal9"/>
              <w:spacing w:after="0" w:line="240" w:lineRule="auto"/>
              <w:rPr>
                <w:rFonts w:eastAsia="Times New Roman" w:cs="Calibri"/>
                <w:noProof/>
                <w:szCs w:val="18"/>
              </w:rPr>
            </w:pPr>
            <w:r>
              <w:rPr>
                <w:noProof/>
              </w:rPr>
              <w:t xml:space="preserve">Investīcijas ir vērstas uz tehnoloģijām un pakalpojumiem, lai veicinātu mazo un vidējo uzņēmumu digitalizāciju, proti, e-maksājumu, e-pārdošanas un e-rēķinu lietojumprogrammām, digitālās reklāmas rīkiem, tāldarba sistēmām, uzņēmējdarbības analītiku, digitālo prasmju pilnveidi, dublēšanas un negadījuma seku novēršanas pakalpojumiem, mākslīgo intelektu, lietu internetu, integrētu risinājumu piegādi bezkontakta pakalpojumiem, kiberdrošības sistēmām, mākoņdatošanas infrastruktūrām un pakalpojumiem, rūpniecisko datu platformu veidnēm un programmatūru, kases reģistriem un POS ekosistēmu modernizāciju. </w:t>
            </w:r>
          </w:p>
        </w:tc>
      </w:tr>
      <w:tr w:rsidR="00CB0FCB" w14:paraId="2E4DB77D" w14:textId="77777777">
        <w:trPr>
          <w:trHeight w:val="309"/>
          <w:jc w:val="center"/>
        </w:trPr>
        <w:tc>
          <w:tcPr>
            <w:tcW w:w="1237" w:type="dxa"/>
            <w:shd w:val="clear" w:color="auto" w:fill="C6EFCE"/>
            <w:noWrap/>
          </w:tcPr>
          <w:p w14:paraId="355AABF5" w14:textId="77777777" w:rsidR="00CB0FCB" w:rsidRDefault="009D2B11">
            <w:pPr>
              <w:pStyle w:val="P68B1DB1-Normal9"/>
              <w:spacing w:after="0" w:line="240" w:lineRule="auto"/>
              <w:rPr>
                <w:rFonts w:eastAsia="Times New Roman" w:cs="Calibri"/>
                <w:noProof/>
                <w:szCs w:val="18"/>
              </w:rPr>
            </w:pPr>
            <w:r>
              <w:rPr>
                <w:noProof/>
              </w:rPr>
              <w:t>131</w:t>
            </w:r>
          </w:p>
        </w:tc>
        <w:tc>
          <w:tcPr>
            <w:tcW w:w="1774" w:type="dxa"/>
            <w:shd w:val="clear" w:color="auto" w:fill="C6EFCE"/>
            <w:noWrap/>
          </w:tcPr>
          <w:p w14:paraId="7283B563" w14:textId="77777777" w:rsidR="00CB0FCB" w:rsidRDefault="009D2B11">
            <w:pPr>
              <w:pStyle w:val="P68B1DB1-Normal9"/>
              <w:spacing w:after="0" w:line="240" w:lineRule="auto"/>
              <w:rPr>
                <w:rFonts w:eastAsia="Times New Roman" w:cs="Calibri"/>
                <w:noProof/>
                <w:szCs w:val="18"/>
              </w:rPr>
            </w:pPr>
            <w:r>
              <w:rPr>
                <w:noProof/>
              </w:rPr>
              <w:t>7–2.3. Uzņēmumu digitalizācija — 16706_MVU digitālā pārveide</w:t>
            </w:r>
          </w:p>
        </w:tc>
        <w:tc>
          <w:tcPr>
            <w:tcW w:w="982" w:type="dxa"/>
            <w:shd w:val="clear" w:color="auto" w:fill="C6EFCE"/>
            <w:noWrap/>
          </w:tcPr>
          <w:p w14:paraId="41D2799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08" w:type="dxa"/>
            <w:shd w:val="clear" w:color="auto" w:fill="C6EFCE"/>
            <w:noWrap/>
          </w:tcPr>
          <w:p w14:paraId="428EB160" w14:textId="77777777" w:rsidR="00CB0FCB" w:rsidRDefault="009D2B11">
            <w:pPr>
              <w:pStyle w:val="P68B1DB1-Normal9"/>
              <w:spacing w:after="0" w:line="240" w:lineRule="auto"/>
              <w:rPr>
                <w:rFonts w:eastAsia="Times New Roman" w:cs="Calibri"/>
                <w:noProof/>
                <w:szCs w:val="18"/>
              </w:rPr>
            </w:pPr>
            <w:r>
              <w:rPr>
                <w:noProof/>
              </w:rPr>
              <w:t>MVU digitālā pārveide — produktu un pakalpojumu piegāde</w:t>
            </w:r>
          </w:p>
        </w:tc>
        <w:tc>
          <w:tcPr>
            <w:tcW w:w="1376" w:type="dxa"/>
            <w:shd w:val="clear" w:color="auto" w:fill="C6EFCE"/>
            <w:noWrap/>
          </w:tcPr>
          <w:p w14:paraId="773799D2" w14:textId="5508B1C6" w:rsidR="00CB0FCB" w:rsidRDefault="009D2B11">
            <w:pPr>
              <w:pStyle w:val="P68B1DB1-Normal24"/>
              <w:spacing w:after="0" w:line="240" w:lineRule="auto"/>
              <w:rPr>
                <w:rFonts w:eastAsia="Times New Roman" w:cs="Calibri"/>
                <w:noProof/>
                <w:color w:val="006100"/>
              </w:rPr>
            </w:pPr>
            <w:r>
              <w:rPr>
                <w:noProof/>
                <w:color w:val="006100"/>
              </w:rPr>
              <w:t xml:space="preserve">Digitālās pārvaldības ministrijas ziņojums, kas apliecina šādu mērķrādītāju pilnīgu īstenošanu: 100000 MVU, kam piešķirts digitalizācijas vaučers (1. apakšprojekts), 210000 jaunu, </w:t>
            </w:r>
            <w:r>
              <w:rPr>
                <w:rFonts w:asciiTheme="minorHAnsi" w:eastAsiaTheme="minorEastAsia" w:hAnsiTheme="minorHAnsi" w:cstheme="minorBidi"/>
                <w:noProof/>
                <w:color w:val="006100"/>
              </w:rPr>
              <w:t>modernizētu vai aizstātu kases aparātu un 100000</w:t>
            </w:r>
            <w:r>
              <w:rPr>
                <w:noProof/>
                <w:color w:val="006100"/>
              </w:rPr>
              <w:t xml:space="preserve"> jaunu, modernizētu</w:t>
            </w:r>
            <w:r>
              <w:rPr>
                <w:rFonts w:asciiTheme="minorHAnsi" w:eastAsiaTheme="minorEastAsia" w:hAnsiTheme="minorHAnsi" w:cstheme="minorBidi"/>
                <w:noProof/>
                <w:color w:val="006100"/>
              </w:rPr>
              <w:t xml:space="preserve"> vai aizstātu POS sistēmu (4. apakšprojekts </w:t>
            </w:r>
            <w:r>
              <w:rPr>
                <w:noProof/>
                <w:color w:val="006100"/>
              </w:rPr>
              <w:t>)</w:t>
            </w:r>
          </w:p>
        </w:tc>
        <w:tc>
          <w:tcPr>
            <w:tcW w:w="950" w:type="dxa"/>
            <w:shd w:val="clear" w:color="auto" w:fill="C6EFCE"/>
            <w:noWrap/>
          </w:tcPr>
          <w:p w14:paraId="2B150759" w14:textId="77777777" w:rsidR="00CB0FCB" w:rsidRDefault="00CB0FCB">
            <w:pPr>
              <w:spacing w:after="0" w:line="240" w:lineRule="auto"/>
              <w:rPr>
                <w:rFonts w:eastAsia="Times New Roman" w:cs="Calibri"/>
                <w:noProof/>
                <w:color w:val="006100"/>
                <w:sz w:val="18"/>
                <w:szCs w:val="18"/>
              </w:rPr>
            </w:pPr>
          </w:p>
        </w:tc>
        <w:tc>
          <w:tcPr>
            <w:tcW w:w="958" w:type="dxa"/>
            <w:shd w:val="clear" w:color="auto" w:fill="C6EFCE"/>
            <w:noWrap/>
          </w:tcPr>
          <w:p w14:paraId="60C7B720" w14:textId="77777777" w:rsidR="00CB0FCB" w:rsidRDefault="00CB0FCB">
            <w:pPr>
              <w:spacing w:after="0" w:line="240" w:lineRule="auto"/>
              <w:rPr>
                <w:rFonts w:eastAsia="Times New Roman" w:cs="Calibri"/>
                <w:noProof/>
                <w:color w:val="006100"/>
                <w:sz w:val="18"/>
                <w:szCs w:val="18"/>
              </w:rPr>
            </w:pPr>
          </w:p>
        </w:tc>
        <w:tc>
          <w:tcPr>
            <w:tcW w:w="691" w:type="dxa"/>
            <w:shd w:val="clear" w:color="auto" w:fill="C6EFCE"/>
            <w:noWrap/>
          </w:tcPr>
          <w:p w14:paraId="68C91FA3" w14:textId="77777777" w:rsidR="00CB0FCB" w:rsidRDefault="00CB0FCB">
            <w:pPr>
              <w:spacing w:after="0" w:line="240" w:lineRule="auto"/>
              <w:rPr>
                <w:rFonts w:eastAsia="Times New Roman" w:cs="Calibri"/>
                <w:noProof/>
                <w:color w:val="006100"/>
                <w:sz w:val="18"/>
                <w:szCs w:val="18"/>
              </w:rPr>
            </w:pPr>
          </w:p>
        </w:tc>
        <w:tc>
          <w:tcPr>
            <w:tcW w:w="1026" w:type="dxa"/>
            <w:shd w:val="clear" w:color="auto" w:fill="C6EFCE"/>
            <w:noWrap/>
          </w:tcPr>
          <w:p w14:paraId="06CFA854" w14:textId="77777777" w:rsidR="00CB0FCB" w:rsidRDefault="009D2B11">
            <w:pPr>
              <w:pStyle w:val="P68B1DB1-Normal9"/>
              <w:spacing w:after="0" w:line="240" w:lineRule="auto"/>
              <w:rPr>
                <w:rFonts w:eastAsia="Times New Roman" w:cs="Calibri"/>
                <w:noProof/>
                <w:szCs w:val="18"/>
              </w:rPr>
            </w:pPr>
            <w:r>
              <w:rPr>
                <w:noProof/>
              </w:rPr>
              <w:t>2. CET.</w:t>
            </w:r>
          </w:p>
        </w:tc>
        <w:tc>
          <w:tcPr>
            <w:tcW w:w="750" w:type="dxa"/>
            <w:shd w:val="clear" w:color="auto" w:fill="C6EFCE"/>
            <w:noWrap/>
          </w:tcPr>
          <w:p w14:paraId="67795882" w14:textId="77777777" w:rsidR="00CB0FCB" w:rsidRDefault="009D2B11">
            <w:pPr>
              <w:pStyle w:val="P68B1DB1-Normal9"/>
              <w:spacing w:after="0" w:line="240" w:lineRule="auto"/>
              <w:rPr>
                <w:rFonts w:eastAsia="Times New Roman" w:cs="Calibri"/>
                <w:noProof/>
                <w:szCs w:val="18"/>
              </w:rPr>
            </w:pPr>
            <w:r>
              <w:rPr>
                <w:noProof/>
              </w:rPr>
              <w:t>2025</w:t>
            </w:r>
          </w:p>
        </w:tc>
        <w:tc>
          <w:tcPr>
            <w:tcW w:w="3622" w:type="dxa"/>
            <w:shd w:val="clear" w:color="auto" w:fill="C6EFCE"/>
            <w:noWrap/>
          </w:tcPr>
          <w:p w14:paraId="354563B2" w14:textId="3AA9FA39" w:rsidR="00CB0FCB" w:rsidRDefault="009D2B11">
            <w:pPr>
              <w:pStyle w:val="P68B1DB1-Normal24"/>
              <w:spacing w:after="0" w:line="240" w:lineRule="auto"/>
              <w:rPr>
                <w:rFonts w:eastAsia="Times New Roman" w:cs="Calibri"/>
                <w:noProof/>
                <w:color w:val="006100"/>
              </w:rPr>
            </w:pPr>
            <w:r>
              <w:rPr>
                <w:noProof/>
                <w:color w:val="006100"/>
              </w:rPr>
              <w:t>Atbalsta saņēmēju atlase un aprīkojuma un pakalpojumu piegāde MVU</w:t>
            </w:r>
            <w:r>
              <w:rPr>
                <w:noProof/>
              </w:rPr>
              <w:t xml:space="preserve"> </w:t>
            </w:r>
            <w:r>
              <w:rPr>
                <w:noProof/>
                <w:color w:val="006100"/>
              </w:rPr>
              <w:t xml:space="preserve">saskaņā ar uzaicinājumiem iesniegt priekšlikumus konkursa kārtībā jo īpaši ir šādi: </w:t>
            </w:r>
          </w:p>
          <w:p w14:paraId="420E6FCB" w14:textId="77777777" w:rsidR="00CB0FCB" w:rsidRDefault="009D2B11">
            <w:pPr>
              <w:pStyle w:val="P68B1DB1-Normal9"/>
              <w:spacing w:after="0" w:line="240" w:lineRule="auto"/>
              <w:rPr>
                <w:rFonts w:eastAsia="Times New Roman" w:cs="Calibri"/>
                <w:noProof/>
                <w:szCs w:val="18"/>
              </w:rPr>
            </w:pPr>
            <w:r>
              <w:rPr>
                <w:noProof/>
              </w:rPr>
              <w:t>— Saskaņā ar 1. apakšprojektu: 100000 MVU saņēma digitalizācijas atbalstu, ko finansēja no kuponu shēmas;</w:t>
            </w:r>
          </w:p>
          <w:p w14:paraId="39C6A22B" w14:textId="7015E1B5" w:rsidR="00CB0FCB" w:rsidRDefault="009D2B11">
            <w:pPr>
              <w:pStyle w:val="P68B1DB1-Normal10"/>
              <w:spacing w:after="0" w:line="240" w:lineRule="auto"/>
              <w:rPr>
                <w:rFonts w:eastAsia="Times New Roman" w:cs="Calibri"/>
                <w:noProof/>
              </w:rPr>
            </w:pPr>
            <w:r>
              <w:rPr>
                <w:noProof/>
              </w:rPr>
              <w:t>— Apakšprojektā Nr. 4: 210000 kases aparātu ir jauni, modernizēti vai aizstāti ar datorizētiem risinājumiem (piemēram, aizstāti fiskālie mehānismi, rēķini par automašīnu/pārvietošanās dokumentiem, kases reģistri, arī ēdināšanas pakalpojumi, elektronisko rēķinu sniedzējs), 100000 POS sistēmu — jaunas, aizstātas vai modernizētas</w:t>
            </w:r>
          </w:p>
          <w:p w14:paraId="14482204" w14:textId="77777777" w:rsidR="00CB0FCB" w:rsidRDefault="009D2B11">
            <w:pPr>
              <w:pStyle w:val="P68B1DB1-Normal9"/>
              <w:spacing w:after="0" w:line="240" w:lineRule="auto"/>
              <w:rPr>
                <w:rFonts w:eastAsia="Times New Roman" w:cs="Calibri"/>
                <w:noProof/>
                <w:szCs w:val="18"/>
              </w:rPr>
            </w:pPr>
            <w:r>
              <w:rPr>
                <w:noProof/>
              </w:rPr>
              <w:t>(nodrošiniet saņēmēju apliecinājumu par jaunas tehnoloģijas/produkta/maksājuma apliecinājuma integrēšanu, lai apliecinātu produktu un pakalpojumu iegādi).</w:t>
            </w:r>
          </w:p>
        </w:tc>
      </w:tr>
      <w:tr w:rsidR="00CB0FCB" w14:paraId="0397251A" w14:textId="77777777">
        <w:trPr>
          <w:trHeight w:val="300"/>
          <w:jc w:val="center"/>
        </w:trPr>
        <w:tc>
          <w:tcPr>
            <w:tcW w:w="1237" w:type="dxa"/>
            <w:shd w:val="clear" w:color="auto" w:fill="C6EFCE"/>
            <w:noWrap/>
          </w:tcPr>
          <w:p w14:paraId="49E3DC49" w14:textId="76496C5A" w:rsidR="00CB0FCB" w:rsidRDefault="009D2B11">
            <w:pPr>
              <w:pStyle w:val="P68B1DB1-Normal10"/>
              <w:spacing w:line="240" w:lineRule="auto"/>
              <w:rPr>
                <w:noProof/>
              </w:rPr>
            </w:pPr>
            <w:r>
              <w:rPr>
                <w:noProof/>
              </w:rPr>
              <w:t>131.a</w:t>
            </w:r>
          </w:p>
        </w:tc>
        <w:tc>
          <w:tcPr>
            <w:tcW w:w="1797" w:type="dxa"/>
            <w:shd w:val="clear" w:color="auto" w:fill="C6EFCE"/>
            <w:noWrap/>
          </w:tcPr>
          <w:p w14:paraId="145CB0CD" w14:textId="77777777" w:rsidR="00CB0FCB" w:rsidRDefault="009D2B11">
            <w:pPr>
              <w:pStyle w:val="P68B1DB1-Normal10"/>
              <w:spacing w:after="0" w:line="240" w:lineRule="auto"/>
              <w:rPr>
                <w:rFonts w:eastAsia="Times New Roman" w:cs="Calibri"/>
                <w:noProof/>
              </w:rPr>
            </w:pPr>
            <w:r>
              <w:rPr>
                <w:noProof/>
              </w:rPr>
              <w:t>7–2.3. Uzņēmumu digitalizācija — 16706_MVU digitālā pārveide</w:t>
            </w:r>
          </w:p>
        </w:tc>
        <w:tc>
          <w:tcPr>
            <w:tcW w:w="982" w:type="dxa"/>
            <w:shd w:val="clear" w:color="auto" w:fill="C6EFCE"/>
            <w:noWrap/>
          </w:tcPr>
          <w:p w14:paraId="3608F234" w14:textId="77777777" w:rsidR="00CB0FCB" w:rsidRDefault="009D2B11">
            <w:pPr>
              <w:pStyle w:val="P68B1DB1-Normal10"/>
              <w:spacing w:after="0" w:line="240" w:lineRule="auto"/>
              <w:rPr>
                <w:rFonts w:eastAsia="Times New Roman" w:cs="Calibri"/>
                <w:noProof/>
              </w:rPr>
            </w:pPr>
            <w:r>
              <w:rPr>
                <w:noProof/>
              </w:rPr>
              <w:t>Atskaites punkts</w:t>
            </w:r>
          </w:p>
        </w:tc>
        <w:tc>
          <w:tcPr>
            <w:tcW w:w="1324" w:type="dxa"/>
            <w:shd w:val="clear" w:color="auto" w:fill="C6EFCE"/>
            <w:noWrap/>
          </w:tcPr>
          <w:p w14:paraId="4DCA11FC" w14:textId="0A604967" w:rsidR="00CB0FCB" w:rsidRDefault="009D2B11">
            <w:pPr>
              <w:pStyle w:val="P68B1DB1-Normal10"/>
              <w:spacing w:after="0"/>
              <w:jc w:val="both"/>
              <w:rPr>
                <w:rFonts w:cs="Calibri"/>
                <w:noProof/>
              </w:rPr>
            </w:pPr>
            <w:r>
              <w:rPr>
                <w:noProof/>
              </w:rPr>
              <w:t xml:space="preserve">MVU digitālā pārveide — </w:t>
            </w:r>
            <w:r>
              <w:rPr>
                <w:rFonts w:asciiTheme="minorHAnsi" w:eastAsiaTheme="minorEastAsia" w:hAnsiTheme="minorHAnsi" w:cstheme="minorBidi"/>
                <w:noProof/>
              </w:rPr>
              <w:t xml:space="preserve"> digitālo produktu un Gaia-X MVU centra izveide</w:t>
            </w:r>
          </w:p>
          <w:p w14:paraId="21ADED94" w14:textId="1E1132E6" w:rsidR="00CB0FCB" w:rsidRDefault="00CB0FCB">
            <w:pPr>
              <w:spacing w:after="0" w:line="240" w:lineRule="auto"/>
              <w:rPr>
                <w:noProof/>
                <w:color w:val="006100"/>
                <w:sz w:val="18"/>
                <w:szCs w:val="18"/>
              </w:rPr>
            </w:pPr>
          </w:p>
        </w:tc>
        <w:tc>
          <w:tcPr>
            <w:tcW w:w="1393" w:type="dxa"/>
            <w:shd w:val="clear" w:color="auto" w:fill="C6EFCE"/>
            <w:noWrap/>
          </w:tcPr>
          <w:p w14:paraId="24BC6C28" w14:textId="4A42D408" w:rsidR="00CB0FCB" w:rsidRDefault="009D2B11">
            <w:pPr>
              <w:pStyle w:val="P68B1DB1-Normal10"/>
              <w:spacing w:after="0" w:line="240" w:lineRule="auto"/>
              <w:rPr>
                <w:noProof/>
              </w:rPr>
            </w:pPr>
            <w:r>
              <w:rPr>
                <w:noProof/>
              </w:rPr>
              <w:t>Pabeigt vismaz 283 investīciju plānus tādu digitālo produktu īstenošanai, kas cita starpā vērsti uz mākoņdatošanas programmatūru un pakalpojumiem, kuri spēj izvērst mākoņdatošanas infrastruktūru, projekta “Rūpniecības datu platformas” ietvaros un Grieķijas Gaia-X MVU centra izveidi (2. apakšprojekts)</w:t>
            </w:r>
          </w:p>
        </w:tc>
        <w:tc>
          <w:tcPr>
            <w:tcW w:w="950" w:type="dxa"/>
            <w:shd w:val="clear" w:color="auto" w:fill="C6EFCE"/>
            <w:noWrap/>
          </w:tcPr>
          <w:p w14:paraId="619C149D" w14:textId="17DB627A" w:rsidR="00CB0FCB" w:rsidRDefault="00CB0FCB">
            <w:pPr>
              <w:spacing w:line="240" w:lineRule="auto"/>
              <w:rPr>
                <w:rFonts w:eastAsia="Times New Roman" w:cs="Calibri"/>
                <w:noProof/>
                <w:color w:val="006100"/>
                <w:sz w:val="18"/>
                <w:szCs w:val="18"/>
              </w:rPr>
            </w:pPr>
          </w:p>
        </w:tc>
        <w:tc>
          <w:tcPr>
            <w:tcW w:w="958" w:type="dxa"/>
            <w:shd w:val="clear" w:color="auto" w:fill="C6EFCE"/>
            <w:noWrap/>
          </w:tcPr>
          <w:p w14:paraId="6B093097" w14:textId="7AD0F04D" w:rsidR="00CB0FCB" w:rsidRDefault="00CB0FCB">
            <w:pPr>
              <w:spacing w:line="240" w:lineRule="auto"/>
              <w:rPr>
                <w:rFonts w:eastAsia="Times New Roman" w:cs="Calibri"/>
                <w:noProof/>
                <w:color w:val="006100"/>
                <w:sz w:val="18"/>
                <w:szCs w:val="18"/>
              </w:rPr>
            </w:pPr>
          </w:p>
        </w:tc>
        <w:tc>
          <w:tcPr>
            <w:tcW w:w="691" w:type="dxa"/>
            <w:shd w:val="clear" w:color="auto" w:fill="C6EFCE"/>
            <w:noWrap/>
          </w:tcPr>
          <w:p w14:paraId="2FD2D0F4" w14:textId="5339F9A0" w:rsidR="00CB0FCB" w:rsidRDefault="00CB0FCB">
            <w:pPr>
              <w:spacing w:line="240" w:lineRule="auto"/>
              <w:rPr>
                <w:rFonts w:eastAsia="Times New Roman" w:cs="Calibri"/>
                <w:noProof/>
                <w:color w:val="006100"/>
                <w:sz w:val="18"/>
                <w:szCs w:val="18"/>
              </w:rPr>
            </w:pPr>
          </w:p>
        </w:tc>
        <w:tc>
          <w:tcPr>
            <w:tcW w:w="1026" w:type="dxa"/>
            <w:shd w:val="clear" w:color="auto" w:fill="C6EFCE"/>
            <w:noWrap/>
          </w:tcPr>
          <w:p w14:paraId="3D4850EB" w14:textId="412D4581" w:rsidR="00CB0FCB" w:rsidRDefault="009D2B11">
            <w:pPr>
              <w:pStyle w:val="P68B1DB1-Normal10"/>
              <w:spacing w:line="240" w:lineRule="auto"/>
              <w:rPr>
                <w:noProof/>
              </w:rPr>
            </w:pPr>
            <w:r>
              <w:rPr>
                <w:noProof/>
              </w:rPr>
              <w:t>4. CET.</w:t>
            </w:r>
          </w:p>
        </w:tc>
        <w:tc>
          <w:tcPr>
            <w:tcW w:w="750" w:type="dxa"/>
            <w:shd w:val="clear" w:color="auto" w:fill="C6EFCE"/>
            <w:noWrap/>
          </w:tcPr>
          <w:p w14:paraId="66B2C572" w14:textId="7EDE00EA" w:rsidR="00CB0FCB" w:rsidRDefault="009D2B11">
            <w:pPr>
              <w:pStyle w:val="P68B1DB1-Normal10"/>
              <w:spacing w:line="240" w:lineRule="auto"/>
              <w:rPr>
                <w:noProof/>
              </w:rPr>
            </w:pPr>
            <w:r>
              <w:rPr>
                <w:noProof/>
              </w:rPr>
              <w:t>2025</w:t>
            </w:r>
          </w:p>
        </w:tc>
        <w:tc>
          <w:tcPr>
            <w:tcW w:w="3622" w:type="dxa"/>
            <w:shd w:val="clear" w:color="auto" w:fill="C6EFCE"/>
            <w:noWrap/>
          </w:tcPr>
          <w:p w14:paraId="34690676" w14:textId="23D9CA3B" w:rsidR="00CB0FCB" w:rsidRDefault="009D2B11">
            <w:pPr>
              <w:pStyle w:val="P68B1DB1-Normal10"/>
              <w:spacing w:after="0" w:line="240" w:lineRule="auto"/>
              <w:rPr>
                <w:noProof/>
              </w:rPr>
            </w:pPr>
            <w:r>
              <w:rPr>
                <w:noProof/>
              </w:rPr>
              <w:t>Vismaz 90 % pabeigšana, t. i., 283 investīciju plāni tādu digitālo produktu īstenošanai, kas cita starpā vērsti uz mākoņdatošanas programmatūru un pakalpojumiem, kuri spēj izvērst mākoņdatošanas infrastruktūru, projekta “Rūpniecības datu platformas” ietvaros, un Grieķijas Gaia-X MVU centra izveide (2. apakšprojekts).</w:t>
            </w:r>
          </w:p>
        </w:tc>
      </w:tr>
      <w:tr w:rsidR="00CB0FCB" w14:paraId="37C2BC0C" w14:textId="77777777">
        <w:trPr>
          <w:trHeight w:val="309"/>
          <w:jc w:val="center"/>
        </w:trPr>
        <w:tc>
          <w:tcPr>
            <w:tcW w:w="1237" w:type="dxa"/>
            <w:shd w:val="clear" w:color="auto" w:fill="C6EFCE"/>
            <w:noWrap/>
            <w:hideMark/>
          </w:tcPr>
          <w:p w14:paraId="76850D8C" w14:textId="77777777" w:rsidR="00CB0FCB" w:rsidRDefault="009D2B11">
            <w:pPr>
              <w:pStyle w:val="P68B1DB1-Normal9"/>
              <w:spacing w:after="0" w:line="240" w:lineRule="auto"/>
              <w:rPr>
                <w:rFonts w:eastAsia="Times New Roman" w:cs="Calibri"/>
                <w:noProof/>
                <w:szCs w:val="18"/>
              </w:rPr>
            </w:pPr>
            <w:r>
              <w:rPr>
                <w:noProof/>
              </w:rPr>
              <w:t>132</w:t>
            </w:r>
          </w:p>
        </w:tc>
        <w:tc>
          <w:tcPr>
            <w:tcW w:w="1774" w:type="dxa"/>
            <w:shd w:val="clear" w:color="auto" w:fill="C6EFCE"/>
            <w:noWrap/>
            <w:hideMark/>
          </w:tcPr>
          <w:p w14:paraId="6965BD93" w14:textId="2AECB5AF" w:rsidR="00CB0FCB" w:rsidRDefault="009D2B11">
            <w:pPr>
              <w:pStyle w:val="P68B1DB1-Normal9"/>
              <w:spacing w:after="0" w:line="240" w:lineRule="auto"/>
              <w:rPr>
                <w:rFonts w:eastAsia="Times New Roman" w:cs="Calibri"/>
                <w:noProof/>
                <w:szCs w:val="18"/>
              </w:rPr>
            </w:pPr>
            <w:r>
              <w:rPr>
                <w:noProof/>
              </w:rPr>
              <w:t>7–2.3. Uzņēmumu digitalizācija — 16973_Digitālās uzņēmējdarbības ekosistēmas izveide MVU digitālās pārveides veicināšanai</w:t>
            </w:r>
          </w:p>
        </w:tc>
        <w:tc>
          <w:tcPr>
            <w:tcW w:w="982" w:type="dxa"/>
            <w:shd w:val="clear" w:color="auto" w:fill="C6EFCE"/>
            <w:noWrap/>
            <w:hideMark/>
          </w:tcPr>
          <w:p w14:paraId="7F26AB3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08" w:type="dxa"/>
            <w:shd w:val="clear" w:color="auto" w:fill="C6EFCE"/>
            <w:noWrap/>
            <w:hideMark/>
          </w:tcPr>
          <w:p w14:paraId="0983054C" w14:textId="1A543998" w:rsidR="00CB0FCB" w:rsidRDefault="009D2B11">
            <w:pPr>
              <w:pStyle w:val="P68B1DB1-Normal9"/>
              <w:spacing w:after="0" w:line="240" w:lineRule="auto"/>
              <w:rPr>
                <w:rFonts w:eastAsia="Times New Roman" w:cs="Calibri"/>
                <w:noProof/>
                <w:szCs w:val="18"/>
              </w:rPr>
            </w:pPr>
            <w:r>
              <w:rPr>
                <w:noProof/>
              </w:rPr>
              <w:t>MVU digitālā pārveide — likumdošanas reforma tehnoloģiju ieviešanas stimulēšanai</w:t>
            </w:r>
          </w:p>
        </w:tc>
        <w:tc>
          <w:tcPr>
            <w:tcW w:w="1376" w:type="dxa"/>
            <w:shd w:val="clear" w:color="auto" w:fill="C6EFCE"/>
            <w:noWrap/>
            <w:hideMark/>
          </w:tcPr>
          <w:p w14:paraId="026EDD99" w14:textId="410F8C8F" w:rsidR="00CB0FCB" w:rsidRDefault="009D2B11">
            <w:pPr>
              <w:pStyle w:val="P68B1DB1-Normal9"/>
              <w:spacing w:after="0" w:line="240" w:lineRule="auto"/>
              <w:rPr>
                <w:rFonts w:eastAsia="Times New Roman" w:cs="Calibri"/>
                <w:noProof/>
                <w:szCs w:val="18"/>
              </w:rPr>
            </w:pPr>
            <w:r>
              <w:rPr>
                <w:noProof/>
              </w:rPr>
              <w:t xml:space="preserve">Stājas spēkā tiesību akti par e-tirgus un AI rūpnīcas “Pharos” izveidi. </w:t>
            </w:r>
          </w:p>
        </w:tc>
        <w:tc>
          <w:tcPr>
            <w:tcW w:w="950" w:type="dxa"/>
            <w:shd w:val="clear" w:color="auto" w:fill="C6EFCE"/>
            <w:noWrap/>
          </w:tcPr>
          <w:p w14:paraId="7237F7C4" w14:textId="77777777" w:rsidR="00CB0FCB" w:rsidRDefault="00CB0FCB">
            <w:pPr>
              <w:spacing w:after="0" w:line="240" w:lineRule="auto"/>
              <w:rPr>
                <w:rFonts w:eastAsia="Times New Roman" w:cs="Calibri"/>
                <w:noProof/>
                <w:color w:val="006100"/>
                <w:sz w:val="18"/>
                <w:szCs w:val="18"/>
              </w:rPr>
            </w:pPr>
          </w:p>
        </w:tc>
        <w:tc>
          <w:tcPr>
            <w:tcW w:w="958" w:type="dxa"/>
            <w:shd w:val="clear" w:color="auto" w:fill="C6EFCE"/>
            <w:noWrap/>
          </w:tcPr>
          <w:p w14:paraId="68291B74" w14:textId="77777777" w:rsidR="00CB0FCB" w:rsidRDefault="00CB0FCB">
            <w:pPr>
              <w:spacing w:after="0" w:line="240" w:lineRule="auto"/>
              <w:rPr>
                <w:rFonts w:eastAsia="Times New Roman" w:cs="Calibri"/>
                <w:noProof/>
                <w:color w:val="006100"/>
                <w:sz w:val="18"/>
                <w:szCs w:val="18"/>
              </w:rPr>
            </w:pPr>
          </w:p>
        </w:tc>
        <w:tc>
          <w:tcPr>
            <w:tcW w:w="691" w:type="dxa"/>
            <w:shd w:val="clear" w:color="auto" w:fill="C6EFCE"/>
            <w:noWrap/>
          </w:tcPr>
          <w:p w14:paraId="0C0F2EA6" w14:textId="77777777" w:rsidR="00CB0FCB" w:rsidRDefault="00CB0FCB">
            <w:pPr>
              <w:spacing w:after="0" w:line="240" w:lineRule="auto"/>
              <w:rPr>
                <w:rFonts w:eastAsia="Times New Roman" w:cs="Calibri"/>
                <w:noProof/>
                <w:color w:val="006100"/>
                <w:sz w:val="18"/>
                <w:szCs w:val="18"/>
              </w:rPr>
            </w:pPr>
          </w:p>
        </w:tc>
        <w:tc>
          <w:tcPr>
            <w:tcW w:w="1026" w:type="dxa"/>
            <w:shd w:val="clear" w:color="auto" w:fill="C6EFCE"/>
            <w:noWrap/>
            <w:hideMark/>
          </w:tcPr>
          <w:p w14:paraId="3D7D534C" w14:textId="77777777" w:rsidR="00CB0FCB" w:rsidRDefault="009D2B11">
            <w:pPr>
              <w:pStyle w:val="P68B1DB1-Normal9"/>
              <w:spacing w:after="0" w:line="240" w:lineRule="auto"/>
              <w:rPr>
                <w:rFonts w:eastAsia="Times New Roman" w:cs="Calibri"/>
                <w:noProof/>
                <w:szCs w:val="18"/>
              </w:rPr>
            </w:pPr>
            <w:r>
              <w:rPr>
                <w:noProof/>
              </w:rPr>
              <w:t>2. CET.</w:t>
            </w:r>
          </w:p>
        </w:tc>
        <w:tc>
          <w:tcPr>
            <w:tcW w:w="750" w:type="dxa"/>
            <w:shd w:val="clear" w:color="auto" w:fill="C6EFCE"/>
            <w:noWrap/>
            <w:hideMark/>
          </w:tcPr>
          <w:p w14:paraId="0BF15EE8" w14:textId="77777777" w:rsidR="00CB0FCB" w:rsidRDefault="009D2B11">
            <w:pPr>
              <w:pStyle w:val="P68B1DB1-Normal9"/>
              <w:spacing w:after="0" w:line="240" w:lineRule="auto"/>
              <w:rPr>
                <w:rFonts w:eastAsia="Times New Roman" w:cs="Calibri"/>
                <w:noProof/>
                <w:szCs w:val="18"/>
              </w:rPr>
            </w:pPr>
            <w:r>
              <w:rPr>
                <w:noProof/>
              </w:rPr>
              <w:t>2025</w:t>
            </w:r>
          </w:p>
        </w:tc>
        <w:tc>
          <w:tcPr>
            <w:tcW w:w="3622" w:type="dxa"/>
            <w:shd w:val="clear" w:color="auto" w:fill="C6EFCE"/>
            <w:noWrap/>
            <w:hideMark/>
          </w:tcPr>
          <w:p w14:paraId="45D2AB05" w14:textId="79EDE80A" w:rsidR="00CB0FCB" w:rsidRDefault="009D2B11">
            <w:pPr>
              <w:pStyle w:val="P68B1DB1-Normal10"/>
              <w:spacing w:after="0" w:line="240" w:lineRule="auto"/>
              <w:rPr>
                <w:rFonts w:eastAsia="Times New Roman" w:cs="Calibri"/>
                <w:noProof/>
              </w:rPr>
            </w:pPr>
            <w:r>
              <w:rPr>
                <w:noProof/>
              </w:rPr>
              <w:t xml:space="preserve">Apzināt un īstenot darbības tādas digitālās uzņēmējdarbības ekosistēmas izveidei, kas veicina MVU digitālo pārveidi, stājoties spēkā tiesiskajam regulējumam attiecībā uz a) e-tirgus izveidi digitālo rīku un procesu piegādes un īstenošanas finansēšanai un b) juridiskas personas izveidi MI Pharos pārvaldībai un publiskā sektora struktūru sniegto datu pārvaldībai ar mērķi atvieglot MVU to izmantošanu.  </w:t>
            </w:r>
          </w:p>
          <w:p w14:paraId="3DF7B642" w14:textId="77777777" w:rsidR="00CB0FCB" w:rsidRDefault="00CB0FCB">
            <w:pPr>
              <w:spacing w:after="0" w:line="240" w:lineRule="auto"/>
              <w:rPr>
                <w:rFonts w:eastAsia="Times New Roman" w:cs="Calibri"/>
                <w:noProof/>
                <w:color w:val="006100"/>
                <w:sz w:val="18"/>
                <w:szCs w:val="18"/>
              </w:rPr>
            </w:pPr>
          </w:p>
          <w:p w14:paraId="3D351065" w14:textId="2267A2B8" w:rsidR="00CB0FCB" w:rsidRDefault="00CB0FCB">
            <w:pPr>
              <w:spacing w:after="0" w:line="240" w:lineRule="auto"/>
              <w:rPr>
                <w:rFonts w:eastAsia="Times New Roman" w:cs="Calibri"/>
                <w:noProof/>
                <w:color w:val="006100"/>
                <w:sz w:val="18"/>
                <w:szCs w:val="18"/>
              </w:rPr>
            </w:pPr>
          </w:p>
        </w:tc>
      </w:tr>
    </w:tbl>
    <w:p w14:paraId="697C8421" w14:textId="77777777" w:rsidR="00CB0FCB" w:rsidRDefault="00CB0FCB">
      <w:pPr>
        <w:spacing w:before="120" w:after="120" w:line="240" w:lineRule="auto"/>
        <w:jc w:val="both"/>
        <w:outlineLvl w:val="3"/>
        <w:rPr>
          <w:rFonts w:ascii="Times New Roman" w:hAnsi="Times New Roman" w:cs="Times New Roman"/>
          <w:b/>
          <w:bCs/>
          <w:noProof/>
          <w:sz w:val="24"/>
        </w:rPr>
        <w:sectPr w:rsidR="00CB0FCB" w:rsidSect="00271D33">
          <w:headerReference w:type="even" r:id="rId127"/>
          <w:headerReference w:type="default" r:id="rId128"/>
          <w:footerReference w:type="even" r:id="rId129"/>
          <w:footerReference w:type="default" r:id="rId130"/>
          <w:headerReference w:type="first" r:id="rId131"/>
          <w:footerReference w:type="first" r:id="rId132"/>
          <w:pgSz w:w="16839" w:h="11907" w:orient="landscape"/>
          <w:pgMar w:top="1417" w:right="1134" w:bottom="1417" w:left="1134" w:header="709" w:footer="359" w:gutter="0"/>
          <w:cols w:space="720"/>
          <w:docGrid w:linePitch="360"/>
        </w:sectPr>
      </w:pPr>
    </w:p>
    <w:p w14:paraId="54AEAF23" w14:textId="7CDA2F60" w:rsidR="00CB0FCB" w:rsidRDefault="009D2B11">
      <w:pPr>
        <w:pStyle w:val="P68B1DB1-Normal2"/>
        <w:spacing w:before="120" w:after="120" w:line="240" w:lineRule="auto"/>
        <w:ind w:firstLine="6"/>
        <w:jc w:val="both"/>
        <w:outlineLvl w:val="3"/>
        <w:rPr>
          <w:noProof/>
        </w:rPr>
      </w:pPr>
      <w:r>
        <w:rPr>
          <w:noProof/>
        </w:rPr>
        <w:t>H. 3.1. KOMPONENTS: VEICINĀT DARBVIETU RADĪŠANU UN LĪDZDALĪBU DARBA TIRGŪ</w:t>
      </w:r>
    </w:p>
    <w:p w14:paraId="4C81C45B" w14:textId="77777777" w:rsidR="00CB0FCB" w:rsidRDefault="009D2B11">
      <w:pPr>
        <w:pStyle w:val="P68B1DB1-Normal11"/>
        <w:spacing w:before="120" w:after="120" w:line="240" w:lineRule="auto"/>
        <w:jc w:val="both"/>
        <w:rPr>
          <w:rFonts w:ascii="Times New Roman" w:hAnsi="Times New Roman" w:cs="Times New Roman"/>
          <w:noProof/>
          <w:color w:val="000000"/>
          <w:szCs w:val="24"/>
          <w:shd w:val="clear" w:color="auto" w:fill="FFFFFF"/>
        </w:rPr>
      </w:pPr>
      <w:r>
        <w:rPr>
          <w:rFonts w:ascii="Times New Roman" w:hAnsi="Times New Roman"/>
          <w:noProof/>
          <w:color w:val="000000"/>
          <w:shd w:val="clear" w:color="auto" w:fill="FFFFFF"/>
        </w:rPr>
        <w:t>Šis</w:t>
      </w:r>
      <w:r>
        <w:rPr>
          <w:rFonts w:ascii="Times New Roman" w:hAnsi="Times New Roman"/>
          <w:noProof/>
          <w:color w:val="000000"/>
        </w:rPr>
        <w:t>Grieķijas atveseļošanas un noturības plāna komponents</w:t>
      </w:r>
      <w:r>
        <w:rPr>
          <w:rFonts w:ascii="Times New Roman" w:hAnsi="Times New Roman"/>
          <w:noProof/>
          <w:color w:val="000000"/>
          <w:shd w:val="clear" w:color="auto" w:fill="FFFFFF"/>
        </w:rPr>
        <w:t xml:space="preserve"> ietver pasākumus, kuru mērķis ir pārveidot un stiprināt aktīvu darba tirgus politiku, uzlabot valsts nodarbinātības dienestu efektivitāti un nodrošināt efektīvu drošības tīklu bezdarba novēršanai, vienlaikus stiprinot stimulus atgriezties darba tirgū.</w:t>
      </w:r>
      <w:r>
        <w:rPr>
          <w:rFonts w:ascii="Times New Roman" w:hAnsi="Times New Roman"/>
          <w:b/>
          <w:noProof/>
          <w:color w:val="000000"/>
          <w:shd w:val="clear" w:color="auto" w:fill="FFFFFF"/>
        </w:rPr>
        <w:t xml:space="preserve"> </w:t>
      </w:r>
      <w:r>
        <w:rPr>
          <w:rFonts w:ascii="Times New Roman" w:hAnsi="Times New Roman"/>
          <w:noProof/>
          <w:color w:val="000000"/>
          <w:shd w:val="clear" w:color="auto" w:fill="FFFFFF"/>
        </w:rPr>
        <w:t xml:space="preserve">Lielākā daļa komponentpasākumu ir koncentrēti uz aktīvu darba tirgus politiku, </w:t>
      </w:r>
      <w:r>
        <w:rPr>
          <w:rFonts w:ascii="Times New Roman" w:hAnsi="Times New Roman"/>
          <w:noProof/>
        </w:rPr>
        <w:t>tostarp aktivizēšanas programmām, kas subsidē nodarbinātību privātajā sektorā un veicina darbaspēka prasmju pilnveidi un pārkvalifikāciju, kā arī investīcijas, lai palielinātu valsts nodarbinātības dienesta (OAED līdz 2022. gada 18. aprīlim, DYPA pēc tam) spējas, izmantojot uzlabotus digitalizācijas un konsultāciju pakalpojumus.</w:t>
      </w:r>
      <w:r>
        <w:rPr>
          <w:rFonts w:ascii="Times New Roman" w:hAnsi="Times New Roman"/>
          <w:noProof/>
          <w:color w:val="000000"/>
          <w:shd w:val="clear" w:color="auto" w:fill="FFFFFF"/>
        </w:rPr>
        <w:t xml:space="preserve"> Saskaņā ar Pasīvās darba tirgus politikas reformu plāna </w:t>
      </w:r>
      <w:r>
        <w:rPr>
          <w:rFonts w:ascii="Times New Roman" w:hAnsi="Times New Roman"/>
          <w:noProof/>
        </w:rPr>
        <w:t>mērķis ir uzlabot bezdarbnieka pabalstu segumu un sadali, stiprināt sociālās drošības tīklu, veicināt dalību darba tirgū, tostarp starp neaizsargātām grupām, un uzlabot sociālās aizsardzības sistēmas efektivitāti un lietderību.</w:t>
      </w:r>
      <w:r>
        <w:rPr>
          <w:rFonts w:ascii="Times New Roman" w:hAnsi="Times New Roman"/>
          <w:noProof/>
          <w:color w:val="000000"/>
          <w:shd w:val="clear" w:color="auto" w:fill="FFFFFF"/>
        </w:rPr>
        <w:t xml:space="preserve"> Komponents atbilst konkrētai valstij adresētajiem ieteikumiem nodrošināt efektīvu atbalstu darba tirgus aktivizēšanai, ieguldīt prasmēs un nodarbināmībā un uzlabot valsts pārvaldes digitalizāciju (2020. gada</w:t>
      </w:r>
      <w:r>
        <w:rPr>
          <w:rFonts w:ascii="16747" w:hAnsi="16747"/>
          <w:noProof/>
          <w:color w:val="000000"/>
          <w:shd w:val="clear" w:color="auto" w:fill="FFFFFF"/>
        </w:rPr>
        <w:t>konkrētai</w:t>
      </w:r>
      <w:r>
        <w:rPr>
          <w:rFonts w:ascii="Times New Roman" w:hAnsi="Times New Roman"/>
          <w:noProof/>
        </w:rPr>
        <w:t>valstij adresētais</w:t>
      </w:r>
      <w:r>
        <w:rPr>
          <w:rFonts w:ascii="Times New Roman" w:hAnsi="Times New Roman"/>
          <w:noProof/>
          <w:color w:val="000000"/>
          <w:shd w:val="clear" w:color="auto" w:fill="FFFFFF"/>
        </w:rPr>
        <w:t xml:space="preserve"> ieteikums Nr. 2 un Nr. 3 un 2019. gada konkrētai valstij adresētais ieteikums Nr. 2). Turklāt, koncentrējoties uz prasmju un nodarbinātības veicināšanu digitālajā un zaļajā nozarē, komponents atbalsta digitālo un zaļo pārkārtošanos. </w:t>
      </w:r>
      <w:r>
        <w:rPr>
          <w:rFonts w:ascii="Times New Roman" w:hAnsi="Times New Roman"/>
          <w:noProof/>
        </w:rPr>
        <w:t xml:space="preserve">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 </w:t>
      </w:r>
    </w:p>
    <w:p w14:paraId="2956AD74" w14:textId="77777777" w:rsidR="00CB0FCB" w:rsidRDefault="009D2B11">
      <w:pPr>
        <w:pStyle w:val="P68B1DB1-Normal25"/>
        <w:spacing w:before="120" w:after="120" w:line="240" w:lineRule="auto"/>
        <w:jc w:val="both"/>
        <w:rPr>
          <w:rFonts w:cs="Times New Roman"/>
          <w:bCs/>
          <w:i/>
          <w:iCs/>
          <w:noProof/>
          <w:color w:val="4F81BD"/>
        </w:rPr>
      </w:pPr>
      <w:r>
        <w:rPr>
          <w:noProof/>
        </w:rPr>
        <w:t>H.1. Reformu un investīciju apraksts neatmaksājamam finansiālajam atbalstam</w:t>
      </w:r>
    </w:p>
    <w:p w14:paraId="7D48FF2C" w14:textId="77777777" w:rsidR="00CB0FCB" w:rsidRDefault="009D2B11">
      <w:pPr>
        <w:pStyle w:val="P68B1DB1-Normal4"/>
        <w:spacing w:before="120" w:after="120" w:line="240" w:lineRule="auto"/>
        <w:jc w:val="both"/>
        <w:rPr>
          <w:rFonts w:cs="Times New Roman"/>
          <w:noProof/>
        </w:rPr>
      </w:pPr>
      <w:r>
        <w:rPr>
          <w:b/>
          <w:noProof/>
        </w:rPr>
        <w:t xml:space="preserve">Reforma: Darba tiesību </w:t>
      </w:r>
      <w:r>
        <w:rPr>
          <w:noProof/>
        </w:rPr>
        <w:t>modernizācija un vienkāršošana (ID pasākums: 16744)</w:t>
      </w:r>
    </w:p>
    <w:p w14:paraId="7472387D" w14:textId="77777777" w:rsidR="00CB0FCB" w:rsidRDefault="009D2B11">
      <w:pPr>
        <w:pStyle w:val="P68B1DB1-Normal4"/>
        <w:spacing w:before="120" w:after="120" w:line="240" w:lineRule="auto"/>
        <w:jc w:val="both"/>
        <w:rPr>
          <w:rFonts w:cs="Times New Roman"/>
          <w:noProof/>
        </w:rPr>
      </w:pPr>
      <w:r>
        <w:rPr>
          <w:noProof/>
        </w:rPr>
        <w:t>Reforma ietver visaptveroša darba likuma stāšanos spēkā, kas racionalizēs galvenos darba tirgus aspektus, lai uzlabotu tā darbību. Reformas mērķis jo īpaši ir modernizēt a) likumu par individuālo darbu, b) likumu par kolektīvo darbu un arodbiedrību likumu, c) Darba ministrijas ERGANI IT sistēmu, ko izmanto, lai uzraudzītu darba tirgu un atklātu nedeklarētu un nepietiekami deklarētu darbu, un d) darba un privātās dzīves līdzsvara sistēmu. Reformas vispārējie mērķi ir palielināt darbvietu radīšanu un konkurētspēju, cīnīties pret nedeklarētu un nepietiekami deklarētu darbu, uzlabot darba un privātās dzīves līdzsvaru un mazināt dzimumu nodarbinātības atšķirības. Reformas īstenošanu pabeidz līdz 2021. gada 30. septembrim</w:t>
      </w:r>
      <w:r>
        <w:rPr>
          <w:i/>
          <w:noProof/>
        </w:rPr>
        <w:t>.</w:t>
      </w:r>
    </w:p>
    <w:p w14:paraId="5CEDF6D7"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Darbaspēka sistēmu digitālā pārveide (pasākuma ID: 16750)</w:t>
      </w:r>
    </w:p>
    <w:p w14:paraId="30237172" w14:textId="336B9B5B" w:rsidR="00CB0FCB" w:rsidRDefault="009D2B11">
      <w:pPr>
        <w:pStyle w:val="P68B1DB1-Normal4"/>
        <w:spacing w:before="120" w:after="120" w:line="240" w:lineRule="auto"/>
        <w:jc w:val="both"/>
        <w:rPr>
          <w:rFonts w:cs="Times New Roman"/>
          <w:noProof/>
          <w:szCs w:val="24"/>
        </w:rPr>
      </w:pPr>
      <w:r>
        <w:rPr>
          <w:noProof/>
        </w:rPr>
        <w:t>Investīcijas ir vērstas uz to, lai modernizētu valsts pārvaldes spēju piedāvāt labākus un ātrākus pakalpojumus darba ņēmējiem un darba devējiem nolūkā samazināt birokrātiju, uzlabot darba tirgus uzraudzības mehānismu efektivitāti, samazināt nedeklarētu un nedeklarētu darbu un iegūt savlaicīgus un precīzus datus. Proti, investīcija ietver e-EFKA (Vienotā sociālā nodrošinājuma fonda) digitālās infrastruktūras, tostarp Digitālās pensiju piešķiršanas sistēmas (ATLAS), modernizāciju un atšķirīgu IT sistēmu (ERGANI, EFKA un SEPE) starpsavienojumu vienotā sistēmā (ARIADNE). Visbeidzot, investīcija ietver integrētas IT sistēmas izveidi darba aizsardzības jautājumos (HERIDANOS). Investīciju īstenošanu pabeidz līdz 2025. gada 31. decembrim.</w:t>
      </w:r>
    </w:p>
    <w:p w14:paraId="1A0F0599" w14:textId="77777777" w:rsidR="00CB0FCB" w:rsidRDefault="009D2B11">
      <w:pPr>
        <w:pStyle w:val="P68B1DB1-Normal4"/>
        <w:rPr>
          <w:b/>
          <w:noProof/>
        </w:rPr>
      </w:pPr>
      <w:r>
        <w:rPr>
          <w:noProof/>
        </w:rPr>
        <w:br w:type="page"/>
      </w:r>
    </w:p>
    <w:p w14:paraId="5AC3E600" w14:textId="68FF027B" w:rsidR="00CB0FCB" w:rsidRDefault="009D2B11">
      <w:pPr>
        <w:pStyle w:val="P68B1DB1-Normal4"/>
        <w:spacing w:before="120" w:after="120" w:line="240" w:lineRule="auto"/>
        <w:jc w:val="both"/>
        <w:rPr>
          <w:rFonts w:cs="Times New Roman"/>
          <w:noProof/>
        </w:rPr>
      </w:pPr>
      <w:r>
        <w:rPr>
          <w:b/>
          <w:noProof/>
        </w:rPr>
        <w:t>Reforma:</w:t>
      </w:r>
      <w:r>
        <w:rPr>
          <w:noProof/>
        </w:rPr>
        <w:t xml:space="preserve"> Aktīvas darba tirgus politikas reforma (pasākums ID: 16747)</w:t>
      </w:r>
    </w:p>
    <w:p w14:paraId="285B61B2" w14:textId="45057583" w:rsidR="00CB0FCB" w:rsidRDefault="009D2B11">
      <w:pPr>
        <w:pStyle w:val="P68B1DB1-Normal5"/>
        <w:spacing w:before="120" w:after="120" w:line="240" w:lineRule="auto"/>
        <w:jc w:val="both"/>
        <w:rPr>
          <w:rFonts w:cs="Times New Roman"/>
          <w:noProof/>
        </w:rPr>
      </w:pPr>
      <w:r>
        <w:rPr>
          <w:noProof/>
        </w:rPr>
        <w:t xml:space="preserve">Aktīvas darba tirgus politikas (ADTP) reformas mērķis ir maksimāli palielināt tās efektivitāti, pārveidojot un stiprinot algu subsīdiju programmas un pakāpeniski pārejot uz jaunu ADTP īstenošanas modeli. Reforma ir saistīta ar ievērojamām investīcijām. Tās jo īpaši ietver </w:t>
      </w:r>
      <w:r>
        <w:rPr>
          <w:noProof/>
          <w:color w:val="000000"/>
          <w:shd w:val="clear" w:color="auto" w:fill="FFFFFF"/>
        </w:rPr>
        <w:t>a) piecas mērķtiecīgas īstermiņa programmas, ar kurām subsidē nodarbinātību privātajā sektorā 41500 bezdarbnieku (tostarp programmu, kurā apvienota apmācība un nodarbinātības atbalsts), b)</w:t>
      </w:r>
      <w:r>
        <w:rPr>
          <w:noProof/>
          <w:color w:val="000000" w:themeColor="text1"/>
        </w:rPr>
        <w:t xml:space="preserve"> </w:t>
      </w:r>
      <w:r>
        <w:rPr>
          <w:noProof/>
          <w:color w:val="000000"/>
          <w:shd w:val="clear" w:color="auto" w:fill="FFFFFF"/>
        </w:rPr>
        <w:t xml:space="preserve">jaunā atvērtā satvara īstenošanas modeļa ieviešanu </w:t>
      </w:r>
      <w:r>
        <w:rPr>
          <w:noProof/>
          <w:color w:val="000000" w:themeColor="text1"/>
        </w:rPr>
        <w:t xml:space="preserve">aktīva darba tirgus politikas jomā (kur 8000 dalībniekiem </w:t>
      </w:r>
      <w:r>
        <w:rPr>
          <w:noProof/>
          <w:color w:val="000000"/>
          <w:shd w:val="clear" w:color="auto" w:fill="FFFFFF"/>
        </w:rPr>
        <w:t xml:space="preserve"> piedāvā apmācības programmas, 7000 dalībniekiem piedāvā nodarbinātības subsīdijas un 850 dalībniekiem piedāvā uzņēmējdarbības subsīdijas), c) Valsts nodarbinātības dienesta konsultāciju personāla pagaidu uzlabošanu (600 papildu padomdevēji uz četriem gadiem) un d) konsultāciju personāla apmācību. </w:t>
      </w:r>
      <w:r>
        <w:rPr>
          <w:noProof/>
        </w:rPr>
        <w:t>Īpaša piešķirto dotāciju daļa veicina zaļās prasmes un darbvietas zaļajā ekonomikā. Reformas un investīciju īstenošanu pabeidz līdz 2025. gada 31. decembrim.</w:t>
      </w:r>
    </w:p>
    <w:p w14:paraId="54BFBF62"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Pasīvas darba tirgus politikas reforma, lai atbalstītu pāreju uz nodarbinātību (ID pasākums: 16746)</w:t>
      </w:r>
    </w:p>
    <w:p w14:paraId="5B1DE4A6" w14:textId="1200C07D" w:rsidR="00CB0FCB" w:rsidRDefault="009D2B11">
      <w:pPr>
        <w:pStyle w:val="P68B1DB1-Normal4"/>
        <w:spacing w:before="120" w:after="120" w:line="240" w:lineRule="auto"/>
        <w:jc w:val="both"/>
        <w:rPr>
          <w:rFonts w:cs="Times New Roman"/>
          <w:noProof/>
          <w:szCs w:val="24"/>
        </w:rPr>
      </w:pPr>
      <w:r>
        <w:rPr>
          <w:noProof/>
          <w:szCs w:val="24"/>
        </w:rPr>
        <w:t xml:space="preserve">Reforma </w:t>
      </w:r>
      <w:r>
        <w:rPr>
          <w:noProof/>
          <w:color w:val="000000"/>
          <w:szCs w:val="24"/>
          <w:shd w:val="clear" w:color="auto" w:fill="FFFFFF"/>
        </w:rPr>
        <w:t xml:space="preserve">ietver </w:t>
      </w:r>
      <w:r>
        <w:rPr>
          <w:noProof/>
          <w:color w:val="000000" w:themeColor="text1"/>
          <w:szCs w:val="24"/>
        </w:rPr>
        <w:t>vienu</w:t>
      </w:r>
      <w:r>
        <w:rPr>
          <w:noProof/>
          <w:color w:val="000000"/>
          <w:szCs w:val="24"/>
          <w:shd w:val="clear" w:color="auto" w:fill="FFFFFF"/>
        </w:rPr>
        <w:t xml:space="preserve"> izmēģinājuma projektu bezdarba apdrošināšanas sistēmas reformai. Projektā pārbauda </w:t>
      </w:r>
      <w:r>
        <w:rPr>
          <w:noProof/>
          <w:color w:val="000000" w:themeColor="text1"/>
          <w:szCs w:val="24"/>
        </w:rPr>
        <w:t>kombinētā</w:t>
      </w:r>
      <w:r>
        <w:rPr>
          <w:noProof/>
          <w:color w:val="000000" w:themeColor="text1"/>
        </w:rPr>
        <w:t xml:space="preserve"> </w:t>
      </w:r>
      <w:r>
        <w:rPr>
          <w:noProof/>
          <w:color w:val="000000"/>
          <w:szCs w:val="24"/>
          <w:shd w:val="clear" w:color="auto" w:fill="FFFFFF"/>
        </w:rPr>
        <w:t>bezdarbnieka pabalsta</w:t>
      </w:r>
      <w:r>
        <w:rPr>
          <w:noProof/>
          <w:color w:val="000000" w:themeColor="text1"/>
        </w:rPr>
        <w:t>indeksācijas ietekmi uz darba tirgu</w:t>
      </w:r>
      <w:r>
        <w:rPr>
          <w:noProof/>
          <w:color w:val="000000"/>
          <w:szCs w:val="24"/>
          <w:shd w:val="clear" w:color="auto" w:fill="FFFFFF"/>
        </w:rPr>
        <w:t xml:space="preserve"> līdz pēdējam </w:t>
      </w:r>
      <w:r>
        <w:rPr>
          <w:noProof/>
          <w:color w:val="000000" w:themeColor="text1"/>
          <w:szCs w:val="24"/>
        </w:rPr>
        <w:t xml:space="preserve">dienas </w:t>
      </w:r>
      <w:r>
        <w:rPr>
          <w:noProof/>
          <w:color w:val="000000"/>
          <w:szCs w:val="24"/>
          <w:shd w:val="clear" w:color="auto" w:fill="FFFFFF"/>
        </w:rPr>
        <w:t>neto algas līmenim. Turklāt plānā ir iekļautas nulles izmaksu reformas, kuru mērķis ir a) vēl vairāk uzlabot savstarpējo saistību satvaru, ko pašlaik piemēro starp valsts nodarbinātības dienestu un darba meklētājiem, b) konsolidēt un racionalizēt bezdarbnieka pabalstus un pabalstus, lai uzlabotu publisko izdevumu efektivitāti, un c) novērst šķēršļus, kas kavē bezdarbnieku prasmju pilnveidi/pārkvalificēšanu, saglabājot viņu tiesības uz bezdarbnieka pabalstiem, kamēr viņi piedalās apmācībā.</w:t>
      </w:r>
      <w:r>
        <w:rPr>
          <w:noProof/>
          <w:szCs w:val="24"/>
        </w:rPr>
        <w:t xml:space="preserve"> Reformas īstenošanu pabeidz līdz 2025. gada 31. decembrim.</w:t>
      </w:r>
    </w:p>
    <w:p w14:paraId="24D98A2D" w14:textId="7D7A0531" w:rsidR="00CB0FCB" w:rsidRDefault="009D2B11">
      <w:pPr>
        <w:pStyle w:val="P68B1DB1-Normal4"/>
        <w:spacing w:before="120" w:after="120" w:line="240" w:lineRule="auto"/>
        <w:jc w:val="both"/>
        <w:rPr>
          <w:rFonts w:cs="Times New Roman"/>
          <w:noProof/>
          <w:szCs w:val="24"/>
        </w:rPr>
      </w:pPr>
      <w:r>
        <w:rPr>
          <w:b/>
          <w:noProof/>
        </w:rPr>
        <w:t>Ieguldījums:</w:t>
      </w:r>
      <w:r>
        <w:rPr>
          <w:noProof/>
        </w:rPr>
        <w:t xml:space="preserve"> DYPA vietējo nodarbinātības veicināšanas filiāļu (KPA2) pārstrukturēšana un pārmarķēšana (ID pasākums: 16941)</w:t>
      </w:r>
    </w:p>
    <w:p w14:paraId="489699F8" w14:textId="4D262A80" w:rsidR="00CB0FCB" w:rsidRDefault="009D2B11">
      <w:pPr>
        <w:spacing w:before="120" w:after="120" w:line="240" w:lineRule="auto"/>
        <w:jc w:val="both"/>
        <w:rPr>
          <w:rFonts w:cs="Calibri"/>
          <w:noProof/>
          <w:color w:val="000000"/>
          <w:shd w:val="clear" w:color="auto" w:fill="FFFFFF"/>
        </w:rPr>
      </w:pPr>
      <w:r>
        <w:rPr>
          <w:rFonts w:ascii="Times New Roman" w:hAnsi="Times New Roman"/>
          <w:noProof/>
          <w:sz w:val="24"/>
        </w:rPr>
        <w:t>Investīcijas mērķis ir reformēt Grieķijas valsts nodarbinātības dienestu (DYPA), lai uzlabotu tā pakalpojumu kvalitāti, kā arī tā vispārējo kapacitāti un efektivitāti. Ieguldījums ietver a) valsts nodarbinātības dienesta (DYPA) organizatorisko reformu, atjauninot tā pārvaldības modeli un izveidojot jaunu organizatorisko shēmu un finanšu pārvaldības sistēmu; DYPA 40 vietējo filiāļu pārveide un ēku renovācija nodarbinātības veicināšanai (KPA2), no jauna koncentrējoties uz pielāgotiem piemeklēšanas pakalpojumiem, uzlabotām konsultācijām un informēšanu; jauna DYPA komunikācijas stratēģija; klientu apkalpošanas kvalitātes kontroles mehānismu uzlabošana, mērot un uzraugot efektivitātes, lietderības, produktivitātes un klientu apmierinātības aspektus; e) jaunu profilēšanas un konsultāciju pakalpojumu veidu ieviešana.</w:t>
      </w:r>
      <w:r>
        <w:rPr>
          <w:noProof/>
          <w:color w:val="000000"/>
          <w:shd w:val="clear" w:color="auto" w:fill="FFFFFF"/>
        </w:rPr>
        <w:t xml:space="preserve"> </w:t>
      </w:r>
      <w:r>
        <w:rPr>
          <w:rFonts w:ascii="Times New Roman" w:hAnsi="Times New Roman"/>
          <w:noProof/>
          <w:sz w:val="24"/>
        </w:rPr>
        <w:t>Investīciju īstenošanu pabeidz līdz 2025. gada 31. decembrim.</w:t>
      </w:r>
    </w:p>
    <w:p w14:paraId="549D8CB8" w14:textId="77777777" w:rsidR="00CB0FCB" w:rsidRDefault="009D2B11">
      <w:pPr>
        <w:pStyle w:val="P68B1DB1-Normal5"/>
        <w:spacing w:before="120" w:after="120" w:line="240" w:lineRule="auto"/>
        <w:jc w:val="both"/>
        <w:rPr>
          <w:rFonts w:cs="Times New Roman"/>
          <w:noProof/>
        </w:rPr>
      </w:pPr>
      <w:r>
        <w:rPr>
          <w:b/>
          <w:noProof/>
        </w:rPr>
        <w:t>Ieguldījums:</w:t>
      </w:r>
      <w:r>
        <w:rPr>
          <w:noProof/>
        </w:rPr>
        <w:t xml:space="preserve"> Valsts nodarbinātības dienesta (DYPA) digitālā pārveide (pasākums ID: 16942)</w:t>
      </w:r>
    </w:p>
    <w:p w14:paraId="3B2C4F94" w14:textId="6AADDFF6" w:rsidR="00CB0FCB" w:rsidRDefault="009D2B11">
      <w:pPr>
        <w:pStyle w:val="P68B1DB1-Normal5"/>
        <w:spacing w:before="120" w:after="120" w:line="240" w:lineRule="auto"/>
        <w:jc w:val="both"/>
        <w:rPr>
          <w:noProof/>
        </w:rPr>
      </w:pPr>
      <w:r>
        <w:rPr>
          <w:noProof/>
        </w:rPr>
        <w:t xml:space="preserve">Investīcija ir vērsta uz valsts nodarbinātības dienesta (DYPA) digitālo pārveidi, lai palielinātu piedāvāto pakalpojumu efektivitāti. Proti, investīcija paredz DYPA arhīvu digitalizāciju, glabāšanu un iesniegšanu, vairāku jaunu IT sistēmu — gan tīmekļa, gan vietējo lietojumprogrammu — iegādi, ko veic DYPA, un dažu tā pašreizējo operētājsistēmu pārveidošanu. Investīcija ietver arī a) </w:t>
      </w:r>
      <w:r>
        <w:rPr>
          <w:noProof/>
          <w:color w:val="000000" w:themeColor="text1"/>
        </w:rPr>
        <w:t>digitālo pakalpojumu paplašināšanu (izmantojot DYPAapp)</w:t>
      </w:r>
      <w:r>
        <w:rPr>
          <w:noProof/>
        </w:rPr>
        <w:t>, kas ļauj DYPA sniegt e-pakalpojumus bezdarbniekiem un uzņēmumiem, izmantojot mobilos tālruņus un planšetdatorus, un b) tāda rīka izveidi, kas palīdzētu DYPA optimizēt darbaspēka piedāvājuma un pieprasījuma piemeklēšanas procesu. Iepriekš minētā ieguldījuma mērķis ir uzlabot datu pārvaldības un lēmumu pieņemšanas sistēmu, maksimāli palielināt resursus un palielināt klientu apmierinātību. Investīciju īstenošanu pabeidz līdz 2025. gada 31. decembrim.</w:t>
      </w:r>
    </w:p>
    <w:p w14:paraId="03C53DEE" w14:textId="77777777" w:rsidR="00CB0FCB" w:rsidRDefault="00CB0FCB">
      <w:pPr>
        <w:pStyle w:val="paragraph"/>
        <w:spacing w:before="0" w:beforeAutospacing="0" w:after="0" w:afterAutospacing="0"/>
        <w:rPr>
          <w:rFonts w:ascii="Calibri" w:hAnsi="Calibri"/>
          <w:noProof/>
          <w:color w:val="006100"/>
          <w:sz w:val="18"/>
          <w:szCs w:val="18"/>
        </w:rPr>
        <w:sectPr w:rsidR="00CB0FCB" w:rsidSect="00271D33">
          <w:headerReference w:type="even" r:id="rId133"/>
          <w:headerReference w:type="default" r:id="rId134"/>
          <w:footerReference w:type="even" r:id="rId135"/>
          <w:footerReference w:type="default" r:id="rId136"/>
          <w:headerReference w:type="first" r:id="rId137"/>
          <w:footerReference w:type="first" r:id="rId138"/>
          <w:pgSz w:w="11907" w:h="16839"/>
          <w:pgMar w:top="1134" w:right="1417" w:bottom="1134" w:left="1417" w:header="709" w:footer="327" w:gutter="0"/>
          <w:cols w:space="720"/>
          <w:docGrid w:linePitch="360"/>
        </w:sectPr>
      </w:pPr>
    </w:p>
    <w:p w14:paraId="40E58D88" w14:textId="77777777" w:rsidR="00CB0FCB" w:rsidRDefault="009D2B11">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H.2.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6C936257" w14:textId="4C395A86" w:rsidR="00CB0FCB" w:rsidRDefault="009D2B11">
      <w:pPr>
        <w:pStyle w:val="P68B1DB1-Normal6"/>
        <w:keepNext/>
        <w:keepLines/>
        <w:spacing w:before="40" w:after="0" w:line="240" w:lineRule="auto"/>
        <w:jc w:val="both"/>
        <w:outlineLvl w:val="4"/>
        <w:rPr>
          <w:noProof/>
        </w:rPr>
      </w:pPr>
      <w:r>
        <w:rPr>
          <w:noProof/>
        </w:rPr>
        <w:t>Galvenā reforma Nr. 6: Darba likuma modernizācija un vienkāršošana un darbaspēka sistēmu digitālā pārveide</w:t>
      </w:r>
    </w:p>
    <w:p w14:paraId="03EF15B2"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pPr w:leftFromText="180" w:rightFromText="180" w:vertAnchor="text" w:tblpX="-5" w:tblpY="1"/>
        <w:tblOverlap w:val="never"/>
        <w:tblW w:w="15446" w:type="dxa"/>
        <w:tblLayout w:type="fixed"/>
        <w:tblLook w:val="04A0" w:firstRow="1" w:lastRow="0" w:firstColumn="1" w:lastColumn="0" w:noHBand="0" w:noVBand="1"/>
      </w:tblPr>
      <w:tblGrid>
        <w:gridCol w:w="1129"/>
        <w:gridCol w:w="1853"/>
        <w:gridCol w:w="1037"/>
        <w:gridCol w:w="1323"/>
        <w:gridCol w:w="1469"/>
        <w:gridCol w:w="981"/>
        <w:gridCol w:w="992"/>
        <w:gridCol w:w="709"/>
        <w:gridCol w:w="996"/>
        <w:gridCol w:w="709"/>
        <w:gridCol w:w="4248"/>
      </w:tblGrid>
      <w:tr w:rsidR="00CB0FCB" w14:paraId="704617F5" w14:textId="77777777">
        <w:trPr>
          <w:trHeight w:val="614"/>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1FF023"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4C111C"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3920F6"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B24347"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CBC054"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6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19E1F92"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705" w:type="dxa"/>
            <w:gridSpan w:val="2"/>
            <w:tcBorders>
              <w:top w:val="single" w:sz="4" w:space="0" w:color="auto"/>
              <w:left w:val="nil"/>
              <w:bottom w:val="single" w:sz="4" w:space="0" w:color="auto"/>
              <w:right w:val="single" w:sz="4" w:space="0" w:color="auto"/>
            </w:tcBorders>
            <w:shd w:val="clear" w:color="auto" w:fill="BDD7EE"/>
            <w:vAlign w:val="center"/>
            <w:hideMark/>
          </w:tcPr>
          <w:p w14:paraId="6A2E01B2"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2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040BD2"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0925F22F" w14:textId="77777777">
        <w:trPr>
          <w:trHeight w:val="542"/>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C11F356" w14:textId="77777777" w:rsidR="00CB0FCB" w:rsidRDefault="00CB0FCB">
            <w:pPr>
              <w:spacing w:after="0" w:line="240" w:lineRule="auto"/>
              <w:jc w:val="center"/>
              <w:rPr>
                <w:rFonts w:ascii="Times New Roman" w:eastAsia="Times New Roman" w:hAnsi="Times New Roman" w:cs="Times New Roman"/>
                <w:b/>
                <w:bCs/>
                <w:noProof/>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67B11935" w14:textId="77777777" w:rsidR="00CB0FCB" w:rsidRDefault="00CB0FCB">
            <w:pPr>
              <w:spacing w:after="0" w:line="240" w:lineRule="auto"/>
              <w:jc w:val="center"/>
              <w:rPr>
                <w:rFonts w:ascii="Times New Roman" w:eastAsia="Times New Roman" w:hAnsi="Times New Roman" w:cs="Times New Roman"/>
                <w:b/>
                <w:bCs/>
                <w:noProof/>
                <w:sz w:val="18"/>
                <w:szCs w:val="18"/>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102106D6" w14:textId="77777777" w:rsidR="00CB0FCB" w:rsidRDefault="00CB0FCB">
            <w:pPr>
              <w:spacing w:after="0" w:line="240" w:lineRule="auto"/>
              <w:jc w:val="center"/>
              <w:rPr>
                <w:rFonts w:ascii="Times New Roman" w:eastAsia="Times New Roman" w:hAnsi="Times New Roman" w:cs="Times New Roman"/>
                <w:b/>
                <w:bCs/>
                <w:noProof/>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5E0FE787" w14:textId="77777777" w:rsidR="00CB0FCB" w:rsidRDefault="00CB0FCB">
            <w:pPr>
              <w:spacing w:after="0" w:line="240" w:lineRule="auto"/>
              <w:jc w:val="center"/>
              <w:rPr>
                <w:rFonts w:ascii="Times New Roman" w:eastAsia="Times New Roman" w:hAnsi="Times New Roman" w:cs="Times New Roman"/>
                <w:b/>
                <w:bCs/>
                <w:noProof/>
                <w:sz w:val="18"/>
                <w:szCs w:val="18"/>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3321131" w14:textId="77777777" w:rsidR="00CB0FCB" w:rsidRDefault="00CB0FCB">
            <w:pPr>
              <w:spacing w:after="0" w:line="240" w:lineRule="auto"/>
              <w:jc w:val="center"/>
              <w:rPr>
                <w:rFonts w:ascii="Times New Roman" w:eastAsia="Times New Roman" w:hAnsi="Times New Roman" w:cs="Times New Roman"/>
                <w:b/>
                <w:bCs/>
                <w:noProof/>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2CA54E6"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92" w:type="dxa"/>
            <w:tcBorders>
              <w:top w:val="nil"/>
              <w:left w:val="nil"/>
              <w:bottom w:val="single" w:sz="4" w:space="0" w:color="auto"/>
              <w:right w:val="single" w:sz="4" w:space="0" w:color="auto"/>
            </w:tcBorders>
            <w:shd w:val="clear" w:color="auto" w:fill="BDD7EE"/>
            <w:vAlign w:val="center"/>
            <w:hideMark/>
          </w:tcPr>
          <w:p w14:paraId="3727DC10"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09" w:type="dxa"/>
            <w:tcBorders>
              <w:top w:val="nil"/>
              <w:left w:val="nil"/>
              <w:bottom w:val="single" w:sz="4" w:space="0" w:color="auto"/>
              <w:right w:val="single" w:sz="4" w:space="0" w:color="auto"/>
            </w:tcBorders>
            <w:shd w:val="clear" w:color="auto" w:fill="BDD7EE"/>
            <w:vAlign w:val="center"/>
            <w:hideMark/>
          </w:tcPr>
          <w:p w14:paraId="0F3229D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96" w:type="dxa"/>
            <w:tcBorders>
              <w:top w:val="nil"/>
              <w:left w:val="nil"/>
              <w:bottom w:val="single" w:sz="4" w:space="0" w:color="auto"/>
              <w:right w:val="single" w:sz="4" w:space="0" w:color="auto"/>
            </w:tcBorders>
            <w:shd w:val="clear" w:color="auto" w:fill="BDD7EE"/>
            <w:vAlign w:val="center"/>
            <w:hideMark/>
          </w:tcPr>
          <w:p w14:paraId="127C7A72"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tcBorders>
              <w:top w:val="nil"/>
              <w:left w:val="nil"/>
              <w:bottom w:val="single" w:sz="4" w:space="0" w:color="auto"/>
              <w:right w:val="single" w:sz="4" w:space="0" w:color="auto"/>
            </w:tcBorders>
            <w:shd w:val="clear" w:color="auto" w:fill="BDD7EE"/>
            <w:vAlign w:val="center"/>
            <w:hideMark/>
          </w:tcPr>
          <w:p w14:paraId="4C72309E"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248" w:type="dxa"/>
            <w:vMerge/>
            <w:tcBorders>
              <w:top w:val="single" w:sz="4" w:space="0" w:color="auto"/>
              <w:bottom w:val="single" w:sz="4" w:space="0" w:color="auto"/>
              <w:right w:val="single" w:sz="4" w:space="0" w:color="auto"/>
            </w:tcBorders>
            <w:vAlign w:val="center"/>
            <w:hideMark/>
          </w:tcPr>
          <w:p w14:paraId="53C008FF"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49817C39"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FC8BCDC" w14:textId="77777777" w:rsidR="00CB0FCB" w:rsidRDefault="009D2B11">
            <w:pPr>
              <w:pStyle w:val="P68B1DB1-Normal9"/>
              <w:spacing w:after="0" w:line="240" w:lineRule="auto"/>
              <w:rPr>
                <w:rFonts w:eastAsia="Times New Roman" w:cs="Calibri"/>
                <w:noProof/>
                <w:szCs w:val="18"/>
              </w:rPr>
            </w:pPr>
            <w:r>
              <w:rPr>
                <w:noProof/>
              </w:rPr>
              <w:t>133</w:t>
            </w:r>
          </w:p>
        </w:tc>
        <w:tc>
          <w:tcPr>
            <w:tcW w:w="1853" w:type="dxa"/>
            <w:tcBorders>
              <w:top w:val="single" w:sz="4" w:space="0" w:color="auto"/>
              <w:left w:val="nil"/>
              <w:bottom w:val="single" w:sz="4" w:space="0" w:color="auto"/>
              <w:right w:val="single" w:sz="4" w:space="0" w:color="auto"/>
            </w:tcBorders>
            <w:shd w:val="clear" w:color="auto" w:fill="C6EFCE"/>
            <w:noWrap/>
          </w:tcPr>
          <w:p w14:paraId="2301F7D9"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16744_Darba tiesību modernizācija un vienkāršošana</w:t>
            </w:r>
          </w:p>
        </w:tc>
        <w:tc>
          <w:tcPr>
            <w:tcW w:w="1037" w:type="dxa"/>
            <w:tcBorders>
              <w:top w:val="single" w:sz="4" w:space="0" w:color="auto"/>
              <w:left w:val="nil"/>
              <w:bottom w:val="single" w:sz="4" w:space="0" w:color="auto"/>
              <w:right w:val="single" w:sz="4" w:space="0" w:color="auto"/>
            </w:tcBorders>
            <w:shd w:val="clear" w:color="auto" w:fill="C6EFCE"/>
            <w:noWrap/>
          </w:tcPr>
          <w:p w14:paraId="1D8E14F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3" w:type="dxa"/>
            <w:tcBorders>
              <w:top w:val="single" w:sz="4" w:space="0" w:color="auto"/>
              <w:left w:val="nil"/>
              <w:bottom w:val="single" w:sz="4" w:space="0" w:color="auto"/>
              <w:right w:val="single" w:sz="4" w:space="0" w:color="auto"/>
            </w:tcBorders>
            <w:shd w:val="clear" w:color="auto" w:fill="C6EFCE"/>
            <w:noWrap/>
          </w:tcPr>
          <w:p w14:paraId="6EC6954D" w14:textId="77777777" w:rsidR="00CB0FCB" w:rsidRDefault="009D2B11">
            <w:pPr>
              <w:pStyle w:val="P68B1DB1-Normal9"/>
              <w:spacing w:after="0" w:line="240" w:lineRule="auto"/>
              <w:rPr>
                <w:rFonts w:eastAsia="Times New Roman" w:cs="Calibri"/>
                <w:noProof/>
                <w:szCs w:val="18"/>
              </w:rPr>
            </w:pPr>
            <w:r>
              <w:rPr>
                <w:noProof/>
              </w:rPr>
              <w:t>Darba likuma stāšanās spēkā</w:t>
            </w:r>
          </w:p>
        </w:tc>
        <w:tc>
          <w:tcPr>
            <w:tcW w:w="1469" w:type="dxa"/>
            <w:tcBorders>
              <w:top w:val="single" w:sz="4" w:space="0" w:color="auto"/>
              <w:left w:val="nil"/>
              <w:bottom w:val="single" w:sz="4" w:space="0" w:color="auto"/>
              <w:right w:val="single" w:sz="4" w:space="0" w:color="auto"/>
            </w:tcBorders>
            <w:shd w:val="clear" w:color="auto" w:fill="C6EFCE"/>
            <w:noWrap/>
          </w:tcPr>
          <w:p w14:paraId="535AA1CF" w14:textId="77777777" w:rsidR="00CB0FCB" w:rsidRDefault="009D2B11">
            <w:pPr>
              <w:pStyle w:val="P68B1DB1-Normal9"/>
              <w:spacing w:after="0" w:line="240" w:lineRule="auto"/>
              <w:rPr>
                <w:rFonts w:eastAsia="Times New Roman" w:cs="Calibri"/>
                <w:noProof/>
                <w:szCs w:val="18"/>
              </w:rPr>
            </w:pPr>
            <w:r>
              <w:rPr>
                <w:noProof/>
              </w:rPr>
              <w:t xml:space="preserve">Likuma noteikums, kas norāda uz stāšanos spēkā — </w:t>
            </w:r>
          </w:p>
        </w:tc>
        <w:tc>
          <w:tcPr>
            <w:tcW w:w="981" w:type="dxa"/>
            <w:tcBorders>
              <w:top w:val="single" w:sz="4" w:space="0" w:color="auto"/>
              <w:left w:val="nil"/>
              <w:bottom w:val="single" w:sz="4" w:space="0" w:color="auto"/>
              <w:right w:val="single" w:sz="4" w:space="0" w:color="auto"/>
            </w:tcBorders>
            <w:shd w:val="clear" w:color="auto" w:fill="C6EFCE"/>
            <w:noWrap/>
          </w:tcPr>
          <w:p w14:paraId="56FE5F56"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779C379C" w14:textId="77777777" w:rsidR="00CB0FCB" w:rsidRDefault="00CB0FCB">
            <w:pPr>
              <w:spacing w:after="0" w:line="240" w:lineRule="auto"/>
              <w:rPr>
                <w:rFonts w:eastAsia="Times New Roman" w:cs="Calibri"/>
                <w:noProof/>
                <w:color w:val="006100"/>
                <w:sz w:val="18"/>
                <w:szCs w:val="18"/>
              </w:rPr>
            </w:pPr>
          </w:p>
        </w:tc>
        <w:tc>
          <w:tcPr>
            <w:tcW w:w="709" w:type="dxa"/>
            <w:tcBorders>
              <w:top w:val="nil"/>
              <w:left w:val="nil"/>
              <w:bottom w:val="single" w:sz="4" w:space="0" w:color="auto"/>
              <w:right w:val="single" w:sz="4" w:space="0" w:color="auto"/>
            </w:tcBorders>
            <w:shd w:val="clear" w:color="auto" w:fill="C6EFCE"/>
            <w:noWrap/>
          </w:tcPr>
          <w:p w14:paraId="3F0E65EA" w14:textId="77777777" w:rsidR="00CB0FCB" w:rsidRDefault="00CB0FCB">
            <w:pPr>
              <w:spacing w:after="0" w:line="240" w:lineRule="auto"/>
              <w:rPr>
                <w:rFonts w:eastAsia="Times New Roman" w:cs="Calibri"/>
                <w:noProof/>
                <w:color w:val="006100"/>
                <w:sz w:val="18"/>
                <w:szCs w:val="18"/>
              </w:rPr>
            </w:pPr>
          </w:p>
        </w:tc>
        <w:tc>
          <w:tcPr>
            <w:tcW w:w="996" w:type="dxa"/>
            <w:tcBorders>
              <w:top w:val="nil"/>
              <w:left w:val="nil"/>
              <w:bottom w:val="single" w:sz="4" w:space="0" w:color="auto"/>
              <w:right w:val="single" w:sz="4" w:space="0" w:color="auto"/>
            </w:tcBorders>
            <w:shd w:val="clear" w:color="auto" w:fill="C6EFCE"/>
            <w:noWrap/>
          </w:tcPr>
          <w:p w14:paraId="2668A0CB" w14:textId="77777777" w:rsidR="00CB0FCB" w:rsidRDefault="009D2B11">
            <w:pPr>
              <w:pStyle w:val="P68B1DB1-Normal9"/>
              <w:spacing w:after="0" w:line="240" w:lineRule="auto"/>
              <w:rPr>
                <w:rFonts w:eastAsia="Times New Roman" w:cs="Calibri"/>
                <w:noProof/>
                <w:szCs w:val="18"/>
              </w:rPr>
            </w:pPr>
            <w:r>
              <w:rPr>
                <w:noProof/>
              </w:rPr>
              <w:t>CET.</w:t>
            </w:r>
          </w:p>
        </w:tc>
        <w:tc>
          <w:tcPr>
            <w:tcW w:w="709" w:type="dxa"/>
            <w:tcBorders>
              <w:top w:val="nil"/>
              <w:left w:val="nil"/>
              <w:bottom w:val="single" w:sz="4" w:space="0" w:color="auto"/>
              <w:right w:val="single" w:sz="4" w:space="0" w:color="auto"/>
            </w:tcBorders>
            <w:shd w:val="clear" w:color="auto" w:fill="C6EFCE"/>
            <w:noWrap/>
          </w:tcPr>
          <w:p w14:paraId="16ED5CF9" w14:textId="77777777" w:rsidR="00CB0FCB" w:rsidRDefault="009D2B11">
            <w:pPr>
              <w:pStyle w:val="P68B1DB1-Normal9"/>
              <w:spacing w:after="0" w:line="240" w:lineRule="auto"/>
              <w:rPr>
                <w:rFonts w:eastAsia="Times New Roman" w:cs="Calibri"/>
                <w:noProof/>
                <w:szCs w:val="18"/>
              </w:rPr>
            </w:pPr>
            <w:r>
              <w:rPr>
                <w:noProof/>
              </w:rPr>
              <w:t>2021</w:t>
            </w:r>
          </w:p>
        </w:tc>
        <w:tc>
          <w:tcPr>
            <w:tcW w:w="4248" w:type="dxa"/>
            <w:tcBorders>
              <w:top w:val="single" w:sz="4" w:space="0" w:color="auto"/>
              <w:left w:val="nil"/>
              <w:bottom w:val="single" w:sz="4" w:space="0" w:color="auto"/>
              <w:right w:val="single" w:sz="4" w:space="0" w:color="auto"/>
            </w:tcBorders>
            <w:shd w:val="clear" w:color="auto" w:fill="C6EFCE"/>
            <w:noWrap/>
          </w:tcPr>
          <w:p w14:paraId="2B146C0A" w14:textId="77777777" w:rsidR="00CB0FCB" w:rsidRDefault="009D2B11">
            <w:pPr>
              <w:pStyle w:val="P68B1DB1-Normal10"/>
              <w:spacing w:after="0" w:line="240" w:lineRule="auto"/>
              <w:rPr>
                <w:rFonts w:eastAsia="Times New Roman" w:cs="Calibri"/>
                <w:noProof/>
              </w:rPr>
            </w:pPr>
            <w:r>
              <w:rPr>
                <w:noProof/>
              </w:rPr>
              <w:t>Stājas spēkā Darba likums, kas modernizē a) likumu par individuālo darbu, b) likumu par kolektīvo darbu un arodbiedrību likumu, c) Darba ministrijas ERGANI IT sistēmu, ko izmanto darba tirgus uzraudzībai un nedeklarēta un nepietiekami deklarēta darba atklāšanai, un d) darba un privātās dzīves līdzsvara sistēmu.</w:t>
            </w:r>
          </w:p>
        </w:tc>
      </w:tr>
      <w:tr w:rsidR="00CB0FCB" w14:paraId="7DBC4E19" w14:textId="77777777">
        <w:trPr>
          <w:trHeight w:val="309"/>
        </w:trPr>
        <w:tc>
          <w:tcPr>
            <w:tcW w:w="1129" w:type="dxa"/>
            <w:tcBorders>
              <w:top w:val="nil"/>
              <w:left w:val="single" w:sz="4" w:space="0" w:color="auto"/>
              <w:bottom w:val="single" w:sz="4" w:space="0" w:color="auto"/>
              <w:right w:val="single" w:sz="4" w:space="0" w:color="auto"/>
            </w:tcBorders>
            <w:shd w:val="clear" w:color="auto" w:fill="C6EFCE"/>
            <w:noWrap/>
          </w:tcPr>
          <w:p w14:paraId="07876037" w14:textId="77777777" w:rsidR="00CB0FCB" w:rsidRDefault="009D2B11">
            <w:pPr>
              <w:pStyle w:val="P68B1DB1-Normal9"/>
              <w:spacing w:after="0" w:line="240" w:lineRule="auto"/>
              <w:rPr>
                <w:rFonts w:eastAsia="Times New Roman" w:cs="Calibri"/>
                <w:noProof/>
                <w:szCs w:val="18"/>
              </w:rPr>
            </w:pPr>
            <w:r>
              <w:rPr>
                <w:noProof/>
              </w:rPr>
              <w:t>134</w:t>
            </w:r>
          </w:p>
        </w:tc>
        <w:tc>
          <w:tcPr>
            <w:tcW w:w="1853" w:type="dxa"/>
            <w:tcBorders>
              <w:top w:val="nil"/>
              <w:left w:val="nil"/>
              <w:bottom w:val="single" w:sz="4" w:space="0" w:color="auto"/>
              <w:right w:val="single" w:sz="4" w:space="0" w:color="auto"/>
            </w:tcBorders>
            <w:shd w:val="clear" w:color="auto" w:fill="C6EFCE"/>
            <w:noWrap/>
          </w:tcPr>
          <w:p w14:paraId="6F82D8B9"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16750_Darba sistēmu digitālā pārveide</w:t>
            </w:r>
          </w:p>
        </w:tc>
        <w:tc>
          <w:tcPr>
            <w:tcW w:w="1037" w:type="dxa"/>
            <w:tcBorders>
              <w:top w:val="nil"/>
              <w:left w:val="nil"/>
              <w:bottom w:val="single" w:sz="4" w:space="0" w:color="auto"/>
              <w:right w:val="single" w:sz="4" w:space="0" w:color="auto"/>
            </w:tcBorders>
            <w:shd w:val="clear" w:color="auto" w:fill="C6EFCE"/>
            <w:noWrap/>
          </w:tcPr>
          <w:p w14:paraId="09C11AA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3" w:type="dxa"/>
            <w:tcBorders>
              <w:top w:val="nil"/>
              <w:left w:val="nil"/>
              <w:bottom w:val="single" w:sz="4" w:space="0" w:color="auto"/>
              <w:right w:val="single" w:sz="4" w:space="0" w:color="auto"/>
            </w:tcBorders>
            <w:shd w:val="clear" w:color="auto" w:fill="C6EFCE"/>
            <w:noWrap/>
          </w:tcPr>
          <w:p w14:paraId="50278235" w14:textId="77777777" w:rsidR="00CB0FCB" w:rsidRDefault="009D2B11">
            <w:pPr>
              <w:pStyle w:val="P68B1DB1-Normal9"/>
              <w:spacing w:after="0" w:line="240" w:lineRule="auto"/>
              <w:rPr>
                <w:rFonts w:eastAsia="Times New Roman" w:cs="Calibri"/>
                <w:noProof/>
                <w:szCs w:val="18"/>
              </w:rPr>
            </w:pPr>
            <w:r>
              <w:rPr>
                <w:noProof/>
              </w:rPr>
              <w:t>Līguma slēgšanas tiesību piešķiršana darba IT sistēmām</w:t>
            </w:r>
          </w:p>
        </w:tc>
        <w:tc>
          <w:tcPr>
            <w:tcW w:w="1469" w:type="dxa"/>
            <w:tcBorders>
              <w:top w:val="nil"/>
              <w:left w:val="nil"/>
              <w:bottom w:val="single" w:sz="4" w:space="0" w:color="auto"/>
              <w:right w:val="single" w:sz="4" w:space="0" w:color="auto"/>
            </w:tcBorders>
            <w:shd w:val="clear" w:color="auto" w:fill="C6EFCE"/>
            <w:noWrap/>
          </w:tcPr>
          <w:p w14:paraId="16BAFE6D" w14:textId="77777777" w:rsidR="00CB0FCB" w:rsidRDefault="009D2B11">
            <w:pPr>
              <w:pStyle w:val="P68B1DB1-Normal9"/>
              <w:spacing w:after="0" w:line="240" w:lineRule="auto"/>
              <w:rPr>
                <w:rFonts w:eastAsia="Times New Roman" w:cs="Calibri"/>
                <w:noProof/>
                <w:szCs w:val="18"/>
              </w:rPr>
            </w:pPr>
            <w:r>
              <w:rPr>
                <w:noProof/>
              </w:rPr>
              <w:t>Paziņojums par līgumu slēgšanas tiesību piešķiršanu</w:t>
            </w:r>
          </w:p>
        </w:tc>
        <w:tc>
          <w:tcPr>
            <w:tcW w:w="981" w:type="dxa"/>
            <w:tcBorders>
              <w:top w:val="nil"/>
              <w:left w:val="nil"/>
              <w:bottom w:val="single" w:sz="4" w:space="0" w:color="auto"/>
              <w:right w:val="single" w:sz="4" w:space="0" w:color="auto"/>
            </w:tcBorders>
            <w:shd w:val="clear" w:color="auto" w:fill="C6EFCE"/>
            <w:noWrap/>
          </w:tcPr>
          <w:p w14:paraId="1EBF66E7"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2FDB7473" w14:textId="77777777" w:rsidR="00CB0FCB" w:rsidRDefault="00CB0FCB">
            <w:pPr>
              <w:spacing w:after="0" w:line="240" w:lineRule="auto"/>
              <w:rPr>
                <w:rFonts w:eastAsia="Times New Roman" w:cs="Calibri"/>
                <w:noProof/>
                <w:color w:val="006100"/>
                <w:sz w:val="18"/>
                <w:szCs w:val="18"/>
              </w:rPr>
            </w:pPr>
          </w:p>
        </w:tc>
        <w:tc>
          <w:tcPr>
            <w:tcW w:w="709" w:type="dxa"/>
            <w:tcBorders>
              <w:top w:val="nil"/>
              <w:left w:val="nil"/>
              <w:bottom w:val="single" w:sz="4" w:space="0" w:color="auto"/>
              <w:right w:val="single" w:sz="4" w:space="0" w:color="auto"/>
            </w:tcBorders>
            <w:shd w:val="clear" w:color="auto" w:fill="C6EFCE"/>
            <w:noWrap/>
          </w:tcPr>
          <w:p w14:paraId="110F3307" w14:textId="77777777" w:rsidR="00CB0FCB" w:rsidRDefault="00CB0FCB">
            <w:pPr>
              <w:spacing w:after="0" w:line="240" w:lineRule="auto"/>
              <w:rPr>
                <w:rFonts w:eastAsia="Times New Roman" w:cs="Calibri"/>
                <w:noProof/>
                <w:color w:val="006100"/>
                <w:sz w:val="18"/>
                <w:szCs w:val="18"/>
              </w:rPr>
            </w:pPr>
          </w:p>
        </w:tc>
        <w:tc>
          <w:tcPr>
            <w:tcW w:w="996" w:type="dxa"/>
            <w:tcBorders>
              <w:top w:val="nil"/>
              <w:left w:val="nil"/>
              <w:bottom w:val="single" w:sz="4" w:space="0" w:color="auto"/>
              <w:right w:val="single" w:sz="4" w:space="0" w:color="auto"/>
            </w:tcBorders>
            <w:shd w:val="clear" w:color="auto" w:fill="C6EFCE"/>
            <w:noWrap/>
          </w:tcPr>
          <w:p w14:paraId="0F253F74"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2300098D" w14:textId="77777777" w:rsidR="00CB0FCB" w:rsidRDefault="009D2B11">
            <w:pPr>
              <w:pStyle w:val="P68B1DB1-Normal9"/>
              <w:spacing w:after="0" w:line="240" w:lineRule="auto"/>
              <w:rPr>
                <w:rFonts w:eastAsia="Times New Roman" w:cs="Calibri"/>
                <w:noProof/>
                <w:szCs w:val="18"/>
              </w:rPr>
            </w:pPr>
            <w:r>
              <w:rPr>
                <w:noProof/>
              </w:rPr>
              <w:t>2022</w:t>
            </w:r>
          </w:p>
        </w:tc>
        <w:tc>
          <w:tcPr>
            <w:tcW w:w="4248" w:type="dxa"/>
            <w:tcBorders>
              <w:top w:val="nil"/>
              <w:left w:val="nil"/>
              <w:bottom w:val="single" w:sz="4" w:space="0" w:color="auto"/>
              <w:right w:val="single" w:sz="4" w:space="0" w:color="auto"/>
            </w:tcBorders>
            <w:shd w:val="clear" w:color="auto" w:fill="C6EFCE"/>
            <w:noWrap/>
          </w:tcPr>
          <w:p w14:paraId="537B39D7" w14:textId="77777777" w:rsidR="00CB0FCB" w:rsidRDefault="009D2B11">
            <w:pPr>
              <w:pStyle w:val="P68B1DB1-Normal9"/>
              <w:spacing w:after="0" w:line="240" w:lineRule="auto"/>
              <w:rPr>
                <w:rFonts w:eastAsia="Times New Roman" w:cs="Calibri"/>
                <w:noProof/>
                <w:szCs w:val="18"/>
              </w:rPr>
            </w:pPr>
            <w:r>
              <w:rPr>
                <w:noProof/>
              </w:rPr>
              <w:t>Līguma slēgšanas tiesību piešķiršanas pabeigšana šādiem projektiem:</w:t>
            </w:r>
          </w:p>
          <w:p w14:paraId="3966E238" w14:textId="77777777" w:rsidR="00CB0FCB" w:rsidRDefault="009D2B11">
            <w:pPr>
              <w:pStyle w:val="P68B1DB1-Normal9"/>
              <w:spacing w:after="0" w:line="240" w:lineRule="auto"/>
              <w:rPr>
                <w:rFonts w:eastAsia="Times New Roman" w:cs="Calibri"/>
                <w:noProof/>
                <w:szCs w:val="18"/>
              </w:rPr>
            </w:pPr>
            <w:r>
              <w:rPr>
                <w:noProof/>
              </w:rPr>
              <w:t>— Vienotā IT sistēma darba tirgus uzraudzībai (ARIADNE)</w:t>
            </w:r>
          </w:p>
          <w:p w14:paraId="3B015483" w14:textId="77777777" w:rsidR="00CB0FCB" w:rsidRDefault="009D2B11">
            <w:pPr>
              <w:pStyle w:val="P68B1DB1-Normal9"/>
              <w:spacing w:after="0" w:line="240" w:lineRule="auto"/>
              <w:rPr>
                <w:rFonts w:eastAsia="Times New Roman" w:cs="Calibri"/>
                <w:noProof/>
                <w:szCs w:val="18"/>
              </w:rPr>
            </w:pPr>
            <w:r>
              <w:rPr>
                <w:noProof/>
              </w:rPr>
              <w:t>— Arodveselība un darba drošība (HERIDANOS)</w:t>
            </w:r>
          </w:p>
          <w:p w14:paraId="3D13FB15" w14:textId="77777777" w:rsidR="00CB0FCB" w:rsidRDefault="009D2B11">
            <w:pPr>
              <w:pStyle w:val="P68B1DB1-Normal9"/>
              <w:spacing w:after="0" w:line="240" w:lineRule="auto"/>
              <w:rPr>
                <w:rFonts w:eastAsia="Times New Roman" w:cs="Calibri"/>
                <w:noProof/>
                <w:szCs w:val="18"/>
              </w:rPr>
            </w:pPr>
            <w:r>
              <w:rPr>
                <w:noProof/>
              </w:rPr>
              <w:t>— Likumā noteiktās minimālās algas noteikšanas process</w:t>
            </w:r>
          </w:p>
          <w:p w14:paraId="42943822" w14:textId="77777777" w:rsidR="00CB0FCB" w:rsidRDefault="009D2B11">
            <w:pPr>
              <w:pStyle w:val="P68B1DB1-Normal9"/>
              <w:spacing w:after="0" w:line="240" w:lineRule="auto"/>
              <w:rPr>
                <w:rFonts w:eastAsia="Times New Roman" w:cs="Calibri"/>
                <w:noProof/>
                <w:szCs w:val="18"/>
              </w:rPr>
            </w:pPr>
            <w:r>
              <w:rPr>
                <w:noProof/>
              </w:rPr>
              <w:t xml:space="preserve">Vienotā pensiju fonda (e-EFKA) apdrošināšanas vēstures digitalizācija </w:t>
            </w:r>
          </w:p>
          <w:p w14:paraId="4B3A5295" w14:textId="77777777" w:rsidR="00CB0FCB" w:rsidRDefault="009D2B11">
            <w:pPr>
              <w:pStyle w:val="P68B1DB1-Normal9"/>
              <w:spacing w:after="0" w:line="240" w:lineRule="auto"/>
              <w:rPr>
                <w:rFonts w:eastAsia="Times New Roman" w:cs="Calibri"/>
                <w:noProof/>
                <w:szCs w:val="18"/>
              </w:rPr>
            </w:pPr>
            <w:r>
              <w:rPr>
                <w:noProof/>
              </w:rPr>
              <w:t>— Jauna integrēta e-EFKA informācijas sistēma (EFKA IITS)</w:t>
            </w:r>
          </w:p>
          <w:p w14:paraId="177EFCFE" w14:textId="77777777" w:rsidR="00CB0FCB" w:rsidRDefault="009D2B11">
            <w:pPr>
              <w:pStyle w:val="P68B1DB1-Normal9"/>
              <w:spacing w:after="0" w:line="240" w:lineRule="auto"/>
              <w:rPr>
                <w:rFonts w:eastAsia="Times New Roman" w:cs="Calibri"/>
                <w:noProof/>
                <w:szCs w:val="18"/>
              </w:rPr>
            </w:pPr>
            <w:r>
              <w:rPr>
                <w:noProof/>
              </w:rPr>
              <w:t>— Digitālās pensiju piešķiršanas sistēmas (ATLAS) modernizācija</w:t>
            </w:r>
          </w:p>
        </w:tc>
      </w:tr>
      <w:tr w:rsidR="00CB0FCB" w14:paraId="6A115527" w14:textId="77777777">
        <w:trPr>
          <w:trHeight w:val="309"/>
        </w:trPr>
        <w:tc>
          <w:tcPr>
            <w:tcW w:w="1129" w:type="dxa"/>
            <w:tcBorders>
              <w:top w:val="nil"/>
              <w:left w:val="single" w:sz="4" w:space="0" w:color="auto"/>
              <w:bottom w:val="single" w:sz="4" w:space="0" w:color="auto"/>
              <w:right w:val="single" w:sz="4" w:space="0" w:color="auto"/>
            </w:tcBorders>
            <w:shd w:val="clear" w:color="auto" w:fill="C6EFCE"/>
            <w:noWrap/>
          </w:tcPr>
          <w:p w14:paraId="3C0D0D44" w14:textId="77777777" w:rsidR="00CB0FCB" w:rsidRDefault="009D2B11">
            <w:pPr>
              <w:pStyle w:val="P68B1DB1-Normal10"/>
              <w:spacing w:after="0" w:line="240" w:lineRule="auto"/>
              <w:rPr>
                <w:rFonts w:eastAsia="Times New Roman" w:cs="Calibri"/>
                <w:noProof/>
              </w:rPr>
            </w:pPr>
            <w:r>
              <w:rPr>
                <w:noProof/>
              </w:rPr>
              <w:t>135</w:t>
            </w:r>
          </w:p>
        </w:tc>
        <w:tc>
          <w:tcPr>
            <w:tcW w:w="1853" w:type="dxa"/>
            <w:tcBorders>
              <w:top w:val="single" w:sz="4" w:space="0" w:color="auto"/>
              <w:left w:val="nil"/>
              <w:bottom w:val="single" w:sz="4" w:space="0" w:color="auto"/>
              <w:right w:val="single" w:sz="4" w:space="0" w:color="auto"/>
            </w:tcBorders>
            <w:shd w:val="clear" w:color="auto" w:fill="C6EFCE"/>
            <w:noWrap/>
          </w:tcPr>
          <w:p w14:paraId="5BC2D107"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16942_Valsts nodarbinātības dienesta (DYPA) digitālā pārveide</w:t>
            </w:r>
          </w:p>
        </w:tc>
        <w:tc>
          <w:tcPr>
            <w:tcW w:w="1037" w:type="dxa"/>
            <w:tcBorders>
              <w:top w:val="single" w:sz="4" w:space="0" w:color="auto"/>
              <w:left w:val="nil"/>
              <w:bottom w:val="single" w:sz="4" w:space="0" w:color="auto"/>
              <w:right w:val="single" w:sz="4" w:space="0" w:color="auto"/>
            </w:tcBorders>
            <w:shd w:val="clear" w:color="auto" w:fill="C6EFCE"/>
            <w:noWrap/>
          </w:tcPr>
          <w:p w14:paraId="5BD9E5E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3" w:type="dxa"/>
            <w:tcBorders>
              <w:top w:val="single" w:sz="4" w:space="0" w:color="auto"/>
              <w:left w:val="nil"/>
              <w:bottom w:val="single" w:sz="4" w:space="0" w:color="auto"/>
              <w:right w:val="single" w:sz="4" w:space="0" w:color="auto"/>
            </w:tcBorders>
            <w:shd w:val="clear" w:color="auto" w:fill="C6EFCE"/>
            <w:noWrap/>
          </w:tcPr>
          <w:p w14:paraId="51552854" w14:textId="77777777" w:rsidR="00CB0FCB" w:rsidRDefault="009D2B11">
            <w:pPr>
              <w:pStyle w:val="P68B1DB1-Normal10"/>
              <w:spacing w:after="0" w:line="240" w:lineRule="auto"/>
              <w:rPr>
                <w:rFonts w:eastAsia="Times New Roman" w:cs="Calibri"/>
                <w:noProof/>
              </w:rPr>
            </w:pPr>
            <w:r>
              <w:rPr>
                <w:noProof/>
              </w:rPr>
              <w:t>DYPA arhīvu digitalizācija, glabāšana un glabāšana</w:t>
            </w:r>
          </w:p>
        </w:tc>
        <w:tc>
          <w:tcPr>
            <w:tcW w:w="1469" w:type="dxa"/>
            <w:tcBorders>
              <w:top w:val="single" w:sz="4" w:space="0" w:color="auto"/>
              <w:left w:val="nil"/>
              <w:bottom w:val="single" w:sz="4" w:space="0" w:color="auto"/>
              <w:right w:val="single" w:sz="4" w:space="0" w:color="auto"/>
            </w:tcBorders>
            <w:shd w:val="clear" w:color="auto" w:fill="C6EFCE"/>
            <w:noWrap/>
          </w:tcPr>
          <w:p w14:paraId="4AF909D0" w14:textId="77777777" w:rsidR="00CB0FCB" w:rsidRDefault="009D2B11">
            <w:pPr>
              <w:pStyle w:val="P68B1DB1-Normal9"/>
              <w:spacing w:after="0" w:line="240" w:lineRule="auto"/>
              <w:rPr>
                <w:rFonts w:eastAsia="Times New Roman" w:cs="Calibri"/>
                <w:noProof/>
                <w:szCs w:val="18"/>
              </w:rPr>
            </w:pPr>
            <w:r>
              <w:rPr>
                <w:noProof/>
              </w:rPr>
              <w:t>Sertifikāts par projekta nodevumu pieņemšanu</w:t>
            </w:r>
          </w:p>
        </w:tc>
        <w:tc>
          <w:tcPr>
            <w:tcW w:w="981" w:type="dxa"/>
            <w:tcBorders>
              <w:top w:val="nil"/>
              <w:left w:val="nil"/>
              <w:bottom w:val="single" w:sz="4" w:space="0" w:color="auto"/>
              <w:right w:val="single" w:sz="4" w:space="0" w:color="auto"/>
            </w:tcBorders>
            <w:shd w:val="clear" w:color="auto" w:fill="C6EFCE"/>
            <w:noWrap/>
          </w:tcPr>
          <w:p w14:paraId="4EFA4E99"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73A61BD8" w14:textId="77777777" w:rsidR="00CB0FCB" w:rsidRDefault="00CB0FCB">
            <w:pPr>
              <w:spacing w:after="0" w:line="240" w:lineRule="auto"/>
              <w:rPr>
                <w:rFonts w:eastAsia="Times New Roman" w:cs="Calibri"/>
                <w:noProof/>
                <w:color w:val="006100"/>
                <w:sz w:val="18"/>
                <w:szCs w:val="18"/>
              </w:rPr>
            </w:pPr>
          </w:p>
        </w:tc>
        <w:tc>
          <w:tcPr>
            <w:tcW w:w="709" w:type="dxa"/>
            <w:tcBorders>
              <w:top w:val="nil"/>
              <w:left w:val="nil"/>
              <w:bottom w:val="single" w:sz="4" w:space="0" w:color="auto"/>
              <w:right w:val="single" w:sz="4" w:space="0" w:color="auto"/>
            </w:tcBorders>
            <w:shd w:val="clear" w:color="auto" w:fill="C6EFCE"/>
            <w:noWrap/>
          </w:tcPr>
          <w:p w14:paraId="46872C9F" w14:textId="77777777" w:rsidR="00CB0FCB" w:rsidRDefault="00CB0FCB">
            <w:pPr>
              <w:spacing w:after="0" w:line="240" w:lineRule="auto"/>
              <w:rPr>
                <w:rFonts w:eastAsia="Times New Roman" w:cs="Calibri"/>
                <w:noProof/>
                <w:color w:val="006100"/>
                <w:sz w:val="18"/>
                <w:szCs w:val="18"/>
              </w:rPr>
            </w:pPr>
          </w:p>
        </w:tc>
        <w:tc>
          <w:tcPr>
            <w:tcW w:w="996" w:type="dxa"/>
            <w:tcBorders>
              <w:top w:val="nil"/>
              <w:left w:val="nil"/>
              <w:bottom w:val="single" w:sz="4" w:space="0" w:color="auto"/>
              <w:right w:val="single" w:sz="4" w:space="0" w:color="auto"/>
            </w:tcBorders>
            <w:shd w:val="clear" w:color="auto" w:fill="C6EFCE"/>
            <w:noWrap/>
          </w:tcPr>
          <w:p w14:paraId="4AC7B30B" w14:textId="77777777" w:rsidR="00CB0FCB" w:rsidRDefault="009D2B11">
            <w:pPr>
              <w:pStyle w:val="P68B1DB1-Normal10"/>
              <w:spacing w:after="0" w:line="240" w:lineRule="auto"/>
              <w:rPr>
                <w:rFonts w:eastAsia="Times New Roman" w:cs="Calibri"/>
                <w:noProof/>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6A2C7A52" w14:textId="77777777" w:rsidR="00CB0FCB" w:rsidRDefault="009D2B11">
            <w:pPr>
              <w:pStyle w:val="P68B1DB1-Normal10"/>
              <w:spacing w:after="0" w:line="240" w:lineRule="auto"/>
              <w:rPr>
                <w:rFonts w:eastAsia="Times New Roman" w:cs="Calibri"/>
                <w:noProof/>
              </w:rPr>
            </w:pPr>
            <w:r>
              <w:rPr>
                <w:noProof/>
              </w:rPr>
              <w:t>2023</w:t>
            </w:r>
          </w:p>
        </w:tc>
        <w:tc>
          <w:tcPr>
            <w:tcW w:w="4248" w:type="dxa"/>
            <w:tcBorders>
              <w:top w:val="nil"/>
              <w:left w:val="nil"/>
              <w:bottom w:val="single" w:sz="4" w:space="0" w:color="auto"/>
              <w:right w:val="single" w:sz="4" w:space="0" w:color="auto"/>
            </w:tcBorders>
            <w:shd w:val="clear" w:color="auto" w:fill="C6EFCE"/>
            <w:noWrap/>
          </w:tcPr>
          <w:p w14:paraId="475D8703" w14:textId="77777777" w:rsidR="00CB0FCB" w:rsidRDefault="009D2B11">
            <w:pPr>
              <w:pStyle w:val="P68B1DB1-Normal9"/>
              <w:spacing w:after="0" w:line="240" w:lineRule="auto"/>
              <w:rPr>
                <w:rFonts w:eastAsia="Times New Roman" w:cs="Calibri"/>
                <w:noProof/>
                <w:szCs w:val="18"/>
              </w:rPr>
            </w:pPr>
            <w:r>
              <w:rPr>
                <w:noProof/>
              </w:rPr>
              <w:t>DYPA arhīvu digitalizācijas, glabāšanas un iesniegšanas pabeigšana.</w:t>
            </w:r>
          </w:p>
        </w:tc>
      </w:tr>
      <w:tr w:rsidR="00CB0FCB" w14:paraId="7FEC7A69"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5FCBBEB" w14:textId="77777777" w:rsidR="00CB0FCB" w:rsidRDefault="009D2B11">
            <w:pPr>
              <w:pStyle w:val="P68B1DB1-Normal9"/>
              <w:spacing w:after="0" w:line="240" w:lineRule="auto"/>
              <w:rPr>
                <w:rFonts w:eastAsia="Times New Roman" w:cs="Calibri"/>
                <w:noProof/>
                <w:szCs w:val="18"/>
              </w:rPr>
            </w:pPr>
            <w:r>
              <w:rPr>
                <w:noProof/>
              </w:rPr>
              <w:t>135a</w:t>
            </w:r>
          </w:p>
        </w:tc>
        <w:tc>
          <w:tcPr>
            <w:tcW w:w="1853" w:type="dxa"/>
            <w:tcBorders>
              <w:top w:val="single" w:sz="4" w:space="0" w:color="auto"/>
              <w:left w:val="nil"/>
              <w:bottom w:val="single" w:sz="4" w:space="0" w:color="auto"/>
              <w:right w:val="single" w:sz="4" w:space="0" w:color="auto"/>
            </w:tcBorders>
            <w:shd w:val="clear" w:color="auto" w:fill="C6EFCE"/>
            <w:noWrap/>
          </w:tcPr>
          <w:p w14:paraId="3BC1FEC9"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16942_Valsts nodarbinātības dienesta digitālā pārveide</w:t>
            </w:r>
          </w:p>
        </w:tc>
        <w:tc>
          <w:tcPr>
            <w:tcW w:w="1037" w:type="dxa"/>
            <w:tcBorders>
              <w:top w:val="single" w:sz="4" w:space="0" w:color="auto"/>
              <w:left w:val="nil"/>
              <w:bottom w:val="single" w:sz="4" w:space="0" w:color="auto"/>
              <w:right w:val="single" w:sz="4" w:space="0" w:color="auto"/>
            </w:tcBorders>
            <w:shd w:val="clear" w:color="auto" w:fill="C6EFCE"/>
            <w:noWrap/>
          </w:tcPr>
          <w:p w14:paraId="1C584BC0" w14:textId="77777777" w:rsidR="00CB0FCB" w:rsidRDefault="009D2B11">
            <w:pPr>
              <w:pStyle w:val="P68B1DB1-Normal9"/>
              <w:spacing w:after="0" w:line="240" w:lineRule="auto"/>
              <w:rPr>
                <w:rFonts w:eastAsia="Times New Roman" w:cs="Calibri"/>
                <w:noProof/>
                <w:szCs w:val="18"/>
              </w:rPr>
            </w:pPr>
            <w:r>
              <w:rPr>
                <w:noProof/>
              </w:rPr>
              <w:t>Mērķa</w:t>
            </w:r>
          </w:p>
        </w:tc>
        <w:tc>
          <w:tcPr>
            <w:tcW w:w="1323" w:type="dxa"/>
            <w:tcBorders>
              <w:top w:val="single" w:sz="4" w:space="0" w:color="auto"/>
              <w:left w:val="nil"/>
              <w:bottom w:val="single" w:sz="4" w:space="0" w:color="auto"/>
              <w:right w:val="single" w:sz="4" w:space="0" w:color="auto"/>
            </w:tcBorders>
            <w:shd w:val="clear" w:color="auto" w:fill="C6EFCE"/>
            <w:noWrap/>
          </w:tcPr>
          <w:p w14:paraId="025EB95B" w14:textId="77777777" w:rsidR="00CB0FCB" w:rsidRDefault="009D2B11">
            <w:pPr>
              <w:pStyle w:val="P68B1DB1-Normal9"/>
              <w:spacing w:after="0" w:line="240" w:lineRule="auto"/>
              <w:rPr>
                <w:rFonts w:cs="Calibri"/>
                <w:noProof/>
                <w:szCs w:val="18"/>
              </w:rPr>
            </w:pPr>
            <w:r>
              <w:rPr>
                <w:noProof/>
              </w:rPr>
              <w:t>DYPA digitālā pārveide</w:t>
            </w:r>
          </w:p>
        </w:tc>
        <w:tc>
          <w:tcPr>
            <w:tcW w:w="1469" w:type="dxa"/>
            <w:tcBorders>
              <w:top w:val="single" w:sz="4" w:space="0" w:color="auto"/>
              <w:left w:val="nil"/>
              <w:bottom w:val="single" w:sz="4" w:space="0" w:color="auto"/>
              <w:right w:val="single" w:sz="4" w:space="0" w:color="auto"/>
            </w:tcBorders>
            <w:shd w:val="clear" w:color="auto" w:fill="C6EFCE"/>
            <w:noWrap/>
          </w:tcPr>
          <w:p w14:paraId="06F978CE" w14:textId="77777777" w:rsidR="00CB0FCB" w:rsidRDefault="009D2B11">
            <w:pPr>
              <w:pStyle w:val="P68B1DB1-Normal9"/>
              <w:spacing w:after="0" w:line="240" w:lineRule="auto"/>
              <w:rPr>
                <w:rFonts w:eastAsia="Times New Roman" w:cs="Calibri"/>
                <w:noProof/>
                <w:szCs w:val="18"/>
              </w:rPr>
            </w:pPr>
            <w:r>
              <w:rPr>
                <w:noProof/>
              </w:rPr>
              <w:t>DYPA ziņojums, ar ko apstiprina projektu a, b, c un d pabeigšanu</w:t>
            </w:r>
          </w:p>
        </w:tc>
        <w:tc>
          <w:tcPr>
            <w:tcW w:w="981" w:type="dxa"/>
            <w:tcBorders>
              <w:top w:val="single" w:sz="4" w:space="0" w:color="auto"/>
              <w:left w:val="nil"/>
              <w:bottom w:val="single" w:sz="4" w:space="0" w:color="auto"/>
              <w:right w:val="single" w:sz="4" w:space="0" w:color="auto"/>
            </w:tcBorders>
            <w:shd w:val="clear" w:color="auto" w:fill="C6EFCE"/>
            <w:noWrap/>
          </w:tcPr>
          <w:p w14:paraId="2B9C38C7"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233AEEC5" w14:textId="77777777" w:rsidR="00CB0FCB" w:rsidRDefault="00CB0FCB">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26E6C6E9" w14:textId="77777777" w:rsidR="00CB0FCB" w:rsidRDefault="00CB0FCB">
            <w:pPr>
              <w:spacing w:after="0" w:line="240" w:lineRule="auto"/>
              <w:rPr>
                <w:rFonts w:eastAsia="Times New Roman" w:cs="Calibri"/>
                <w:noProof/>
                <w:color w:val="006100"/>
                <w:sz w:val="18"/>
                <w:szCs w:val="18"/>
              </w:rPr>
            </w:pPr>
          </w:p>
        </w:tc>
        <w:tc>
          <w:tcPr>
            <w:tcW w:w="996" w:type="dxa"/>
            <w:tcBorders>
              <w:top w:val="single" w:sz="4" w:space="0" w:color="auto"/>
              <w:left w:val="nil"/>
              <w:bottom w:val="single" w:sz="4" w:space="0" w:color="auto"/>
              <w:right w:val="single" w:sz="4" w:space="0" w:color="auto"/>
            </w:tcBorders>
            <w:shd w:val="clear" w:color="auto" w:fill="C6EFCE"/>
            <w:noWrap/>
          </w:tcPr>
          <w:p w14:paraId="7E699179"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32FED9B0" w14:textId="77777777" w:rsidR="00CB0FCB" w:rsidRDefault="009D2B11">
            <w:pPr>
              <w:pStyle w:val="P68B1DB1-Normal9"/>
              <w:spacing w:after="0" w:line="240" w:lineRule="auto"/>
              <w:rPr>
                <w:rFonts w:eastAsia="Times New Roman" w:cs="Calibri"/>
                <w:noProof/>
                <w:szCs w:val="18"/>
              </w:rPr>
            </w:pPr>
            <w:r>
              <w:rPr>
                <w:noProof/>
              </w:rPr>
              <w:t>2025</w:t>
            </w:r>
          </w:p>
        </w:tc>
        <w:tc>
          <w:tcPr>
            <w:tcW w:w="4248" w:type="dxa"/>
            <w:tcBorders>
              <w:top w:val="single" w:sz="4" w:space="0" w:color="auto"/>
              <w:left w:val="single" w:sz="4" w:space="0" w:color="auto"/>
              <w:bottom w:val="single" w:sz="4" w:space="0" w:color="auto"/>
              <w:right w:val="single" w:sz="4" w:space="0" w:color="auto"/>
            </w:tcBorders>
            <w:shd w:val="clear" w:color="auto" w:fill="C6EFCE"/>
            <w:noWrap/>
          </w:tcPr>
          <w:p w14:paraId="75F2076E" w14:textId="77777777" w:rsidR="00CB0FCB" w:rsidRDefault="009D2B11">
            <w:pPr>
              <w:pStyle w:val="P68B1DB1-paragraph26"/>
              <w:spacing w:before="0" w:beforeAutospacing="0" w:after="0" w:afterAutospacing="0"/>
              <w:textAlignment w:val="baseline"/>
              <w:rPr>
                <w:rFonts w:cs="Calibri"/>
                <w:noProof/>
                <w:szCs w:val="18"/>
              </w:rPr>
            </w:pPr>
            <w:r>
              <w:rPr>
                <w:noProof/>
              </w:rPr>
              <w:t xml:space="preserve">Valsts nodarbinātības dienesta digitālās pārveides pabeigšana, izmantojot: </w:t>
            </w:r>
          </w:p>
          <w:p w14:paraId="611406A3" w14:textId="77777777" w:rsidR="00CB0FCB" w:rsidRDefault="009D2B11">
            <w:pPr>
              <w:pStyle w:val="P68B1DB1-paragraph26"/>
              <w:spacing w:before="0" w:beforeAutospacing="0" w:after="0" w:afterAutospacing="0"/>
              <w:textAlignment w:val="baseline"/>
              <w:rPr>
                <w:noProof/>
              </w:rPr>
            </w:pPr>
            <w:r>
              <w:rPr>
                <w:noProof/>
              </w:rPr>
              <w:t xml:space="preserve">septiņu jaunu IT sistēmu iegāde — gan tīmeklī bāzētas, gan vietējas lietojumprogrammas (PIA OPS, aktīvu pārvaldības sistēma, FMIS, HRM, kiberdrošība, Chatbot, virtuālā galddatoru infrastruktūra (VDI)); </w:t>
            </w:r>
          </w:p>
          <w:p w14:paraId="584F88D5" w14:textId="77777777" w:rsidR="00CB0FCB" w:rsidRDefault="009D2B11">
            <w:pPr>
              <w:pStyle w:val="P68B1DB1-paragraph26"/>
              <w:spacing w:before="0" w:beforeAutospacing="0" w:after="0" w:afterAutospacing="0"/>
              <w:textAlignment w:val="baseline"/>
              <w:rPr>
                <w:noProof/>
              </w:rPr>
            </w:pPr>
            <w:r>
              <w:rPr>
                <w:noProof/>
              </w:rPr>
              <w:t>triju pašreizējo Valsts nodarbinātības dienesta IT sistēmu, proti, (ex OEAD) DYPA App, OPS (ex OAED) DYPA DYPA, jaunas uz pierādījumiem balstītas un uz datiem balstītas lēmumu pieņemšanas sistēmas pārveidošana;</w:t>
            </w:r>
          </w:p>
          <w:p w14:paraId="7E41499D" w14:textId="77777777" w:rsidR="00CB0FCB" w:rsidRDefault="009D2B11">
            <w:pPr>
              <w:pStyle w:val="P68B1DB1-paragraph26"/>
              <w:spacing w:before="0" w:beforeAutospacing="0" w:after="0" w:afterAutospacing="0"/>
              <w:textAlignment w:val="baseline"/>
              <w:rPr>
                <w:noProof/>
              </w:rPr>
            </w:pPr>
            <w:r>
              <w:rPr>
                <w:noProof/>
              </w:rPr>
              <w:t xml:space="preserve">digitālo pakalpojumu paplašināšana (izmantojot lietotni DYPA), kas ļauj DYPA sniegt e-pakalpojumus bezdarbniekiem un uzņēmumiem, izmantojot mobilos tālruņus un planšetdatorus; </w:t>
            </w:r>
          </w:p>
          <w:p w14:paraId="29B1FE01" w14:textId="74DEE71C" w:rsidR="00CB0FCB" w:rsidRDefault="009D2B11">
            <w:pPr>
              <w:pStyle w:val="P68B1DB1-paragraph26"/>
              <w:spacing w:before="0" w:beforeAutospacing="0" w:after="0" w:afterAutospacing="0"/>
              <w:rPr>
                <w:noProof/>
              </w:rPr>
            </w:pPr>
            <w:r>
              <w:rPr>
                <w:noProof/>
              </w:rPr>
              <w:t>tāda instrumenta izveide, kas palīdzētu valsts nodarbinātības dienestam optimizēt darbaspēka piedāvājuma un pieprasījuma piemeklēšanas procesu.</w:t>
            </w:r>
          </w:p>
          <w:p w14:paraId="2C6A2A7B" w14:textId="77777777" w:rsidR="00CB0FCB" w:rsidRDefault="00CB0FCB">
            <w:pPr>
              <w:spacing w:after="0" w:line="240" w:lineRule="auto"/>
              <w:rPr>
                <w:rFonts w:eastAsia="Times New Roman" w:cs="Calibri"/>
                <w:noProof/>
                <w:color w:val="006100"/>
                <w:sz w:val="18"/>
                <w:szCs w:val="18"/>
              </w:rPr>
            </w:pPr>
          </w:p>
        </w:tc>
      </w:tr>
      <w:tr w:rsidR="00CB0FCB" w14:paraId="4DA037FA"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D28F0D8" w14:textId="781A60F4" w:rsidR="00CB0FCB" w:rsidRDefault="009D2B11">
            <w:pPr>
              <w:pStyle w:val="P68B1DB1-Normal17"/>
              <w:spacing w:after="0" w:line="240" w:lineRule="auto"/>
              <w:rPr>
                <w:noProof/>
              </w:rPr>
            </w:pPr>
            <w:r>
              <w:rPr>
                <w:noProof/>
              </w:rPr>
              <w:t>134.a</w:t>
            </w:r>
          </w:p>
        </w:tc>
        <w:tc>
          <w:tcPr>
            <w:tcW w:w="1853" w:type="dxa"/>
            <w:tcBorders>
              <w:top w:val="single" w:sz="4" w:space="0" w:color="auto"/>
              <w:left w:val="nil"/>
              <w:bottom w:val="single" w:sz="4" w:space="0" w:color="auto"/>
              <w:right w:val="single" w:sz="4" w:space="0" w:color="auto"/>
            </w:tcBorders>
            <w:shd w:val="clear" w:color="auto" w:fill="C6EFCE"/>
            <w:noWrap/>
          </w:tcPr>
          <w:p w14:paraId="46AC5AE5" w14:textId="6D6B43F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16750_Darba sistēmu digitālā pārveide</w:t>
            </w:r>
          </w:p>
        </w:tc>
        <w:tc>
          <w:tcPr>
            <w:tcW w:w="1037" w:type="dxa"/>
            <w:tcBorders>
              <w:top w:val="single" w:sz="4" w:space="0" w:color="auto"/>
              <w:left w:val="nil"/>
              <w:bottom w:val="single" w:sz="4" w:space="0" w:color="auto"/>
              <w:right w:val="single" w:sz="4" w:space="0" w:color="auto"/>
            </w:tcBorders>
            <w:shd w:val="clear" w:color="auto" w:fill="C6EFCE"/>
            <w:noWrap/>
          </w:tcPr>
          <w:p w14:paraId="5D27E785" w14:textId="681BD056" w:rsidR="00CB0FCB" w:rsidRDefault="009D2B11">
            <w:pPr>
              <w:pStyle w:val="P68B1DB1-Normal17"/>
              <w:spacing w:after="0" w:line="240" w:lineRule="auto"/>
              <w:rPr>
                <w:noProof/>
              </w:rPr>
            </w:pPr>
            <w:r>
              <w:rPr>
                <w:noProof/>
              </w:rPr>
              <w:t>Atskaites punkts</w:t>
            </w:r>
          </w:p>
        </w:tc>
        <w:tc>
          <w:tcPr>
            <w:tcW w:w="1323" w:type="dxa"/>
            <w:tcBorders>
              <w:top w:val="single" w:sz="4" w:space="0" w:color="auto"/>
              <w:left w:val="nil"/>
              <w:bottom w:val="single" w:sz="4" w:space="0" w:color="auto"/>
              <w:right w:val="single" w:sz="4" w:space="0" w:color="auto"/>
            </w:tcBorders>
            <w:shd w:val="clear" w:color="auto" w:fill="C6EFCE"/>
            <w:noWrap/>
          </w:tcPr>
          <w:p w14:paraId="5EE9BB79" w14:textId="381C54C6" w:rsidR="00CB0FCB" w:rsidRDefault="009D2B11">
            <w:pPr>
              <w:pStyle w:val="P68B1DB1-Normal9"/>
              <w:spacing w:after="0" w:line="240" w:lineRule="auto"/>
              <w:rPr>
                <w:rFonts w:eastAsia="Times New Roman" w:cs="Calibri"/>
                <w:noProof/>
                <w:szCs w:val="18"/>
              </w:rPr>
            </w:pPr>
            <w:r>
              <w:rPr>
                <w:noProof/>
              </w:rPr>
              <w:t>Darba IT sistēmu pabeigšana</w:t>
            </w:r>
          </w:p>
        </w:tc>
        <w:tc>
          <w:tcPr>
            <w:tcW w:w="1469" w:type="dxa"/>
            <w:tcBorders>
              <w:top w:val="single" w:sz="4" w:space="0" w:color="auto"/>
              <w:left w:val="nil"/>
              <w:bottom w:val="single" w:sz="4" w:space="0" w:color="auto"/>
              <w:right w:val="single" w:sz="4" w:space="0" w:color="auto"/>
            </w:tcBorders>
            <w:shd w:val="clear" w:color="auto" w:fill="C6EFCE"/>
            <w:noWrap/>
          </w:tcPr>
          <w:p w14:paraId="47C9E8D9" w14:textId="770297BB" w:rsidR="00CB0FCB" w:rsidRDefault="009D2B11">
            <w:pPr>
              <w:pStyle w:val="P68B1DB1-Normal17"/>
              <w:spacing w:after="0" w:line="240" w:lineRule="auto"/>
              <w:rPr>
                <w:noProof/>
              </w:rPr>
            </w:pPr>
            <w:r>
              <w:rPr>
                <w:noProof/>
              </w:rPr>
              <w:t>Apliecinājums par projektu nodevumu pieņemšanu</w:t>
            </w:r>
          </w:p>
        </w:tc>
        <w:tc>
          <w:tcPr>
            <w:tcW w:w="981" w:type="dxa"/>
            <w:tcBorders>
              <w:top w:val="single" w:sz="4" w:space="0" w:color="auto"/>
              <w:left w:val="nil"/>
              <w:bottom w:val="single" w:sz="4" w:space="0" w:color="auto"/>
              <w:right w:val="single" w:sz="4" w:space="0" w:color="auto"/>
            </w:tcBorders>
            <w:shd w:val="clear" w:color="auto" w:fill="C6EFCE"/>
            <w:noWrap/>
          </w:tcPr>
          <w:p w14:paraId="27F6A925"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CC3C1E4" w14:textId="77777777" w:rsidR="00CB0FCB" w:rsidRDefault="00CB0FCB">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3CF20C50" w14:textId="77777777" w:rsidR="00CB0FCB" w:rsidRDefault="00CB0FCB">
            <w:pPr>
              <w:spacing w:after="0" w:line="240" w:lineRule="auto"/>
              <w:rPr>
                <w:rFonts w:eastAsia="Times New Roman" w:cs="Calibri"/>
                <w:noProof/>
                <w:color w:val="006100"/>
                <w:sz w:val="18"/>
                <w:szCs w:val="18"/>
              </w:rPr>
            </w:pPr>
          </w:p>
        </w:tc>
        <w:tc>
          <w:tcPr>
            <w:tcW w:w="996" w:type="dxa"/>
            <w:tcBorders>
              <w:top w:val="single" w:sz="4" w:space="0" w:color="auto"/>
              <w:left w:val="nil"/>
              <w:bottom w:val="single" w:sz="4" w:space="0" w:color="auto"/>
              <w:right w:val="single" w:sz="4" w:space="0" w:color="auto"/>
            </w:tcBorders>
            <w:shd w:val="clear" w:color="auto" w:fill="C6EFCE"/>
            <w:noWrap/>
          </w:tcPr>
          <w:p w14:paraId="2CCF33A7" w14:textId="71ED5DA6" w:rsidR="00CB0FCB" w:rsidRDefault="009D2B11">
            <w:pPr>
              <w:pStyle w:val="P68B1DB1-Normal17"/>
              <w:spacing w:after="0" w:line="240" w:lineRule="auto"/>
              <w:rPr>
                <w:noProof/>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23FD584C" w14:textId="781D4DCA" w:rsidR="00CB0FCB" w:rsidRDefault="009D2B11">
            <w:pPr>
              <w:pStyle w:val="P68B1DB1-Normal17"/>
              <w:spacing w:after="0" w:line="240" w:lineRule="auto"/>
              <w:rPr>
                <w:noProof/>
              </w:rPr>
            </w:pPr>
            <w:r>
              <w:rPr>
                <w:noProof/>
              </w:rPr>
              <w:t>2025</w:t>
            </w:r>
          </w:p>
        </w:tc>
        <w:tc>
          <w:tcPr>
            <w:tcW w:w="4248" w:type="dxa"/>
            <w:tcBorders>
              <w:top w:val="single" w:sz="4" w:space="0" w:color="auto"/>
              <w:left w:val="single" w:sz="4" w:space="0" w:color="auto"/>
              <w:bottom w:val="single" w:sz="4" w:space="0" w:color="auto"/>
              <w:right w:val="single" w:sz="4" w:space="0" w:color="auto"/>
            </w:tcBorders>
            <w:shd w:val="clear" w:color="auto" w:fill="C6EFCE"/>
            <w:noWrap/>
          </w:tcPr>
          <w:p w14:paraId="16FAD136" w14:textId="088C1163" w:rsidR="00CB0FCB" w:rsidRDefault="009D2B11">
            <w:pPr>
              <w:pStyle w:val="P68B1DB1-Normal9"/>
              <w:spacing w:after="0" w:line="240" w:lineRule="auto"/>
              <w:rPr>
                <w:rFonts w:eastAsia="Times New Roman" w:cs="Calibri"/>
                <w:noProof/>
                <w:szCs w:val="18"/>
              </w:rPr>
            </w:pPr>
            <w:r>
              <w:rPr>
                <w:noProof/>
              </w:rPr>
              <w:t>Šādu projektu pabeigšana:</w:t>
            </w:r>
          </w:p>
          <w:p w14:paraId="2F38BB51" w14:textId="77777777" w:rsidR="00CB0FCB" w:rsidRDefault="009D2B11">
            <w:pPr>
              <w:pStyle w:val="P68B1DB1-Normal9"/>
              <w:spacing w:after="0" w:line="240" w:lineRule="auto"/>
              <w:rPr>
                <w:rFonts w:eastAsia="Times New Roman" w:cs="Calibri"/>
                <w:noProof/>
                <w:szCs w:val="18"/>
              </w:rPr>
            </w:pPr>
            <w:r>
              <w:rPr>
                <w:noProof/>
              </w:rPr>
              <w:t>— Vienotā IT sistēma darba tirgus uzraudzībai (ARIADNE)</w:t>
            </w:r>
          </w:p>
          <w:p w14:paraId="2E76DCD5" w14:textId="77777777" w:rsidR="00CB0FCB" w:rsidRDefault="009D2B11">
            <w:pPr>
              <w:pStyle w:val="P68B1DB1-Normal9"/>
              <w:spacing w:after="0" w:line="240" w:lineRule="auto"/>
              <w:rPr>
                <w:rFonts w:eastAsia="Times New Roman" w:cs="Calibri"/>
                <w:noProof/>
                <w:szCs w:val="18"/>
              </w:rPr>
            </w:pPr>
            <w:r>
              <w:rPr>
                <w:noProof/>
              </w:rPr>
              <w:t>— Arodveselība un darba drošība (HERIDANOS)</w:t>
            </w:r>
          </w:p>
          <w:p w14:paraId="21029905" w14:textId="77777777" w:rsidR="00CB0FCB" w:rsidRDefault="009D2B11">
            <w:pPr>
              <w:pStyle w:val="P68B1DB1-Normal9"/>
              <w:spacing w:after="0" w:line="240" w:lineRule="auto"/>
              <w:rPr>
                <w:rFonts w:eastAsia="Times New Roman" w:cs="Calibri"/>
                <w:noProof/>
                <w:szCs w:val="18"/>
              </w:rPr>
            </w:pPr>
            <w:r>
              <w:rPr>
                <w:noProof/>
              </w:rPr>
              <w:t>— Likumā noteiktās minimālās algas noteikšanas process</w:t>
            </w:r>
          </w:p>
          <w:p w14:paraId="7BB50CC9" w14:textId="77777777" w:rsidR="00CB0FCB" w:rsidRDefault="009D2B11">
            <w:pPr>
              <w:pStyle w:val="P68B1DB1-Normal9"/>
              <w:spacing w:after="0" w:line="240" w:lineRule="auto"/>
              <w:rPr>
                <w:rFonts w:eastAsia="Times New Roman" w:cs="Calibri"/>
                <w:noProof/>
                <w:szCs w:val="18"/>
              </w:rPr>
            </w:pPr>
            <w:r>
              <w:rPr>
                <w:noProof/>
              </w:rPr>
              <w:t xml:space="preserve">Vienotā pensiju fonda (e-EFKA) apdrošināšanas vēstures digitalizācija </w:t>
            </w:r>
          </w:p>
          <w:p w14:paraId="7F5DD423" w14:textId="647B77F5" w:rsidR="00CB0FCB" w:rsidRDefault="009D2B11">
            <w:pPr>
              <w:pStyle w:val="P68B1DB1-Normal10"/>
              <w:spacing w:after="0" w:line="240" w:lineRule="auto"/>
              <w:rPr>
                <w:rFonts w:eastAsia="Times New Roman" w:cs="Calibri"/>
                <w:noProof/>
              </w:rPr>
            </w:pPr>
            <w:r>
              <w:rPr>
                <w:noProof/>
              </w:rPr>
              <w:t>— Jauna integrēta e-EFKA informācijas sistēma (EFKA IITS), tostarp digitālās pensiju piešķiršanas sistēmas (ATLAS) atjaunināšana</w:t>
            </w:r>
          </w:p>
        </w:tc>
      </w:tr>
    </w:tbl>
    <w:p w14:paraId="6A99AD9F" w14:textId="7E46DB1A" w:rsidR="00CB0FCB" w:rsidRDefault="009D2B11">
      <w:pPr>
        <w:pStyle w:val="NormalLeft"/>
        <w:jc w:val="both"/>
        <w:rPr>
          <w:noProof/>
        </w:rPr>
        <w:sectPr w:rsidR="00CB0FCB" w:rsidSect="00271D33">
          <w:headerReference w:type="even" r:id="rId139"/>
          <w:headerReference w:type="default" r:id="rId140"/>
          <w:footerReference w:type="even" r:id="rId141"/>
          <w:footerReference w:type="default" r:id="rId142"/>
          <w:headerReference w:type="first" r:id="rId143"/>
          <w:footerReference w:type="first" r:id="rId144"/>
          <w:pgSz w:w="16839" w:h="11907" w:orient="landscape"/>
          <w:pgMar w:top="720" w:right="720" w:bottom="720" w:left="720" w:header="709" w:footer="217" w:gutter="0"/>
          <w:cols w:space="720"/>
          <w:docGrid w:linePitch="360"/>
        </w:sectPr>
      </w:pPr>
      <w:r>
        <w:rPr>
          <w:noProof/>
        </w:rPr>
        <w:br/>
      </w:r>
    </w:p>
    <w:p w14:paraId="24A69823" w14:textId="77777777" w:rsidR="00CB0FCB" w:rsidRDefault="009D2B11">
      <w:pPr>
        <w:pStyle w:val="P68B1DB1-Normal2"/>
        <w:spacing w:before="120" w:after="120" w:line="240" w:lineRule="auto"/>
        <w:ind w:firstLine="6"/>
        <w:jc w:val="both"/>
        <w:outlineLvl w:val="3"/>
        <w:rPr>
          <w:rFonts w:cs="Times New Roman"/>
          <w:bCs/>
          <w:noProof/>
        </w:rPr>
      </w:pPr>
      <w:r>
        <w:rPr>
          <w:noProof/>
        </w:rPr>
        <w:t>I. 3.2. KOMPONENTS: IZGLĪTĪBA, PROFESIONĀLĀ IZGLĪTĪBA, APMĀCĪBA UN PRASMES</w:t>
      </w:r>
    </w:p>
    <w:p w14:paraId="2627355B" w14:textId="77777777" w:rsidR="00CB0FCB" w:rsidRDefault="009D2B11">
      <w:pPr>
        <w:pStyle w:val="P68B1DB1-Normal4"/>
        <w:spacing w:before="120" w:after="120" w:line="240" w:lineRule="auto"/>
        <w:jc w:val="both"/>
        <w:rPr>
          <w:rFonts w:cs="Times New Roman"/>
          <w:noProof/>
          <w:color w:val="000000"/>
          <w:shd w:val="clear" w:color="auto" w:fill="FFFFFF"/>
        </w:rPr>
      </w:pPr>
      <w:r>
        <w:rPr>
          <w:noProof/>
        </w:rPr>
        <w:t xml:space="preserve">Šā Grieķijas atveseļošanas un noturības plāna komponenta mērķis ir uzlabot izglītības un mūžizglītības sistēmu kvalitāti, lietderību un efektivitāti. Komponents ietver investīcijas horizontālās prasmju pilnveides programmās digitālo, zaļo un finanšpratības prasmju jomā kopumā 628000 atbalsta saņēmēju. To papildina mūžizglītības sistēmas reforma, lai uzlabotu apmācības nodrošināšanu, un reformu un ieguldījumu kopums, kas vērsts uz profesionālās izglītības un apmācības (PIA) un māceklības sistēmām, lai uzlabotu to atbilstību darba tirgus vajadzībām. Attiecībā uz PIA plāna mērķis ir uzlabot PIA infrastruktūru un aprīkojumu un modernizēt esošās mācību programmas. Turklāt plānā ir paredzēta jauna universitāšu izcilības stratēģija, kuras mērķis ir uzlabot to pētniecības sniegumu un izglītības kvalitāti, veicot </w:t>
      </w:r>
      <w:r>
        <w:rPr>
          <w:noProof/>
          <w:color w:val="000000"/>
        </w:rPr>
        <w:t xml:space="preserve">ieguldījumus pētniecības un izglītības infrastruktūras uzlabošanā, atbalstot pētniecības </w:t>
      </w:r>
      <w:r>
        <w:rPr>
          <w:noProof/>
        </w:rPr>
        <w:t xml:space="preserve">projektus </w:t>
      </w:r>
      <w:r>
        <w:rPr>
          <w:noProof/>
          <w:color w:val="000000"/>
        </w:rPr>
        <w:t xml:space="preserve">un doktorantūras projektus </w:t>
      </w:r>
      <w:r>
        <w:rPr>
          <w:noProof/>
        </w:rPr>
        <w:t xml:space="preserve"> arī sadarbībā ar privāto sektoru un </w:t>
      </w:r>
      <w:r>
        <w:rPr>
          <w:noProof/>
          <w:color w:val="000000"/>
        </w:rPr>
        <w:t>ārvalstu profesoru programmām</w:t>
      </w:r>
      <w:r>
        <w:rPr>
          <w:noProof/>
        </w:rPr>
        <w:t>. Šīs reformas ir apvienotas ar investīcijām izglītības sistēmas digitalizācijā, no kurām liela daļa ir piešķirta interaktīvām mācību sistēmām pamatskolās un vidusskolās un vaučeri skolēniem un studentiem no ģimenēm ar zemiem ienākumiem IT aprīkojuma iegādei.</w:t>
      </w:r>
      <w:r>
        <w:rPr>
          <w:noProof/>
          <w:color w:val="000000"/>
          <w:shd w:val="clear" w:color="auto" w:fill="FFFFFF"/>
        </w:rPr>
        <w:t xml:space="preserve"> </w:t>
      </w:r>
    </w:p>
    <w:p w14:paraId="4936B834" w14:textId="77777777" w:rsidR="00CB0FCB" w:rsidRDefault="009D2B11">
      <w:pPr>
        <w:pStyle w:val="P68B1DB1-Normal4"/>
        <w:spacing w:before="120" w:after="120" w:line="240" w:lineRule="auto"/>
        <w:jc w:val="both"/>
        <w:rPr>
          <w:rFonts w:cs="Times New Roman"/>
          <w:noProof/>
        </w:rPr>
      </w:pPr>
      <w:r>
        <w:rPr>
          <w:noProof/>
          <w:color w:val="000000"/>
          <w:shd w:val="clear" w:color="auto" w:fill="FFFFFF"/>
        </w:rPr>
        <w:t xml:space="preserve">Komponents atbilst konkrētai valstij adresētajiem ieteikumiem ieguldīt izglītībā, nodarbināmībā un prasmēs un uzlabot valsts pārvaldes digitalizāciju (2020. un 2019. gada konkrētai valstij adresētais ieteikums Nr. 3). </w:t>
      </w:r>
      <w:r>
        <w:rPr>
          <w:noProof/>
        </w:rPr>
        <w:t>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53457C0E"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I.1. </w:t>
      </w:r>
      <w:r>
        <w:rPr>
          <w:noProof/>
        </w:rPr>
        <w:t xml:space="preserve"> </w:t>
      </w:r>
      <w:r>
        <w:rPr>
          <w:rFonts w:ascii="Times New Roman" w:hAnsi="Times New Roman"/>
          <w:b/>
          <w:noProof/>
          <w:sz w:val="24"/>
          <w:u w:val="single"/>
        </w:rPr>
        <w:t>Reformu un investīciju apraksts neatmaksājamam finansiālajam atbalstam</w:t>
      </w:r>
    </w:p>
    <w:p w14:paraId="2BB504C5"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Jauna stratēģija mūžizglītībai: Grieķijas prasmju pilnveides un pārkvalifikācijas sistēmas modernizācija un modernizācija (pasākums ID: 16913)</w:t>
      </w:r>
    </w:p>
    <w:p w14:paraId="5A84D1AE" w14:textId="77777777" w:rsidR="00CB0FCB" w:rsidRDefault="009D2B11">
      <w:pPr>
        <w:pStyle w:val="P68B1DB1-Normal4"/>
        <w:spacing w:before="120" w:after="120" w:line="240" w:lineRule="auto"/>
        <w:jc w:val="both"/>
        <w:rPr>
          <w:rFonts w:cs="Times New Roman"/>
          <w:noProof/>
          <w:szCs w:val="24"/>
        </w:rPr>
      </w:pPr>
      <w:r>
        <w:rPr>
          <w:noProof/>
        </w:rPr>
        <w:t>Reformas mērķis ir uzlabot mūžizglītības sistēmu, lai palielinātu tās kvalitāti un atbilstību darba tirgus vajadzībām. Reforma jo īpaši ļaus labāk uzraudzīt un apmierināt darba tirgus pieprasījuma vajadzības, modernizējot, modernizējot un savstarpēji savienojot dažādu ministriju un aģentūru esošās datu kopas, tostarp 2016. gadā izveidoto darba tirgus diagnostikas mehānismu. Ar reformu izveido arī mūžizglītības prasmju kontus (LSA), kas, paredzams, kalpos par galveno instrumentu pastāvīgas apmācības nodrošināšanai atkarībā no individualizētām vajadzībām, un jaunu valsts atbilstīgo apmācības sniedzēju sarakstu, kurā pasniedzējiem piemēro minimālos uz ieguldījumiem balstītos kvalitātes kritērijus. Visbeidzot, reformas rezultātā tiks izveidota jauna pārvaldības struktūra — Valsts prasmju padome, kuras pamatā ir DYPA un kura ir atbildīga par valsts prasmju stratēģijas ikgadējās atjaunināšanas izstrādi. Reformu papildina investīcijas horizontālās prasmju pilnveides programmās, kas vērstas uz dažādām iedzīvotāju grupām un kuru mērķis ir nodrošināt a) pamata un vidēja līmeņa digitālās prasmes, b) zaļās prasmes un c) finanšpratības prasmes. Reformas un investīciju īstenošanu pabeidz līdz 2025. gada 31. decembrim.</w:t>
      </w:r>
    </w:p>
    <w:p w14:paraId="610D447E" w14:textId="77777777" w:rsidR="00CB0FCB" w:rsidRDefault="009D2B11">
      <w:pPr>
        <w:pStyle w:val="P68B1DB1-Normal4"/>
        <w:rPr>
          <w:b/>
          <w:noProof/>
        </w:rPr>
      </w:pPr>
      <w:r>
        <w:rPr>
          <w:noProof/>
        </w:rPr>
        <w:br w:type="page"/>
      </w:r>
    </w:p>
    <w:p w14:paraId="346CF16E" w14:textId="67451A42" w:rsidR="00CB0FCB" w:rsidRDefault="009D2B11">
      <w:pPr>
        <w:pStyle w:val="P68B1DB1-Normal4"/>
        <w:spacing w:before="120" w:after="120" w:line="240" w:lineRule="auto"/>
        <w:jc w:val="both"/>
        <w:rPr>
          <w:rFonts w:cs="Times New Roman"/>
          <w:noProof/>
        </w:rPr>
      </w:pPr>
      <w:r>
        <w:rPr>
          <w:b/>
          <w:noProof/>
        </w:rPr>
        <w:t>Reforma:</w:t>
      </w:r>
      <w:r>
        <w:rPr>
          <w:noProof/>
        </w:rPr>
        <w:t xml:space="preserve"> Universitāšu izcilības un inovācijas stratēģija (pasākums ID: 16289)</w:t>
      </w:r>
    </w:p>
    <w:p w14:paraId="5276CE0B" w14:textId="0E54923A" w:rsidR="00CB0FCB" w:rsidRDefault="009D2B11">
      <w:pPr>
        <w:pStyle w:val="P68B1DB1-Normal4"/>
        <w:spacing w:before="120" w:after="120" w:line="240" w:lineRule="auto"/>
        <w:jc w:val="both"/>
        <w:rPr>
          <w:rFonts w:cs="Times New Roman"/>
          <w:noProof/>
          <w:szCs w:val="24"/>
        </w:rPr>
      </w:pPr>
      <w:r>
        <w:rPr>
          <w:noProof/>
        </w:rPr>
        <w:t>Reformas mērķis ir uzlabot Grieķijas universitāšu pētniecības rezultātus un izpostīšanu, tostarp piesaistot kvalificētus un izcilus akadēmiskos darbiniekus un pētniekus, un uzlabot studentiem piedāvātās izglītības kvalitāti un atbilstību darba tirgus prasībām. Reforma jo īpaši paredz: finansēšanas shēma 70 pētniecības projektiem (pētniecības izcilības kopas), kas paredzēti akadēmiķiem, lai īstenotu pētniecības projektus ar privātā sektora uzņēmumiem Grieķijā; b) pētniecības un izglītības infrastruktūras uzlabošana izraudzītās Grieķijas universitātēs; Grieķijas Nacionālā bibliotēku tīkla digitālā pārveide; un d) kopīgu un/vai duālu pēcdiploma studiju programmu izveide ar ārvalstu universitātēm. Reformas īstenošanu pabeidz līdz 2025. gada 31. decembrim.</w:t>
      </w:r>
    </w:p>
    <w:p w14:paraId="32CB67F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Māceklības sistēmas stiprināšana (pasākuma ID: 16794)</w:t>
      </w:r>
    </w:p>
    <w:p w14:paraId="4060651E" w14:textId="61AFD2E5" w:rsidR="00CB0FCB" w:rsidRDefault="009D2B11">
      <w:pPr>
        <w:pStyle w:val="P68B1DB1-Normal5"/>
        <w:spacing w:before="120" w:after="120" w:line="240" w:lineRule="auto"/>
        <w:jc w:val="both"/>
        <w:rPr>
          <w:rFonts w:cs="Times New Roman"/>
          <w:noProof/>
        </w:rPr>
      </w:pPr>
      <w:r>
        <w:rPr>
          <w:noProof/>
        </w:rPr>
        <w:t>Reformas mērķis ir atjaunot valsts nodarbinātības dienesta (DYPA EPAS) māceklības arodskolas, kas ir valdības profesionālās izglītības un apmācības (PIA) un jauniešu nodarbinātības stratēģijas neatņemama sastāvdaļa. Reforma jo īpaši ietver 1) jauna tiesiskā regulējuma ieviešanu PIA valsts sistēmai; 2) mācību procesu vienkāršošana un jaunu metodiku un rīku, piemēram, e-mācību platformu un digitalizēta apmācības satura, integrēšana gan mācekļiem, gan pasniedzējiem; 3) pašreizējo mācību programmu novērtēšana, pārveidošana un atjaunināšana (ar sociālo partneru un darba devēju ieguldījumu), lai tās vēl vairāk saskaņotu ar faktiskajām darba tirgus vajadzībām; 4) PIA infrastruktūras (laboratoriju un aprīkojuma) atjaunošana un modernizācija; 5) EPVS ēku renovācija, lai uzlabotu energoefektivitāti un telpisko funkcionalitāti; 6) virtuālās realitātes tehnoloģiju integrēšana ikdienas mācību moduļos; 7) plašas programmas “mācībspēku apmācība” ieviešana DYPA izglītības personālam; 8) komunikācijas kampaņas ieviešana, lai popularizētu māceklības sistēmu. Īpaša piešķirto dotāciju daļa veicina zaļās prasmes un darbvietas un zaļo ekonomiku. Reformas īstenošanu pabeidz līdz 2025. gada 31. decembrim.</w:t>
      </w:r>
    </w:p>
    <w:p w14:paraId="4D140970" w14:textId="7C22808B" w:rsidR="00CB0FCB" w:rsidRDefault="009D2B11">
      <w:pPr>
        <w:pStyle w:val="P68B1DB1-Normal4"/>
        <w:spacing w:before="120" w:after="120" w:line="240" w:lineRule="auto"/>
        <w:jc w:val="both"/>
        <w:rPr>
          <w:rFonts w:cs="Times New Roman"/>
          <w:noProof/>
        </w:rPr>
      </w:pPr>
      <w:r>
        <w:rPr>
          <w:noProof/>
        </w:rPr>
        <w:t>Energoefektivitātes renovācija un pasākumi atbilst i) vismaz vidēja līmeņa renovācijai, kā definēts Komisijas Ieteikumā (ES) 2019/786 par ēku renovāciju, vai b) sasniedz vidēji vismaz 30 % tiešo un netiešo SEG emisiju samazinājumu salīdzinājumā ar ex ante emisijām.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w:t>
      </w:r>
    </w:p>
    <w:p w14:paraId="14BAE9DA"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Darbaspēka prasmju pilnveide, pārkvalifikācija un kvalifikācijas celšana, izmantojot reformētu apmācības modeli (profesionālās izglītības un apmācības reforma) (pasākums ID: 16792)</w:t>
      </w:r>
    </w:p>
    <w:p w14:paraId="61AA13B4" w14:textId="313A8943" w:rsidR="00CB0FCB" w:rsidRDefault="009D2B11">
      <w:pPr>
        <w:pStyle w:val="P68B1DB1-Normal4"/>
        <w:spacing w:before="120" w:after="120" w:line="240" w:lineRule="auto"/>
        <w:jc w:val="both"/>
        <w:rPr>
          <w:rFonts w:cs="Times New Roman"/>
          <w:noProof/>
          <w:szCs w:val="24"/>
        </w:rPr>
      </w:pPr>
      <w:r>
        <w:rPr>
          <w:noProof/>
        </w:rPr>
        <w:t>Reformas mērķis ir 1) uzlabot kvalitātes kontroli (piemēram, novērtēšanas sistēmas, kas seko līdzi stažieru progresam un sniegumam) valsts nodarbinātības dienesta (DYPA) profesionālās apmācības nodaļās, 2) atjaunināt to moduļus atbilstoši pašreizējām un nākotnes darba tirgus vajadzībām, kas ir daļa no DYPA aktīvās darba tirgus politikas (ADTP) visaptverošas reformas, un 3) veicināt e-mācības un apmācības satura digitalizāciju. Tas ir saistīts ar ieguldījumiem laboratoriju aprīkojuma piegādē. Reformas īstenošanu pabeidz līdz 2025. gada 31. decembrim.</w:t>
      </w:r>
    </w:p>
    <w:p w14:paraId="54C2D37B"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Profesionālās izglītības un apmācības uzlabošana (pasākums ID: 16934)</w:t>
      </w:r>
    </w:p>
    <w:p w14:paraId="5137EF86" w14:textId="0DC822F6" w:rsidR="00CB0FCB" w:rsidRDefault="009D2B11">
      <w:pPr>
        <w:pStyle w:val="P68B1DB1-Normal5"/>
        <w:spacing w:before="120" w:after="120" w:line="240" w:lineRule="auto"/>
        <w:jc w:val="both"/>
        <w:rPr>
          <w:rFonts w:ascii="Segoe UI" w:hAnsi="Segoe UI" w:cs="Segoe UI"/>
          <w:noProof/>
          <w:sz w:val="18"/>
          <w:szCs w:val="18"/>
        </w:rPr>
      </w:pPr>
      <w:r>
        <w:rPr>
          <w:noProof/>
        </w:rPr>
        <w:t xml:space="preserve">Ierosinātās reformas mērķis ir paātrināt Likuma Nr. 4763/2020 īstenošanu. Paredzams, ka ierosinātās darbības 1) palīdzēs padarīt profesionālo izglītību un apmācību (PIA) par pievilcīgu izglītības ceļu, 2) stiprinās saikni starp izglītību un darba tirgus vajadzībām un 3) nodrošinās prasmes, kas vajadzīgas divējādās zaļās un digitālās pārkārtošanās īstenošanai, un uzlabos nodarbinātības izredzes, jo īpaši jauniešiem. Reforma sastāv no šādiem elementiem: mācību ceļvežu, mācību programmu un pasniedzēju apmācību piecās tematiskās un desmit padziļinātās profesionālās izglītības eksperimentālajās skolās (SAEK) izstrāde un izstrāde, kā arī sešu no šiem institūtiem ēku renovācija; mācību programmu, mācību programmu </w:t>
      </w:r>
      <w:r>
        <w:rPr>
          <w:noProof/>
          <w:color w:val="000000" w:themeColor="text1"/>
        </w:rPr>
        <w:t>un pasniedzēju apmācību 25 modeļu profesionālajiem gičumiem (paraugs EPAL) projektēšanu un izstrādi, kā arī 21 no šiem Lyceums ēku renovāciju</w:t>
      </w:r>
      <w:r>
        <w:rPr>
          <w:noProof/>
        </w:rPr>
        <w:t xml:space="preserve">; valsts Kvalifikāciju un profesionālās orientācijas sertifikācijas organizācijas (EOPPEP) digitālo pakalpojumu paplašināšana un e-mācību PIA platformas izstrāde, pārveidojot esošos mācību materiālus e-mācību moduļos. </w:t>
      </w:r>
      <w:r>
        <w:rPr>
          <w:noProof/>
          <w:color w:val="000000" w:themeColor="text1"/>
        </w:rPr>
        <w:t>Visu projektu mērķis ir veicināt sieviešu līdzdalību PIA un veicināt viņu vadības prasmes.</w:t>
      </w:r>
      <w:r>
        <w:rPr>
          <w:noProof/>
        </w:rPr>
        <w:t xml:space="preserve"> Reformas īstenošanu pabeidz līdz 2025. gada 31. decembrim.</w:t>
      </w:r>
    </w:p>
    <w:p w14:paraId="69ECB959"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Izglītības digitālā pārveide (pasākums ID: 16676)</w:t>
      </w:r>
    </w:p>
    <w:p w14:paraId="398F8B16" w14:textId="57037D91" w:rsidR="00CB0FCB" w:rsidRDefault="009D2B11">
      <w:pPr>
        <w:pStyle w:val="P68B1DB1-Normal4"/>
        <w:spacing w:before="120" w:after="120" w:line="240" w:lineRule="auto"/>
        <w:jc w:val="both"/>
        <w:rPr>
          <w:rFonts w:cs="Times New Roman"/>
          <w:noProof/>
        </w:rPr>
      </w:pPr>
      <w:r>
        <w:rPr>
          <w:noProof/>
        </w:rPr>
        <w:t>Investīcija paredz izglītības digitālo pārveidi satura, infrastruktūras un pakalpojumu ziņā, un to papildina visaptveroša reformu stratēģija, lai atjauninātu mācību programmas, racionalizētu pakalpojumus un uzraudzītu izglītības rezultātus. Ieguldījumu veido šādi komponenti: Digitālais saturs skolās; digitālais aprīkojums skolās; skolotāju profesionālā attīstība skolās un digitālie pakalpojumi skolās un universitātēs. Investīciju īstenošanu pabeidz līdz 2025. gada 31. decembrim.</w:t>
      </w:r>
    </w:p>
    <w:p w14:paraId="52D79937" w14:textId="51F1DCE8" w:rsidR="00CB0FCB" w:rsidRDefault="009D2B11">
      <w:pPr>
        <w:pStyle w:val="P68B1DB1-Normal4"/>
        <w:spacing w:before="120" w:after="120" w:line="240" w:lineRule="auto"/>
        <w:jc w:val="both"/>
        <w:rPr>
          <w:rFonts w:cs="Times New Roman"/>
          <w:noProof/>
        </w:rPr>
      </w:pPr>
      <w:r>
        <w:rPr>
          <w:b/>
          <w:noProof/>
        </w:rPr>
        <w:t>Ieguldījums:</w:t>
      </w:r>
      <w:r>
        <w:rPr>
          <w:noProof/>
        </w:rPr>
        <w:t xml:space="preserve"> Profesionālās izglītības un apmācības (PIA) uzlabošana: Laboratorijas aprīkojuma piegāde laboratorijas centriem SAEK, EPAL, pēcvidusskolas praktikantu klasēm un profesionālās izglītības skolām (pasākums ID: 16933)</w:t>
      </w:r>
    </w:p>
    <w:p w14:paraId="341DC519" w14:textId="46B48A32" w:rsidR="00CB0FCB" w:rsidRDefault="009D2B11">
      <w:pPr>
        <w:pStyle w:val="P68B1DB1-Normal4"/>
        <w:spacing w:before="120" w:after="120" w:line="240" w:lineRule="auto"/>
        <w:jc w:val="both"/>
        <w:rPr>
          <w:rFonts w:cs="Times New Roman"/>
          <w:noProof/>
        </w:rPr>
      </w:pPr>
      <w:r>
        <w:rPr>
          <w:noProof/>
        </w:rPr>
        <w:t xml:space="preserve">Ar šo ieguldījumu modernizē un modernizē profesionālās izglītības un apmācības (PIA) iestāžu laboratorijas infrastruktūru visā Grieķijā, jo īpaši attiecībā uz </w:t>
      </w:r>
      <w:r>
        <w:rPr>
          <w:noProof/>
          <w:szCs w:val="24"/>
        </w:rPr>
        <w:t>padziļinātās profesionālās izglītības skolām (</w:t>
      </w:r>
      <w:r>
        <w:rPr>
          <w:noProof/>
        </w:rPr>
        <w:t xml:space="preserve"> SAEK), augstākās profesionālās izglītības augstskolām (EPAL), pēcvidusskolas praktikantu klasēm un profesionālās izglītības skolām. Šis ieguldījums papildina profesionālās izglītības un apmācības uzlabošanas reformu. Investīciju īstenošanu pabeidz līdz 2025. gada 31. decembrim.</w:t>
      </w:r>
    </w:p>
    <w:p w14:paraId="751F1C0E" w14:textId="77777777" w:rsidR="00CB0FCB" w:rsidRDefault="00CB0FCB">
      <w:pPr>
        <w:spacing w:before="120" w:after="120" w:line="240" w:lineRule="auto"/>
        <w:ind w:left="709"/>
        <w:jc w:val="both"/>
        <w:rPr>
          <w:rFonts w:ascii="Times New Roman" w:hAnsi="Times New Roman" w:cs="Times New Roman"/>
          <w:noProof/>
          <w:sz w:val="24"/>
        </w:rPr>
      </w:pPr>
    </w:p>
    <w:p w14:paraId="7D323B28"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145"/>
          <w:headerReference w:type="default" r:id="rId146"/>
          <w:footerReference w:type="even" r:id="rId147"/>
          <w:footerReference w:type="default" r:id="rId148"/>
          <w:headerReference w:type="first" r:id="rId149"/>
          <w:footerReference w:type="first" r:id="rId150"/>
          <w:pgSz w:w="11907" w:h="16839"/>
          <w:pgMar w:top="1134" w:right="1418" w:bottom="1134" w:left="1418" w:header="709" w:footer="326" w:gutter="0"/>
          <w:cols w:space="720"/>
          <w:docGrid w:linePitch="360"/>
        </w:sectPr>
      </w:pPr>
    </w:p>
    <w:p w14:paraId="0B1478D4" w14:textId="77777777" w:rsidR="00CB0FCB" w:rsidRDefault="009D2B11">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I.2.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2B6C03E8" w14:textId="77777777" w:rsidR="00CB0FCB" w:rsidRDefault="009D2B11">
      <w:pPr>
        <w:pStyle w:val="P68B1DB1-Normal6"/>
        <w:keepNext/>
        <w:keepLines/>
        <w:spacing w:before="40" w:after="0" w:line="240" w:lineRule="auto"/>
        <w:jc w:val="both"/>
        <w:outlineLvl w:val="4"/>
        <w:rPr>
          <w:noProof/>
        </w:rPr>
      </w:pPr>
      <w:r>
        <w:rPr>
          <w:noProof/>
        </w:rPr>
        <w:t>Lielākā investīcija Nr. 5: Jauna stratēģija mūžizglītībai: Grieķijas prasmju pilnveides un pārkvalifikācijas sistēmas modernizēšana un uzlabošana</w:t>
      </w:r>
    </w:p>
    <w:p w14:paraId="69DE992B"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W w:w="15502" w:type="dxa"/>
        <w:jc w:val="center"/>
        <w:tblLayout w:type="fixed"/>
        <w:tblLook w:val="04A0" w:firstRow="1" w:lastRow="0" w:firstColumn="1" w:lastColumn="0" w:noHBand="0" w:noVBand="1"/>
      </w:tblPr>
      <w:tblGrid>
        <w:gridCol w:w="1188"/>
        <w:gridCol w:w="1319"/>
        <w:gridCol w:w="1043"/>
        <w:gridCol w:w="1142"/>
        <w:gridCol w:w="1459"/>
        <w:gridCol w:w="1332"/>
        <w:gridCol w:w="870"/>
        <w:gridCol w:w="998"/>
        <w:gridCol w:w="850"/>
        <w:gridCol w:w="709"/>
        <w:gridCol w:w="4592"/>
      </w:tblGrid>
      <w:tr w:rsidR="00CB0FCB" w14:paraId="2B218278" w14:textId="77777777">
        <w:trPr>
          <w:trHeight w:val="740"/>
          <w:tblHeader/>
          <w:jc w:val="center"/>
        </w:trPr>
        <w:tc>
          <w:tcPr>
            <w:tcW w:w="11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A7082D"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F15BFE"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632193"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142" w:type="dxa"/>
            <w:vMerge w:val="restart"/>
            <w:tcBorders>
              <w:top w:val="single" w:sz="4" w:space="0" w:color="auto"/>
              <w:left w:val="nil"/>
              <w:bottom w:val="single" w:sz="4" w:space="0" w:color="auto"/>
              <w:right w:val="single" w:sz="4" w:space="0" w:color="auto"/>
            </w:tcBorders>
            <w:shd w:val="clear" w:color="auto" w:fill="BDD7EE"/>
            <w:vAlign w:val="center"/>
            <w:hideMark/>
          </w:tcPr>
          <w:p w14:paraId="1D0BD973"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A1CA78"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3200" w:type="dxa"/>
            <w:gridSpan w:val="3"/>
            <w:tcBorders>
              <w:top w:val="single" w:sz="4" w:space="0" w:color="auto"/>
              <w:left w:val="nil"/>
              <w:bottom w:val="single" w:sz="4" w:space="0" w:color="auto"/>
              <w:right w:val="single" w:sz="4" w:space="0" w:color="auto"/>
            </w:tcBorders>
            <w:shd w:val="clear" w:color="auto" w:fill="BDD7EE"/>
            <w:vAlign w:val="center"/>
            <w:hideMark/>
          </w:tcPr>
          <w:p w14:paraId="5BE1588D"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6F0EF5D5"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5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F9D9B3"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20A0C741" w14:textId="77777777">
        <w:trPr>
          <w:trHeight w:val="512"/>
          <w:tblHeader/>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F96F249" w14:textId="77777777" w:rsidR="00CB0FCB" w:rsidRDefault="00CB0FCB">
            <w:pPr>
              <w:spacing w:after="0" w:line="240" w:lineRule="auto"/>
              <w:rPr>
                <w:rFonts w:ascii="Times New Roman" w:eastAsia="Times New Roman" w:hAnsi="Times New Roman" w:cs="Times New Roman"/>
                <w:b/>
                <w:bCs/>
                <w:noProof/>
                <w:sz w:val="18"/>
                <w:szCs w:val="18"/>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1CD9B94E" w14:textId="77777777" w:rsidR="00CB0FCB" w:rsidRDefault="00CB0FCB">
            <w:pPr>
              <w:spacing w:after="0" w:line="240" w:lineRule="auto"/>
              <w:rPr>
                <w:rFonts w:ascii="Times New Roman" w:eastAsia="Times New Roman" w:hAnsi="Times New Roman" w:cs="Times New Roman"/>
                <w:b/>
                <w:bCs/>
                <w:noProof/>
                <w:sz w:val="18"/>
                <w:szCs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7A6B68E" w14:textId="77777777" w:rsidR="00CB0FCB" w:rsidRDefault="00CB0FCB">
            <w:pPr>
              <w:spacing w:after="0" w:line="240" w:lineRule="auto"/>
              <w:rPr>
                <w:rFonts w:ascii="Times New Roman" w:eastAsia="Times New Roman" w:hAnsi="Times New Roman" w:cs="Times New Roman"/>
                <w:b/>
                <w:bCs/>
                <w:noProof/>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1B661E5" w14:textId="77777777" w:rsidR="00CB0FCB" w:rsidRDefault="00CB0FCB">
            <w:pPr>
              <w:spacing w:after="0" w:line="240" w:lineRule="auto"/>
              <w:rPr>
                <w:rFonts w:ascii="Times New Roman" w:eastAsia="Times New Roman" w:hAnsi="Times New Roman" w:cs="Times New Roman"/>
                <w:b/>
                <w:bCs/>
                <w:noProof/>
                <w:sz w:val="18"/>
                <w:szCs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CD64EC7" w14:textId="77777777" w:rsidR="00CB0FCB" w:rsidRDefault="00CB0FCB">
            <w:pPr>
              <w:spacing w:after="0" w:line="240" w:lineRule="auto"/>
              <w:rPr>
                <w:rFonts w:ascii="Times New Roman" w:eastAsia="Times New Roman" w:hAnsi="Times New Roman" w:cs="Times New Roman"/>
                <w:b/>
                <w:bCs/>
                <w:noProof/>
                <w:sz w:val="18"/>
                <w:szCs w:val="18"/>
              </w:rPr>
            </w:pPr>
          </w:p>
        </w:tc>
        <w:tc>
          <w:tcPr>
            <w:tcW w:w="133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499182A"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70" w:type="dxa"/>
            <w:tcBorders>
              <w:top w:val="single" w:sz="4" w:space="0" w:color="auto"/>
              <w:left w:val="nil"/>
              <w:bottom w:val="single" w:sz="4" w:space="0" w:color="auto"/>
              <w:right w:val="single" w:sz="4" w:space="0" w:color="auto"/>
            </w:tcBorders>
            <w:shd w:val="clear" w:color="auto" w:fill="BDD7EE"/>
            <w:vAlign w:val="center"/>
            <w:hideMark/>
          </w:tcPr>
          <w:p w14:paraId="1040D502"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998" w:type="dxa"/>
            <w:tcBorders>
              <w:top w:val="single" w:sz="4" w:space="0" w:color="auto"/>
              <w:left w:val="nil"/>
              <w:bottom w:val="single" w:sz="4" w:space="0" w:color="auto"/>
              <w:right w:val="single" w:sz="4" w:space="0" w:color="auto"/>
            </w:tcBorders>
            <w:shd w:val="clear" w:color="auto" w:fill="BDD7EE"/>
            <w:vAlign w:val="center"/>
            <w:hideMark/>
          </w:tcPr>
          <w:p w14:paraId="223867B9"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68EFEE4F"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57963F30"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592" w:type="dxa"/>
            <w:vMerge/>
            <w:tcBorders>
              <w:top w:val="single" w:sz="4" w:space="0" w:color="auto"/>
              <w:bottom w:val="single" w:sz="4" w:space="0" w:color="auto"/>
              <w:right w:val="single" w:sz="4" w:space="0" w:color="auto"/>
            </w:tcBorders>
            <w:vAlign w:val="center"/>
            <w:hideMark/>
          </w:tcPr>
          <w:p w14:paraId="3A030342"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D62275F" w14:textId="77777777">
        <w:trPr>
          <w:trHeight w:val="309"/>
          <w:jc w:val="center"/>
        </w:trPr>
        <w:tc>
          <w:tcPr>
            <w:tcW w:w="1188" w:type="dxa"/>
            <w:tcBorders>
              <w:top w:val="single" w:sz="4" w:space="0" w:color="auto"/>
              <w:left w:val="single" w:sz="4" w:space="0" w:color="auto"/>
              <w:bottom w:val="single" w:sz="4" w:space="0" w:color="auto"/>
              <w:right w:val="single" w:sz="4" w:space="0" w:color="auto"/>
            </w:tcBorders>
            <w:shd w:val="clear" w:color="auto" w:fill="C6EFCE"/>
            <w:noWrap/>
          </w:tcPr>
          <w:p w14:paraId="5308DF01" w14:textId="77777777" w:rsidR="00CB0FCB" w:rsidRDefault="009D2B11">
            <w:pPr>
              <w:pStyle w:val="P68B1DB1-Normal9"/>
              <w:spacing w:after="0" w:line="240" w:lineRule="auto"/>
              <w:rPr>
                <w:rFonts w:eastAsia="Times New Roman" w:cs="Calibri"/>
                <w:noProof/>
                <w:szCs w:val="18"/>
              </w:rPr>
            </w:pPr>
            <w:r>
              <w:rPr>
                <w:noProof/>
              </w:rPr>
              <w:t>138</w:t>
            </w:r>
          </w:p>
        </w:tc>
        <w:tc>
          <w:tcPr>
            <w:tcW w:w="1319" w:type="dxa"/>
            <w:tcBorders>
              <w:top w:val="single" w:sz="4" w:space="0" w:color="auto"/>
              <w:left w:val="nil"/>
              <w:bottom w:val="single" w:sz="4" w:space="0" w:color="auto"/>
              <w:right w:val="single" w:sz="4" w:space="0" w:color="auto"/>
            </w:tcBorders>
            <w:shd w:val="clear" w:color="auto" w:fill="C6EFCE"/>
            <w:noWrap/>
          </w:tcPr>
          <w:p w14:paraId="166013C4"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16913_A Jauna mūžizglītības stratēģija: Grieķijas prasmju pilnveides un pārkvalifikācijas sistēmas modernizēšana un uzlabošana</w:t>
            </w:r>
          </w:p>
        </w:tc>
        <w:tc>
          <w:tcPr>
            <w:tcW w:w="1043" w:type="dxa"/>
            <w:tcBorders>
              <w:top w:val="single" w:sz="4" w:space="0" w:color="auto"/>
              <w:left w:val="nil"/>
              <w:bottom w:val="single" w:sz="4" w:space="0" w:color="auto"/>
              <w:right w:val="single" w:sz="4" w:space="0" w:color="auto"/>
            </w:tcBorders>
            <w:shd w:val="clear" w:color="auto" w:fill="C6EFCE"/>
            <w:noWrap/>
          </w:tcPr>
          <w:p w14:paraId="7EE2F6F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42" w:type="dxa"/>
            <w:tcBorders>
              <w:top w:val="single" w:sz="4" w:space="0" w:color="auto"/>
              <w:left w:val="nil"/>
              <w:bottom w:val="single" w:sz="4" w:space="0" w:color="auto"/>
              <w:right w:val="single" w:sz="4" w:space="0" w:color="auto"/>
            </w:tcBorders>
            <w:shd w:val="clear" w:color="auto" w:fill="C6EFCE"/>
            <w:noWrap/>
          </w:tcPr>
          <w:p w14:paraId="6429DE89" w14:textId="77777777" w:rsidR="00CB0FCB" w:rsidRDefault="009D2B11">
            <w:pPr>
              <w:pStyle w:val="P68B1DB1-Normal9"/>
              <w:spacing w:after="0" w:line="240" w:lineRule="auto"/>
              <w:rPr>
                <w:rFonts w:eastAsia="Times New Roman" w:cs="Calibri"/>
                <w:noProof/>
                <w:szCs w:val="18"/>
              </w:rPr>
            </w:pPr>
            <w:r>
              <w:rPr>
                <w:noProof/>
              </w:rPr>
              <w:t>Mūžizglītības stratēģijas stāšanās spēkā</w:t>
            </w:r>
          </w:p>
        </w:tc>
        <w:tc>
          <w:tcPr>
            <w:tcW w:w="1459" w:type="dxa"/>
            <w:tcBorders>
              <w:top w:val="single" w:sz="4" w:space="0" w:color="auto"/>
              <w:left w:val="nil"/>
              <w:bottom w:val="single" w:sz="4" w:space="0" w:color="auto"/>
              <w:right w:val="single" w:sz="4" w:space="0" w:color="auto"/>
            </w:tcBorders>
            <w:shd w:val="clear" w:color="auto" w:fill="C6EFCE"/>
            <w:noWrap/>
          </w:tcPr>
          <w:p w14:paraId="354B2894" w14:textId="77777777" w:rsidR="00CB0FCB" w:rsidRDefault="009D2B11">
            <w:pPr>
              <w:pStyle w:val="P68B1DB1-Normal9"/>
              <w:spacing w:after="0" w:line="240" w:lineRule="auto"/>
              <w:rPr>
                <w:rFonts w:eastAsia="Times New Roman" w:cs="Calibri"/>
                <w:noProof/>
                <w:szCs w:val="18"/>
              </w:rPr>
            </w:pPr>
            <w:r>
              <w:rPr>
                <w:noProof/>
              </w:rPr>
              <w:t xml:space="preserve">Primāro un sekundāro tiesību aktu stāšanās spēkā </w:t>
            </w:r>
          </w:p>
        </w:tc>
        <w:tc>
          <w:tcPr>
            <w:tcW w:w="1332" w:type="dxa"/>
            <w:tcBorders>
              <w:top w:val="single" w:sz="4" w:space="0" w:color="auto"/>
              <w:left w:val="nil"/>
              <w:bottom w:val="single" w:sz="4" w:space="0" w:color="auto"/>
              <w:right w:val="single" w:sz="4" w:space="0" w:color="auto"/>
            </w:tcBorders>
            <w:shd w:val="clear" w:color="auto" w:fill="C6EFCE"/>
            <w:noWrap/>
          </w:tcPr>
          <w:p w14:paraId="1F608471" w14:textId="77777777" w:rsidR="00CB0FCB" w:rsidRDefault="00CB0FCB">
            <w:pPr>
              <w:spacing w:after="0" w:line="240" w:lineRule="auto"/>
              <w:rPr>
                <w:rFonts w:eastAsia="Times New Roman" w:cs="Calibri"/>
                <w:noProof/>
                <w:color w:val="006100"/>
                <w:sz w:val="18"/>
                <w:szCs w:val="18"/>
              </w:rPr>
            </w:pPr>
          </w:p>
        </w:tc>
        <w:tc>
          <w:tcPr>
            <w:tcW w:w="870" w:type="dxa"/>
            <w:tcBorders>
              <w:top w:val="nil"/>
              <w:left w:val="nil"/>
              <w:bottom w:val="single" w:sz="4" w:space="0" w:color="auto"/>
              <w:right w:val="single" w:sz="4" w:space="0" w:color="auto"/>
            </w:tcBorders>
            <w:shd w:val="clear" w:color="auto" w:fill="C6EFCE"/>
            <w:noWrap/>
          </w:tcPr>
          <w:p w14:paraId="54C5B240" w14:textId="77777777" w:rsidR="00CB0FCB" w:rsidRDefault="00CB0FCB">
            <w:pPr>
              <w:spacing w:after="0" w:line="240" w:lineRule="auto"/>
              <w:rPr>
                <w:rFonts w:eastAsia="Times New Roman" w:cs="Calibri"/>
                <w:noProof/>
                <w:color w:val="006100"/>
                <w:sz w:val="18"/>
                <w:szCs w:val="18"/>
              </w:rPr>
            </w:pPr>
          </w:p>
        </w:tc>
        <w:tc>
          <w:tcPr>
            <w:tcW w:w="998" w:type="dxa"/>
            <w:tcBorders>
              <w:top w:val="nil"/>
              <w:left w:val="nil"/>
              <w:bottom w:val="single" w:sz="4" w:space="0" w:color="auto"/>
              <w:right w:val="single" w:sz="4" w:space="0" w:color="auto"/>
            </w:tcBorders>
            <w:shd w:val="clear" w:color="auto" w:fill="C6EFCE"/>
            <w:noWrap/>
          </w:tcPr>
          <w:p w14:paraId="3F541ADD"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1897736B" w14:textId="77777777" w:rsidR="00CB0FCB" w:rsidRDefault="009D2B11">
            <w:pPr>
              <w:pStyle w:val="P68B1DB1-Normal9"/>
              <w:spacing w:after="0" w:line="240" w:lineRule="auto"/>
              <w:rPr>
                <w:rFonts w:eastAsia="Times New Roman" w:cs="Calibri"/>
                <w:noProof/>
                <w:szCs w:val="18"/>
              </w:rPr>
            </w:pPr>
            <w:r>
              <w:rPr>
                <w:noProof/>
              </w:rPr>
              <w:t>2. CET.</w:t>
            </w:r>
          </w:p>
        </w:tc>
        <w:tc>
          <w:tcPr>
            <w:tcW w:w="709" w:type="dxa"/>
            <w:tcBorders>
              <w:top w:val="nil"/>
              <w:left w:val="nil"/>
              <w:bottom w:val="single" w:sz="4" w:space="0" w:color="auto"/>
              <w:right w:val="single" w:sz="4" w:space="0" w:color="auto"/>
            </w:tcBorders>
            <w:shd w:val="clear" w:color="auto" w:fill="C6EFCE"/>
            <w:noWrap/>
          </w:tcPr>
          <w:p w14:paraId="05338F44" w14:textId="77777777" w:rsidR="00CB0FCB" w:rsidRDefault="009D2B11">
            <w:pPr>
              <w:pStyle w:val="P68B1DB1-Normal9"/>
              <w:spacing w:after="0" w:line="240" w:lineRule="auto"/>
              <w:rPr>
                <w:rFonts w:eastAsia="Times New Roman" w:cs="Calibri"/>
                <w:noProof/>
                <w:szCs w:val="18"/>
              </w:rPr>
            </w:pPr>
            <w:r>
              <w:rPr>
                <w:noProof/>
              </w:rPr>
              <w:t>2022</w:t>
            </w:r>
          </w:p>
        </w:tc>
        <w:tc>
          <w:tcPr>
            <w:tcW w:w="4592" w:type="dxa"/>
            <w:tcBorders>
              <w:top w:val="single" w:sz="4" w:space="0" w:color="auto"/>
              <w:left w:val="nil"/>
              <w:bottom w:val="single" w:sz="4" w:space="0" w:color="auto"/>
              <w:right w:val="single" w:sz="4" w:space="0" w:color="auto"/>
            </w:tcBorders>
            <w:shd w:val="clear" w:color="auto" w:fill="C6EFCE"/>
            <w:noWrap/>
          </w:tcPr>
          <w:p w14:paraId="260BCA71" w14:textId="77777777" w:rsidR="00CB0FCB" w:rsidRDefault="009D2B11">
            <w:pPr>
              <w:pStyle w:val="P68B1DB1-Normal9"/>
              <w:spacing w:after="0" w:line="240" w:lineRule="auto"/>
              <w:rPr>
                <w:rFonts w:eastAsia="Times New Roman" w:cs="Calibri"/>
                <w:noProof/>
                <w:szCs w:val="18"/>
              </w:rPr>
            </w:pPr>
            <w:r>
              <w:rPr>
                <w:noProof/>
              </w:rPr>
              <w:t>Pamatojoties uz valsts mūžizglītības stratēģiju, stāsies spēkā primārie un sekundārie tiesību akti, kuros būs izklāstīti jaunās mūžizglītības sistēmas galvenie elementi (tostarp noteikumi, lai izveidotu valsts prasmju padomi kā centrālo uzraudzības iestādi, izveidotu mūžizglītības prasmju kontus, valsts atbilstīgo apmācības sniedzēju sarakstu un rezultātu karti un darba tirgus diagnostikas mehānismu).</w:t>
            </w:r>
          </w:p>
        </w:tc>
      </w:tr>
      <w:tr w:rsidR="00CB0FCB" w14:paraId="0FCBA511" w14:textId="77777777">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298D2494" w14:textId="77777777" w:rsidR="00CB0FCB" w:rsidRDefault="009D2B11">
            <w:pPr>
              <w:pStyle w:val="P68B1DB1-Normal9"/>
              <w:spacing w:after="0" w:line="240" w:lineRule="auto"/>
              <w:rPr>
                <w:rFonts w:eastAsia="Times New Roman" w:cs="Calibri"/>
                <w:noProof/>
                <w:szCs w:val="18"/>
              </w:rPr>
            </w:pPr>
            <w:r>
              <w:rPr>
                <w:noProof/>
              </w:rPr>
              <w:t>139</w:t>
            </w:r>
          </w:p>
        </w:tc>
        <w:tc>
          <w:tcPr>
            <w:tcW w:w="1319" w:type="dxa"/>
            <w:tcBorders>
              <w:top w:val="nil"/>
              <w:left w:val="nil"/>
              <w:bottom w:val="single" w:sz="4" w:space="0" w:color="auto"/>
              <w:right w:val="single" w:sz="4" w:space="0" w:color="auto"/>
            </w:tcBorders>
            <w:shd w:val="clear" w:color="auto" w:fill="C6EFCE"/>
            <w:noWrap/>
          </w:tcPr>
          <w:p w14:paraId="26C11D08"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16913_A Jauna mūžizglītības stratēģija: Grieķijas prasmju pilnveides un pārkvalifikācijas sistēmas modernizēšana un uzlabošana</w:t>
            </w:r>
          </w:p>
        </w:tc>
        <w:tc>
          <w:tcPr>
            <w:tcW w:w="1043" w:type="dxa"/>
            <w:tcBorders>
              <w:top w:val="nil"/>
              <w:left w:val="nil"/>
              <w:bottom w:val="single" w:sz="4" w:space="0" w:color="auto"/>
              <w:right w:val="single" w:sz="4" w:space="0" w:color="auto"/>
            </w:tcBorders>
            <w:shd w:val="clear" w:color="auto" w:fill="C6EFCE"/>
            <w:noWrap/>
          </w:tcPr>
          <w:p w14:paraId="59837886" w14:textId="77777777" w:rsidR="00CB0FCB" w:rsidRDefault="009D2B11">
            <w:pPr>
              <w:pStyle w:val="P68B1DB1-Normal9"/>
              <w:spacing w:after="0" w:line="240" w:lineRule="auto"/>
              <w:rPr>
                <w:rFonts w:eastAsia="Times New Roman" w:cs="Calibri"/>
                <w:noProof/>
                <w:szCs w:val="18"/>
              </w:rPr>
            </w:pPr>
            <w:r>
              <w:rPr>
                <w:noProof/>
              </w:rPr>
              <w:t>Mērķa</w:t>
            </w:r>
          </w:p>
        </w:tc>
        <w:tc>
          <w:tcPr>
            <w:tcW w:w="1142" w:type="dxa"/>
            <w:tcBorders>
              <w:top w:val="nil"/>
              <w:left w:val="nil"/>
              <w:bottom w:val="single" w:sz="4" w:space="0" w:color="auto"/>
              <w:right w:val="single" w:sz="4" w:space="0" w:color="auto"/>
            </w:tcBorders>
            <w:shd w:val="clear" w:color="auto" w:fill="C6EFCE"/>
            <w:noWrap/>
          </w:tcPr>
          <w:p w14:paraId="23B3847F" w14:textId="77777777" w:rsidR="00CB0FCB" w:rsidRDefault="009D2B11">
            <w:pPr>
              <w:pStyle w:val="P68B1DB1-Normal9"/>
              <w:spacing w:after="0" w:line="240" w:lineRule="auto"/>
              <w:rPr>
                <w:rFonts w:eastAsia="Times New Roman" w:cs="Calibri"/>
                <w:noProof/>
                <w:szCs w:val="18"/>
                <w:highlight w:val="yellow"/>
              </w:rPr>
            </w:pPr>
            <w:r>
              <w:rPr>
                <w:noProof/>
              </w:rPr>
              <w:t>Apmācības programmu mūžizglītības stratēģijas pabeigšanas validācija</w:t>
            </w:r>
          </w:p>
        </w:tc>
        <w:tc>
          <w:tcPr>
            <w:tcW w:w="1459" w:type="dxa"/>
            <w:tcBorders>
              <w:top w:val="nil"/>
              <w:left w:val="nil"/>
              <w:bottom w:val="single" w:sz="4" w:space="0" w:color="auto"/>
              <w:right w:val="single" w:sz="4" w:space="0" w:color="auto"/>
            </w:tcBorders>
            <w:shd w:val="clear" w:color="auto" w:fill="C6EFCE"/>
            <w:noWrap/>
          </w:tcPr>
          <w:p w14:paraId="38EED17B" w14:textId="77777777" w:rsidR="00CB0FCB" w:rsidRDefault="00CB0FCB">
            <w:pPr>
              <w:spacing w:after="0" w:line="240" w:lineRule="auto"/>
              <w:rPr>
                <w:rFonts w:eastAsia="Times New Roman" w:cs="Calibri"/>
                <w:noProof/>
                <w:color w:val="006100"/>
                <w:sz w:val="18"/>
                <w:szCs w:val="18"/>
              </w:rPr>
            </w:pPr>
          </w:p>
        </w:tc>
        <w:tc>
          <w:tcPr>
            <w:tcW w:w="1332" w:type="dxa"/>
            <w:tcBorders>
              <w:top w:val="nil"/>
              <w:left w:val="nil"/>
              <w:bottom w:val="single" w:sz="4" w:space="0" w:color="auto"/>
              <w:right w:val="single" w:sz="4" w:space="0" w:color="auto"/>
            </w:tcBorders>
            <w:shd w:val="clear" w:color="auto" w:fill="C6EFCE"/>
            <w:noWrap/>
          </w:tcPr>
          <w:p w14:paraId="3CE73141" w14:textId="77777777" w:rsidR="00CB0FCB" w:rsidRDefault="009D2B11">
            <w:pPr>
              <w:pStyle w:val="P68B1DB1-Normal9"/>
              <w:spacing w:after="0" w:line="240" w:lineRule="auto"/>
              <w:rPr>
                <w:rFonts w:eastAsia="Times New Roman" w:cs="Calibri"/>
                <w:noProof/>
                <w:szCs w:val="18"/>
              </w:rPr>
            </w:pPr>
            <w:r>
              <w:rPr>
                <w:noProof/>
              </w:rPr>
              <w:t>To personu skaits, kas saņēmušas sekmīgo sertifikātu</w:t>
            </w:r>
          </w:p>
          <w:p w14:paraId="0C594EBA" w14:textId="77777777" w:rsidR="00CB0FCB" w:rsidRDefault="009D2B11">
            <w:pPr>
              <w:pStyle w:val="P68B1DB1-Normal9"/>
              <w:spacing w:after="0" w:line="240" w:lineRule="auto"/>
              <w:rPr>
                <w:rFonts w:eastAsia="Times New Roman" w:cs="Calibri"/>
                <w:noProof/>
                <w:szCs w:val="18"/>
              </w:rPr>
            </w:pPr>
            <w:r>
              <w:rPr>
                <w:noProof/>
              </w:rPr>
              <w:t>dalība mācību programmā</w:t>
            </w:r>
          </w:p>
        </w:tc>
        <w:tc>
          <w:tcPr>
            <w:tcW w:w="870" w:type="dxa"/>
            <w:tcBorders>
              <w:top w:val="nil"/>
              <w:left w:val="nil"/>
              <w:bottom w:val="single" w:sz="4" w:space="0" w:color="auto"/>
              <w:right w:val="single" w:sz="4" w:space="0" w:color="auto"/>
            </w:tcBorders>
            <w:shd w:val="clear" w:color="auto" w:fill="C6EFCE"/>
            <w:noWrap/>
          </w:tcPr>
          <w:p w14:paraId="592DED51" w14:textId="77777777" w:rsidR="00CB0FCB" w:rsidRDefault="009D2B11">
            <w:pPr>
              <w:pStyle w:val="P68B1DB1-Normal9"/>
              <w:spacing w:after="0" w:line="240" w:lineRule="auto"/>
              <w:rPr>
                <w:noProof/>
              </w:rPr>
            </w:pPr>
            <w:r>
              <w:rPr>
                <w:noProof/>
              </w:rPr>
              <w:t>0</w:t>
            </w:r>
          </w:p>
          <w:p w14:paraId="7E1C8001" w14:textId="77777777" w:rsidR="00CB0FCB" w:rsidRDefault="00CB0FCB">
            <w:pPr>
              <w:rPr>
                <w:rFonts w:eastAsia="Times New Roman" w:cs="Calibri"/>
                <w:noProof/>
                <w:sz w:val="18"/>
                <w:szCs w:val="18"/>
              </w:rPr>
            </w:pPr>
          </w:p>
        </w:tc>
        <w:tc>
          <w:tcPr>
            <w:tcW w:w="998" w:type="dxa"/>
            <w:tcBorders>
              <w:top w:val="nil"/>
              <w:left w:val="nil"/>
              <w:bottom w:val="single" w:sz="4" w:space="0" w:color="auto"/>
              <w:right w:val="single" w:sz="4" w:space="0" w:color="auto"/>
            </w:tcBorders>
            <w:shd w:val="clear" w:color="auto" w:fill="C6EFCE"/>
            <w:noWrap/>
          </w:tcPr>
          <w:p w14:paraId="26679F73" w14:textId="77777777" w:rsidR="00CB0FCB" w:rsidRDefault="009D2B11">
            <w:pPr>
              <w:pStyle w:val="P68B1DB1-Normal9"/>
              <w:spacing w:after="0" w:line="240" w:lineRule="auto"/>
              <w:rPr>
                <w:rFonts w:eastAsia="Times New Roman" w:cs="Calibri"/>
                <w:noProof/>
                <w:szCs w:val="18"/>
              </w:rPr>
            </w:pPr>
            <w:r>
              <w:rPr>
                <w:noProof/>
              </w:rPr>
              <w:t>150 000</w:t>
            </w:r>
          </w:p>
        </w:tc>
        <w:tc>
          <w:tcPr>
            <w:tcW w:w="850" w:type="dxa"/>
            <w:tcBorders>
              <w:top w:val="nil"/>
              <w:left w:val="nil"/>
              <w:bottom w:val="single" w:sz="4" w:space="0" w:color="auto"/>
              <w:right w:val="single" w:sz="4" w:space="0" w:color="auto"/>
            </w:tcBorders>
            <w:shd w:val="clear" w:color="auto" w:fill="C6EFCE"/>
            <w:noWrap/>
          </w:tcPr>
          <w:p w14:paraId="705CC6A2"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323D161C" w14:textId="77777777" w:rsidR="00CB0FCB" w:rsidRDefault="009D2B11">
            <w:pPr>
              <w:pStyle w:val="P68B1DB1-Normal9"/>
              <w:spacing w:after="0" w:line="240" w:lineRule="auto"/>
              <w:rPr>
                <w:rFonts w:eastAsia="Times New Roman" w:cs="Calibri"/>
                <w:noProof/>
                <w:szCs w:val="18"/>
              </w:rPr>
            </w:pPr>
            <w:r>
              <w:rPr>
                <w:noProof/>
              </w:rPr>
              <w:t>2022</w:t>
            </w:r>
          </w:p>
        </w:tc>
        <w:tc>
          <w:tcPr>
            <w:tcW w:w="4592" w:type="dxa"/>
            <w:tcBorders>
              <w:top w:val="nil"/>
              <w:left w:val="nil"/>
              <w:bottom w:val="single" w:sz="4" w:space="0" w:color="auto"/>
              <w:right w:val="single" w:sz="4" w:space="0" w:color="auto"/>
            </w:tcBorders>
            <w:shd w:val="clear" w:color="auto" w:fill="C6EFCE"/>
            <w:noWrap/>
          </w:tcPr>
          <w:p w14:paraId="6C860151" w14:textId="77777777" w:rsidR="00CB0FCB" w:rsidRDefault="009D2B11">
            <w:pPr>
              <w:pStyle w:val="P68B1DB1-Normal9"/>
              <w:spacing w:after="0" w:line="240" w:lineRule="auto"/>
              <w:rPr>
                <w:rFonts w:eastAsia="Times New Roman" w:cs="Calibri"/>
                <w:noProof/>
                <w:szCs w:val="18"/>
              </w:rPr>
            </w:pPr>
            <w:r>
              <w:rPr>
                <w:noProof/>
              </w:rPr>
              <w:t xml:space="preserve">Apmācības programmu pabeigšana par digitālajām, zaļajām un finanšpratības prasmēm vismaz 150000 dalībnieku un visu sekmīgo dalībnieku apgūto prasmju validēšana un sertificēšana. </w:t>
            </w:r>
          </w:p>
          <w:p w14:paraId="6BED75C3" w14:textId="77777777" w:rsidR="00CB0FCB" w:rsidRDefault="009D2B11">
            <w:pPr>
              <w:pStyle w:val="P68B1DB1-Normal9"/>
              <w:spacing w:after="0" w:line="240" w:lineRule="auto"/>
              <w:rPr>
                <w:rFonts w:eastAsia="Times New Roman" w:cs="Calibri"/>
                <w:noProof/>
                <w:szCs w:val="18"/>
              </w:rPr>
            </w:pPr>
            <w:r>
              <w:rPr>
                <w:noProof/>
              </w:rPr>
              <w:t xml:space="preserve"> Šī investīcija risina vajadzību pēc šādu iedzīvotāju grupu digitālajām, zaļajām un finanšpratības prasmēm: bezdarbnieki, jo īpaši jaunieši un ilgtermiņa bezdarbnieki, b) darba ņēmēji, jo īpaši tie, kuriem ir augsts bezdarba risks, un tie, kurus darba vides tehnoloģijas atstāj novārtā, c) darbinieki, jo īpaši MVU ar ierobežotām iekšējām apmācības spējām, d) publiskā sektora darbinieki, tostarp skolotāji. Piedāvātās prasmes ir šādas: a) bāzlīnijas digitālās prasmes, b) vidēja līmeņa digitālās prasmes, c) zaļās prasmes un d) finanšpratības prasmes.</w:t>
            </w:r>
          </w:p>
        </w:tc>
      </w:tr>
      <w:tr w:rsidR="00CB0FCB" w14:paraId="4AAEAD81" w14:textId="77777777">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hideMark/>
          </w:tcPr>
          <w:p w14:paraId="12882DF5" w14:textId="77777777" w:rsidR="00CB0FCB" w:rsidRDefault="009D2B11">
            <w:pPr>
              <w:pStyle w:val="P68B1DB1-Normal9"/>
              <w:spacing w:after="0" w:line="240" w:lineRule="auto"/>
              <w:rPr>
                <w:rFonts w:eastAsia="Times New Roman" w:cs="Calibri"/>
                <w:noProof/>
                <w:szCs w:val="18"/>
              </w:rPr>
            </w:pPr>
            <w:r>
              <w:rPr>
                <w:noProof/>
              </w:rPr>
              <w:t>140</w:t>
            </w:r>
          </w:p>
        </w:tc>
        <w:tc>
          <w:tcPr>
            <w:tcW w:w="1319" w:type="dxa"/>
            <w:tcBorders>
              <w:top w:val="nil"/>
              <w:left w:val="nil"/>
              <w:bottom w:val="single" w:sz="4" w:space="0" w:color="auto"/>
              <w:right w:val="single" w:sz="4" w:space="0" w:color="auto"/>
            </w:tcBorders>
            <w:shd w:val="clear" w:color="auto" w:fill="C6EFCE"/>
            <w:noWrap/>
            <w:hideMark/>
          </w:tcPr>
          <w:p w14:paraId="0D57CD00" w14:textId="265505C6"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16913_A Jauna mūžizglītības stratēģija: Grieķijas prasmju pilnveides un pārkvalifikācijas sistēmas modernizēšana un uzlabošana</w:t>
            </w:r>
          </w:p>
        </w:tc>
        <w:tc>
          <w:tcPr>
            <w:tcW w:w="1043" w:type="dxa"/>
            <w:tcBorders>
              <w:top w:val="nil"/>
              <w:left w:val="nil"/>
              <w:bottom w:val="single" w:sz="4" w:space="0" w:color="auto"/>
              <w:right w:val="single" w:sz="4" w:space="0" w:color="auto"/>
            </w:tcBorders>
            <w:shd w:val="clear" w:color="auto" w:fill="C6EFCE"/>
            <w:noWrap/>
            <w:hideMark/>
          </w:tcPr>
          <w:p w14:paraId="7C6026ED" w14:textId="77777777" w:rsidR="00CB0FCB" w:rsidRDefault="009D2B11">
            <w:pPr>
              <w:pStyle w:val="P68B1DB1-Normal9"/>
              <w:spacing w:after="0" w:line="240" w:lineRule="auto"/>
              <w:rPr>
                <w:rFonts w:eastAsia="Times New Roman" w:cs="Calibri"/>
                <w:noProof/>
                <w:szCs w:val="18"/>
              </w:rPr>
            </w:pPr>
            <w:r>
              <w:rPr>
                <w:noProof/>
              </w:rPr>
              <w:t>Mērķa</w:t>
            </w:r>
          </w:p>
        </w:tc>
        <w:tc>
          <w:tcPr>
            <w:tcW w:w="1142" w:type="dxa"/>
            <w:tcBorders>
              <w:top w:val="nil"/>
              <w:left w:val="nil"/>
              <w:bottom w:val="single" w:sz="4" w:space="0" w:color="auto"/>
              <w:right w:val="single" w:sz="4" w:space="0" w:color="auto"/>
            </w:tcBorders>
            <w:shd w:val="clear" w:color="auto" w:fill="C6EFCE"/>
            <w:noWrap/>
            <w:hideMark/>
          </w:tcPr>
          <w:p w14:paraId="0FC25F91" w14:textId="172678CF" w:rsidR="00CB0FCB" w:rsidRDefault="009D2B11">
            <w:pPr>
              <w:pStyle w:val="P68B1DB1-Normal9"/>
              <w:spacing w:after="0" w:line="240" w:lineRule="auto"/>
              <w:rPr>
                <w:rFonts w:eastAsia="Times New Roman" w:cs="Calibri"/>
                <w:noProof/>
                <w:szCs w:val="18"/>
              </w:rPr>
            </w:pPr>
            <w:r>
              <w:rPr>
                <w:noProof/>
              </w:rPr>
              <w:t>Mācību programmas mūžizglītības stratēģijas pabeigšanas validēšana un ēkas iegāde</w:t>
            </w:r>
          </w:p>
        </w:tc>
        <w:tc>
          <w:tcPr>
            <w:tcW w:w="1459" w:type="dxa"/>
            <w:tcBorders>
              <w:top w:val="nil"/>
              <w:left w:val="nil"/>
              <w:bottom w:val="single" w:sz="4" w:space="0" w:color="auto"/>
              <w:right w:val="single" w:sz="4" w:space="0" w:color="auto"/>
            </w:tcBorders>
            <w:shd w:val="clear" w:color="auto" w:fill="C6EFCE"/>
            <w:noWrap/>
            <w:hideMark/>
          </w:tcPr>
          <w:p w14:paraId="2ED8EEC1" w14:textId="77777777" w:rsidR="00CB0FCB" w:rsidRDefault="00CB0FCB">
            <w:pPr>
              <w:spacing w:after="0" w:line="240" w:lineRule="auto"/>
              <w:rPr>
                <w:rFonts w:eastAsia="Times New Roman" w:cs="Calibri"/>
                <w:noProof/>
                <w:color w:val="006100"/>
                <w:sz w:val="18"/>
                <w:szCs w:val="18"/>
              </w:rPr>
            </w:pPr>
          </w:p>
        </w:tc>
        <w:tc>
          <w:tcPr>
            <w:tcW w:w="1332" w:type="dxa"/>
            <w:tcBorders>
              <w:top w:val="nil"/>
              <w:left w:val="nil"/>
              <w:bottom w:val="single" w:sz="4" w:space="0" w:color="auto"/>
              <w:right w:val="single" w:sz="4" w:space="0" w:color="auto"/>
            </w:tcBorders>
            <w:shd w:val="clear" w:color="auto" w:fill="C6EFCE"/>
            <w:noWrap/>
            <w:hideMark/>
          </w:tcPr>
          <w:p w14:paraId="534C3AFA" w14:textId="77777777" w:rsidR="00CB0FCB" w:rsidRDefault="009D2B11">
            <w:pPr>
              <w:pStyle w:val="P68B1DB1-Normal9"/>
              <w:spacing w:after="0" w:line="240" w:lineRule="auto"/>
              <w:rPr>
                <w:rFonts w:eastAsia="Times New Roman" w:cs="Calibri"/>
                <w:noProof/>
                <w:szCs w:val="18"/>
              </w:rPr>
            </w:pPr>
            <w:r>
              <w:rPr>
                <w:noProof/>
              </w:rPr>
              <w:t>To personu skaits, kas saņēmušas sekmīgo sertifikātu</w:t>
            </w:r>
          </w:p>
          <w:p w14:paraId="2E7F72FF" w14:textId="77777777" w:rsidR="00CB0FCB" w:rsidRDefault="009D2B11">
            <w:pPr>
              <w:pStyle w:val="P68B1DB1-Normal9"/>
              <w:spacing w:after="0" w:line="240" w:lineRule="auto"/>
              <w:rPr>
                <w:rFonts w:eastAsia="Times New Roman" w:cs="Calibri"/>
                <w:noProof/>
                <w:szCs w:val="18"/>
              </w:rPr>
            </w:pPr>
            <w:r>
              <w:rPr>
                <w:noProof/>
              </w:rPr>
              <w:t>mācību programmas pabeigšana</w:t>
            </w:r>
          </w:p>
        </w:tc>
        <w:tc>
          <w:tcPr>
            <w:tcW w:w="870" w:type="dxa"/>
            <w:tcBorders>
              <w:top w:val="nil"/>
              <w:left w:val="nil"/>
              <w:bottom w:val="single" w:sz="4" w:space="0" w:color="auto"/>
              <w:right w:val="single" w:sz="4" w:space="0" w:color="auto"/>
            </w:tcBorders>
            <w:shd w:val="clear" w:color="auto" w:fill="C6EFCE"/>
            <w:noWrap/>
            <w:hideMark/>
          </w:tcPr>
          <w:p w14:paraId="6A6B62DF" w14:textId="77777777" w:rsidR="00CB0FCB" w:rsidRDefault="009D2B11">
            <w:pPr>
              <w:pStyle w:val="P68B1DB1-Normal9"/>
              <w:spacing w:after="0" w:line="240" w:lineRule="auto"/>
              <w:rPr>
                <w:rFonts w:eastAsia="Times New Roman" w:cs="Calibri"/>
                <w:noProof/>
                <w:szCs w:val="18"/>
              </w:rPr>
            </w:pPr>
            <w:r>
              <w:rPr>
                <w:noProof/>
              </w:rPr>
              <w:t>150 000</w:t>
            </w:r>
          </w:p>
        </w:tc>
        <w:tc>
          <w:tcPr>
            <w:tcW w:w="998" w:type="dxa"/>
            <w:tcBorders>
              <w:top w:val="nil"/>
              <w:left w:val="nil"/>
              <w:bottom w:val="single" w:sz="4" w:space="0" w:color="auto"/>
              <w:right w:val="single" w:sz="4" w:space="0" w:color="auto"/>
            </w:tcBorders>
            <w:shd w:val="clear" w:color="auto" w:fill="C6EFCE"/>
            <w:noWrap/>
            <w:hideMark/>
          </w:tcPr>
          <w:p w14:paraId="34BCF4BB" w14:textId="77777777" w:rsidR="00CB0FCB" w:rsidRDefault="009D2B11">
            <w:pPr>
              <w:pStyle w:val="P68B1DB1-Normal9"/>
              <w:spacing w:after="0" w:line="240" w:lineRule="auto"/>
              <w:rPr>
                <w:rFonts w:eastAsia="Times New Roman" w:cs="Calibri"/>
                <w:noProof/>
                <w:szCs w:val="18"/>
              </w:rPr>
            </w:pPr>
            <w:r>
              <w:rPr>
                <w:noProof/>
              </w:rPr>
              <w:t>500 000</w:t>
            </w:r>
          </w:p>
        </w:tc>
        <w:tc>
          <w:tcPr>
            <w:tcW w:w="850" w:type="dxa"/>
            <w:tcBorders>
              <w:top w:val="nil"/>
              <w:left w:val="nil"/>
              <w:bottom w:val="single" w:sz="4" w:space="0" w:color="auto"/>
              <w:right w:val="single" w:sz="4" w:space="0" w:color="auto"/>
            </w:tcBorders>
            <w:shd w:val="clear" w:color="auto" w:fill="C6EFCE"/>
            <w:noWrap/>
            <w:hideMark/>
          </w:tcPr>
          <w:p w14:paraId="50057D1A"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hideMark/>
          </w:tcPr>
          <w:p w14:paraId="7D9D401C" w14:textId="77777777" w:rsidR="00CB0FCB" w:rsidRDefault="009D2B11">
            <w:pPr>
              <w:pStyle w:val="P68B1DB1-Normal9"/>
              <w:spacing w:after="0" w:line="240" w:lineRule="auto"/>
              <w:rPr>
                <w:rFonts w:eastAsia="Times New Roman" w:cs="Calibri"/>
                <w:noProof/>
                <w:szCs w:val="18"/>
              </w:rPr>
            </w:pPr>
            <w:r>
              <w:rPr>
                <w:noProof/>
              </w:rPr>
              <w:t>2025</w:t>
            </w:r>
          </w:p>
        </w:tc>
        <w:tc>
          <w:tcPr>
            <w:tcW w:w="4592" w:type="dxa"/>
            <w:tcBorders>
              <w:top w:val="nil"/>
              <w:left w:val="nil"/>
              <w:bottom w:val="single" w:sz="4" w:space="0" w:color="auto"/>
              <w:right w:val="single" w:sz="4" w:space="0" w:color="auto"/>
            </w:tcBorders>
            <w:shd w:val="clear" w:color="auto" w:fill="C6EFCE"/>
            <w:noWrap/>
            <w:hideMark/>
          </w:tcPr>
          <w:p w14:paraId="14B16112" w14:textId="2AF624CC" w:rsidR="00CB0FCB" w:rsidRDefault="009D2B11">
            <w:pPr>
              <w:pStyle w:val="P68B1DB1-Normal9"/>
              <w:spacing w:after="0" w:line="240" w:lineRule="auto"/>
              <w:rPr>
                <w:rFonts w:eastAsia="Times New Roman" w:cs="Calibri"/>
                <w:noProof/>
                <w:szCs w:val="18"/>
              </w:rPr>
            </w:pPr>
            <w:r>
              <w:rPr>
                <w:noProof/>
              </w:rPr>
              <w:t xml:space="preserve">— Mācību programmu pabeigšana par digitālajām, zaļajām un finanšpratības prasmēm 500000 dalībniekiem (kumulatīvā, 1. kārta un 2. kārta) un to prasmju validēšana un sertificēšana, kas iegūtas abos apmācības programmu posmos visiem veiksmīgajiem dalībniekiem. </w:t>
            </w:r>
          </w:p>
          <w:p w14:paraId="64167347" w14:textId="77777777" w:rsidR="00CB0FCB" w:rsidRDefault="009D2B11">
            <w:pPr>
              <w:pStyle w:val="P68B1DB1-Normal9"/>
              <w:spacing w:after="0" w:line="240" w:lineRule="auto"/>
              <w:rPr>
                <w:noProof/>
              </w:rPr>
            </w:pPr>
            <w:r>
              <w:rPr>
                <w:noProof/>
              </w:rPr>
              <w:t xml:space="preserve">No kopējā dalībnieku skaita vismaz 33 % (167000 dalībnieku) ir īstenojuši apmācības programmas, kas saistītas ar zaļajām prasmēm un darbvietām zaļajā ekonomikā. </w:t>
            </w:r>
          </w:p>
          <w:p w14:paraId="15BFE6F5" w14:textId="77777777" w:rsidR="00CB0FCB" w:rsidRDefault="00CB0FCB">
            <w:pPr>
              <w:spacing w:after="0" w:line="240" w:lineRule="auto"/>
              <w:rPr>
                <w:noProof/>
                <w:color w:val="006100"/>
                <w:sz w:val="18"/>
              </w:rPr>
            </w:pPr>
          </w:p>
          <w:p w14:paraId="73E59C6B" w14:textId="6959E6E2" w:rsidR="00CB0FCB" w:rsidRDefault="009D2B11">
            <w:pPr>
              <w:pStyle w:val="P68B1DB1-Normal9"/>
              <w:spacing w:after="0" w:line="240" w:lineRule="auto"/>
              <w:rPr>
                <w:rFonts w:eastAsia="Times New Roman" w:cs="Calibri"/>
                <w:noProof/>
                <w:szCs w:val="18"/>
              </w:rPr>
            </w:pPr>
            <w:r>
              <w:rPr>
                <w:noProof/>
              </w:rPr>
              <w:t xml:space="preserve">— Jaunas ēkas iegāde, kas kalpos par DYPA un Valsts prasmju padomes galveno mītni un kurā tiks izvietots arī DYPA centrālais Mūžizglītības centrs. </w:t>
            </w:r>
          </w:p>
        </w:tc>
      </w:tr>
    </w:tbl>
    <w:p w14:paraId="2A4318CA" w14:textId="77777777" w:rsidR="00CB0FCB" w:rsidRDefault="00CB0FCB">
      <w:pPr>
        <w:spacing w:before="120" w:after="120" w:line="240" w:lineRule="auto"/>
        <w:jc w:val="both"/>
        <w:rPr>
          <w:rFonts w:ascii="Times New Roman" w:hAnsi="Times New Roman" w:cs="Times New Roman"/>
          <w:noProof/>
          <w:sz w:val="24"/>
        </w:rPr>
      </w:pPr>
    </w:p>
    <w:p w14:paraId="6B1AB893" w14:textId="77777777" w:rsidR="00CB0FCB" w:rsidRDefault="00CB0FCB">
      <w:pPr>
        <w:spacing w:before="120" w:after="120" w:line="240" w:lineRule="auto"/>
        <w:ind w:left="709"/>
        <w:jc w:val="both"/>
        <w:rPr>
          <w:rFonts w:ascii="Times New Roman" w:hAnsi="Times New Roman" w:cs="Times New Roman"/>
          <w:noProof/>
          <w:sz w:val="24"/>
          <w:szCs w:val="24"/>
        </w:rPr>
      </w:pPr>
    </w:p>
    <w:p w14:paraId="099EE4D8" w14:textId="77777777" w:rsidR="00CB0FCB" w:rsidRDefault="00CB0FCB">
      <w:pPr>
        <w:keepNext/>
        <w:keepLines/>
        <w:spacing w:before="40" w:after="0" w:line="240" w:lineRule="auto"/>
        <w:jc w:val="both"/>
        <w:outlineLvl w:val="4"/>
        <w:rPr>
          <w:rFonts w:ascii="Cambria" w:hAnsi="Cambria"/>
          <w:noProof/>
          <w:color w:val="365F91" w:themeColor="accent1" w:themeShade="BF"/>
          <w:sz w:val="24"/>
        </w:rPr>
        <w:sectPr w:rsidR="00CB0FCB" w:rsidSect="00271D33">
          <w:headerReference w:type="even" r:id="rId151"/>
          <w:headerReference w:type="default" r:id="rId152"/>
          <w:footerReference w:type="even" r:id="rId153"/>
          <w:footerReference w:type="default" r:id="rId154"/>
          <w:headerReference w:type="first" r:id="rId155"/>
          <w:footerReference w:type="first" r:id="rId156"/>
          <w:pgSz w:w="16839" w:h="11907" w:orient="landscape"/>
          <w:pgMar w:top="720" w:right="720" w:bottom="720" w:left="720" w:header="709" w:footer="75" w:gutter="0"/>
          <w:cols w:space="720"/>
          <w:docGrid w:linePitch="360"/>
        </w:sectPr>
      </w:pPr>
    </w:p>
    <w:p w14:paraId="2FBDDAEE" w14:textId="77777777" w:rsidR="00CB0FCB" w:rsidRDefault="009D2B11">
      <w:pPr>
        <w:pStyle w:val="P68B1DB1-Normal6"/>
        <w:keepNext/>
        <w:keepLines/>
        <w:spacing w:before="40" w:after="0" w:line="240" w:lineRule="auto"/>
        <w:jc w:val="both"/>
        <w:outlineLvl w:val="4"/>
        <w:rPr>
          <w:rFonts w:eastAsia="Times New Roman"/>
          <w:noProof/>
          <w:szCs w:val="24"/>
        </w:rPr>
      </w:pPr>
      <w:r>
        <w:rPr>
          <w:noProof/>
        </w:rPr>
        <w:t>11. grupa: Veicināt darbvietu radīšanu un dalību darba tirgū/izglītība, profesionālā izglītība un apmācība un prasmes — DYPA — reformas un ieguldījumi</w:t>
      </w:r>
    </w:p>
    <w:p w14:paraId="2184B999" w14:textId="39F54C1B" w:rsidR="00CB0FCB" w:rsidRDefault="009D2B11">
      <w:pPr>
        <w:pStyle w:val="P68B1DB1-Normal4"/>
        <w:numPr>
          <w:ilvl w:val="0"/>
          <w:numId w:val="43"/>
        </w:numPr>
        <w:spacing w:before="120" w:after="0" w:line="240" w:lineRule="auto"/>
        <w:jc w:val="both"/>
        <w:rPr>
          <w:rFonts w:cs="Times New Roman"/>
          <w:noProof/>
        </w:rPr>
      </w:pPr>
      <w:r>
        <w:rPr>
          <w:noProof/>
        </w:rPr>
        <w:t>DYPA vietējo nodarbinātības veicināšanas filiāļu (KPA2) pārstrukturēšana un pārmarķēšana (ID: 16941)</w:t>
      </w:r>
    </w:p>
    <w:p w14:paraId="7BD0F3F3" w14:textId="77777777" w:rsidR="00CB0FCB" w:rsidRDefault="009D2B11">
      <w:pPr>
        <w:pStyle w:val="P68B1DB1-Normal4"/>
        <w:numPr>
          <w:ilvl w:val="0"/>
          <w:numId w:val="43"/>
        </w:numPr>
        <w:spacing w:before="120" w:after="0" w:line="240" w:lineRule="auto"/>
        <w:jc w:val="both"/>
        <w:rPr>
          <w:rFonts w:cs="Times New Roman"/>
          <w:noProof/>
        </w:rPr>
      </w:pPr>
      <w:r>
        <w:rPr>
          <w:noProof/>
        </w:rPr>
        <w:t>Aktīvas darba tirgus politikas reforma (ID: 16747)</w:t>
      </w:r>
    </w:p>
    <w:p w14:paraId="1A2BBB86" w14:textId="77777777" w:rsidR="00CB0FCB" w:rsidRDefault="009D2B11">
      <w:pPr>
        <w:pStyle w:val="P68B1DB1-Normal4"/>
        <w:numPr>
          <w:ilvl w:val="0"/>
          <w:numId w:val="43"/>
        </w:numPr>
        <w:spacing w:before="120" w:after="0" w:line="240" w:lineRule="auto"/>
        <w:jc w:val="both"/>
        <w:rPr>
          <w:rFonts w:cs="Times New Roman"/>
          <w:noProof/>
        </w:rPr>
      </w:pPr>
      <w:r>
        <w:rPr>
          <w:noProof/>
        </w:rPr>
        <w:t>Māceklības sistēmas stiprināšana (ID: 16794)</w:t>
      </w:r>
    </w:p>
    <w:p w14:paraId="1AC5BC1A" w14:textId="77777777" w:rsidR="00CB0FCB" w:rsidRDefault="009D2B11">
      <w:pPr>
        <w:pStyle w:val="P68B1DB1-Normal4"/>
        <w:numPr>
          <w:ilvl w:val="0"/>
          <w:numId w:val="43"/>
        </w:numPr>
        <w:spacing w:before="120" w:after="0" w:line="240" w:lineRule="auto"/>
        <w:jc w:val="both"/>
        <w:rPr>
          <w:rFonts w:cs="Times New Roman"/>
          <w:noProof/>
        </w:rPr>
      </w:pPr>
      <w:r>
        <w:rPr>
          <w:noProof/>
        </w:rPr>
        <w:t>Pasīvas darba tirgus politikas reforma, lai atbalstītu pāreju uz nodarbinātību (ID: 16746)</w:t>
      </w:r>
    </w:p>
    <w:p w14:paraId="2ECE02AB" w14:textId="77777777" w:rsidR="00CB0FCB" w:rsidRDefault="009D2B11">
      <w:pPr>
        <w:pStyle w:val="P68B1DB1-Normal4"/>
        <w:numPr>
          <w:ilvl w:val="0"/>
          <w:numId w:val="43"/>
        </w:numPr>
        <w:spacing w:before="120" w:after="120" w:line="240" w:lineRule="auto"/>
        <w:jc w:val="both"/>
        <w:rPr>
          <w:rFonts w:cs="Times New Roman"/>
          <w:noProof/>
        </w:rPr>
        <w:sectPr w:rsidR="00CB0FCB" w:rsidSect="0018328F">
          <w:headerReference w:type="even" r:id="rId157"/>
          <w:headerReference w:type="default" r:id="rId158"/>
          <w:footerReference w:type="even" r:id="rId159"/>
          <w:footerReference w:type="default" r:id="rId160"/>
          <w:headerReference w:type="first" r:id="rId161"/>
          <w:footerReference w:type="first" r:id="rId162"/>
          <w:pgSz w:w="11907" w:h="16839"/>
          <w:pgMar w:top="720" w:right="720" w:bottom="720" w:left="720" w:header="709" w:footer="709" w:gutter="0"/>
          <w:cols w:space="720"/>
          <w:docGrid w:linePitch="360"/>
        </w:sectPr>
      </w:pPr>
      <w:r>
        <w:rPr>
          <w:noProof/>
        </w:rPr>
        <w:t>Darbaspēka prasmju pilnveide, pārkvalifikācija un kvalifikācijas celšana, izmantojot reformētu apmācības modeli (profesionālā izglītība un apmācības reforma) (ID: 16792)</w:t>
      </w:r>
    </w:p>
    <w:tbl>
      <w:tblPr>
        <w:tblW w:w="15588" w:type="dxa"/>
        <w:jc w:val="center"/>
        <w:tblLayout w:type="fixed"/>
        <w:tblLook w:val="04A0" w:firstRow="1" w:lastRow="0" w:firstColumn="1" w:lastColumn="0" w:noHBand="0" w:noVBand="1"/>
      </w:tblPr>
      <w:tblGrid>
        <w:gridCol w:w="1116"/>
        <w:gridCol w:w="1797"/>
        <w:gridCol w:w="1099"/>
        <w:gridCol w:w="1365"/>
        <w:gridCol w:w="1471"/>
        <w:gridCol w:w="1135"/>
        <w:gridCol w:w="924"/>
        <w:gridCol w:w="896"/>
        <w:gridCol w:w="846"/>
        <w:gridCol w:w="783"/>
        <w:gridCol w:w="4156"/>
      </w:tblGrid>
      <w:tr w:rsidR="00CB0FCB" w14:paraId="7116724C" w14:textId="77777777">
        <w:trPr>
          <w:trHeight w:val="741"/>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493011"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C5BCC5"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E774B4"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7524DD"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140C6D"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95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92D78C7"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629" w:type="dxa"/>
            <w:gridSpan w:val="2"/>
            <w:tcBorders>
              <w:top w:val="single" w:sz="4" w:space="0" w:color="auto"/>
              <w:left w:val="nil"/>
              <w:bottom w:val="single" w:sz="4" w:space="0" w:color="auto"/>
              <w:right w:val="single" w:sz="4" w:space="0" w:color="auto"/>
            </w:tcBorders>
            <w:shd w:val="clear" w:color="auto" w:fill="BDD7EE"/>
            <w:vAlign w:val="center"/>
            <w:hideMark/>
          </w:tcPr>
          <w:p w14:paraId="107F5991"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1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9BB90A"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1FA0DE13" w14:textId="77777777">
        <w:trPr>
          <w:trHeight w:val="512"/>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052BBA43" w14:textId="77777777" w:rsidR="00CB0FCB" w:rsidRDefault="00CB0FCB">
            <w:pPr>
              <w:spacing w:after="0" w:line="240" w:lineRule="auto"/>
              <w:rPr>
                <w:rFonts w:ascii="Times New Roman" w:eastAsia="Times New Roman" w:hAnsi="Times New Roman" w:cs="Times New Roman"/>
                <w:b/>
                <w:bCs/>
                <w:noProof/>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79954386" w14:textId="77777777" w:rsidR="00CB0FCB" w:rsidRDefault="00CB0FCB">
            <w:pPr>
              <w:spacing w:after="0" w:line="240" w:lineRule="auto"/>
              <w:rPr>
                <w:rFonts w:ascii="Times New Roman" w:eastAsia="Times New Roman" w:hAnsi="Times New Roman" w:cs="Times New Roman"/>
                <w:b/>
                <w:bCs/>
                <w:noProof/>
                <w:sz w:val="18"/>
                <w:szCs w:val="18"/>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6E4C6BCE" w14:textId="77777777" w:rsidR="00CB0FCB" w:rsidRDefault="00CB0FCB">
            <w:pPr>
              <w:spacing w:after="0" w:line="240" w:lineRule="auto"/>
              <w:rPr>
                <w:rFonts w:ascii="Times New Roman" w:eastAsia="Times New Roman" w:hAnsi="Times New Roman" w:cs="Times New Roman"/>
                <w:b/>
                <w:bCs/>
                <w:noProof/>
                <w:sz w:val="18"/>
                <w:szCs w:val="18"/>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4D0AF0E" w14:textId="77777777" w:rsidR="00CB0FCB" w:rsidRDefault="00CB0FCB">
            <w:pPr>
              <w:spacing w:after="0" w:line="240" w:lineRule="auto"/>
              <w:rPr>
                <w:rFonts w:ascii="Times New Roman" w:eastAsia="Times New Roman" w:hAnsi="Times New Roman" w:cs="Times New Roman"/>
                <w:b/>
                <w:bCs/>
                <w:noProof/>
                <w:sz w:val="18"/>
                <w:szCs w:val="18"/>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4D8713E"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E7D4A77"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2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79E8321"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9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198945"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9B3CE58"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8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1FFDB3E"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156" w:type="dxa"/>
            <w:vMerge/>
            <w:tcBorders>
              <w:top w:val="single" w:sz="4" w:space="0" w:color="auto"/>
              <w:bottom w:val="single" w:sz="4" w:space="0" w:color="auto"/>
              <w:right w:val="single" w:sz="4" w:space="0" w:color="auto"/>
            </w:tcBorders>
            <w:vAlign w:val="center"/>
            <w:hideMark/>
          </w:tcPr>
          <w:p w14:paraId="1F8A81C3"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57B191D2"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9743645" w14:textId="77777777" w:rsidR="00CB0FCB" w:rsidRDefault="009D2B11">
            <w:pPr>
              <w:pStyle w:val="P68B1DB1-Normal9"/>
              <w:spacing w:after="0" w:line="240" w:lineRule="auto"/>
              <w:rPr>
                <w:rFonts w:eastAsia="Times New Roman" w:cs="Calibri"/>
                <w:noProof/>
                <w:szCs w:val="18"/>
              </w:rPr>
            </w:pPr>
            <w:r>
              <w:rPr>
                <w:noProof/>
              </w:rPr>
              <w:t>141</w:t>
            </w:r>
          </w:p>
        </w:tc>
        <w:tc>
          <w:tcPr>
            <w:tcW w:w="1797" w:type="dxa"/>
            <w:tcBorders>
              <w:top w:val="single" w:sz="4" w:space="0" w:color="auto"/>
              <w:left w:val="nil"/>
              <w:bottom w:val="single" w:sz="4" w:space="0" w:color="auto"/>
              <w:right w:val="single" w:sz="4" w:space="0" w:color="auto"/>
            </w:tcBorders>
            <w:shd w:val="clear" w:color="auto" w:fill="C6EFCE"/>
            <w:noWrap/>
          </w:tcPr>
          <w:p w14:paraId="7A52FE2F"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16941_DYPA vietējo PES (KPA2) pārstrukturēšana un pārmarķēšana</w:t>
            </w:r>
          </w:p>
        </w:tc>
        <w:tc>
          <w:tcPr>
            <w:tcW w:w="1099" w:type="dxa"/>
            <w:tcBorders>
              <w:top w:val="single" w:sz="4" w:space="0" w:color="auto"/>
              <w:left w:val="nil"/>
              <w:bottom w:val="single" w:sz="4" w:space="0" w:color="auto"/>
              <w:right w:val="single" w:sz="4" w:space="0" w:color="auto"/>
            </w:tcBorders>
            <w:shd w:val="clear" w:color="auto" w:fill="C6EFCE"/>
            <w:noWrap/>
          </w:tcPr>
          <w:p w14:paraId="5CEE3A7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5" w:type="dxa"/>
            <w:tcBorders>
              <w:top w:val="single" w:sz="4" w:space="0" w:color="auto"/>
              <w:left w:val="nil"/>
              <w:bottom w:val="single" w:sz="4" w:space="0" w:color="auto"/>
              <w:right w:val="single" w:sz="4" w:space="0" w:color="auto"/>
            </w:tcBorders>
            <w:shd w:val="clear" w:color="auto" w:fill="C6EFCE"/>
            <w:noWrap/>
          </w:tcPr>
          <w:p w14:paraId="3A4709DB" w14:textId="77777777" w:rsidR="00CB0FCB" w:rsidRDefault="009D2B11">
            <w:pPr>
              <w:pStyle w:val="P68B1DB1-Normal9"/>
              <w:spacing w:after="0" w:line="240" w:lineRule="auto"/>
              <w:rPr>
                <w:rFonts w:eastAsia="Times New Roman" w:cs="Calibri"/>
                <w:noProof/>
                <w:szCs w:val="18"/>
              </w:rPr>
            </w:pPr>
            <w:r>
              <w:rPr>
                <w:noProof/>
              </w:rPr>
              <w:t xml:space="preserve">DYPA organizatoriskās reformas stāšanās spēkā </w:t>
            </w:r>
          </w:p>
        </w:tc>
        <w:tc>
          <w:tcPr>
            <w:tcW w:w="1471" w:type="dxa"/>
            <w:tcBorders>
              <w:top w:val="single" w:sz="4" w:space="0" w:color="auto"/>
              <w:left w:val="nil"/>
              <w:bottom w:val="single" w:sz="4" w:space="0" w:color="auto"/>
              <w:right w:val="single" w:sz="4" w:space="0" w:color="auto"/>
            </w:tcBorders>
            <w:shd w:val="clear" w:color="auto" w:fill="C6EFCE"/>
            <w:noWrap/>
          </w:tcPr>
          <w:p w14:paraId="5251E9BA" w14:textId="77777777" w:rsidR="00CB0FCB" w:rsidRDefault="009D2B11">
            <w:pPr>
              <w:pStyle w:val="P68B1DB1-Normal9"/>
              <w:spacing w:after="0" w:line="240" w:lineRule="auto"/>
              <w:rPr>
                <w:rFonts w:eastAsia="Times New Roman" w:cs="Calibri"/>
                <w:noProof/>
                <w:szCs w:val="18"/>
              </w:rPr>
            </w:pPr>
            <w:r>
              <w:rPr>
                <w:noProof/>
              </w:rPr>
              <w:t xml:space="preserve">Tiesību aktu stāšanās spēkā </w:t>
            </w:r>
          </w:p>
        </w:tc>
        <w:tc>
          <w:tcPr>
            <w:tcW w:w="1135" w:type="dxa"/>
            <w:tcBorders>
              <w:top w:val="single" w:sz="4" w:space="0" w:color="auto"/>
              <w:left w:val="nil"/>
              <w:bottom w:val="single" w:sz="4" w:space="0" w:color="auto"/>
              <w:right w:val="single" w:sz="4" w:space="0" w:color="auto"/>
            </w:tcBorders>
            <w:shd w:val="clear" w:color="auto" w:fill="C6EFCE"/>
            <w:noWrap/>
          </w:tcPr>
          <w:p w14:paraId="2B80763D" w14:textId="77777777" w:rsidR="00CB0FCB" w:rsidRDefault="00CB0FCB">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7A44CAB0" w14:textId="77777777" w:rsidR="00CB0FCB" w:rsidRDefault="00CB0FCB">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3C20BB8C"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EC7BC34" w14:textId="77777777" w:rsidR="00CB0FCB" w:rsidRDefault="009D2B11">
            <w:pPr>
              <w:pStyle w:val="P68B1DB1-Normal9"/>
              <w:spacing w:after="0" w:line="240" w:lineRule="auto"/>
              <w:rPr>
                <w:rFonts w:eastAsia="Times New Roman" w:cs="Calibri"/>
                <w:noProof/>
                <w:szCs w:val="18"/>
              </w:rPr>
            </w:pPr>
            <w:r>
              <w:rPr>
                <w:noProof/>
              </w:rPr>
              <w:t>CET.</w:t>
            </w:r>
          </w:p>
        </w:tc>
        <w:tc>
          <w:tcPr>
            <w:tcW w:w="783" w:type="dxa"/>
            <w:tcBorders>
              <w:top w:val="single" w:sz="4" w:space="0" w:color="auto"/>
              <w:left w:val="nil"/>
              <w:bottom w:val="single" w:sz="4" w:space="0" w:color="auto"/>
              <w:right w:val="single" w:sz="4" w:space="0" w:color="auto"/>
            </w:tcBorders>
            <w:shd w:val="clear" w:color="auto" w:fill="C6EFCE"/>
            <w:noWrap/>
          </w:tcPr>
          <w:p w14:paraId="5F8C08A1" w14:textId="77777777" w:rsidR="00CB0FCB" w:rsidRDefault="009D2B11">
            <w:pPr>
              <w:pStyle w:val="P68B1DB1-Normal9"/>
              <w:spacing w:after="0" w:line="240" w:lineRule="auto"/>
              <w:rPr>
                <w:rFonts w:eastAsia="Times New Roman" w:cs="Calibri"/>
                <w:noProof/>
                <w:szCs w:val="18"/>
              </w:rPr>
            </w:pPr>
            <w:r>
              <w:rPr>
                <w:noProof/>
              </w:rPr>
              <w:t>2021</w:t>
            </w:r>
          </w:p>
        </w:tc>
        <w:tc>
          <w:tcPr>
            <w:tcW w:w="4156" w:type="dxa"/>
            <w:tcBorders>
              <w:top w:val="single" w:sz="4" w:space="0" w:color="auto"/>
              <w:left w:val="nil"/>
              <w:bottom w:val="single" w:sz="4" w:space="0" w:color="auto"/>
              <w:right w:val="single" w:sz="4" w:space="0" w:color="auto"/>
            </w:tcBorders>
            <w:shd w:val="clear" w:color="auto" w:fill="C6EFCE"/>
            <w:noWrap/>
          </w:tcPr>
          <w:p w14:paraId="1A33FE5A" w14:textId="77777777" w:rsidR="00CB0FCB" w:rsidRDefault="009D2B11">
            <w:pPr>
              <w:pStyle w:val="P68B1DB1-Normal9"/>
              <w:spacing w:after="0" w:line="240" w:lineRule="auto"/>
              <w:rPr>
                <w:rFonts w:eastAsia="Times New Roman" w:cs="Calibri"/>
                <w:noProof/>
                <w:szCs w:val="18"/>
              </w:rPr>
            </w:pPr>
            <w:r>
              <w:rPr>
                <w:noProof/>
              </w:rPr>
              <w:t>Grieķijas Darbaspēka nodarbinātības organizācijas (DYPA) organizatoriskās reformas stāšanās spēkā, tās vietējo valsts nodarbinātības dienestu pārstrukturēšana, atjaunošana un zīmola maiņa, lai uzlabotu piedāvāto pakalpojumu kvalitāti, kapacitāti un efektivitāti.</w:t>
            </w:r>
          </w:p>
        </w:tc>
      </w:tr>
      <w:tr w:rsidR="00CB0FCB" w14:paraId="68E841AD" w14:textId="77777777">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5233F7EF" w14:textId="77777777" w:rsidR="00CB0FCB" w:rsidRDefault="009D2B11">
            <w:pPr>
              <w:pStyle w:val="P68B1DB1-Normal9"/>
              <w:spacing w:after="0" w:line="240" w:lineRule="auto"/>
              <w:rPr>
                <w:rFonts w:eastAsia="Times New Roman" w:cs="Calibri"/>
                <w:noProof/>
                <w:szCs w:val="18"/>
              </w:rPr>
            </w:pPr>
            <w:r>
              <w:rPr>
                <w:noProof/>
              </w:rPr>
              <w:t>141a</w:t>
            </w:r>
          </w:p>
        </w:tc>
        <w:tc>
          <w:tcPr>
            <w:tcW w:w="1797" w:type="dxa"/>
            <w:tcBorders>
              <w:top w:val="nil"/>
              <w:left w:val="nil"/>
              <w:bottom w:val="single" w:sz="4" w:space="0" w:color="auto"/>
              <w:right w:val="single" w:sz="4" w:space="0" w:color="auto"/>
            </w:tcBorders>
            <w:shd w:val="clear" w:color="auto" w:fill="C6EFCE"/>
            <w:noWrap/>
          </w:tcPr>
          <w:p w14:paraId="2EBB7314" w14:textId="12757669"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16941_DYPA vietējo filiāļu pārstrukturēšana un pārdēvēšana nodarbinātības veicināšanai (KPA2)</w:t>
            </w:r>
          </w:p>
        </w:tc>
        <w:tc>
          <w:tcPr>
            <w:tcW w:w="1099" w:type="dxa"/>
            <w:tcBorders>
              <w:top w:val="nil"/>
              <w:left w:val="nil"/>
              <w:bottom w:val="single" w:sz="4" w:space="0" w:color="auto"/>
              <w:right w:val="single" w:sz="4" w:space="0" w:color="auto"/>
            </w:tcBorders>
            <w:shd w:val="clear" w:color="auto" w:fill="C6EFCE"/>
            <w:noWrap/>
          </w:tcPr>
          <w:p w14:paraId="683A854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5" w:type="dxa"/>
            <w:tcBorders>
              <w:top w:val="nil"/>
              <w:left w:val="nil"/>
              <w:bottom w:val="single" w:sz="4" w:space="0" w:color="auto"/>
              <w:right w:val="single" w:sz="4" w:space="0" w:color="auto"/>
            </w:tcBorders>
            <w:shd w:val="clear" w:color="auto" w:fill="C6EFCE"/>
            <w:noWrap/>
          </w:tcPr>
          <w:p w14:paraId="2817EBC8" w14:textId="77777777" w:rsidR="00CB0FCB" w:rsidRDefault="009D2B11">
            <w:pPr>
              <w:pStyle w:val="P68B1DB1-Normal9"/>
              <w:spacing w:after="0" w:line="240" w:lineRule="auto"/>
              <w:rPr>
                <w:rFonts w:eastAsia="Times New Roman" w:cs="Calibri"/>
                <w:noProof/>
                <w:szCs w:val="18"/>
              </w:rPr>
            </w:pPr>
            <w:r>
              <w:rPr>
                <w:noProof/>
              </w:rPr>
              <w:t>KPA2 atjaunošana, komunikācijas stratēģija, klientu apkalpošanas kvalitātes kontrole, jauni profilēšanas un konsultāciju pakalpojumu veidi.</w:t>
            </w:r>
          </w:p>
        </w:tc>
        <w:tc>
          <w:tcPr>
            <w:tcW w:w="1471" w:type="dxa"/>
            <w:tcBorders>
              <w:top w:val="nil"/>
              <w:left w:val="nil"/>
              <w:bottom w:val="single" w:sz="4" w:space="0" w:color="auto"/>
              <w:right w:val="single" w:sz="4" w:space="0" w:color="auto"/>
            </w:tcBorders>
            <w:shd w:val="clear" w:color="auto" w:fill="C6EFCE"/>
            <w:noWrap/>
          </w:tcPr>
          <w:p w14:paraId="38BD1C37" w14:textId="77777777" w:rsidR="00CB0FCB" w:rsidRDefault="009D2B11">
            <w:pPr>
              <w:pStyle w:val="P68B1DB1-Normal9"/>
              <w:spacing w:after="0" w:line="240" w:lineRule="auto"/>
              <w:rPr>
                <w:rFonts w:eastAsia="Times New Roman" w:cs="Calibri"/>
                <w:noProof/>
                <w:szCs w:val="18"/>
              </w:rPr>
            </w:pPr>
            <w:r>
              <w:rPr>
                <w:noProof/>
              </w:rPr>
              <w:t>DYPA ziņojums, kurā apstiprināta projektu a, b, c, d pabeigšana.</w:t>
            </w:r>
          </w:p>
        </w:tc>
        <w:tc>
          <w:tcPr>
            <w:tcW w:w="1135" w:type="dxa"/>
            <w:tcBorders>
              <w:top w:val="nil"/>
              <w:left w:val="nil"/>
              <w:bottom w:val="single" w:sz="4" w:space="0" w:color="auto"/>
              <w:right w:val="single" w:sz="4" w:space="0" w:color="auto"/>
            </w:tcBorders>
            <w:shd w:val="clear" w:color="auto" w:fill="C6EFCE"/>
            <w:noWrap/>
          </w:tcPr>
          <w:p w14:paraId="49F04B89" w14:textId="77777777" w:rsidR="00CB0FCB" w:rsidRDefault="00CB0FCB">
            <w:pPr>
              <w:spacing w:after="0" w:line="240" w:lineRule="auto"/>
              <w:rPr>
                <w:rFonts w:eastAsia="Times New Roman" w:cs="Calibri"/>
                <w:noProof/>
                <w:color w:val="006100"/>
                <w:sz w:val="18"/>
                <w:szCs w:val="18"/>
              </w:rPr>
            </w:pPr>
          </w:p>
        </w:tc>
        <w:tc>
          <w:tcPr>
            <w:tcW w:w="924" w:type="dxa"/>
            <w:tcBorders>
              <w:top w:val="nil"/>
              <w:left w:val="nil"/>
              <w:bottom w:val="single" w:sz="4" w:space="0" w:color="auto"/>
              <w:right w:val="single" w:sz="4" w:space="0" w:color="auto"/>
            </w:tcBorders>
            <w:shd w:val="clear" w:color="auto" w:fill="C6EFCE"/>
            <w:noWrap/>
          </w:tcPr>
          <w:p w14:paraId="228EB3A4" w14:textId="77777777" w:rsidR="00CB0FCB" w:rsidRDefault="00CB0FCB">
            <w:pPr>
              <w:spacing w:after="0" w:line="240" w:lineRule="auto"/>
              <w:rPr>
                <w:rFonts w:eastAsia="Times New Roman" w:cs="Calibri"/>
                <w:noProof/>
                <w:color w:val="006100"/>
                <w:sz w:val="18"/>
                <w:szCs w:val="18"/>
              </w:rPr>
            </w:pPr>
          </w:p>
        </w:tc>
        <w:tc>
          <w:tcPr>
            <w:tcW w:w="896" w:type="dxa"/>
            <w:tcBorders>
              <w:top w:val="nil"/>
              <w:left w:val="nil"/>
              <w:bottom w:val="single" w:sz="4" w:space="0" w:color="auto"/>
              <w:right w:val="single" w:sz="4" w:space="0" w:color="auto"/>
            </w:tcBorders>
            <w:shd w:val="clear" w:color="auto" w:fill="C6EFCE"/>
            <w:noWrap/>
          </w:tcPr>
          <w:p w14:paraId="578E717E"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EA4E397" w14:textId="77777777" w:rsidR="00CB0FCB" w:rsidRDefault="009D2B11">
            <w:pPr>
              <w:pStyle w:val="P68B1DB1-Normal9"/>
              <w:spacing w:after="0" w:line="240" w:lineRule="auto"/>
              <w:rPr>
                <w:rFonts w:eastAsia="Times New Roman" w:cs="Calibri"/>
                <w:noProof/>
                <w:szCs w:val="18"/>
              </w:rPr>
            </w:pPr>
            <w:r>
              <w:rPr>
                <w:noProof/>
              </w:rPr>
              <w:t>4. CET.</w:t>
            </w:r>
          </w:p>
        </w:tc>
        <w:tc>
          <w:tcPr>
            <w:tcW w:w="783" w:type="dxa"/>
            <w:tcBorders>
              <w:top w:val="nil"/>
              <w:left w:val="nil"/>
              <w:bottom w:val="single" w:sz="4" w:space="0" w:color="auto"/>
              <w:right w:val="single" w:sz="4" w:space="0" w:color="auto"/>
            </w:tcBorders>
            <w:shd w:val="clear" w:color="auto" w:fill="C6EFCE"/>
            <w:noWrap/>
          </w:tcPr>
          <w:p w14:paraId="66BBD226" w14:textId="77777777" w:rsidR="00CB0FCB" w:rsidRDefault="009D2B11">
            <w:pPr>
              <w:pStyle w:val="P68B1DB1-Normal9"/>
              <w:spacing w:after="0" w:line="240" w:lineRule="auto"/>
              <w:rPr>
                <w:rFonts w:eastAsia="Times New Roman" w:cs="Calibri"/>
                <w:noProof/>
                <w:szCs w:val="18"/>
              </w:rPr>
            </w:pPr>
            <w:r>
              <w:rPr>
                <w:noProof/>
              </w:rPr>
              <w:t>2025</w:t>
            </w:r>
          </w:p>
        </w:tc>
        <w:tc>
          <w:tcPr>
            <w:tcW w:w="4156" w:type="dxa"/>
            <w:tcBorders>
              <w:top w:val="nil"/>
              <w:left w:val="nil"/>
              <w:bottom w:val="single" w:sz="4" w:space="0" w:color="auto"/>
              <w:right w:val="single" w:sz="4" w:space="0" w:color="auto"/>
            </w:tcBorders>
            <w:shd w:val="clear" w:color="auto" w:fill="C6EFCE"/>
            <w:noWrap/>
          </w:tcPr>
          <w:p w14:paraId="4E79E1C8" w14:textId="77777777" w:rsidR="00CB0FCB" w:rsidRDefault="009D2B11">
            <w:pPr>
              <w:pStyle w:val="P68B1DB1-Normal9"/>
              <w:spacing w:after="0" w:line="240" w:lineRule="auto"/>
              <w:rPr>
                <w:rFonts w:eastAsia="Times New Roman" w:cs="Calibri"/>
                <w:noProof/>
                <w:szCs w:val="18"/>
              </w:rPr>
            </w:pPr>
            <w:r>
              <w:rPr>
                <w:noProof/>
              </w:rPr>
              <w:t xml:space="preserve">Šādu projektu pabeigšana: </w:t>
            </w:r>
          </w:p>
          <w:p w14:paraId="34D797AA" w14:textId="3F4C6260" w:rsidR="00CB0FCB" w:rsidRDefault="009D2B11">
            <w:pPr>
              <w:pStyle w:val="P68B1DB1-Normal9"/>
              <w:spacing w:after="0" w:line="240" w:lineRule="auto"/>
              <w:rPr>
                <w:rFonts w:eastAsia="Times New Roman" w:cs="Calibri"/>
                <w:noProof/>
                <w:szCs w:val="18"/>
              </w:rPr>
            </w:pPr>
            <w:r>
              <w:rPr>
                <w:noProof/>
              </w:rPr>
              <w:t xml:space="preserve">DYPA 40 vietējo atzaru pārveide un ēku renovācija nodarbinātības veicināšanai (KPA2); </w:t>
            </w:r>
          </w:p>
          <w:p w14:paraId="4DE21EB6" w14:textId="77777777" w:rsidR="00CB0FCB" w:rsidRDefault="009D2B11">
            <w:pPr>
              <w:pStyle w:val="P68B1DB1-Normal9"/>
              <w:spacing w:after="0" w:line="240" w:lineRule="auto"/>
              <w:rPr>
                <w:rFonts w:eastAsia="Times New Roman" w:cs="Calibri"/>
                <w:noProof/>
                <w:szCs w:val="18"/>
              </w:rPr>
            </w:pPr>
            <w:r>
              <w:rPr>
                <w:noProof/>
              </w:rPr>
              <w:t xml:space="preserve">jaunās DYPA komunikācijas stratēģijas īstenošana; </w:t>
            </w:r>
          </w:p>
          <w:p w14:paraId="76C110AB" w14:textId="77777777" w:rsidR="00CB0FCB" w:rsidRDefault="009D2B11">
            <w:pPr>
              <w:pStyle w:val="P68B1DB1-Normal9"/>
              <w:spacing w:after="0" w:line="240" w:lineRule="auto"/>
              <w:rPr>
                <w:rFonts w:eastAsia="Times New Roman" w:cs="Calibri"/>
                <w:noProof/>
                <w:szCs w:val="18"/>
              </w:rPr>
            </w:pPr>
            <w:r>
              <w:rPr>
                <w:noProof/>
              </w:rPr>
              <w:t xml:space="preserve">klientu apkalpošanas kvalitātes kontroles mehānismu uzlabošana, mērot un uzraugot efektivitātes, lietderības, produktivitātes un klientu apmierinātības aspektus; </w:t>
            </w:r>
          </w:p>
          <w:p w14:paraId="67A9672E" w14:textId="77777777" w:rsidR="00CB0FCB" w:rsidRDefault="009D2B11">
            <w:pPr>
              <w:pStyle w:val="P68B1DB1-Normal9"/>
              <w:spacing w:after="0" w:line="240" w:lineRule="auto"/>
              <w:rPr>
                <w:rFonts w:eastAsia="Times New Roman" w:cs="Calibri"/>
                <w:noProof/>
                <w:szCs w:val="18"/>
              </w:rPr>
            </w:pPr>
            <w:r>
              <w:rPr>
                <w:noProof/>
              </w:rPr>
              <w:t>jaunu profilēšanas un konsultāciju pakalpojumu veidu ieviešana.</w:t>
            </w:r>
          </w:p>
        </w:tc>
      </w:tr>
      <w:tr w:rsidR="00CB0FCB" w14:paraId="36795586" w14:textId="77777777">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312C6E41" w14:textId="77777777" w:rsidR="00CB0FCB" w:rsidRDefault="009D2B11">
            <w:pPr>
              <w:pStyle w:val="P68B1DB1-Normal9"/>
              <w:spacing w:after="0" w:line="240" w:lineRule="auto"/>
              <w:rPr>
                <w:rFonts w:eastAsia="Times New Roman" w:cs="Calibri"/>
                <w:noProof/>
                <w:szCs w:val="18"/>
              </w:rPr>
            </w:pPr>
            <w:r>
              <w:rPr>
                <w:noProof/>
              </w:rPr>
              <w:t>142</w:t>
            </w:r>
          </w:p>
        </w:tc>
        <w:tc>
          <w:tcPr>
            <w:tcW w:w="1797" w:type="dxa"/>
            <w:tcBorders>
              <w:top w:val="nil"/>
              <w:left w:val="nil"/>
              <w:bottom w:val="single" w:sz="4" w:space="0" w:color="auto"/>
              <w:right w:val="single" w:sz="4" w:space="0" w:color="auto"/>
            </w:tcBorders>
            <w:shd w:val="clear" w:color="auto" w:fill="C6EFCE"/>
            <w:noWrap/>
          </w:tcPr>
          <w:p w14:paraId="108E7661"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16746_Pasīvas darba tirgus politikas reforma, lai atbalstītu pāreju uz nodarbinātību</w:t>
            </w:r>
          </w:p>
        </w:tc>
        <w:tc>
          <w:tcPr>
            <w:tcW w:w="1099" w:type="dxa"/>
            <w:tcBorders>
              <w:top w:val="nil"/>
              <w:left w:val="nil"/>
              <w:bottom w:val="single" w:sz="4" w:space="0" w:color="auto"/>
              <w:right w:val="single" w:sz="4" w:space="0" w:color="auto"/>
            </w:tcBorders>
            <w:shd w:val="clear" w:color="auto" w:fill="C6EFCE"/>
            <w:noWrap/>
          </w:tcPr>
          <w:p w14:paraId="446014A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5" w:type="dxa"/>
            <w:tcBorders>
              <w:top w:val="nil"/>
              <w:left w:val="nil"/>
              <w:bottom w:val="single" w:sz="4" w:space="0" w:color="auto"/>
              <w:right w:val="single" w:sz="4" w:space="0" w:color="auto"/>
            </w:tcBorders>
            <w:shd w:val="clear" w:color="auto" w:fill="C6EFCE"/>
            <w:noWrap/>
          </w:tcPr>
          <w:p w14:paraId="3504DAA1" w14:textId="77777777" w:rsidR="00CB0FCB" w:rsidRDefault="009D2B11">
            <w:pPr>
              <w:pStyle w:val="P68B1DB1-Normal9"/>
              <w:spacing w:after="0" w:line="240" w:lineRule="auto"/>
              <w:rPr>
                <w:rFonts w:eastAsia="Times New Roman" w:cs="Calibri"/>
                <w:noProof/>
                <w:szCs w:val="18"/>
                <w:highlight w:val="yellow"/>
              </w:rPr>
            </w:pPr>
            <w:r>
              <w:rPr>
                <w:noProof/>
              </w:rPr>
              <w:t xml:space="preserve">Tiesību aktu stāšanās spēkā savstarpējās saistības pamatreformā </w:t>
            </w:r>
          </w:p>
        </w:tc>
        <w:tc>
          <w:tcPr>
            <w:tcW w:w="1471" w:type="dxa"/>
            <w:tcBorders>
              <w:top w:val="nil"/>
              <w:left w:val="nil"/>
              <w:bottom w:val="single" w:sz="4" w:space="0" w:color="auto"/>
              <w:right w:val="single" w:sz="4" w:space="0" w:color="auto"/>
            </w:tcBorders>
            <w:shd w:val="clear" w:color="auto" w:fill="C6EFCE"/>
            <w:noWrap/>
          </w:tcPr>
          <w:p w14:paraId="1644206B" w14:textId="77777777" w:rsidR="00CB0FCB" w:rsidRDefault="009D2B11">
            <w:pPr>
              <w:pStyle w:val="P68B1DB1-Normal9"/>
              <w:spacing w:after="0" w:line="240" w:lineRule="auto"/>
              <w:rPr>
                <w:rFonts w:eastAsia="Times New Roman" w:cs="Calibri"/>
                <w:noProof/>
                <w:szCs w:val="18"/>
              </w:rPr>
            </w:pPr>
            <w:r>
              <w:rPr>
                <w:noProof/>
              </w:rPr>
              <w:t>Tiesību aktu stāšanās spēkā</w:t>
            </w:r>
          </w:p>
        </w:tc>
        <w:tc>
          <w:tcPr>
            <w:tcW w:w="1135" w:type="dxa"/>
            <w:tcBorders>
              <w:top w:val="nil"/>
              <w:left w:val="nil"/>
              <w:bottom w:val="single" w:sz="4" w:space="0" w:color="auto"/>
              <w:right w:val="single" w:sz="4" w:space="0" w:color="auto"/>
            </w:tcBorders>
            <w:shd w:val="clear" w:color="auto" w:fill="C6EFCE"/>
            <w:noWrap/>
          </w:tcPr>
          <w:p w14:paraId="4E9C58C0" w14:textId="77777777" w:rsidR="00CB0FCB" w:rsidRDefault="00CB0FCB">
            <w:pPr>
              <w:spacing w:after="0" w:line="240" w:lineRule="auto"/>
              <w:rPr>
                <w:rFonts w:eastAsia="Times New Roman" w:cs="Calibri"/>
                <w:noProof/>
                <w:color w:val="006100"/>
                <w:sz w:val="18"/>
                <w:szCs w:val="18"/>
              </w:rPr>
            </w:pPr>
          </w:p>
        </w:tc>
        <w:tc>
          <w:tcPr>
            <w:tcW w:w="924" w:type="dxa"/>
            <w:tcBorders>
              <w:top w:val="nil"/>
              <w:left w:val="nil"/>
              <w:bottom w:val="single" w:sz="4" w:space="0" w:color="auto"/>
              <w:right w:val="single" w:sz="4" w:space="0" w:color="auto"/>
            </w:tcBorders>
            <w:shd w:val="clear" w:color="auto" w:fill="C6EFCE"/>
            <w:noWrap/>
          </w:tcPr>
          <w:p w14:paraId="5F059A36" w14:textId="77777777" w:rsidR="00CB0FCB" w:rsidRDefault="00CB0FCB">
            <w:pPr>
              <w:spacing w:after="0" w:line="240" w:lineRule="auto"/>
              <w:rPr>
                <w:rFonts w:eastAsia="Times New Roman" w:cs="Calibri"/>
                <w:noProof/>
                <w:color w:val="006100"/>
                <w:sz w:val="18"/>
                <w:szCs w:val="18"/>
              </w:rPr>
            </w:pPr>
          </w:p>
        </w:tc>
        <w:tc>
          <w:tcPr>
            <w:tcW w:w="896" w:type="dxa"/>
            <w:tcBorders>
              <w:top w:val="nil"/>
              <w:left w:val="nil"/>
              <w:bottom w:val="single" w:sz="4" w:space="0" w:color="auto"/>
              <w:right w:val="single" w:sz="4" w:space="0" w:color="auto"/>
            </w:tcBorders>
            <w:shd w:val="clear" w:color="auto" w:fill="C6EFCE"/>
            <w:noWrap/>
          </w:tcPr>
          <w:p w14:paraId="74F9E8FF"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326C879B" w14:textId="77777777" w:rsidR="00CB0FCB" w:rsidRDefault="009D2B11">
            <w:pPr>
              <w:pStyle w:val="P68B1DB1-Normal9"/>
              <w:spacing w:after="0" w:line="240" w:lineRule="auto"/>
              <w:rPr>
                <w:rFonts w:eastAsia="Times New Roman" w:cs="Calibri"/>
                <w:noProof/>
                <w:szCs w:val="18"/>
              </w:rPr>
            </w:pPr>
            <w:r>
              <w:rPr>
                <w:noProof/>
              </w:rPr>
              <w:t>CET.</w:t>
            </w:r>
          </w:p>
        </w:tc>
        <w:tc>
          <w:tcPr>
            <w:tcW w:w="783" w:type="dxa"/>
            <w:tcBorders>
              <w:top w:val="nil"/>
              <w:left w:val="nil"/>
              <w:bottom w:val="single" w:sz="4" w:space="0" w:color="auto"/>
              <w:right w:val="single" w:sz="4" w:space="0" w:color="auto"/>
            </w:tcBorders>
            <w:shd w:val="clear" w:color="auto" w:fill="C6EFCE"/>
            <w:noWrap/>
          </w:tcPr>
          <w:p w14:paraId="089B20A6" w14:textId="77777777" w:rsidR="00CB0FCB" w:rsidRDefault="009D2B11">
            <w:pPr>
              <w:pStyle w:val="P68B1DB1-Normal9"/>
              <w:spacing w:after="0" w:line="240" w:lineRule="auto"/>
              <w:rPr>
                <w:rFonts w:eastAsia="Times New Roman" w:cs="Calibri"/>
                <w:noProof/>
                <w:szCs w:val="18"/>
              </w:rPr>
            </w:pPr>
            <w:r>
              <w:rPr>
                <w:noProof/>
              </w:rPr>
              <w:t>2022</w:t>
            </w:r>
          </w:p>
        </w:tc>
        <w:tc>
          <w:tcPr>
            <w:tcW w:w="4156" w:type="dxa"/>
            <w:tcBorders>
              <w:top w:val="nil"/>
              <w:left w:val="nil"/>
              <w:bottom w:val="single" w:sz="4" w:space="0" w:color="auto"/>
              <w:right w:val="single" w:sz="4" w:space="0" w:color="auto"/>
            </w:tcBorders>
            <w:shd w:val="clear" w:color="auto" w:fill="C6EFCE"/>
            <w:noWrap/>
          </w:tcPr>
          <w:p w14:paraId="424043E4" w14:textId="77777777" w:rsidR="00CB0FCB" w:rsidRDefault="009D2B11">
            <w:pPr>
              <w:pStyle w:val="P68B1DB1-Normal9"/>
              <w:spacing w:after="0" w:line="240" w:lineRule="auto"/>
              <w:rPr>
                <w:rFonts w:eastAsia="Times New Roman" w:cs="Calibri"/>
                <w:noProof/>
                <w:szCs w:val="18"/>
              </w:rPr>
            </w:pPr>
            <w:r>
              <w:rPr>
                <w:noProof/>
              </w:rPr>
              <w:t>Stājas spēkā tiesību akti, ar kuriem reformē savstarpējo saistību sistēmu, kas nosaka attiecības starp valsts nodarbinātības dienestu (VND) un darba meklētāju. Cita starpā reforma ietvers jaunu aktīvas darba meklēšanas definīciju un sankcijas tiem bezdarbniekiem, kuri neievēro jaunos noteikumus.</w:t>
            </w:r>
          </w:p>
        </w:tc>
      </w:tr>
      <w:tr w:rsidR="00CB0FCB" w14:paraId="4C78AAD2" w14:textId="77777777">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67D2CB65" w14:textId="77777777" w:rsidR="00CB0FCB" w:rsidRDefault="009D2B11">
            <w:pPr>
              <w:pStyle w:val="P68B1DB1-Normal10"/>
              <w:spacing w:after="0" w:line="240" w:lineRule="auto"/>
              <w:rPr>
                <w:rFonts w:eastAsia="Times New Roman" w:cs="Calibri"/>
                <w:noProof/>
              </w:rPr>
            </w:pPr>
            <w:r>
              <w:rPr>
                <w:noProof/>
              </w:rPr>
              <w:t>142.a</w:t>
            </w:r>
          </w:p>
        </w:tc>
        <w:tc>
          <w:tcPr>
            <w:tcW w:w="1797" w:type="dxa"/>
            <w:tcBorders>
              <w:top w:val="nil"/>
              <w:left w:val="nil"/>
              <w:bottom w:val="single" w:sz="4" w:space="0" w:color="auto"/>
              <w:right w:val="single" w:sz="4" w:space="0" w:color="auto"/>
            </w:tcBorders>
            <w:shd w:val="clear" w:color="auto" w:fill="C6EFCE"/>
            <w:noWrap/>
          </w:tcPr>
          <w:p w14:paraId="1CD1DA1B"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16746_Pasīvas darba tirgus politikas reforma, lai atbalstītu pāreju uz nodarbinātību</w:t>
            </w:r>
          </w:p>
        </w:tc>
        <w:tc>
          <w:tcPr>
            <w:tcW w:w="1099" w:type="dxa"/>
            <w:tcBorders>
              <w:top w:val="nil"/>
              <w:left w:val="nil"/>
              <w:bottom w:val="single" w:sz="4" w:space="0" w:color="auto"/>
              <w:right w:val="single" w:sz="4" w:space="0" w:color="auto"/>
            </w:tcBorders>
            <w:shd w:val="clear" w:color="auto" w:fill="C6EFCE"/>
            <w:noWrap/>
          </w:tcPr>
          <w:p w14:paraId="39A8ED5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5" w:type="dxa"/>
            <w:tcBorders>
              <w:top w:val="nil"/>
              <w:left w:val="nil"/>
              <w:bottom w:val="single" w:sz="4" w:space="0" w:color="auto"/>
              <w:right w:val="single" w:sz="4" w:space="0" w:color="auto"/>
            </w:tcBorders>
            <w:shd w:val="clear" w:color="auto" w:fill="C6EFCE"/>
            <w:noWrap/>
          </w:tcPr>
          <w:p w14:paraId="20A4F60C" w14:textId="41E5472A" w:rsidR="00CB0FCB" w:rsidRDefault="009D2B11">
            <w:pPr>
              <w:pStyle w:val="P68B1DB1-Normal9"/>
              <w:spacing w:after="0" w:line="240" w:lineRule="auto"/>
              <w:rPr>
                <w:rFonts w:eastAsia="Times New Roman" w:cs="Calibri"/>
                <w:noProof/>
                <w:szCs w:val="18"/>
              </w:rPr>
            </w:pPr>
            <w:r>
              <w:rPr>
                <w:noProof/>
              </w:rPr>
              <w:t xml:space="preserve">Tiesību akti par bezdarbnieka pabalstiem un pabalstiem </w:t>
            </w:r>
          </w:p>
        </w:tc>
        <w:tc>
          <w:tcPr>
            <w:tcW w:w="1471" w:type="dxa"/>
            <w:tcBorders>
              <w:top w:val="single" w:sz="4" w:space="0" w:color="auto"/>
              <w:left w:val="nil"/>
              <w:bottom w:val="single" w:sz="4" w:space="0" w:color="auto"/>
              <w:right w:val="single" w:sz="4" w:space="0" w:color="auto"/>
            </w:tcBorders>
            <w:shd w:val="clear" w:color="auto" w:fill="C6EFCE"/>
            <w:noWrap/>
          </w:tcPr>
          <w:p w14:paraId="737FF7FB" w14:textId="77777777" w:rsidR="00CB0FCB" w:rsidRDefault="009D2B11">
            <w:pPr>
              <w:pStyle w:val="P68B1DB1-Normal9"/>
              <w:spacing w:after="0" w:line="240" w:lineRule="auto"/>
              <w:rPr>
                <w:rFonts w:eastAsia="Times New Roman" w:cs="Calibri"/>
                <w:noProof/>
                <w:szCs w:val="18"/>
              </w:rPr>
            </w:pPr>
            <w:r>
              <w:rPr>
                <w:noProof/>
              </w:rPr>
              <w:t>Tiesību aktu stāšanās spēkā,</w:t>
            </w:r>
          </w:p>
          <w:p w14:paraId="0F595F48" w14:textId="13E7E23D" w:rsidR="00CB0FCB" w:rsidRDefault="00CB0FCB">
            <w:pPr>
              <w:spacing w:after="0" w:line="240" w:lineRule="auto"/>
              <w:rPr>
                <w:rFonts w:eastAsia="Times New Roman" w:cs="Calibri"/>
                <w:noProof/>
                <w:color w:val="006100"/>
                <w:sz w:val="18"/>
                <w:szCs w:val="18"/>
              </w:rPr>
            </w:pPr>
          </w:p>
        </w:tc>
        <w:tc>
          <w:tcPr>
            <w:tcW w:w="1135" w:type="dxa"/>
            <w:tcBorders>
              <w:top w:val="nil"/>
              <w:left w:val="nil"/>
              <w:bottom w:val="single" w:sz="4" w:space="0" w:color="auto"/>
              <w:right w:val="single" w:sz="4" w:space="0" w:color="auto"/>
            </w:tcBorders>
            <w:shd w:val="clear" w:color="auto" w:fill="C6EFCE"/>
            <w:noWrap/>
          </w:tcPr>
          <w:p w14:paraId="72A913D0" w14:textId="77777777" w:rsidR="00CB0FCB" w:rsidRDefault="00CB0FCB">
            <w:pPr>
              <w:spacing w:after="0" w:line="240" w:lineRule="auto"/>
              <w:rPr>
                <w:rFonts w:eastAsia="Times New Roman" w:cs="Calibri"/>
                <w:noProof/>
                <w:color w:val="006100"/>
                <w:sz w:val="18"/>
                <w:szCs w:val="18"/>
              </w:rPr>
            </w:pPr>
          </w:p>
        </w:tc>
        <w:tc>
          <w:tcPr>
            <w:tcW w:w="924" w:type="dxa"/>
            <w:tcBorders>
              <w:top w:val="nil"/>
              <w:left w:val="nil"/>
              <w:bottom w:val="single" w:sz="4" w:space="0" w:color="auto"/>
              <w:right w:val="single" w:sz="4" w:space="0" w:color="auto"/>
            </w:tcBorders>
            <w:shd w:val="clear" w:color="auto" w:fill="C6EFCE"/>
            <w:noWrap/>
          </w:tcPr>
          <w:p w14:paraId="5B69F76A" w14:textId="77777777" w:rsidR="00CB0FCB" w:rsidRDefault="00CB0FCB">
            <w:pPr>
              <w:spacing w:after="0" w:line="240" w:lineRule="auto"/>
              <w:rPr>
                <w:rFonts w:eastAsia="Times New Roman" w:cs="Calibri"/>
                <w:noProof/>
                <w:color w:val="006100"/>
                <w:sz w:val="18"/>
                <w:szCs w:val="18"/>
              </w:rPr>
            </w:pPr>
          </w:p>
        </w:tc>
        <w:tc>
          <w:tcPr>
            <w:tcW w:w="896" w:type="dxa"/>
            <w:tcBorders>
              <w:top w:val="nil"/>
              <w:left w:val="nil"/>
              <w:bottom w:val="single" w:sz="4" w:space="0" w:color="auto"/>
              <w:right w:val="single" w:sz="4" w:space="0" w:color="auto"/>
            </w:tcBorders>
            <w:shd w:val="clear" w:color="auto" w:fill="C6EFCE"/>
            <w:noWrap/>
          </w:tcPr>
          <w:p w14:paraId="0B458A3B"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5D4C26B" w14:textId="77777777" w:rsidR="00CB0FCB" w:rsidRDefault="009D2B11">
            <w:pPr>
              <w:pStyle w:val="P68B1DB1-Normal9"/>
              <w:spacing w:after="0" w:line="240" w:lineRule="auto"/>
              <w:rPr>
                <w:rFonts w:eastAsia="Times New Roman" w:cs="Calibri"/>
                <w:noProof/>
                <w:szCs w:val="18"/>
              </w:rPr>
            </w:pPr>
            <w:r>
              <w:rPr>
                <w:noProof/>
              </w:rPr>
              <w:t>4. CET.</w:t>
            </w:r>
          </w:p>
        </w:tc>
        <w:tc>
          <w:tcPr>
            <w:tcW w:w="783" w:type="dxa"/>
            <w:tcBorders>
              <w:top w:val="nil"/>
              <w:left w:val="nil"/>
              <w:bottom w:val="single" w:sz="4" w:space="0" w:color="auto"/>
              <w:right w:val="single" w:sz="4" w:space="0" w:color="auto"/>
            </w:tcBorders>
            <w:shd w:val="clear" w:color="auto" w:fill="C6EFCE"/>
            <w:noWrap/>
          </w:tcPr>
          <w:p w14:paraId="4E333333" w14:textId="77777777" w:rsidR="00CB0FCB" w:rsidRDefault="009D2B11">
            <w:pPr>
              <w:pStyle w:val="P68B1DB1-Normal9"/>
              <w:spacing w:after="0" w:line="240" w:lineRule="auto"/>
              <w:rPr>
                <w:rFonts w:eastAsia="Times New Roman" w:cs="Calibri"/>
                <w:noProof/>
                <w:szCs w:val="18"/>
              </w:rPr>
            </w:pPr>
            <w:r>
              <w:rPr>
                <w:noProof/>
              </w:rPr>
              <w:t>2024</w:t>
            </w:r>
          </w:p>
        </w:tc>
        <w:tc>
          <w:tcPr>
            <w:tcW w:w="4156" w:type="dxa"/>
            <w:tcBorders>
              <w:top w:val="nil"/>
              <w:left w:val="nil"/>
              <w:bottom w:val="single" w:sz="4" w:space="0" w:color="auto"/>
              <w:right w:val="single" w:sz="4" w:space="0" w:color="auto"/>
            </w:tcBorders>
            <w:shd w:val="clear" w:color="auto" w:fill="C6EFCE"/>
            <w:noWrap/>
          </w:tcPr>
          <w:p w14:paraId="1D400B70" w14:textId="4C4C17C6" w:rsidR="00CB0FCB" w:rsidRDefault="009D2B11">
            <w:pPr>
              <w:pStyle w:val="P68B1DB1-paragraph26"/>
              <w:spacing w:before="0" w:beforeAutospacing="0" w:after="0" w:afterAutospacing="0"/>
              <w:textAlignment w:val="baseline"/>
              <w:rPr>
                <w:rFonts w:cs="Calibri"/>
                <w:noProof/>
                <w:szCs w:val="18"/>
              </w:rPr>
            </w:pPr>
            <w:r>
              <w:rPr>
                <w:noProof/>
              </w:rPr>
              <w:t>Stājas spēkā tiesību akti, kuru mērķis ir konsolidēt un racionalizēt bezdarbnieka pabalstus un pabalstus, lai uzlabotu publisko izdevumu efektivitāti, un novērst šķēršļus bezdarbnieku prasmju pilnveidei/pārkvalificēšanai, saglabājot viņu tiesības uz bezdarbnieka pabalstiem, kamēr viņi piedalās apmācībā.</w:t>
            </w:r>
          </w:p>
          <w:p w14:paraId="3D038E58" w14:textId="21F6FFBB" w:rsidR="00CB0FCB" w:rsidRDefault="00CB0FCB">
            <w:pPr>
              <w:pStyle w:val="paragraph"/>
              <w:spacing w:before="0" w:beforeAutospacing="0" w:after="0" w:afterAutospacing="0"/>
              <w:textAlignment w:val="baseline"/>
              <w:rPr>
                <w:rFonts w:ascii="Calibri" w:hAnsi="Calibri" w:cs="Calibri"/>
                <w:noProof/>
                <w:color w:val="006100"/>
                <w:sz w:val="18"/>
                <w:szCs w:val="18"/>
              </w:rPr>
            </w:pPr>
          </w:p>
        </w:tc>
      </w:tr>
      <w:tr w:rsidR="00CB0FCB" w14:paraId="7C1751B5"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C3E26DC" w14:textId="77777777" w:rsidR="00CB0FCB" w:rsidRDefault="009D2B11">
            <w:pPr>
              <w:pStyle w:val="P68B1DB1-Normal9"/>
              <w:spacing w:after="0" w:line="240" w:lineRule="auto"/>
              <w:rPr>
                <w:noProof/>
              </w:rPr>
            </w:pPr>
            <w:r>
              <w:rPr>
                <w:noProof/>
              </w:rPr>
              <w:t>142b</w:t>
            </w:r>
          </w:p>
        </w:tc>
        <w:tc>
          <w:tcPr>
            <w:tcW w:w="1797" w:type="dxa"/>
            <w:tcBorders>
              <w:top w:val="nil"/>
              <w:left w:val="nil"/>
              <w:bottom w:val="single" w:sz="4" w:space="0" w:color="auto"/>
              <w:right w:val="single" w:sz="4" w:space="0" w:color="auto"/>
            </w:tcBorders>
            <w:shd w:val="clear" w:color="auto" w:fill="C6EFCE"/>
            <w:noWrap/>
          </w:tcPr>
          <w:p w14:paraId="0765A755" w14:textId="77777777" w:rsidR="00CB0FCB" w:rsidRDefault="009D2B11">
            <w:pPr>
              <w:pStyle w:val="P68B1DB1-Normal10"/>
              <w:spacing w:after="0" w:line="240" w:lineRule="auto"/>
              <w:rPr>
                <w:noProof/>
              </w:rPr>
            </w:pPr>
            <w:r>
              <w:rPr>
                <w:noProof/>
              </w:rPr>
              <w:t>8–3.1. PUNKTS. Veicināt darbvietu radīšanu un līdzdalību darba tirgū — 16746_Pasīvas darba tirgus politikas reforma, lai atbalstītu pāreju uz nodarbinātību</w:t>
            </w:r>
          </w:p>
        </w:tc>
        <w:tc>
          <w:tcPr>
            <w:tcW w:w="1099" w:type="dxa"/>
            <w:tcBorders>
              <w:top w:val="single" w:sz="4" w:space="0" w:color="auto"/>
              <w:left w:val="nil"/>
              <w:bottom w:val="single" w:sz="4" w:space="0" w:color="auto"/>
              <w:right w:val="single" w:sz="4" w:space="0" w:color="auto"/>
            </w:tcBorders>
            <w:shd w:val="clear" w:color="auto" w:fill="C6EFCE"/>
            <w:noWrap/>
          </w:tcPr>
          <w:p w14:paraId="61D12073" w14:textId="77777777" w:rsidR="00CB0FCB" w:rsidRDefault="009D2B11">
            <w:pPr>
              <w:pStyle w:val="P68B1DB1-Normal9"/>
              <w:spacing w:after="0" w:line="240" w:lineRule="auto"/>
              <w:rPr>
                <w:noProof/>
              </w:rPr>
            </w:pPr>
            <w:r>
              <w:rPr>
                <w:noProof/>
              </w:rPr>
              <w:t>Atskaites punkts</w:t>
            </w:r>
          </w:p>
        </w:tc>
        <w:tc>
          <w:tcPr>
            <w:tcW w:w="1365" w:type="dxa"/>
            <w:tcBorders>
              <w:top w:val="single" w:sz="4" w:space="0" w:color="auto"/>
              <w:left w:val="nil"/>
              <w:bottom w:val="single" w:sz="4" w:space="0" w:color="auto"/>
              <w:right w:val="single" w:sz="4" w:space="0" w:color="auto"/>
            </w:tcBorders>
            <w:shd w:val="clear" w:color="auto" w:fill="C6EFCE"/>
            <w:noWrap/>
          </w:tcPr>
          <w:p w14:paraId="2ED6BAF0" w14:textId="77777777" w:rsidR="00CB0FCB" w:rsidRDefault="009D2B11">
            <w:pPr>
              <w:pStyle w:val="P68B1DB1-Normal9"/>
              <w:spacing w:after="0" w:line="240" w:lineRule="auto"/>
              <w:rPr>
                <w:noProof/>
              </w:rPr>
            </w:pPr>
            <w:r>
              <w:rPr>
                <w:noProof/>
              </w:rPr>
              <w:t>Izmēģinājuma projekts par bezdarbnieka pabalstu konsolidāciju un racionalizēšanu</w:t>
            </w:r>
          </w:p>
        </w:tc>
        <w:tc>
          <w:tcPr>
            <w:tcW w:w="1471" w:type="dxa"/>
            <w:tcBorders>
              <w:top w:val="single" w:sz="4" w:space="0" w:color="auto"/>
              <w:left w:val="nil"/>
              <w:bottom w:val="single" w:sz="4" w:space="0" w:color="auto"/>
              <w:right w:val="single" w:sz="4" w:space="0" w:color="auto"/>
            </w:tcBorders>
            <w:shd w:val="clear" w:color="auto" w:fill="C6EFCE"/>
            <w:noWrap/>
          </w:tcPr>
          <w:p w14:paraId="7ECE56E2" w14:textId="77777777" w:rsidR="00CB0FCB" w:rsidRDefault="009D2B11">
            <w:pPr>
              <w:pStyle w:val="P68B1DB1-Normal9"/>
              <w:spacing w:after="0" w:line="240" w:lineRule="auto"/>
              <w:rPr>
                <w:noProof/>
              </w:rPr>
            </w:pPr>
            <w:r>
              <w:rPr>
                <w:noProof/>
              </w:rPr>
              <w:t>DYPA ziņojums, ar ko apstiprina izmēģinājuma projekta pabeigšanu</w:t>
            </w:r>
          </w:p>
        </w:tc>
        <w:tc>
          <w:tcPr>
            <w:tcW w:w="1135" w:type="dxa"/>
            <w:tcBorders>
              <w:top w:val="single" w:sz="4" w:space="0" w:color="auto"/>
              <w:left w:val="nil"/>
              <w:bottom w:val="single" w:sz="4" w:space="0" w:color="auto"/>
              <w:right w:val="single" w:sz="4" w:space="0" w:color="auto"/>
            </w:tcBorders>
            <w:shd w:val="clear" w:color="auto" w:fill="C6EFCE"/>
            <w:noWrap/>
          </w:tcPr>
          <w:p w14:paraId="4CE82A2A" w14:textId="77777777" w:rsidR="00CB0FCB" w:rsidRDefault="00CB0FCB">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01A67616" w14:textId="77777777" w:rsidR="00CB0FCB" w:rsidRDefault="00CB0FCB">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6A0CE1E3"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B42AEA4" w14:textId="77777777" w:rsidR="00CB0FCB" w:rsidRDefault="009D2B11">
            <w:pPr>
              <w:pStyle w:val="P68B1DB1-Normal9"/>
              <w:spacing w:after="0" w:line="240" w:lineRule="auto"/>
              <w:rPr>
                <w:noProof/>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18327B1C" w14:textId="77777777" w:rsidR="00CB0FCB" w:rsidRDefault="009D2B11">
            <w:pPr>
              <w:pStyle w:val="P68B1DB1-Normal9"/>
              <w:spacing w:after="0" w:line="240" w:lineRule="auto"/>
              <w:rPr>
                <w:noProof/>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63A9971E" w14:textId="77777777" w:rsidR="00CB0FCB" w:rsidRDefault="009D2B11">
            <w:pPr>
              <w:pStyle w:val="P68B1DB1-Normal10"/>
              <w:spacing w:after="0" w:line="240" w:lineRule="auto"/>
              <w:rPr>
                <w:noProof/>
              </w:rPr>
            </w:pPr>
            <w:r>
              <w:rPr>
                <w:noProof/>
              </w:rPr>
              <w:t xml:space="preserve">Izmēģinājuma projekta pabeigšana, kas paredz kombinēto bezdarbnieka pabalstu indeksāciju piemērot jaunākajam dienas neto algas līmenim. </w:t>
            </w:r>
          </w:p>
        </w:tc>
      </w:tr>
      <w:tr w:rsidR="00CB0FCB" w14:paraId="22BB942A"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5A6779B" w14:textId="77777777" w:rsidR="00CB0FCB" w:rsidRDefault="009D2B11">
            <w:pPr>
              <w:pStyle w:val="P68B1DB1-Normal9"/>
              <w:spacing w:after="0" w:line="240" w:lineRule="auto"/>
              <w:rPr>
                <w:rFonts w:eastAsia="Times New Roman" w:cs="Calibri"/>
                <w:noProof/>
                <w:szCs w:val="18"/>
              </w:rPr>
            </w:pPr>
            <w:r>
              <w:rPr>
                <w:noProof/>
              </w:rPr>
              <w:t>143</w:t>
            </w:r>
          </w:p>
        </w:tc>
        <w:tc>
          <w:tcPr>
            <w:tcW w:w="1797" w:type="dxa"/>
            <w:tcBorders>
              <w:top w:val="single" w:sz="4" w:space="0" w:color="auto"/>
              <w:left w:val="nil"/>
              <w:bottom w:val="single" w:sz="4" w:space="0" w:color="auto"/>
              <w:right w:val="single" w:sz="4" w:space="0" w:color="auto"/>
            </w:tcBorders>
            <w:shd w:val="clear" w:color="auto" w:fill="C6EFCE"/>
            <w:noWrap/>
          </w:tcPr>
          <w:p w14:paraId="7E4729AE"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16792_Labor spēku prasmju pilnveide, pārkvalifikācija un prasmju pilnveide, izmantojot reformētu apmācības modeli (profesionālās izglītības un apmācības reforma)</w:t>
            </w:r>
          </w:p>
        </w:tc>
        <w:tc>
          <w:tcPr>
            <w:tcW w:w="1099" w:type="dxa"/>
            <w:tcBorders>
              <w:top w:val="single" w:sz="4" w:space="0" w:color="auto"/>
              <w:left w:val="nil"/>
              <w:bottom w:val="single" w:sz="4" w:space="0" w:color="auto"/>
              <w:right w:val="single" w:sz="4" w:space="0" w:color="auto"/>
            </w:tcBorders>
            <w:shd w:val="clear" w:color="auto" w:fill="C6EFCE"/>
            <w:noWrap/>
          </w:tcPr>
          <w:p w14:paraId="0B16F72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5" w:type="dxa"/>
            <w:tcBorders>
              <w:top w:val="single" w:sz="4" w:space="0" w:color="auto"/>
              <w:left w:val="nil"/>
              <w:bottom w:val="single" w:sz="4" w:space="0" w:color="auto"/>
              <w:right w:val="single" w:sz="4" w:space="0" w:color="auto"/>
            </w:tcBorders>
            <w:shd w:val="clear" w:color="auto" w:fill="C6EFCE"/>
            <w:noWrap/>
          </w:tcPr>
          <w:p w14:paraId="0B13EE88" w14:textId="77777777" w:rsidR="00CB0FCB" w:rsidRDefault="009D2B11">
            <w:pPr>
              <w:pStyle w:val="P68B1DB1-Normal9"/>
              <w:spacing w:after="0" w:line="240" w:lineRule="auto"/>
              <w:rPr>
                <w:rFonts w:eastAsia="Times New Roman" w:cs="Calibri"/>
                <w:noProof/>
                <w:szCs w:val="18"/>
              </w:rPr>
            </w:pPr>
            <w:r>
              <w:rPr>
                <w:noProof/>
              </w:rPr>
              <w:t>PIA kvalitātes kontroles sistēmas līguma slēgšanas tiesību piešķiršana</w:t>
            </w:r>
          </w:p>
        </w:tc>
        <w:tc>
          <w:tcPr>
            <w:tcW w:w="1471" w:type="dxa"/>
            <w:tcBorders>
              <w:top w:val="single" w:sz="4" w:space="0" w:color="auto"/>
              <w:left w:val="nil"/>
              <w:bottom w:val="single" w:sz="4" w:space="0" w:color="auto"/>
              <w:right w:val="single" w:sz="4" w:space="0" w:color="auto"/>
            </w:tcBorders>
            <w:shd w:val="clear" w:color="auto" w:fill="C6EFCE"/>
            <w:noWrap/>
          </w:tcPr>
          <w:p w14:paraId="16B291B4"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w:t>
            </w:r>
          </w:p>
        </w:tc>
        <w:tc>
          <w:tcPr>
            <w:tcW w:w="1135" w:type="dxa"/>
            <w:tcBorders>
              <w:top w:val="single" w:sz="4" w:space="0" w:color="auto"/>
              <w:left w:val="nil"/>
              <w:bottom w:val="single" w:sz="4" w:space="0" w:color="auto"/>
              <w:right w:val="single" w:sz="4" w:space="0" w:color="auto"/>
            </w:tcBorders>
            <w:shd w:val="clear" w:color="auto" w:fill="C6EFCE"/>
            <w:noWrap/>
          </w:tcPr>
          <w:p w14:paraId="5B8C6601" w14:textId="77777777" w:rsidR="00CB0FCB" w:rsidRDefault="00CB0FCB">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3432165F" w14:textId="77777777" w:rsidR="00CB0FCB" w:rsidRDefault="00CB0FCB">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00910478"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6652DC8" w14:textId="77777777" w:rsidR="00CB0FCB" w:rsidRDefault="009D2B11">
            <w:pPr>
              <w:pStyle w:val="P68B1DB1-Normal9"/>
              <w:spacing w:after="0" w:line="240" w:lineRule="auto"/>
              <w:rPr>
                <w:rFonts w:eastAsia="Times New Roman" w:cs="Calibri"/>
                <w:noProof/>
                <w:szCs w:val="18"/>
              </w:rPr>
            </w:pPr>
            <w:r>
              <w:rPr>
                <w:noProof/>
              </w:rPr>
              <w:t>2. CET.</w:t>
            </w:r>
          </w:p>
        </w:tc>
        <w:tc>
          <w:tcPr>
            <w:tcW w:w="783" w:type="dxa"/>
            <w:tcBorders>
              <w:top w:val="single" w:sz="4" w:space="0" w:color="auto"/>
              <w:left w:val="nil"/>
              <w:bottom w:val="single" w:sz="4" w:space="0" w:color="auto"/>
              <w:right w:val="single" w:sz="4" w:space="0" w:color="auto"/>
            </w:tcBorders>
            <w:shd w:val="clear" w:color="auto" w:fill="C6EFCE"/>
            <w:noWrap/>
          </w:tcPr>
          <w:p w14:paraId="029A48B9" w14:textId="77777777" w:rsidR="00CB0FCB" w:rsidRDefault="009D2B11">
            <w:pPr>
              <w:pStyle w:val="P68B1DB1-Normal9"/>
              <w:spacing w:after="0" w:line="240" w:lineRule="auto"/>
              <w:rPr>
                <w:rFonts w:eastAsia="Times New Roman" w:cs="Calibri"/>
                <w:noProof/>
                <w:szCs w:val="18"/>
              </w:rPr>
            </w:pPr>
            <w:r>
              <w:rPr>
                <w:noProof/>
              </w:rPr>
              <w:t>2023</w:t>
            </w:r>
          </w:p>
        </w:tc>
        <w:tc>
          <w:tcPr>
            <w:tcW w:w="4156" w:type="dxa"/>
            <w:tcBorders>
              <w:top w:val="single" w:sz="4" w:space="0" w:color="auto"/>
              <w:left w:val="nil"/>
              <w:bottom w:val="single" w:sz="4" w:space="0" w:color="auto"/>
              <w:right w:val="single" w:sz="4" w:space="0" w:color="auto"/>
            </w:tcBorders>
            <w:shd w:val="clear" w:color="auto" w:fill="C6EFCE"/>
            <w:noWrap/>
          </w:tcPr>
          <w:p w14:paraId="73E491D5" w14:textId="77777777" w:rsidR="00CB0FCB" w:rsidRDefault="009D2B11">
            <w:pPr>
              <w:pStyle w:val="P68B1DB1-Normal9"/>
              <w:spacing w:after="0" w:line="240" w:lineRule="auto"/>
              <w:rPr>
                <w:rFonts w:eastAsia="Times New Roman" w:cs="Calibri"/>
                <w:noProof/>
                <w:szCs w:val="18"/>
              </w:rPr>
            </w:pPr>
            <w:r>
              <w:rPr>
                <w:noProof/>
              </w:rPr>
              <w:t>Līguma slēgšanas tiesību piešķiršana par profesionālās izglītības un apmācības (PIA) kvalitātes kontroles sistēmu bija vērsta uz to, lai uzlabotu Grieķijas darbaspēka nodarbinātības organizācijas (DYPA) profesionālās apmācības vienību kvalitātes kontroli, galvenokārt novērtējot tās rezultātus un uzraugot stažieru progresu un sniegumu darba tirgū.</w:t>
            </w:r>
          </w:p>
        </w:tc>
      </w:tr>
      <w:tr w:rsidR="00CB0FCB" w14:paraId="6B5F8C6F"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12FDC83" w14:textId="77777777" w:rsidR="00CB0FCB" w:rsidRDefault="009D2B11">
            <w:pPr>
              <w:pStyle w:val="P68B1DB1-Normal9"/>
              <w:spacing w:after="0" w:line="240" w:lineRule="auto"/>
              <w:rPr>
                <w:rFonts w:eastAsia="Times New Roman" w:cs="Calibri"/>
                <w:noProof/>
                <w:szCs w:val="18"/>
              </w:rPr>
            </w:pPr>
            <w:r>
              <w:rPr>
                <w:noProof/>
              </w:rPr>
              <w:t>144</w:t>
            </w:r>
          </w:p>
        </w:tc>
        <w:tc>
          <w:tcPr>
            <w:tcW w:w="1797" w:type="dxa"/>
            <w:tcBorders>
              <w:top w:val="single" w:sz="4" w:space="0" w:color="auto"/>
              <w:left w:val="nil"/>
              <w:bottom w:val="single" w:sz="4" w:space="0" w:color="auto"/>
              <w:right w:val="single" w:sz="4" w:space="0" w:color="auto"/>
            </w:tcBorders>
            <w:shd w:val="clear" w:color="auto" w:fill="C6EFCE"/>
            <w:noWrap/>
          </w:tcPr>
          <w:p w14:paraId="742B4B7A"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16747_Aktīva darba tirgus politikas reforma</w:t>
            </w:r>
          </w:p>
        </w:tc>
        <w:tc>
          <w:tcPr>
            <w:tcW w:w="1099" w:type="dxa"/>
            <w:tcBorders>
              <w:top w:val="single" w:sz="4" w:space="0" w:color="auto"/>
              <w:left w:val="nil"/>
              <w:bottom w:val="single" w:sz="4" w:space="0" w:color="auto"/>
              <w:right w:val="single" w:sz="4" w:space="0" w:color="auto"/>
            </w:tcBorders>
            <w:shd w:val="clear" w:color="auto" w:fill="C6EFCE"/>
            <w:noWrap/>
          </w:tcPr>
          <w:p w14:paraId="3BFB88DF" w14:textId="77777777" w:rsidR="00CB0FCB" w:rsidRDefault="009D2B11">
            <w:pPr>
              <w:pStyle w:val="P68B1DB1-Normal9"/>
              <w:spacing w:after="0" w:line="240" w:lineRule="auto"/>
              <w:rPr>
                <w:rFonts w:eastAsia="Times New Roman" w:cs="Calibri"/>
                <w:noProof/>
                <w:szCs w:val="18"/>
              </w:rPr>
            </w:pPr>
            <w:r>
              <w:rPr>
                <w:noProof/>
              </w:rPr>
              <w:t>Mērķa</w:t>
            </w:r>
          </w:p>
        </w:tc>
        <w:tc>
          <w:tcPr>
            <w:tcW w:w="1365" w:type="dxa"/>
            <w:tcBorders>
              <w:top w:val="single" w:sz="4" w:space="0" w:color="auto"/>
              <w:left w:val="nil"/>
              <w:bottom w:val="single" w:sz="4" w:space="0" w:color="auto"/>
              <w:right w:val="single" w:sz="4" w:space="0" w:color="auto"/>
            </w:tcBorders>
            <w:shd w:val="clear" w:color="auto" w:fill="C6EFCE"/>
            <w:noWrap/>
          </w:tcPr>
          <w:p w14:paraId="3BBEAF19" w14:textId="77777777" w:rsidR="00CB0FCB" w:rsidRDefault="009D2B11">
            <w:pPr>
              <w:pStyle w:val="P68B1DB1-Normal9"/>
              <w:spacing w:after="0" w:line="240" w:lineRule="auto"/>
              <w:rPr>
                <w:rFonts w:eastAsia="Times New Roman" w:cs="Calibri"/>
                <w:noProof/>
                <w:szCs w:val="18"/>
              </w:rPr>
            </w:pPr>
            <w:r>
              <w:rPr>
                <w:noProof/>
              </w:rPr>
              <w:t xml:space="preserve">ADTP prasmju pilnveides nodarbinātības programmas pabeigšana </w:t>
            </w:r>
          </w:p>
        </w:tc>
        <w:tc>
          <w:tcPr>
            <w:tcW w:w="1471" w:type="dxa"/>
            <w:tcBorders>
              <w:top w:val="single" w:sz="4" w:space="0" w:color="auto"/>
              <w:left w:val="nil"/>
              <w:bottom w:val="single" w:sz="4" w:space="0" w:color="auto"/>
              <w:right w:val="single" w:sz="4" w:space="0" w:color="auto"/>
            </w:tcBorders>
            <w:shd w:val="clear" w:color="auto" w:fill="C6EFCE"/>
            <w:noWrap/>
          </w:tcPr>
          <w:p w14:paraId="1D5034FD" w14:textId="77777777" w:rsidR="00CB0FCB" w:rsidRDefault="00CB0FCB">
            <w:pPr>
              <w:spacing w:after="0" w:line="240" w:lineRule="auto"/>
              <w:rPr>
                <w:rFonts w:eastAsia="Times New Roman" w:cs="Calibri"/>
                <w:noProof/>
                <w:color w:val="006100"/>
                <w:sz w:val="18"/>
                <w:szCs w:val="18"/>
              </w:rPr>
            </w:pPr>
          </w:p>
        </w:tc>
        <w:tc>
          <w:tcPr>
            <w:tcW w:w="1135" w:type="dxa"/>
            <w:tcBorders>
              <w:top w:val="single" w:sz="4" w:space="0" w:color="auto"/>
              <w:left w:val="nil"/>
              <w:bottom w:val="single" w:sz="4" w:space="0" w:color="auto"/>
              <w:right w:val="single" w:sz="4" w:space="0" w:color="auto"/>
            </w:tcBorders>
            <w:shd w:val="clear" w:color="auto" w:fill="C6EFCE"/>
            <w:noWrap/>
          </w:tcPr>
          <w:p w14:paraId="290D9EC2" w14:textId="77777777" w:rsidR="00CB0FCB" w:rsidRDefault="009D2B11">
            <w:pPr>
              <w:pStyle w:val="P68B1DB1-Normal9"/>
              <w:spacing w:after="0" w:line="240" w:lineRule="auto"/>
              <w:rPr>
                <w:rFonts w:eastAsia="Times New Roman" w:cs="Calibri"/>
                <w:noProof/>
                <w:szCs w:val="18"/>
              </w:rPr>
            </w:pPr>
            <w:r>
              <w:rPr>
                <w:noProof/>
              </w:rPr>
              <w:t>Bezdarbnieku (vecumā no 25 līdz 45 gadiem) skaits, kuri saņēmuši izziņu par sekmīgu</w:t>
            </w:r>
          </w:p>
          <w:p w14:paraId="0A9051F2" w14:textId="7066DA9C" w:rsidR="00CB0FCB" w:rsidRDefault="009D2B11">
            <w:pPr>
              <w:pStyle w:val="P68B1DB1-Normal9"/>
              <w:spacing w:after="0" w:line="240" w:lineRule="auto"/>
              <w:rPr>
                <w:rFonts w:eastAsia="Times New Roman" w:cs="Calibri"/>
                <w:noProof/>
                <w:szCs w:val="18"/>
              </w:rPr>
            </w:pPr>
            <w:r>
              <w:rPr>
                <w:noProof/>
              </w:rPr>
              <w:t xml:space="preserve">mācību programmas pabeigšana </w:t>
            </w:r>
          </w:p>
        </w:tc>
        <w:tc>
          <w:tcPr>
            <w:tcW w:w="924" w:type="dxa"/>
            <w:tcBorders>
              <w:top w:val="single" w:sz="4" w:space="0" w:color="auto"/>
              <w:left w:val="nil"/>
              <w:bottom w:val="single" w:sz="4" w:space="0" w:color="auto"/>
              <w:right w:val="single" w:sz="4" w:space="0" w:color="auto"/>
            </w:tcBorders>
            <w:shd w:val="clear" w:color="auto" w:fill="C6EFCE"/>
            <w:noWrap/>
          </w:tcPr>
          <w:p w14:paraId="5DA45FBE" w14:textId="77777777" w:rsidR="00CB0FCB" w:rsidRDefault="009D2B11">
            <w:pPr>
              <w:pStyle w:val="P68B1DB1-Normal9"/>
              <w:spacing w:after="0" w:line="240" w:lineRule="auto"/>
              <w:rPr>
                <w:rFonts w:eastAsia="Times New Roman" w:cs="Calibri"/>
                <w:noProof/>
                <w:szCs w:val="18"/>
              </w:rPr>
            </w:pPr>
            <w:r>
              <w:rPr>
                <w:noProof/>
              </w:rPr>
              <w:t>0</w:t>
            </w:r>
          </w:p>
        </w:tc>
        <w:tc>
          <w:tcPr>
            <w:tcW w:w="896" w:type="dxa"/>
            <w:tcBorders>
              <w:top w:val="single" w:sz="4" w:space="0" w:color="auto"/>
              <w:left w:val="nil"/>
              <w:bottom w:val="single" w:sz="4" w:space="0" w:color="auto"/>
              <w:right w:val="single" w:sz="4" w:space="0" w:color="auto"/>
            </w:tcBorders>
            <w:shd w:val="clear" w:color="auto" w:fill="C6EFCE"/>
            <w:noWrap/>
          </w:tcPr>
          <w:p w14:paraId="05F9EA06" w14:textId="77777777" w:rsidR="00CB0FCB" w:rsidRDefault="009D2B11">
            <w:pPr>
              <w:pStyle w:val="P68B1DB1-Normal9"/>
              <w:spacing w:after="0" w:line="240" w:lineRule="auto"/>
              <w:rPr>
                <w:rFonts w:eastAsia="Times New Roman" w:cs="Calibri"/>
                <w:noProof/>
                <w:szCs w:val="18"/>
              </w:rPr>
            </w:pPr>
            <w:r>
              <w:rPr>
                <w:noProof/>
              </w:rPr>
              <w:t>7 000</w:t>
            </w:r>
          </w:p>
        </w:tc>
        <w:tc>
          <w:tcPr>
            <w:tcW w:w="846" w:type="dxa"/>
            <w:tcBorders>
              <w:top w:val="single" w:sz="4" w:space="0" w:color="auto"/>
              <w:left w:val="nil"/>
              <w:bottom w:val="single" w:sz="4" w:space="0" w:color="auto"/>
              <w:right w:val="single" w:sz="4" w:space="0" w:color="auto"/>
            </w:tcBorders>
            <w:shd w:val="clear" w:color="auto" w:fill="C6EFCE"/>
            <w:noWrap/>
          </w:tcPr>
          <w:p w14:paraId="5F938E2B" w14:textId="77777777" w:rsidR="00CB0FCB" w:rsidRDefault="009D2B11">
            <w:pPr>
              <w:pStyle w:val="P68B1DB1-Normal9"/>
              <w:spacing w:after="0" w:line="240" w:lineRule="auto"/>
              <w:rPr>
                <w:rFonts w:eastAsia="Times New Roman" w:cs="Calibri"/>
                <w:noProof/>
                <w:szCs w:val="18"/>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3AC1E4FB" w14:textId="77777777" w:rsidR="00CB0FCB" w:rsidRDefault="009D2B11">
            <w:pPr>
              <w:pStyle w:val="P68B1DB1-Normal9"/>
              <w:spacing w:after="0" w:line="240" w:lineRule="auto"/>
              <w:rPr>
                <w:noProof/>
                <w:szCs w:val="18"/>
              </w:rPr>
            </w:pPr>
            <w:r>
              <w:rPr>
                <w:noProof/>
                <w:szCs w:val="18"/>
              </w:rPr>
              <w:t>202</w:t>
            </w:r>
            <w:r>
              <w:rPr>
                <w:noProof/>
              </w:rPr>
              <w:t>4</w:t>
            </w:r>
          </w:p>
        </w:tc>
        <w:tc>
          <w:tcPr>
            <w:tcW w:w="4156" w:type="dxa"/>
            <w:tcBorders>
              <w:top w:val="single" w:sz="4" w:space="0" w:color="auto"/>
              <w:left w:val="nil"/>
              <w:bottom w:val="single" w:sz="4" w:space="0" w:color="auto"/>
              <w:right w:val="single" w:sz="4" w:space="0" w:color="auto"/>
            </w:tcBorders>
            <w:shd w:val="clear" w:color="auto" w:fill="C6EFCE"/>
            <w:noWrap/>
          </w:tcPr>
          <w:p w14:paraId="3B7A5776" w14:textId="2EEEC006" w:rsidR="00CB0FCB" w:rsidRDefault="009D2B11">
            <w:pPr>
              <w:pStyle w:val="P68B1DB1-Normal9"/>
              <w:spacing w:after="0" w:line="240" w:lineRule="auto"/>
              <w:rPr>
                <w:rFonts w:eastAsia="Times New Roman" w:cs="Calibri"/>
                <w:noProof/>
                <w:szCs w:val="18"/>
              </w:rPr>
            </w:pPr>
            <w:r>
              <w:rPr>
                <w:noProof/>
              </w:rPr>
              <w:t>Visaptverošas prasmju pilnveides/pārkvalifikācijas programmas pabeigšana un vismaz 7000 bezdarbnieku (25–45 gadu vecumā) no visiem 7500 atbalsta saņēmējiem stāšanās darbā</w:t>
            </w:r>
          </w:p>
          <w:p w14:paraId="5F7A2162" w14:textId="18496F76" w:rsidR="00CB0FCB" w:rsidRDefault="00CB0FCB">
            <w:pPr>
              <w:spacing w:after="0" w:line="240" w:lineRule="auto"/>
              <w:rPr>
                <w:rFonts w:eastAsia="Times New Roman" w:cs="Calibri"/>
                <w:noProof/>
                <w:color w:val="006100"/>
                <w:sz w:val="18"/>
                <w:szCs w:val="18"/>
              </w:rPr>
            </w:pPr>
          </w:p>
        </w:tc>
      </w:tr>
      <w:tr w:rsidR="00CB0FCB" w14:paraId="7079FBE8"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B9B6460" w14:textId="77777777" w:rsidR="00CB0FCB" w:rsidRDefault="009D2B11">
            <w:pPr>
              <w:pStyle w:val="P68B1DB1-Normal9"/>
              <w:spacing w:after="0" w:line="240" w:lineRule="auto"/>
              <w:rPr>
                <w:rFonts w:eastAsia="Times New Roman" w:cs="Calibri"/>
                <w:noProof/>
                <w:szCs w:val="18"/>
              </w:rPr>
            </w:pPr>
            <w:r>
              <w:rPr>
                <w:noProof/>
              </w:rPr>
              <w:t>144.a</w:t>
            </w:r>
          </w:p>
        </w:tc>
        <w:tc>
          <w:tcPr>
            <w:tcW w:w="1797" w:type="dxa"/>
            <w:tcBorders>
              <w:top w:val="single" w:sz="4" w:space="0" w:color="auto"/>
              <w:left w:val="nil"/>
              <w:bottom w:val="single" w:sz="4" w:space="0" w:color="auto"/>
              <w:right w:val="single" w:sz="4" w:space="0" w:color="auto"/>
            </w:tcBorders>
            <w:shd w:val="clear" w:color="auto" w:fill="C6EFCE"/>
            <w:noWrap/>
          </w:tcPr>
          <w:p w14:paraId="2366A000" w14:textId="77777777" w:rsidR="00CB0FCB" w:rsidRDefault="009D2B11">
            <w:pPr>
              <w:pStyle w:val="P68B1DB1-Normal9"/>
              <w:spacing w:after="0" w:line="240" w:lineRule="auto"/>
              <w:rPr>
                <w:rFonts w:eastAsia="Times New Roman" w:cs="Calibri"/>
                <w:noProof/>
                <w:szCs w:val="18"/>
              </w:rPr>
            </w:pPr>
            <w:r>
              <w:rPr>
                <w:noProof/>
              </w:rPr>
              <w:t>8–3.1. PUNKTS. Veicināt darbvietu radīšanu un līdzdalību darba tirgū — 16747_Aktīva darba tirgus politikas reforma</w:t>
            </w:r>
          </w:p>
        </w:tc>
        <w:tc>
          <w:tcPr>
            <w:tcW w:w="1099" w:type="dxa"/>
            <w:tcBorders>
              <w:top w:val="single" w:sz="4" w:space="0" w:color="auto"/>
              <w:left w:val="nil"/>
              <w:bottom w:val="single" w:sz="4" w:space="0" w:color="auto"/>
              <w:right w:val="single" w:sz="4" w:space="0" w:color="auto"/>
            </w:tcBorders>
            <w:shd w:val="clear" w:color="auto" w:fill="C6EFCE"/>
            <w:noWrap/>
          </w:tcPr>
          <w:p w14:paraId="3314F3C5" w14:textId="77777777" w:rsidR="00CB0FCB" w:rsidRDefault="009D2B11">
            <w:pPr>
              <w:pStyle w:val="P68B1DB1-Normal9"/>
              <w:spacing w:after="0" w:line="240" w:lineRule="auto"/>
              <w:rPr>
                <w:noProof/>
              </w:rPr>
            </w:pPr>
            <w:r>
              <w:rPr>
                <w:noProof/>
              </w:rPr>
              <w:t>Atskaites punkts</w:t>
            </w:r>
          </w:p>
        </w:tc>
        <w:tc>
          <w:tcPr>
            <w:tcW w:w="1365" w:type="dxa"/>
            <w:tcBorders>
              <w:top w:val="single" w:sz="4" w:space="0" w:color="auto"/>
              <w:left w:val="nil"/>
              <w:bottom w:val="single" w:sz="4" w:space="0" w:color="auto"/>
              <w:right w:val="single" w:sz="4" w:space="0" w:color="auto"/>
            </w:tcBorders>
            <w:shd w:val="clear" w:color="auto" w:fill="C6EFCE"/>
            <w:noWrap/>
          </w:tcPr>
          <w:p w14:paraId="45D8A941" w14:textId="77777777" w:rsidR="00CB0FCB" w:rsidRDefault="009D2B11">
            <w:pPr>
              <w:pStyle w:val="P68B1DB1-Normal9"/>
              <w:spacing w:after="0" w:line="240" w:lineRule="auto"/>
              <w:rPr>
                <w:rFonts w:eastAsia="Times New Roman" w:cs="Calibri"/>
                <w:noProof/>
                <w:szCs w:val="18"/>
              </w:rPr>
            </w:pPr>
            <w:r>
              <w:rPr>
                <w:noProof/>
              </w:rPr>
              <w:t xml:space="preserve">ADTP nodarbinātības programmas pabeigšana </w:t>
            </w:r>
          </w:p>
        </w:tc>
        <w:tc>
          <w:tcPr>
            <w:tcW w:w="1471" w:type="dxa"/>
            <w:tcBorders>
              <w:top w:val="single" w:sz="4" w:space="0" w:color="auto"/>
              <w:left w:val="nil"/>
              <w:bottom w:val="single" w:sz="4" w:space="0" w:color="auto"/>
              <w:right w:val="single" w:sz="4" w:space="0" w:color="auto"/>
            </w:tcBorders>
            <w:shd w:val="clear" w:color="auto" w:fill="C6EFCE"/>
            <w:noWrap/>
          </w:tcPr>
          <w:p w14:paraId="23E1F08A" w14:textId="77777777" w:rsidR="00CB0FCB" w:rsidRDefault="009D2B11">
            <w:pPr>
              <w:pStyle w:val="P68B1DB1-Normal9"/>
              <w:spacing w:after="0" w:line="240" w:lineRule="auto"/>
              <w:rPr>
                <w:rFonts w:eastAsia="Times New Roman" w:cs="Calibri"/>
                <w:noProof/>
                <w:szCs w:val="18"/>
              </w:rPr>
            </w:pPr>
            <w:r>
              <w:rPr>
                <w:noProof/>
              </w:rPr>
              <w:t>DYPA ziņojums, ar ko apstiprina programmu pabeigšanu</w:t>
            </w:r>
          </w:p>
        </w:tc>
        <w:tc>
          <w:tcPr>
            <w:tcW w:w="1135" w:type="dxa"/>
            <w:tcBorders>
              <w:top w:val="single" w:sz="4" w:space="0" w:color="auto"/>
              <w:left w:val="nil"/>
              <w:bottom w:val="single" w:sz="4" w:space="0" w:color="auto"/>
              <w:right w:val="single" w:sz="4" w:space="0" w:color="auto"/>
            </w:tcBorders>
            <w:shd w:val="clear" w:color="auto" w:fill="C6EFCE"/>
            <w:noWrap/>
          </w:tcPr>
          <w:p w14:paraId="2DD5B460" w14:textId="77777777" w:rsidR="00CB0FCB" w:rsidRDefault="00CB0FCB">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7A75A355" w14:textId="77777777" w:rsidR="00CB0FCB" w:rsidRDefault="00CB0FCB">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0E07F9A1"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30051CE" w14:textId="77777777" w:rsidR="00CB0FCB" w:rsidRDefault="009D2B11">
            <w:pPr>
              <w:pStyle w:val="P68B1DB1-Normal9"/>
              <w:spacing w:after="0" w:line="240" w:lineRule="auto"/>
              <w:rPr>
                <w:rFonts w:eastAsia="Times New Roman" w:cs="Calibri"/>
                <w:noProof/>
                <w:szCs w:val="18"/>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1E4F2E25" w14:textId="77777777" w:rsidR="00CB0FCB" w:rsidRDefault="009D2B11">
            <w:pPr>
              <w:pStyle w:val="P68B1DB1-Normal9"/>
              <w:spacing w:after="0" w:line="240" w:lineRule="auto"/>
              <w:rPr>
                <w:rFonts w:eastAsia="Times New Roman" w:cs="Calibri"/>
                <w:noProof/>
                <w:szCs w:val="18"/>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5EAA00E7" w14:textId="77777777" w:rsidR="00CB0FCB" w:rsidRDefault="009D2B11">
            <w:pPr>
              <w:pStyle w:val="P68B1DB1-paragraph26"/>
              <w:spacing w:before="0" w:beforeAutospacing="0" w:after="0" w:afterAutospacing="0"/>
              <w:textAlignment w:val="baseline"/>
              <w:rPr>
                <w:rFonts w:cs="Calibri"/>
                <w:noProof/>
                <w:szCs w:val="18"/>
              </w:rPr>
            </w:pPr>
            <w:r>
              <w:rPr>
                <w:noProof/>
              </w:rPr>
              <w:t xml:space="preserve">Šādu aktīva darba tirgus politikas programmu pabeigšana: </w:t>
            </w:r>
          </w:p>
          <w:p w14:paraId="3AF1985A" w14:textId="66F423DA" w:rsidR="00CB0FCB" w:rsidRDefault="009D2B11">
            <w:pPr>
              <w:pStyle w:val="P68B1DB1-paragraph26"/>
              <w:spacing w:before="0" w:beforeAutospacing="0" w:after="0" w:afterAutospacing="0"/>
              <w:textAlignment w:val="baseline"/>
              <w:rPr>
                <w:rFonts w:cs="Calibri"/>
                <w:noProof/>
                <w:szCs w:val="18"/>
              </w:rPr>
            </w:pPr>
            <w:r>
              <w:rPr>
                <w:noProof/>
              </w:rPr>
              <w:t xml:space="preserve">četras mērķtiecīgas īstermiņa programmas, kas subsidē nodarbinātību privātajā sektorā vismaz 30600 bezdarbnieku no 34000 atbalsta saņēmējiem </w:t>
            </w:r>
          </w:p>
          <w:p w14:paraId="616E86E4" w14:textId="57AAF1B7" w:rsidR="00CB0FCB" w:rsidRDefault="009D2B11">
            <w:pPr>
              <w:pStyle w:val="P68B1DB1-paragraph27"/>
              <w:spacing w:before="0" w:beforeAutospacing="0" w:after="0" w:afterAutospacing="0"/>
              <w:textAlignment w:val="baseline"/>
              <w:rPr>
                <w:rFonts w:cs="Calibri"/>
                <w:noProof/>
              </w:rPr>
            </w:pPr>
            <w:r>
              <w:rPr>
                <w:noProof/>
              </w:rPr>
              <w:t>jaunā izmēģinājuma veidā pārbaudīta atvērtā satvara īstenošanas modeļa ieviešana aktīvai darba tirgus politikai (kur 8000 dalībniekiem piedāvā apmācības programmas, 7000 dalībniekiem piedāvā nodarbinātības subsīdijas un 850 dalībniekiem piedāvā uzņēmējdarbības subsīdijas) </w:t>
            </w:r>
          </w:p>
          <w:p w14:paraId="6839BCA1" w14:textId="77777777" w:rsidR="00CB0FCB" w:rsidRDefault="009D2B11">
            <w:pPr>
              <w:pStyle w:val="P68B1DB1-paragraph26"/>
              <w:spacing w:before="0" w:beforeAutospacing="0" w:after="0" w:afterAutospacing="0"/>
              <w:textAlignment w:val="baseline"/>
              <w:rPr>
                <w:rFonts w:cs="Calibri"/>
                <w:noProof/>
                <w:szCs w:val="18"/>
              </w:rPr>
            </w:pPr>
            <w:r>
              <w:rPr>
                <w:noProof/>
              </w:rPr>
              <w:t>valsts nodarbinātības dienesta konsultāciju personāla pagaidu palielināšana, pieņemot darbā 600 papildu konsultantus, un  </w:t>
            </w:r>
          </w:p>
          <w:p w14:paraId="3E2F2AB3" w14:textId="5407DE1C" w:rsidR="00CB0FCB" w:rsidRDefault="009D2B11">
            <w:pPr>
              <w:pStyle w:val="P68B1DB1-paragraph26"/>
              <w:spacing w:before="0" w:beforeAutospacing="0" w:after="0" w:afterAutospacing="0"/>
              <w:textAlignment w:val="baseline"/>
              <w:rPr>
                <w:rFonts w:asciiTheme="minorHAnsi" w:hAnsiTheme="minorHAnsi" w:cstheme="minorHAnsi"/>
                <w:noProof/>
                <w:szCs w:val="18"/>
              </w:rPr>
            </w:pPr>
            <w:r>
              <w:rPr>
                <w:noProof/>
              </w:rPr>
              <w:t>d) Valsts nodarbinātības dienesta 1000 nodarbinātības konsultantu apmācība.  </w:t>
            </w:r>
          </w:p>
          <w:p w14:paraId="33341798" w14:textId="77777777" w:rsidR="00CB0FCB" w:rsidRDefault="00CB0FCB">
            <w:pPr>
              <w:pStyle w:val="paragraph"/>
              <w:spacing w:before="0" w:beforeAutospacing="0" w:after="0" w:afterAutospacing="0"/>
              <w:textAlignment w:val="baseline"/>
              <w:rPr>
                <w:rFonts w:ascii="Calibri" w:hAnsi="Calibri" w:cs="Calibri"/>
                <w:noProof/>
                <w:color w:val="006100"/>
                <w:sz w:val="18"/>
                <w:szCs w:val="18"/>
              </w:rPr>
            </w:pPr>
          </w:p>
        </w:tc>
      </w:tr>
      <w:tr w:rsidR="00CB0FCB" w14:paraId="3795FEB6" w14:textId="77777777">
        <w:trPr>
          <w:trHeight w:val="2040"/>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2C1DD62" w14:textId="77777777" w:rsidR="00CB0FCB" w:rsidRDefault="009D2B11">
            <w:pPr>
              <w:pStyle w:val="P68B1DB1-Normal9"/>
              <w:spacing w:after="0" w:line="240" w:lineRule="auto"/>
              <w:rPr>
                <w:rFonts w:eastAsia="Times New Roman" w:cs="Calibri"/>
                <w:noProof/>
                <w:szCs w:val="18"/>
              </w:rPr>
            </w:pPr>
            <w:r>
              <w:rPr>
                <w:noProof/>
              </w:rPr>
              <w:t>145</w:t>
            </w:r>
          </w:p>
        </w:tc>
        <w:tc>
          <w:tcPr>
            <w:tcW w:w="1797" w:type="dxa"/>
            <w:tcBorders>
              <w:top w:val="single" w:sz="4" w:space="0" w:color="auto"/>
              <w:left w:val="nil"/>
              <w:bottom w:val="single" w:sz="4" w:space="0" w:color="auto"/>
              <w:right w:val="single" w:sz="4" w:space="0" w:color="auto"/>
            </w:tcBorders>
            <w:shd w:val="clear" w:color="auto" w:fill="C6EFCE"/>
            <w:noWrap/>
          </w:tcPr>
          <w:p w14:paraId="3256B3DF" w14:textId="77777777" w:rsidR="00CB0FCB" w:rsidRDefault="009D2B11">
            <w:pPr>
              <w:pStyle w:val="P68B1DB1-Normal9"/>
              <w:spacing w:after="0" w:line="240" w:lineRule="auto"/>
              <w:rPr>
                <w:rFonts w:eastAsia="Times New Roman" w:cs="Calibri"/>
                <w:noProof/>
                <w:szCs w:val="18"/>
              </w:rPr>
            </w:pPr>
            <w:r>
              <w:rPr>
                <w:noProof/>
              </w:rPr>
              <w:t xml:space="preserve">9–3.2. Izglītība, profesionālā izglītība un apmācība un prasmes — 16794_ Māceklību sistēmas stiprināšana </w:t>
            </w:r>
          </w:p>
        </w:tc>
        <w:tc>
          <w:tcPr>
            <w:tcW w:w="1099" w:type="dxa"/>
            <w:tcBorders>
              <w:top w:val="single" w:sz="4" w:space="0" w:color="auto"/>
              <w:left w:val="nil"/>
              <w:bottom w:val="single" w:sz="4" w:space="0" w:color="auto"/>
              <w:right w:val="single" w:sz="4" w:space="0" w:color="auto"/>
            </w:tcBorders>
            <w:shd w:val="clear" w:color="auto" w:fill="C6EFCE"/>
            <w:noWrap/>
          </w:tcPr>
          <w:p w14:paraId="433F3F7D" w14:textId="77777777" w:rsidR="00CB0FCB" w:rsidRDefault="009D2B11">
            <w:pPr>
              <w:pStyle w:val="P68B1DB1-Normal9"/>
              <w:spacing w:after="0" w:line="240" w:lineRule="auto"/>
              <w:rPr>
                <w:rFonts w:eastAsia="Times New Roman" w:cs="Calibri"/>
                <w:noProof/>
                <w:szCs w:val="18"/>
              </w:rPr>
            </w:pPr>
            <w:r>
              <w:rPr>
                <w:noProof/>
              </w:rPr>
              <w:t>Mērķa</w:t>
            </w:r>
          </w:p>
        </w:tc>
        <w:tc>
          <w:tcPr>
            <w:tcW w:w="1365" w:type="dxa"/>
            <w:tcBorders>
              <w:top w:val="single" w:sz="4" w:space="0" w:color="auto"/>
              <w:left w:val="nil"/>
              <w:bottom w:val="single" w:sz="4" w:space="0" w:color="auto"/>
              <w:right w:val="single" w:sz="4" w:space="0" w:color="auto"/>
            </w:tcBorders>
            <w:shd w:val="clear" w:color="auto" w:fill="C6EFCE"/>
            <w:noWrap/>
          </w:tcPr>
          <w:p w14:paraId="6C737134" w14:textId="77777777" w:rsidR="00CB0FCB" w:rsidRDefault="009D2B11">
            <w:pPr>
              <w:pStyle w:val="P68B1DB1-Normal9"/>
              <w:spacing w:after="0" w:line="240" w:lineRule="auto"/>
              <w:rPr>
                <w:rFonts w:eastAsia="Times New Roman" w:cs="Calibri"/>
                <w:noProof/>
                <w:szCs w:val="18"/>
              </w:rPr>
            </w:pPr>
            <w:r>
              <w:rPr>
                <w:noProof/>
              </w:rPr>
              <w:t>Mācību kursu pabeigšana digitalizācijas e-mācībās</w:t>
            </w:r>
          </w:p>
        </w:tc>
        <w:tc>
          <w:tcPr>
            <w:tcW w:w="1471" w:type="dxa"/>
            <w:tcBorders>
              <w:top w:val="single" w:sz="4" w:space="0" w:color="auto"/>
              <w:left w:val="nil"/>
              <w:bottom w:val="single" w:sz="4" w:space="0" w:color="auto"/>
              <w:right w:val="single" w:sz="4" w:space="0" w:color="auto"/>
            </w:tcBorders>
            <w:shd w:val="clear" w:color="auto" w:fill="C6EFCE"/>
            <w:noWrap/>
          </w:tcPr>
          <w:p w14:paraId="23CACD15" w14:textId="77777777" w:rsidR="00CB0FCB" w:rsidRDefault="00CB0FCB">
            <w:pPr>
              <w:spacing w:after="0" w:line="240" w:lineRule="auto"/>
              <w:rPr>
                <w:rFonts w:eastAsia="Times New Roman" w:cs="Calibri"/>
                <w:noProof/>
                <w:color w:val="006100"/>
                <w:sz w:val="18"/>
                <w:szCs w:val="18"/>
              </w:rPr>
            </w:pPr>
          </w:p>
        </w:tc>
        <w:tc>
          <w:tcPr>
            <w:tcW w:w="1135" w:type="dxa"/>
            <w:tcBorders>
              <w:top w:val="single" w:sz="4" w:space="0" w:color="auto"/>
              <w:left w:val="nil"/>
              <w:bottom w:val="single" w:sz="4" w:space="0" w:color="auto"/>
              <w:right w:val="single" w:sz="4" w:space="0" w:color="auto"/>
            </w:tcBorders>
            <w:shd w:val="clear" w:color="auto" w:fill="C6EFCE"/>
            <w:noWrap/>
          </w:tcPr>
          <w:p w14:paraId="362A5567" w14:textId="77777777" w:rsidR="00CB0FCB" w:rsidRDefault="009D2B11">
            <w:pPr>
              <w:pStyle w:val="P68B1DB1-Normal9"/>
              <w:spacing w:after="0" w:line="240" w:lineRule="auto"/>
              <w:rPr>
                <w:rFonts w:eastAsia="Times New Roman" w:cs="Calibri"/>
                <w:noProof/>
                <w:szCs w:val="18"/>
              </w:rPr>
            </w:pPr>
            <w:r>
              <w:rPr>
                <w:noProof/>
              </w:rPr>
              <w:t>Digitalizēto mācību kursu skaits (e-mācību kursi)</w:t>
            </w:r>
          </w:p>
        </w:tc>
        <w:tc>
          <w:tcPr>
            <w:tcW w:w="924" w:type="dxa"/>
            <w:tcBorders>
              <w:top w:val="single" w:sz="4" w:space="0" w:color="auto"/>
              <w:left w:val="nil"/>
              <w:bottom w:val="single" w:sz="4" w:space="0" w:color="auto"/>
              <w:right w:val="single" w:sz="4" w:space="0" w:color="auto"/>
            </w:tcBorders>
            <w:shd w:val="clear" w:color="auto" w:fill="C6EFCE"/>
            <w:noWrap/>
          </w:tcPr>
          <w:p w14:paraId="111B21CB" w14:textId="77777777" w:rsidR="00CB0FCB" w:rsidRDefault="009D2B11">
            <w:pPr>
              <w:pStyle w:val="P68B1DB1-Normal9"/>
              <w:spacing w:after="0" w:line="240" w:lineRule="auto"/>
              <w:rPr>
                <w:rFonts w:eastAsia="Times New Roman" w:cs="Calibri"/>
                <w:noProof/>
                <w:szCs w:val="18"/>
              </w:rPr>
            </w:pPr>
            <w:r>
              <w:rPr>
                <w:noProof/>
              </w:rPr>
              <w:t>0</w:t>
            </w:r>
          </w:p>
        </w:tc>
        <w:tc>
          <w:tcPr>
            <w:tcW w:w="896" w:type="dxa"/>
            <w:tcBorders>
              <w:top w:val="single" w:sz="4" w:space="0" w:color="auto"/>
              <w:left w:val="nil"/>
              <w:bottom w:val="single" w:sz="4" w:space="0" w:color="auto"/>
              <w:right w:val="single" w:sz="4" w:space="0" w:color="auto"/>
            </w:tcBorders>
            <w:shd w:val="clear" w:color="auto" w:fill="C6EFCE"/>
            <w:noWrap/>
          </w:tcPr>
          <w:p w14:paraId="58EC2643" w14:textId="77777777" w:rsidR="00CB0FCB" w:rsidRDefault="009D2B11">
            <w:pPr>
              <w:pStyle w:val="P68B1DB1-Normal9"/>
              <w:spacing w:after="0" w:line="240" w:lineRule="auto"/>
              <w:rPr>
                <w:rFonts w:eastAsia="Times New Roman" w:cs="Calibri"/>
                <w:noProof/>
                <w:szCs w:val="18"/>
              </w:rPr>
            </w:pPr>
            <w:r>
              <w:rPr>
                <w:noProof/>
              </w:rPr>
              <w:t>250</w:t>
            </w:r>
          </w:p>
        </w:tc>
        <w:tc>
          <w:tcPr>
            <w:tcW w:w="846" w:type="dxa"/>
            <w:tcBorders>
              <w:top w:val="single" w:sz="4" w:space="0" w:color="auto"/>
              <w:left w:val="nil"/>
              <w:bottom w:val="single" w:sz="4" w:space="0" w:color="auto"/>
              <w:right w:val="single" w:sz="4" w:space="0" w:color="auto"/>
            </w:tcBorders>
            <w:shd w:val="clear" w:color="auto" w:fill="C6EFCE"/>
            <w:noWrap/>
          </w:tcPr>
          <w:p w14:paraId="7684B70C" w14:textId="77777777" w:rsidR="00CB0FCB" w:rsidRDefault="009D2B11">
            <w:pPr>
              <w:pStyle w:val="P68B1DB1-Normal9"/>
              <w:spacing w:after="0" w:line="240" w:lineRule="auto"/>
              <w:rPr>
                <w:rFonts w:eastAsia="Times New Roman" w:cs="Calibri"/>
                <w:noProof/>
                <w:szCs w:val="18"/>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5C6F37FA" w14:textId="77777777" w:rsidR="00CB0FCB" w:rsidRDefault="009D2B11">
            <w:pPr>
              <w:pStyle w:val="P68B1DB1-Normal9"/>
              <w:spacing w:after="0" w:line="240" w:lineRule="auto"/>
              <w:rPr>
                <w:rFonts w:eastAsia="Times New Roman" w:cs="Calibri"/>
                <w:noProof/>
                <w:szCs w:val="18"/>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31C34BF6" w14:textId="77777777" w:rsidR="00CB0FCB" w:rsidRDefault="009D2B11">
            <w:pPr>
              <w:pStyle w:val="P68B1DB1-Normal9"/>
              <w:spacing w:after="0" w:line="240" w:lineRule="auto"/>
              <w:rPr>
                <w:rFonts w:eastAsia="Times New Roman" w:cs="Calibri"/>
                <w:noProof/>
                <w:szCs w:val="18"/>
              </w:rPr>
            </w:pPr>
            <w:r>
              <w:rPr>
                <w:noProof/>
              </w:rPr>
              <w:t xml:space="preserve">Vismaz 250 DYPA māceklības arodskolu (EPAS) digitalizācijas kursu pabeigšana. </w:t>
            </w:r>
          </w:p>
          <w:p w14:paraId="2C45E38D" w14:textId="77777777" w:rsidR="00CB0FCB" w:rsidRDefault="00CB0FCB">
            <w:pPr>
              <w:spacing w:after="0" w:line="240" w:lineRule="auto"/>
              <w:rPr>
                <w:rFonts w:eastAsia="Times New Roman" w:cs="Calibri"/>
                <w:noProof/>
                <w:color w:val="006100"/>
                <w:sz w:val="18"/>
                <w:szCs w:val="18"/>
              </w:rPr>
            </w:pPr>
          </w:p>
          <w:p w14:paraId="10376122" w14:textId="77777777" w:rsidR="00CB0FCB" w:rsidRDefault="009D2B11">
            <w:pPr>
              <w:pStyle w:val="P68B1DB1-Normal9"/>
              <w:spacing w:after="0" w:line="240" w:lineRule="auto"/>
              <w:rPr>
                <w:rFonts w:eastAsia="Times New Roman" w:cs="Calibri"/>
                <w:noProof/>
                <w:szCs w:val="18"/>
              </w:rPr>
            </w:pPr>
            <w:r>
              <w:rPr>
                <w:noProof/>
              </w:rPr>
              <w:t xml:space="preserve">Pasākuma mērķis ir vienkāršot mācību procesus un iekļaut jaunas metodikas un rīkus, piemēram, e-mācību platformas un digitalizētu apmācības saturu gan mācekļiem, gan pasniedzējiem. </w:t>
            </w:r>
          </w:p>
        </w:tc>
      </w:tr>
      <w:tr w:rsidR="00CB0FCB" w14:paraId="40A7A1E9"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0597026" w14:textId="77777777" w:rsidR="00CB0FCB" w:rsidRDefault="009D2B11">
            <w:pPr>
              <w:pStyle w:val="P68B1DB1-Normal9"/>
              <w:spacing w:after="0" w:line="240" w:lineRule="auto"/>
              <w:rPr>
                <w:rFonts w:eastAsia="Times New Roman" w:cs="Calibri"/>
                <w:noProof/>
                <w:szCs w:val="18"/>
              </w:rPr>
            </w:pPr>
            <w:r>
              <w:rPr>
                <w:noProof/>
              </w:rPr>
              <w:t>145a</w:t>
            </w:r>
          </w:p>
        </w:tc>
        <w:tc>
          <w:tcPr>
            <w:tcW w:w="1797" w:type="dxa"/>
            <w:tcBorders>
              <w:top w:val="single" w:sz="4" w:space="0" w:color="auto"/>
              <w:left w:val="nil"/>
              <w:bottom w:val="single" w:sz="4" w:space="0" w:color="auto"/>
              <w:right w:val="single" w:sz="4" w:space="0" w:color="auto"/>
            </w:tcBorders>
            <w:shd w:val="clear" w:color="auto" w:fill="C6EFCE"/>
            <w:noWrap/>
          </w:tcPr>
          <w:p w14:paraId="52302816" w14:textId="77777777" w:rsidR="00CB0FCB" w:rsidRDefault="009D2B11">
            <w:pPr>
              <w:pStyle w:val="P68B1DB1-Normal9"/>
              <w:spacing w:after="0" w:line="240" w:lineRule="auto"/>
              <w:rPr>
                <w:rFonts w:eastAsia="Times New Roman"/>
                <w:noProof/>
                <w:szCs w:val="18"/>
              </w:rPr>
            </w:pPr>
            <w:r>
              <w:rPr>
                <w:noProof/>
              </w:rPr>
              <w:t xml:space="preserve">9–3.2. Izglītība, profesionālā izglītība un apmācība un prasmes — 16794_ Māceklību sistēmas stiprināšana </w:t>
            </w:r>
          </w:p>
        </w:tc>
        <w:tc>
          <w:tcPr>
            <w:tcW w:w="1099" w:type="dxa"/>
            <w:tcBorders>
              <w:top w:val="single" w:sz="4" w:space="0" w:color="auto"/>
              <w:left w:val="nil"/>
              <w:bottom w:val="single" w:sz="4" w:space="0" w:color="auto"/>
              <w:right w:val="single" w:sz="4" w:space="0" w:color="auto"/>
            </w:tcBorders>
            <w:shd w:val="clear" w:color="auto" w:fill="C6EFCE"/>
            <w:noWrap/>
          </w:tcPr>
          <w:p w14:paraId="1C7EBC5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5" w:type="dxa"/>
            <w:tcBorders>
              <w:top w:val="single" w:sz="4" w:space="0" w:color="auto"/>
              <w:left w:val="nil"/>
              <w:bottom w:val="single" w:sz="4" w:space="0" w:color="auto"/>
              <w:right w:val="single" w:sz="4" w:space="0" w:color="auto"/>
            </w:tcBorders>
            <w:shd w:val="clear" w:color="auto" w:fill="C6EFCE"/>
            <w:noWrap/>
          </w:tcPr>
          <w:p w14:paraId="450D3CF6" w14:textId="77777777" w:rsidR="00CB0FCB" w:rsidRDefault="009D2B11">
            <w:pPr>
              <w:pStyle w:val="P68B1DB1-Normal9"/>
              <w:spacing w:after="0" w:line="240" w:lineRule="auto"/>
              <w:rPr>
                <w:rFonts w:eastAsia="Times New Roman" w:cs="Calibri"/>
                <w:noProof/>
                <w:szCs w:val="18"/>
              </w:rPr>
            </w:pPr>
            <w:r>
              <w:rPr>
                <w:noProof/>
              </w:rPr>
              <w:t>Tiesiskais regulējums PIA valsts sistēmai</w:t>
            </w:r>
          </w:p>
        </w:tc>
        <w:tc>
          <w:tcPr>
            <w:tcW w:w="1471" w:type="dxa"/>
            <w:tcBorders>
              <w:top w:val="single" w:sz="4" w:space="0" w:color="auto"/>
              <w:left w:val="nil"/>
              <w:bottom w:val="single" w:sz="4" w:space="0" w:color="auto"/>
              <w:right w:val="single" w:sz="4" w:space="0" w:color="auto"/>
            </w:tcBorders>
            <w:shd w:val="clear" w:color="auto" w:fill="C6EFCE"/>
            <w:noWrap/>
          </w:tcPr>
          <w:p w14:paraId="27E888E7" w14:textId="77777777" w:rsidR="00CB0FCB" w:rsidRDefault="009D2B11">
            <w:pPr>
              <w:pStyle w:val="P68B1DB1-Normal9"/>
              <w:spacing w:after="0" w:line="240" w:lineRule="auto"/>
              <w:rPr>
                <w:rFonts w:eastAsia="Times New Roman" w:cs="Calibri"/>
                <w:noProof/>
                <w:szCs w:val="18"/>
              </w:rPr>
            </w:pPr>
            <w:r>
              <w:rPr>
                <w:noProof/>
              </w:rPr>
              <w:t>Tiesību aktu stāšanās spēkā</w:t>
            </w:r>
          </w:p>
        </w:tc>
        <w:tc>
          <w:tcPr>
            <w:tcW w:w="1135" w:type="dxa"/>
            <w:tcBorders>
              <w:top w:val="single" w:sz="4" w:space="0" w:color="auto"/>
              <w:left w:val="nil"/>
              <w:bottom w:val="single" w:sz="4" w:space="0" w:color="auto"/>
              <w:right w:val="single" w:sz="4" w:space="0" w:color="auto"/>
            </w:tcBorders>
            <w:shd w:val="clear" w:color="auto" w:fill="C6EFCE"/>
            <w:noWrap/>
          </w:tcPr>
          <w:p w14:paraId="1ED8D019" w14:textId="77777777" w:rsidR="00CB0FCB" w:rsidRDefault="00CB0FCB">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7EB4222D" w14:textId="77777777" w:rsidR="00CB0FCB" w:rsidRDefault="00CB0FCB">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5F90030B"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2D1B003" w14:textId="77777777" w:rsidR="00CB0FCB" w:rsidRDefault="009D2B11">
            <w:pPr>
              <w:pStyle w:val="P68B1DB1-Normal9"/>
              <w:spacing w:after="0" w:line="240" w:lineRule="auto"/>
              <w:rPr>
                <w:rFonts w:eastAsia="Times New Roman" w:cs="Calibri"/>
                <w:noProof/>
                <w:szCs w:val="18"/>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315A35F6" w14:textId="77777777" w:rsidR="00CB0FCB" w:rsidRDefault="009D2B11">
            <w:pPr>
              <w:pStyle w:val="P68B1DB1-Normal9"/>
              <w:spacing w:after="0" w:line="240" w:lineRule="auto"/>
              <w:rPr>
                <w:rFonts w:eastAsia="Times New Roman" w:cs="Calibri"/>
                <w:noProof/>
                <w:szCs w:val="18"/>
              </w:rPr>
            </w:pPr>
            <w:r>
              <w:rPr>
                <w:noProof/>
              </w:rPr>
              <w:t>2024</w:t>
            </w:r>
          </w:p>
        </w:tc>
        <w:tc>
          <w:tcPr>
            <w:tcW w:w="4156" w:type="dxa"/>
            <w:tcBorders>
              <w:top w:val="single" w:sz="4" w:space="0" w:color="auto"/>
              <w:left w:val="nil"/>
              <w:bottom w:val="single" w:sz="4" w:space="0" w:color="auto"/>
              <w:right w:val="single" w:sz="4" w:space="0" w:color="auto"/>
            </w:tcBorders>
            <w:shd w:val="clear" w:color="auto" w:fill="C6EFCE"/>
            <w:noWrap/>
          </w:tcPr>
          <w:p w14:paraId="6CD4F428" w14:textId="77777777" w:rsidR="00CB0FCB" w:rsidRDefault="009D2B11">
            <w:pPr>
              <w:pStyle w:val="P68B1DB1-Normal9"/>
              <w:spacing w:after="0" w:line="240" w:lineRule="auto"/>
              <w:rPr>
                <w:rFonts w:eastAsia="Times New Roman" w:cs="Calibri"/>
                <w:noProof/>
                <w:szCs w:val="18"/>
              </w:rPr>
            </w:pPr>
            <w:r>
              <w:rPr>
                <w:noProof/>
              </w:rPr>
              <w:t>Stājas spēkā likums par PIA valsts sistēmu.</w:t>
            </w:r>
          </w:p>
        </w:tc>
      </w:tr>
      <w:tr w:rsidR="00CB0FCB" w14:paraId="17059DC2"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9FB3963" w14:textId="77777777" w:rsidR="00CB0FCB" w:rsidRDefault="009D2B11">
            <w:pPr>
              <w:pStyle w:val="P68B1DB1-Normal9"/>
              <w:spacing w:after="0" w:line="240" w:lineRule="auto"/>
              <w:rPr>
                <w:rFonts w:eastAsia="Times New Roman" w:cs="Calibri"/>
                <w:noProof/>
                <w:szCs w:val="18"/>
              </w:rPr>
            </w:pPr>
            <w:r>
              <w:rPr>
                <w:noProof/>
              </w:rPr>
              <w:t>145b</w:t>
            </w:r>
          </w:p>
        </w:tc>
        <w:tc>
          <w:tcPr>
            <w:tcW w:w="1797" w:type="dxa"/>
            <w:tcBorders>
              <w:top w:val="single" w:sz="4" w:space="0" w:color="auto"/>
              <w:left w:val="nil"/>
              <w:bottom w:val="single" w:sz="4" w:space="0" w:color="auto"/>
              <w:right w:val="single" w:sz="4" w:space="0" w:color="auto"/>
            </w:tcBorders>
            <w:shd w:val="clear" w:color="auto" w:fill="C6EFCE"/>
            <w:noWrap/>
          </w:tcPr>
          <w:p w14:paraId="35D591B0" w14:textId="77777777" w:rsidR="00CB0FCB" w:rsidRDefault="009D2B11">
            <w:pPr>
              <w:pStyle w:val="P68B1DB1-Normal9"/>
              <w:spacing w:after="0" w:line="240" w:lineRule="auto"/>
              <w:rPr>
                <w:rFonts w:eastAsia="Times New Roman"/>
                <w:noProof/>
                <w:szCs w:val="18"/>
              </w:rPr>
            </w:pPr>
            <w:r>
              <w:rPr>
                <w:noProof/>
              </w:rPr>
              <w:t xml:space="preserve">9–3.2. Izglītība, profesionālā izglītība un apmācība un prasmes — 16794_ Māceklību sistēmas stiprināšana </w:t>
            </w:r>
          </w:p>
        </w:tc>
        <w:tc>
          <w:tcPr>
            <w:tcW w:w="1099" w:type="dxa"/>
            <w:tcBorders>
              <w:top w:val="single" w:sz="4" w:space="0" w:color="auto"/>
              <w:left w:val="nil"/>
              <w:bottom w:val="single" w:sz="4" w:space="0" w:color="auto"/>
              <w:right w:val="single" w:sz="4" w:space="0" w:color="auto"/>
            </w:tcBorders>
            <w:shd w:val="clear" w:color="auto" w:fill="C6EFCE"/>
            <w:noWrap/>
          </w:tcPr>
          <w:p w14:paraId="5D42D73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5" w:type="dxa"/>
            <w:tcBorders>
              <w:top w:val="single" w:sz="4" w:space="0" w:color="auto"/>
              <w:left w:val="nil"/>
              <w:bottom w:val="single" w:sz="4" w:space="0" w:color="auto"/>
              <w:right w:val="single" w:sz="4" w:space="0" w:color="auto"/>
            </w:tcBorders>
            <w:shd w:val="clear" w:color="auto" w:fill="C6EFCE"/>
            <w:noWrap/>
          </w:tcPr>
          <w:p w14:paraId="68464CDD" w14:textId="77777777" w:rsidR="00CB0FCB" w:rsidRDefault="009D2B11">
            <w:pPr>
              <w:pStyle w:val="P68B1DB1-Normal9"/>
              <w:spacing w:after="0" w:line="240" w:lineRule="auto"/>
              <w:rPr>
                <w:rFonts w:eastAsia="Times New Roman" w:cs="Calibri"/>
                <w:noProof/>
                <w:szCs w:val="18"/>
              </w:rPr>
            </w:pPr>
            <w:r>
              <w:rPr>
                <w:noProof/>
              </w:rPr>
              <w:t xml:space="preserve">PIA skolu kvalitātes kontrole, mācību programmu reforma, PIA infrastruktūra un citi DYPA projekti </w:t>
            </w:r>
          </w:p>
        </w:tc>
        <w:tc>
          <w:tcPr>
            <w:tcW w:w="1471" w:type="dxa"/>
            <w:tcBorders>
              <w:top w:val="single" w:sz="4" w:space="0" w:color="auto"/>
              <w:left w:val="nil"/>
              <w:bottom w:val="single" w:sz="4" w:space="0" w:color="auto"/>
              <w:right w:val="single" w:sz="4" w:space="0" w:color="auto"/>
            </w:tcBorders>
            <w:shd w:val="clear" w:color="auto" w:fill="C6EFCE"/>
            <w:noWrap/>
          </w:tcPr>
          <w:p w14:paraId="6BFFA0DC" w14:textId="77777777" w:rsidR="00CB0FCB" w:rsidRDefault="009D2B11">
            <w:pPr>
              <w:pStyle w:val="P68B1DB1-Normal9"/>
              <w:spacing w:after="0" w:line="240" w:lineRule="auto"/>
              <w:rPr>
                <w:rFonts w:eastAsia="Times New Roman" w:cs="Calibri"/>
                <w:noProof/>
                <w:szCs w:val="18"/>
              </w:rPr>
            </w:pPr>
            <w:r>
              <w:rPr>
                <w:noProof/>
              </w:rPr>
              <w:t>DYPA ziņojums, ar ko apstiprina projektu pabeigšanu</w:t>
            </w:r>
          </w:p>
        </w:tc>
        <w:tc>
          <w:tcPr>
            <w:tcW w:w="1135" w:type="dxa"/>
            <w:tcBorders>
              <w:top w:val="single" w:sz="4" w:space="0" w:color="auto"/>
              <w:left w:val="nil"/>
              <w:bottom w:val="single" w:sz="4" w:space="0" w:color="auto"/>
              <w:right w:val="single" w:sz="4" w:space="0" w:color="auto"/>
            </w:tcBorders>
            <w:shd w:val="clear" w:color="auto" w:fill="C6EFCE"/>
            <w:noWrap/>
          </w:tcPr>
          <w:p w14:paraId="48CB0B50" w14:textId="77777777" w:rsidR="00CB0FCB" w:rsidRDefault="00CB0FCB">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307DCB6A" w14:textId="77777777" w:rsidR="00CB0FCB" w:rsidRDefault="00CB0FCB">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64F162B2"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B64218E" w14:textId="77777777" w:rsidR="00CB0FCB" w:rsidRDefault="009D2B11">
            <w:pPr>
              <w:pStyle w:val="P68B1DB1-Normal9"/>
              <w:spacing w:after="0" w:line="240" w:lineRule="auto"/>
              <w:rPr>
                <w:rFonts w:eastAsia="Times New Roman" w:cs="Calibri"/>
                <w:noProof/>
                <w:szCs w:val="18"/>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6B6804B9" w14:textId="77777777" w:rsidR="00CB0FCB" w:rsidRDefault="009D2B11">
            <w:pPr>
              <w:pStyle w:val="P68B1DB1-Normal9"/>
              <w:spacing w:after="0" w:line="240" w:lineRule="auto"/>
              <w:rPr>
                <w:rFonts w:eastAsia="Times New Roman" w:cs="Calibri"/>
                <w:noProof/>
                <w:szCs w:val="18"/>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108A19A2" w14:textId="77777777" w:rsidR="00CB0FCB" w:rsidRDefault="009D2B11">
            <w:pPr>
              <w:pStyle w:val="P68B1DB1-paragraph26"/>
              <w:spacing w:before="0" w:beforeAutospacing="0" w:after="0" w:afterAutospacing="0"/>
              <w:textAlignment w:val="baseline"/>
              <w:rPr>
                <w:rFonts w:cs="Calibri"/>
                <w:noProof/>
                <w:szCs w:val="18"/>
              </w:rPr>
            </w:pPr>
            <w:r>
              <w:rPr>
                <w:noProof/>
              </w:rPr>
              <w:t>Šādu projektu pabeigšana:  1) vismaz 34 mācību programmu novērtēšana, pārveidošana un atjaunināšana, lai tās vēl vairāk saskaņotu ar faktiskajām darba tirgus vajadzībām;   </w:t>
            </w:r>
          </w:p>
          <w:p w14:paraId="1D060909" w14:textId="4CE0AFD6" w:rsidR="00CB0FCB" w:rsidRDefault="009D2B11">
            <w:pPr>
              <w:pStyle w:val="P68B1DB1-paragraph26"/>
              <w:spacing w:before="0" w:beforeAutospacing="0" w:after="0" w:afterAutospacing="0"/>
              <w:rPr>
                <w:rFonts w:cs="Calibri"/>
                <w:noProof/>
                <w:szCs w:val="18"/>
              </w:rPr>
            </w:pPr>
            <w:r>
              <w:rPr>
                <w:noProof/>
              </w:rPr>
              <w:t>2) PIA infrastruktūras atjaunošana un modernizācija (vismaz 210 laboratorijas un to aprīkojums);   </w:t>
            </w:r>
          </w:p>
          <w:p w14:paraId="0B95660E" w14:textId="62C69283" w:rsidR="00CB0FCB" w:rsidRDefault="009D2B11">
            <w:pPr>
              <w:pStyle w:val="P68B1DB1-paragraph26"/>
              <w:spacing w:before="0" w:beforeAutospacing="0" w:after="0" w:afterAutospacing="0"/>
              <w:rPr>
                <w:rFonts w:cs="Calibri"/>
                <w:noProof/>
                <w:szCs w:val="18"/>
              </w:rPr>
            </w:pPr>
            <w:r>
              <w:rPr>
                <w:noProof/>
              </w:rPr>
              <w:t>Vismaz 25 EPVS ēku renovācija, lai uzlabotu energoefektivitāti un telpisko funkcionalitāti;   </w:t>
            </w:r>
          </w:p>
          <w:p w14:paraId="7D78DB02" w14:textId="77777777" w:rsidR="00CB0FCB" w:rsidRDefault="009D2B11">
            <w:pPr>
              <w:pStyle w:val="P68B1DB1-paragraph26"/>
              <w:spacing w:before="0" w:beforeAutospacing="0" w:after="0" w:afterAutospacing="0"/>
              <w:rPr>
                <w:rFonts w:cs="Calibri"/>
                <w:noProof/>
                <w:szCs w:val="18"/>
              </w:rPr>
            </w:pPr>
            <w:r>
              <w:rPr>
                <w:noProof/>
              </w:rPr>
              <w:t xml:space="preserve">Virtuālās realitātes tehnoloģiju integrēšana ikdienas mācību moduļos  </w:t>
            </w:r>
          </w:p>
          <w:p w14:paraId="2076D736" w14:textId="5E76F7C7" w:rsidR="00CB0FCB" w:rsidRDefault="009D2B11">
            <w:pPr>
              <w:pStyle w:val="P68B1DB1-paragraph26"/>
              <w:spacing w:before="0" w:beforeAutospacing="0" w:after="0" w:afterAutospacing="0"/>
              <w:rPr>
                <w:rFonts w:cs="Calibri"/>
                <w:noProof/>
                <w:szCs w:val="18"/>
              </w:rPr>
            </w:pPr>
            <w:r>
              <w:rPr>
                <w:noProof/>
              </w:rPr>
              <w:t>Plašas “pasniedzēju apmācības” programmas izveide DYPA izglītības personālam (kurā iesaistīti vismaz 810 pasniedzēji);</w:t>
            </w:r>
          </w:p>
          <w:p w14:paraId="0A2AF349" w14:textId="150C7286" w:rsidR="00CB0FCB" w:rsidRDefault="009D2B11">
            <w:pPr>
              <w:pStyle w:val="P68B1DB1-paragraph26"/>
              <w:spacing w:before="0" w:beforeAutospacing="0" w:after="0" w:afterAutospacing="0"/>
              <w:rPr>
                <w:rFonts w:cs="Calibri"/>
                <w:noProof/>
                <w:szCs w:val="18"/>
              </w:rPr>
            </w:pPr>
            <w:r>
              <w:rPr>
                <w:noProof/>
              </w:rPr>
              <w:t xml:space="preserve">6) Apmācības sistēmas popularizēšanas kampaņas uzsākšana/izvēršana/izvēršana. </w:t>
            </w:r>
          </w:p>
          <w:p w14:paraId="2CC3E1A1" w14:textId="77777777" w:rsidR="00CB0FCB" w:rsidRDefault="00CB0FCB">
            <w:pPr>
              <w:pStyle w:val="paragraph"/>
              <w:spacing w:before="0" w:beforeAutospacing="0" w:after="0" w:afterAutospacing="0"/>
              <w:rPr>
                <w:rFonts w:ascii="Calibri" w:hAnsi="Calibri" w:cs="Calibri"/>
                <w:noProof/>
                <w:color w:val="006100"/>
                <w:sz w:val="18"/>
                <w:szCs w:val="18"/>
              </w:rPr>
            </w:pPr>
          </w:p>
          <w:p w14:paraId="71B3BA79" w14:textId="77777777" w:rsidR="00CB0FCB" w:rsidRDefault="009D2B11">
            <w:pPr>
              <w:pStyle w:val="P68B1DB1-Normal10"/>
              <w:spacing w:after="0" w:line="240" w:lineRule="auto"/>
              <w:rPr>
                <w:rFonts w:eastAsia="Times New Roman" w:cs="Calibri"/>
                <w:noProof/>
              </w:rPr>
            </w:pPr>
            <w:r>
              <w:rPr>
                <w:noProof/>
              </w:rPr>
              <w:t>Projekta ietvaros pabeigtie būvdarbi un renovācijas darbi vidēji sasniedz vismaz vidēja līmeņa renovāciju, kā noteikts Komisijas Ieteikumā (ES) 2019/786 par ēku renovāciju, vai b) lai panāktu tiešo un netiešo SEG emisiju samazinājumu vidēji vismaz par 30 % salīdzinājumā ar ex ante emisijām.</w:t>
            </w:r>
          </w:p>
        </w:tc>
      </w:tr>
      <w:tr w:rsidR="00CB0FCB" w14:paraId="3E76C072"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D81E13C" w14:textId="77777777" w:rsidR="00CB0FCB" w:rsidRDefault="009D2B11">
            <w:pPr>
              <w:pStyle w:val="P68B1DB1-Normal10"/>
              <w:spacing w:after="0" w:line="240" w:lineRule="auto"/>
              <w:rPr>
                <w:rFonts w:eastAsia="Times New Roman" w:cs="Calibri"/>
                <w:noProof/>
              </w:rPr>
            </w:pPr>
            <w:r>
              <w:rPr>
                <w:noProof/>
              </w:rPr>
              <w:t>146</w:t>
            </w:r>
          </w:p>
        </w:tc>
        <w:tc>
          <w:tcPr>
            <w:tcW w:w="1797" w:type="dxa"/>
            <w:tcBorders>
              <w:top w:val="single" w:sz="4" w:space="0" w:color="auto"/>
              <w:left w:val="nil"/>
              <w:bottom w:val="single" w:sz="4" w:space="0" w:color="auto"/>
              <w:right w:val="single" w:sz="4" w:space="0" w:color="auto"/>
            </w:tcBorders>
            <w:shd w:val="clear" w:color="auto" w:fill="C6EFCE"/>
            <w:noWrap/>
          </w:tcPr>
          <w:p w14:paraId="0AAA98C3"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16792_Labor spēku prasmju pilnveide, pārkvalifikācija un prasmju pilnveide, izmantojot reformētu apmācības modeli (profesionālās izglītības un apmācības reforma)</w:t>
            </w:r>
          </w:p>
        </w:tc>
        <w:tc>
          <w:tcPr>
            <w:tcW w:w="1099" w:type="dxa"/>
            <w:tcBorders>
              <w:top w:val="single" w:sz="4" w:space="0" w:color="auto"/>
              <w:left w:val="nil"/>
              <w:bottom w:val="single" w:sz="4" w:space="0" w:color="auto"/>
              <w:right w:val="single" w:sz="4" w:space="0" w:color="auto"/>
            </w:tcBorders>
            <w:shd w:val="clear" w:color="auto" w:fill="C6EFCE"/>
            <w:noWrap/>
          </w:tcPr>
          <w:p w14:paraId="4DB31BC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5" w:type="dxa"/>
            <w:tcBorders>
              <w:top w:val="single" w:sz="4" w:space="0" w:color="auto"/>
              <w:left w:val="nil"/>
              <w:bottom w:val="single" w:sz="4" w:space="0" w:color="auto"/>
              <w:right w:val="single" w:sz="4" w:space="0" w:color="auto"/>
            </w:tcBorders>
            <w:shd w:val="clear" w:color="auto" w:fill="C6EFCE"/>
            <w:noWrap/>
          </w:tcPr>
          <w:p w14:paraId="6B3D57D7" w14:textId="77777777" w:rsidR="00CB0FCB" w:rsidRDefault="009D2B11">
            <w:pPr>
              <w:pStyle w:val="P68B1DB1-Normal9"/>
              <w:spacing w:after="0" w:line="240" w:lineRule="auto"/>
              <w:rPr>
                <w:rFonts w:eastAsia="Times New Roman" w:cs="Calibri"/>
                <w:noProof/>
                <w:szCs w:val="18"/>
              </w:rPr>
            </w:pPr>
            <w:r>
              <w:rPr>
                <w:noProof/>
              </w:rPr>
              <w:t>PIA kvalitātes kontroles sistēma,</w:t>
            </w:r>
          </w:p>
          <w:p w14:paraId="2B5FB5F0" w14:textId="77777777" w:rsidR="00CB0FCB" w:rsidRDefault="009D2B11">
            <w:pPr>
              <w:pStyle w:val="P68B1DB1-Normal9"/>
              <w:spacing w:after="0" w:line="240" w:lineRule="auto"/>
              <w:rPr>
                <w:rFonts w:cs="Calibri"/>
                <w:noProof/>
                <w:szCs w:val="18"/>
              </w:rPr>
            </w:pPr>
            <w:r>
              <w:rPr>
                <w:noProof/>
              </w:rPr>
              <w:t>valsts nodarbinātības dienesta (DYPA) profesionālās apmācības vienību moduļu atjaunināšana,</w:t>
            </w:r>
          </w:p>
          <w:p w14:paraId="11D38225" w14:textId="77777777" w:rsidR="00CB0FCB" w:rsidRDefault="009D2B11">
            <w:pPr>
              <w:pStyle w:val="P68B1DB1-Normal9"/>
              <w:spacing w:after="0" w:line="240" w:lineRule="auto"/>
              <w:rPr>
                <w:rFonts w:eastAsia="Times New Roman" w:cs="Calibri"/>
                <w:noProof/>
                <w:szCs w:val="18"/>
              </w:rPr>
            </w:pPr>
            <w:r>
              <w:rPr>
                <w:noProof/>
              </w:rPr>
              <w:t>digitālie kursi,</w:t>
            </w:r>
          </w:p>
          <w:p w14:paraId="7A3483A1" w14:textId="1AE27FF4" w:rsidR="00CB0FCB" w:rsidRDefault="009D2B11">
            <w:pPr>
              <w:pStyle w:val="P68B1DB1-Normal9"/>
              <w:spacing w:after="0" w:line="240" w:lineRule="auto"/>
              <w:rPr>
                <w:rFonts w:cs="Calibri"/>
                <w:noProof/>
                <w:szCs w:val="18"/>
              </w:rPr>
            </w:pPr>
            <w:r>
              <w:rPr>
                <w:noProof/>
              </w:rPr>
              <w:t>aprīkojuma piegāde 49 laboratorijām, nozaru mācību programmas</w:t>
            </w:r>
          </w:p>
          <w:p w14:paraId="4BAAAE8D" w14:textId="77777777" w:rsidR="00CB0FCB" w:rsidRDefault="009D2B11">
            <w:pPr>
              <w:pStyle w:val="P68B1DB1-Normal9"/>
              <w:spacing w:after="0" w:line="240" w:lineRule="auto"/>
              <w:rPr>
                <w:rFonts w:eastAsia="Times New Roman" w:cs="Calibri"/>
                <w:noProof/>
                <w:szCs w:val="18"/>
              </w:rPr>
            </w:pPr>
            <w:r>
              <w:rPr>
                <w:noProof/>
              </w:rPr>
              <w:t>pabeigšana</w:t>
            </w:r>
          </w:p>
          <w:p w14:paraId="6DF722D3" w14:textId="77777777" w:rsidR="00CB0FCB" w:rsidRDefault="00CB0FCB">
            <w:pPr>
              <w:spacing w:after="0" w:line="240" w:lineRule="auto"/>
              <w:rPr>
                <w:rFonts w:eastAsia="Times New Roman" w:cs="Calibri"/>
                <w:noProof/>
                <w:color w:val="006100"/>
                <w:sz w:val="18"/>
                <w:szCs w:val="18"/>
              </w:rPr>
            </w:pPr>
          </w:p>
        </w:tc>
        <w:tc>
          <w:tcPr>
            <w:tcW w:w="1471" w:type="dxa"/>
            <w:tcBorders>
              <w:top w:val="single" w:sz="4" w:space="0" w:color="auto"/>
              <w:left w:val="nil"/>
              <w:bottom w:val="single" w:sz="4" w:space="0" w:color="auto"/>
              <w:right w:val="single" w:sz="4" w:space="0" w:color="auto"/>
            </w:tcBorders>
            <w:shd w:val="clear" w:color="auto" w:fill="C6EFCE"/>
            <w:noWrap/>
          </w:tcPr>
          <w:p w14:paraId="3CFFDD0F" w14:textId="1BBD7E94" w:rsidR="00CB0FCB" w:rsidRDefault="009D2B11">
            <w:pPr>
              <w:pStyle w:val="P68B1DB1-Normal9"/>
              <w:spacing w:after="0" w:line="240" w:lineRule="auto"/>
              <w:rPr>
                <w:rFonts w:eastAsia="Times New Roman" w:cs="Calibri"/>
                <w:noProof/>
                <w:szCs w:val="18"/>
              </w:rPr>
            </w:pPr>
            <w:r>
              <w:rPr>
                <w:noProof/>
              </w:rPr>
              <w:t>Valsts nodarbinātības organizācijas ziņojums, kurā apstiprināta projektu a, b, c, d un e pabeigšana</w:t>
            </w:r>
          </w:p>
        </w:tc>
        <w:tc>
          <w:tcPr>
            <w:tcW w:w="1135" w:type="dxa"/>
            <w:tcBorders>
              <w:top w:val="single" w:sz="4" w:space="0" w:color="auto"/>
              <w:left w:val="nil"/>
              <w:bottom w:val="single" w:sz="4" w:space="0" w:color="auto"/>
              <w:right w:val="single" w:sz="4" w:space="0" w:color="auto"/>
            </w:tcBorders>
            <w:shd w:val="clear" w:color="auto" w:fill="C6EFCE"/>
            <w:noWrap/>
          </w:tcPr>
          <w:p w14:paraId="3ED04B36" w14:textId="77777777" w:rsidR="00CB0FCB" w:rsidRDefault="00CB0FCB">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57E22A63" w14:textId="77777777" w:rsidR="00CB0FCB" w:rsidRDefault="00CB0FCB">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1A80F4A7"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0367897" w14:textId="77777777" w:rsidR="00CB0FCB" w:rsidRDefault="009D2B11">
            <w:pPr>
              <w:pStyle w:val="P68B1DB1-Normal9"/>
              <w:spacing w:after="0" w:line="240" w:lineRule="auto"/>
              <w:rPr>
                <w:rFonts w:eastAsia="Times New Roman" w:cs="Calibri"/>
                <w:noProof/>
                <w:szCs w:val="18"/>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24BD3577" w14:textId="77777777" w:rsidR="00CB0FCB" w:rsidRDefault="009D2B11">
            <w:pPr>
              <w:pStyle w:val="P68B1DB1-Normal9"/>
              <w:spacing w:after="0" w:line="240" w:lineRule="auto"/>
              <w:rPr>
                <w:rFonts w:eastAsia="Times New Roman" w:cs="Calibri"/>
                <w:noProof/>
                <w:szCs w:val="18"/>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09B8CC55" w14:textId="77777777" w:rsidR="00CB0FCB" w:rsidRDefault="009D2B11">
            <w:pPr>
              <w:pStyle w:val="P68B1DB1-Normal9"/>
              <w:spacing w:after="0" w:line="240" w:lineRule="auto"/>
              <w:rPr>
                <w:rFonts w:eastAsia="Times New Roman" w:cs="Calibri"/>
                <w:noProof/>
                <w:szCs w:val="18"/>
              </w:rPr>
            </w:pPr>
            <w:r>
              <w:rPr>
                <w:noProof/>
              </w:rPr>
              <w:t xml:space="preserve">Šādu projektu pabeigšana: </w:t>
            </w:r>
          </w:p>
          <w:p w14:paraId="118391E7" w14:textId="77777777" w:rsidR="00CB0FCB" w:rsidRDefault="009D2B11">
            <w:pPr>
              <w:pStyle w:val="P68B1DB1-Normal9"/>
              <w:spacing w:after="0" w:line="240" w:lineRule="auto"/>
              <w:rPr>
                <w:rFonts w:eastAsia="Times New Roman" w:cs="Calibri"/>
                <w:noProof/>
                <w:szCs w:val="18"/>
              </w:rPr>
            </w:pPr>
            <w:r>
              <w:rPr>
                <w:noProof/>
              </w:rPr>
              <w:t>PIA kvalitātes kontroles sistēma, kuras mērķis ir uzlabot kvalitātes kontroli valsts nodarbinātības organizācijas (DYPA) profesionālās apmācības nodaļās</w:t>
            </w:r>
          </w:p>
          <w:p w14:paraId="7F810728" w14:textId="77777777" w:rsidR="00CB0FCB" w:rsidRDefault="009D2B11">
            <w:pPr>
              <w:pStyle w:val="P68B1DB1-paragraph26"/>
              <w:spacing w:before="0" w:beforeAutospacing="0" w:after="0" w:afterAutospacing="0"/>
              <w:rPr>
                <w:rFonts w:eastAsia="Calibri" w:cs="Calibri"/>
                <w:noProof/>
                <w:szCs w:val="18"/>
              </w:rPr>
            </w:pPr>
            <w:r>
              <w:rPr>
                <w:noProof/>
              </w:rPr>
              <w:t>b) Valsts nodarbinātības dienesta (DYPA) profesionālās apmācības vienību apmācības moduļu atjaunināšanas pabeigšana, kas ir daļa no DYPA aktīvās darba tirgus politikas visaptverošas reformas.   </w:t>
            </w:r>
          </w:p>
          <w:p w14:paraId="13FC8B3C" w14:textId="77777777" w:rsidR="00CB0FCB" w:rsidRDefault="009D2B11">
            <w:pPr>
              <w:pStyle w:val="P68B1DB1-paragraph26"/>
              <w:spacing w:before="0" w:beforeAutospacing="0" w:after="0" w:afterAutospacing="0"/>
              <w:rPr>
                <w:rFonts w:eastAsia="Calibri" w:cs="Calibri"/>
                <w:noProof/>
                <w:szCs w:val="18"/>
              </w:rPr>
            </w:pPr>
            <w:r>
              <w:rPr>
                <w:noProof/>
              </w:rPr>
              <w:t>C) Digitālo kursu izstrādes pabeigšana </w:t>
            </w:r>
          </w:p>
          <w:p w14:paraId="5A764075" w14:textId="6A5D3765" w:rsidR="00CB0FCB" w:rsidRDefault="009D2B11">
            <w:pPr>
              <w:pStyle w:val="P68B1DB1-paragraph27"/>
              <w:spacing w:before="0" w:beforeAutospacing="0" w:after="0" w:afterAutospacing="0"/>
              <w:rPr>
                <w:rFonts w:eastAsia="Calibri" w:cs="Calibri"/>
                <w:noProof/>
              </w:rPr>
            </w:pPr>
            <w:r>
              <w:rPr>
                <w:noProof/>
              </w:rPr>
              <w:t xml:space="preserve">attiecīgā aprīkojuma iegāde PIA skolu laboratorijām. </w:t>
            </w:r>
          </w:p>
          <w:p w14:paraId="0BE77A39" w14:textId="478BEE1D" w:rsidR="00CB0FCB" w:rsidRDefault="009D2B11">
            <w:pPr>
              <w:pStyle w:val="P68B1DB1-paragraph26"/>
              <w:spacing w:before="0" w:beforeAutospacing="0" w:after="0" w:afterAutospacing="0"/>
              <w:rPr>
                <w:noProof/>
              </w:rPr>
            </w:pPr>
            <w:r>
              <w:rPr>
                <w:noProof/>
              </w:rPr>
              <w:t>nozaru mācību programmu pabeigšana. </w:t>
            </w:r>
          </w:p>
          <w:p w14:paraId="1416819B" w14:textId="77777777" w:rsidR="00CB0FCB" w:rsidRDefault="00CB0FCB">
            <w:pPr>
              <w:spacing w:line="240" w:lineRule="auto"/>
              <w:rPr>
                <w:noProof/>
                <w:sz w:val="18"/>
                <w:szCs w:val="18"/>
              </w:rPr>
            </w:pPr>
          </w:p>
        </w:tc>
      </w:tr>
    </w:tbl>
    <w:p w14:paraId="6CC1A489" w14:textId="77777777" w:rsidR="00CB0FCB" w:rsidRDefault="00CB0FCB">
      <w:pPr>
        <w:rPr>
          <w:noProof/>
        </w:rPr>
      </w:pPr>
    </w:p>
    <w:p w14:paraId="5BD214C7" w14:textId="77777777" w:rsidR="00CB0FCB" w:rsidRDefault="00CB0FCB">
      <w:pPr>
        <w:rPr>
          <w:noProof/>
        </w:rPr>
      </w:pPr>
    </w:p>
    <w:p w14:paraId="2573FD9F" w14:textId="77777777" w:rsidR="00CB0FCB" w:rsidRDefault="009D2B11">
      <w:pPr>
        <w:pStyle w:val="P68B1DB1-Normal6"/>
        <w:keepNext/>
        <w:keepLines/>
        <w:spacing w:before="240" w:line="240" w:lineRule="auto"/>
        <w:jc w:val="both"/>
        <w:outlineLvl w:val="4"/>
        <w:rPr>
          <w:rFonts w:eastAsia="Times New Roman"/>
          <w:noProof/>
        </w:rPr>
      </w:pPr>
      <w:r>
        <w:rPr>
          <w:noProof/>
        </w:rPr>
        <w:t>Grupa: Izglītības un reliģijas lietu ministrija — reformas un investīcijas</w:t>
      </w:r>
    </w:p>
    <w:p w14:paraId="6DD582BE" w14:textId="15231248" w:rsidR="00CB0FCB" w:rsidRDefault="009D2B11">
      <w:pPr>
        <w:pStyle w:val="P68B1DB1-Normal4"/>
        <w:numPr>
          <w:ilvl w:val="0"/>
          <w:numId w:val="42"/>
        </w:numPr>
        <w:spacing w:before="120" w:after="0" w:line="240" w:lineRule="auto"/>
        <w:jc w:val="both"/>
        <w:rPr>
          <w:rFonts w:cs="Times New Roman"/>
          <w:noProof/>
        </w:rPr>
      </w:pPr>
      <w:r>
        <w:rPr>
          <w:noProof/>
        </w:rPr>
        <w:t>Profesionālās izglītības un apmācības (PIA) uzlabošana: Laboratorijas aprīkojuma piegāde laboratorijas centriem SAEK, EPAL, pēcvidusskolas praktikantu klasēm un profesionālās izglītības skolām (ID: 16933)</w:t>
      </w:r>
    </w:p>
    <w:p w14:paraId="3305A5E4" w14:textId="77777777" w:rsidR="00CB0FCB" w:rsidRDefault="009D2B11">
      <w:pPr>
        <w:pStyle w:val="P68B1DB1-Normal4"/>
        <w:numPr>
          <w:ilvl w:val="0"/>
          <w:numId w:val="42"/>
        </w:numPr>
        <w:spacing w:before="120" w:after="0" w:line="240" w:lineRule="auto"/>
        <w:jc w:val="both"/>
        <w:rPr>
          <w:rFonts w:cs="Times New Roman"/>
          <w:noProof/>
        </w:rPr>
      </w:pPr>
      <w:r>
        <w:rPr>
          <w:noProof/>
        </w:rPr>
        <w:t>Profesionālās izglītības un apmācības uzlabošana (ID: 16934)</w:t>
      </w:r>
    </w:p>
    <w:p w14:paraId="7AB9E0D5" w14:textId="77777777" w:rsidR="00CB0FCB" w:rsidRDefault="009D2B11">
      <w:pPr>
        <w:pStyle w:val="P68B1DB1-Normal4"/>
        <w:numPr>
          <w:ilvl w:val="0"/>
          <w:numId w:val="42"/>
        </w:numPr>
        <w:spacing w:before="120" w:after="0" w:line="240" w:lineRule="auto"/>
        <w:jc w:val="both"/>
        <w:rPr>
          <w:rFonts w:cs="Times New Roman"/>
          <w:noProof/>
        </w:rPr>
      </w:pPr>
      <w:r>
        <w:rPr>
          <w:noProof/>
        </w:rPr>
        <w:t>Universitāšu izcilības un inovācijas stratēģija (ID: 16289)</w:t>
      </w:r>
    </w:p>
    <w:p w14:paraId="47F356BF" w14:textId="77777777" w:rsidR="00CB0FCB" w:rsidRDefault="009D2B11">
      <w:pPr>
        <w:pStyle w:val="P68B1DB1-Normal4"/>
        <w:numPr>
          <w:ilvl w:val="0"/>
          <w:numId w:val="42"/>
        </w:numPr>
        <w:spacing w:before="120" w:after="120" w:line="240" w:lineRule="auto"/>
        <w:jc w:val="both"/>
        <w:rPr>
          <w:rFonts w:cs="Times New Roman"/>
          <w:noProof/>
        </w:rPr>
      </w:pPr>
      <w:r>
        <w:rPr>
          <w:noProof/>
        </w:rPr>
        <w:t>Izglītības digitālā pārveide (ID: 16676)</w:t>
      </w:r>
    </w:p>
    <w:tbl>
      <w:tblPr>
        <w:tblW w:w="15475" w:type="dxa"/>
        <w:tblInd w:w="113" w:type="dxa"/>
        <w:tblLook w:val="04A0" w:firstRow="1" w:lastRow="0" w:firstColumn="1" w:lastColumn="0" w:noHBand="0" w:noVBand="1"/>
      </w:tblPr>
      <w:tblGrid>
        <w:gridCol w:w="1129"/>
        <w:gridCol w:w="1743"/>
        <w:gridCol w:w="1807"/>
        <w:gridCol w:w="1586"/>
        <w:gridCol w:w="1713"/>
        <w:gridCol w:w="1154"/>
        <w:gridCol w:w="1396"/>
        <w:gridCol w:w="771"/>
        <w:gridCol w:w="1027"/>
        <w:gridCol w:w="720"/>
        <w:gridCol w:w="3710"/>
      </w:tblGrid>
      <w:tr w:rsidR="00CB0FCB" w14:paraId="712E0243" w14:textId="77777777">
        <w:trPr>
          <w:trHeight w:val="939"/>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53B188"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CE8792"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33CBBA"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1B5066"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E82ADF"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7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1C1BAB3"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571" w:type="dxa"/>
            <w:gridSpan w:val="2"/>
            <w:tcBorders>
              <w:top w:val="single" w:sz="4" w:space="0" w:color="auto"/>
              <w:left w:val="nil"/>
              <w:bottom w:val="single" w:sz="4" w:space="0" w:color="auto"/>
              <w:right w:val="single" w:sz="4" w:space="0" w:color="auto"/>
            </w:tcBorders>
            <w:shd w:val="clear" w:color="auto" w:fill="BDD7EE"/>
            <w:vAlign w:val="center"/>
            <w:hideMark/>
          </w:tcPr>
          <w:p w14:paraId="30245173"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7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557C52"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p w14:paraId="768F43EE" w14:textId="77777777" w:rsidR="00CB0FCB" w:rsidRDefault="00CB0FCB">
            <w:pPr>
              <w:rPr>
                <w:rFonts w:ascii="Times New Roman" w:hAnsi="Times New Roman"/>
                <w:noProof/>
                <w:sz w:val="18"/>
              </w:rPr>
            </w:pPr>
          </w:p>
        </w:tc>
      </w:tr>
      <w:tr w:rsidR="00CB0FCB" w14:paraId="585D414C" w14:textId="77777777">
        <w:trPr>
          <w:trHeight w:val="574"/>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19A779" w14:textId="77777777" w:rsidR="00CB0FCB" w:rsidRDefault="00CB0FCB">
            <w:pPr>
              <w:spacing w:after="0" w:line="240" w:lineRule="auto"/>
              <w:rPr>
                <w:rFonts w:ascii="Times New Roman" w:eastAsia="Times New Roman" w:hAnsi="Times New Roman" w:cs="Times New Roman"/>
                <w:b/>
                <w:bCs/>
                <w:noProof/>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3A8C6C" w14:textId="77777777" w:rsidR="00CB0FCB" w:rsidRDefault="00CB0FCB">
            <w:pPr>
              <w:spacing w:after="0" w:line="240" w:lineRule="auto"/>
              <w:rPr>
                <w:rFonts w:ascii="Times New Roman" w:eastAsia="Times New Roman" w:hAnsi="Times New Roman" w:cs="Times New Roman"/>
                <w:b/>
                <w:bCs/>
                <w:noProof/>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D29DF4D" w14:textId="77777777" w:rsidR="00CB0FCB" w:rsidRDefault="00CB0FCB">
            <w:pPr>
              <w:spacing w:after="0" w:line="240" w:lineRule="auto"/>
              <w:rPr>
                <w:rFonts w:ascii="Times New Roman" w:eastAsia="Times New Roman" w:hAnsi="Times New Roman" w:cs="Times New Roman"/>
                <w:b/>
                <w:bCs/>
                <w:noProof/>
                <w:sz w:val="18"/>
                <w:szCs w:val="18"/>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A688589" w14:textId="77777777" w:rsidR="00CB0FCB" w:rsidRDefault="00CB0FCB">
            <w:pPr>
              <w:spacing w:after="0" w:line="240" w:lineRule="auto"/>
              <w:rPr>
                <w:rFonts w:ascii="Times New Roman" w:eastAsia="Times New Roman" w:hAnsi="Times New Roman" w:cs="Times New Roman"/>
                <w:b/>
                <w:bCs/>
                <w:noProof/>
                <w:sz w:val="18"/>
                <w:szCs w:val="18"/>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06D79637" w14:textId="77777777" w:rsidR="00CB0FCB" w:rsidRDefault="00CB0FCB">
            <w:pPr>
              <w:spacing w:after="0" w:line="240" w:lineRule="auto"/>
              <w:rPr>
                <w:rFonts w:ascii="Times New Roman" w:eastAsia="Times New Roman" w:hAnsi="Times New Roman" w:cs="Times New Roman"/>
                <w:b/>
                <w:bCs/>
                <w:noProof/>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AA6D5C"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3230C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7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086DBC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0AB0B35"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CD9E045"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710" w:type="dxa"/>
            <w:vMerge/>
            <w:tcBorders>
              <w:top w:val="single" w:sz="4" w:space="0" w:color="auto"/>
              <w:bottom w:val="single" w:sz="4" w:space="0" w:color="auto"/>
              <w:right w:val="single" w:sz="4" w:space="0" w:color="auto"/>
            </w:tcBorders>
            <w:vAlign w:val="center"/>
            <w:hideMark/>
          </w:tcPr>
          <w:p w14:paraId="7D7DA62F"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003471B" w14:textId="77777777">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C9EF3ED" w14:textId="77777777" w:rsidR="00CB0FCB" w:rsidRDefault="009D2B11">
            <w:pPr>
              <w:pStyle w:val="P68B1DB1-Normal10"/>
              <w:spacing w:after="0" w:line="240" w:lineRule="auto"/>
              <w:rPr>
                <w:rFonts w:eastAsia="Times New Roman" w:cs="Calibri"/>
                <w:noProof/>
              </w:rPr>
            </w:pPr>
            <w:r>
              <w:rPr>
                <w:noProof/>
              </w:rPr>
              <w:t>147</w:t>
            </w:r>
          </w:p>
        </w:tc>
        <w:tc>
          <w:tcPr>
            <w:tcW w:w="1560" w:type="dxa"/>
            <w:tcBorders>
              <w:top w:val="single" w:sz="4" w:space="0" w:color="auto"/>
              <w:left w:val="nil"/>
              <w:bottom w:val="single" w:sz="4" w:space="0" w:color="auto"/>
              <w:right w:val="single" w:sz="4" w:space="0" w:color="auto"/>
            </w:tcBorders>
            <w:shd w:val="clear" w:color="auto" w:fill="C6EFCE"/>
            <w:noWrap/>
          </w:tcPr>
          <w:p w14:paraId="4900937A"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16289_Stratēģija izcilībai universitātēs un inovācijā</w:t>
            </w:r>
          </w:p>
        </w:tc>
        <w:tc>
          <w:tcPr>
            <w:tcW w:w="1424" w:type="dxa"/>
            <w:tcBorders>
              <w:top w:val="single" w:sz="4" w:space="0" w:color="auto"/>
              <w:left w:val="nil"/>
              <w:bottom w:val="single" w:sz="4" w:space="0" w:color="auto"/>
              <w:right w:val="single" w:sz="4" w:space="0" w:color="auto"/>
            </w:tcBorders>
            <w:shd w:val="clear" w:color="auto" w:fill="C6EFCE"/>
            <w:noWrap/>
          </w:tcPr>
          <w:p w14:paraId="36269AF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86" w:type="dxa"/>
            <w:tcBorders>
              <w:top w:val="single" w:sz="4" w:space="0" w:color="auto"/>
              <w:left w:val="nil"/>
              <w:bottom w:val="single" w:sz="4" w:space="0" w:color="auto"/>
              <w:right w:val="single" w:sz="4" w:space="0" w:color="auto"/>
            </w:tcBorders>
            <w:shd w:val="clear" w:color="auto" w:fill="C6EFCE"/>
            <w:noWrap/>
          </w:tcPr>
          <w:p w14:paraId="0214DCCA" w14:textId="0A0CCB8D" w:rsidR="00CB0FCB" w:rsidRDefault="009D2B11">
            <w:pPr>
              <w:pStyle w:val="P68B1DB1-Normal9"/>
              <w:spacing w:after="0" w:line="240" w:lineRule="auto"/>
              <w:rPr>
                <w:rFonts w:eastAsia="Times New Roman" w:cs="Calibri"/>
                <w:noProof/>
                <w:szCs w:val="18"/>
              </w:rPr>
            </w:pPr>
            <w:r>
              <w:rPr>
                <w:noProof/>
              </w:rPr>
              <w:t>Izcilības universitāšu un pētniecības izcilības kopu apstiprināšanas lēmumi</w:t>
            </w:r>
          </w:p>
        </w:tc>
        <w:tc>
          <w:tcPr>
            <w:tcW w:w="1713" w:type="dxa"/>
            <w:tcBorders>
              <w:top w:val="single" w:sz="4" w:space="0" w:color="auto"/>
              <w:left w:val="nil"/>
              <w:bottom w:val="single" w:sz="4" w:space="0" w:color="auto"/>
              <w:right w:val="single" w:sz="4" w:space="0" w:color="auto"/>
            </w:tcBorders>
            <w:shd w:val="clear" w:color="auto" w:fill="C6EFCE"/>
            <w:noWrap/>
          </w:tcPr>
          <w:p w14:paraId="7566F50A" w14:textId="27E9A4EF" w:rsidR="00CB0FCB" w:rsidRDefault="009D2B11">
            <w:pPr>
              <w:spacing w:after="0" w:line="240" w:lineRule="auto"/>
              <w:rPr>
                <w:rFonts w:eastAsia="Times New Roman" w:cs="Calibri"/>
                <w:noProof/>
                <w:color w:val="006100"/>
                <w:sz w:val="18"/>
                <w:szCs w:val="18"/>
              </w:rPr>
            </w:pPr>
            <w:r>
              <w:rPr>
                <w:noProof/>
                <w:color w:val="006100"/>
                <w:sz w:val="18"/>
                <w:szCs w:val="18"/>
              </w:rPr>
              <w:t>Izglītības, reliģijas lietu un sporta ministrijas apstiprinājuma lēmumu izdošana</w:t>
            </w:r>
          </w:p>
        </w:tc>
        <w:tc>
          <w:tcPr>
            <w:tcW w:w="1154" w:type="dxa"/>
            <w:tcBorders>
              <w:top w:val="single" w:sz="4" w:space="0" w:color="auto"/>
              <w:left w:val="nil"/>
              <w:bottom w:val="single" w:sz="4" w:space="0" w:color="auto"/>
              <w:right w:val="single" w:sz="4" w:space="0" w:color="auto"/>
            </w:tcBorders>
            <w:shd w:val="clear" w:color="auto" w:fill="C6EFCE"/>
            <w:noWrap/>
          </w:tcPr>
          <w:p w14:paraId="09D381AA"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2221913" w14:textId="77777777" w:rsidR="00CB0FCB" w:rsidRDefault="00CB0FCB">
            <w:pPr>
              <w:spacing w:after="0" w:line="240" w:lineRule="auto"/>
              <w:rPr>
                <w:rFonts w:eastAsia="Times New Roman" w:cs="Calibri"/>
                <w:noProof/>
                <w:color w:val="006100"/>
                <w:sz w:val="18"/>
                <w:szCs w:val="18"/>
              </w:rPr>
            </w:pPr>
          </w:p>
        </w:tc>
        <w:tc>
          <w:tcPr>
            <w:tcW w:w="771" w:type="dxa"/>
            <w:tcBorders>
              <w:top w:val="single" w:sz="4" w:space="0" w:color="auto"/>
              <w:left w:val="nil"/>
              <w:bottom w:val="single" w:sz="4" w:space="0" w:color="auto"/>
              <w:right w:val="single" w:sz="4" w:space="0" w:color="auto"/>
            </w:tcBorders>
            <w:shd w:val="clear" w:color="auto" w:fill="C6EFCE"/>
            <w:noWrap/>
          </w:tcPr>
          <w:p w14:paraId="412897DD" w14:textId="77777777" w:rsidR="00CB0FCB" w:rsidRDefault="00CB0FCB">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4D56C856"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tcBorders>
              <w:top w:val="single" w:sz="4" w:space="0" w:color="auto"/>
              <w:left w:val="nil"/>
              <w:bottom w:val="single" w:sz="4" w:space="0" w:color="auto"/>
              <w:right w:val="single" w:sz="4" w:space="0" w:color="auto"/>
            </w:tcBorders>
            <w:shd w:val="clear" w:color="auto" w:fill="C6EFCE"/>
            <w:noWrap/>
          </w:tcPr>
          <w:p w14:paraId="155056EC" w14:textId="77777777" w:rsidR="00CB0FCB" w:rsidRDefault="009D2B11">
            <w:pPr>
              <w:pStyle w:val="P68B1DB1-Normal9"/>
              <w:spacing w:after="0" w:line="240" w:lineRule="auto"/>
              <w:rPr>
                <w:rFonts w:eastAsia="Times New Roman" w:cs="Calibri"/>
                <w:noProof/>
                <w:szCs w:val="18"/>
              </w:rPr>
            </w:pPr>
            <w:r>
              <w:rPr>
                <w:noProof/>
              </w:rPr>
              <w:t>2023</w:t>
            </w:r>
          </w:p>
        </w:tc>
        <w:tc>
          <w:tcPr>
            <w:tcW w:w="3710" w:type="dxa"/>
            <w:tcBorders>
              <w:top w:val="single" w:sz="4" w:space="0" w:color="auto"/>
              <w:left w:val="nil"/>
              <w:bottom w:val="single" w:sz="4" w:space="0" w:color="auto"/>
              <w:right w:val="single" w:sz="4" w:space="0" w:color="auto"/>
            </w:tcBorders>
            <w:shd w:val="clear" w:color="auto" w:fill="C6EFCE"/>
            <w:noWrap/>
          </w:tcPr>
          <w:p w14:paraId="462360BE" w14:textId="3CD467B4" w:rsidR="00CB0FCB" w:rsidRDefault="009D2B11">
            <w:pPr>
              <w:pStyle w:val="P68B1DB1-Normal10"/>
              <w:spacing w:after="0" w:line="240" w:lineRule="auto"/>
              <w:rPr>
                <w:rFonts w:eastAsia="Times New Roman" w:cs="Calibri"/>
                <w:noProof/>
              </w:rPr>
            </w:pPr>
            <w:r>
              <w:rPr>
                <w:noProof/>
              </w:rPr>
              <w:t>Izglītības, reliģisko lietu un sporta ministrija izdod apstiprinājuma lēmumus izraudzītajām universitātēm, lai uzlabotu un uzlabotu pētniecības un izglītības infrastruktūru (piemēram, aprīkojumu vai pētniecības laboratorijas), paplašinātu jaunas pētniecības jomas un uzlabotu piedāvāto apmācību.</w:t>
            </w:r>
          </w:p>
          <w:p w14:paraId="56433E07" w14:textId="77777777" w:rsidR="00CB0FCB" w:rsidRDefault="00CB0FCB">
            <w:pPr>
              <w:spacing w:after="0" w:line="240" w:lineRule="auto"/>
              <w:rPr>
                <w:rFonts w:eastAsia="Times New Roman" w:cs="Calibri"/>
                <w:noProof/>
                <w:color w:val="006100"/>
                <w:sz w:val="18"/>
                <w:szCs w:val="18"/>
              </w:rPr>
            </w:pPr>
          </w:p>
          <w:p w14:paraId="6CAF66AF" w14:textId="2942E468" w:rsidR="00CB0FCB" w:rsidRDefault="009D2B11">
            <w:pPr>
              <w:pStyle w:val="P68B1DB1-Normal9"/>
              <w:spacing w:after="0" w:line="240" w:lineRule="auto"/>
              <w:rPr>
                <w:rFonts w:eastAsia="Times New Roman" w:cs="Calibri"/>
                <w:noProof/>
                <w:szCs w:val="18"/>
              </w:rPr>
            </w:pPr>
            <w:r>
              <w:rPr>
                <w:noProof/>
                <w:szCs w:val="18"/>
              </w:rPr>
              <w:t xml:space="preserve">Izglītības, reliģisko lietu un sporta ministrijas </w:t>
            </w:r>
            <w:r>
              <w:rPr>
                <w:noProof/>
              </w:rPr>
              <w:t>apstiprinājuma lēmuma izdošana 70 sadarbības pētniecības projektiem starp universitātēm un privāto sektoru saskaņā ar iniciatīvu “Pētniecības izcilības kopas”.</w:t>
            </w:r>
          </w:p>
        </w:tc>
      </w:tr>
      <w:tr w:rsidR="00CB0FCB" w14:paraId="65DBA76F"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38CB9048" w14:textId="77777777" w:rsidR="00CB0FCB" w:rsidRDefault="009D2B11">
            <w:pPr>
              <w:pStyle w:val="P68B1DB1-Normal9"/>
              <w:spacing w:after="0" w:line="240" w:lineRule="auto"/>
              <w:rPr>
                <w:rFonts w:eastAsia="Times New Roman" w:cs="Calibri"/>
                <w:noProof/>
                <w:szCs w:val="18"/>
              </w:rPr>
            </w:pPr>
            <w:r>
              <w:rPr>
                <w:noProof/>
              </w:rPr>
              <w:t>148</w:t>
            </w:r>
          </w:p>
        </w:tc>
        <w:tc>
          <w:tcPr>
            <w:tcW w:w="1560" w:type="dxa"/>
            <w:tcBorders>
              <w:top w:val="nil"/>
              <w:left w:val="nil"/>
              <w:bottom w:val="single" w:sz="4" w:space="0" w:color="auto"/>
              <w:right w:val="single" w:sz="4" w:space="0" w:color="auto"/>
            </w:tcBorders>
            <w:shd w:val="clear" w:color="auto" w:fill="C6EFCE"/>
            <w:noWrap/>
          </w:tcPr>
          <w:p w14:paraId="746AD9D8"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16676_Izglītības digitālā pārveide</w:t>
            </w:r>
          </w:p>
        </w:tc>
        <w:tc>
          <w:tcPr>
            <w:tcW w:w="1424" w:type="dxa"/>
            <w:tcBorders>
              <w:top w:val="nil"/>
              <w:left w:val="nil"/>
              <w:bottom w:val="single" w:sz="4" w:space="0" w:color="auto"/>
              <w:right w:val="single" w:sz="4" w:space="0" w:color="auto"/>
            </w:tcBorders>
            <w:shd w:val="clear" w:color="auto" w:fill="C6EFCE"/>
            <w:noWrap/>
          </w:tcPr>
          <w:p w14:paraId="42341C72" w14:textId="77777777" w:rsidR="00CB0FCB" w:rsidRDefault="009D2B11">
            <w:pPr>
              <w:pStyle w:val="P68B1DB1-Normal9"/>
              <w:spacing w:after="0" w:line="240" w:lineRule="auto"/>
              <w:rPr>
                <w:rFonts w:eastAsia="Times New Roman" w:cs="Calibri"/>
                <w:noProof/>
                <w:szCs w:val="18"/>
              </w:rPr>
            </w:pPr>
            <w:r>
              <w:rPr>
                <w:noProof/>
              </w:rPr>
              <w:t>Mērķa</w:t>
            </w:r>
          </w:p>
        </w:tc>
        <w:tc>
          <w:tcPr>
            <w:tcW w:w="1586" w:type="dxa"/>
            <w:tcBorders>
              <w:top w:val="nil"/>
              <w:left w:val="nil"/>
              <w:bottom w:val="single" w:sz="4" w:space="0" w:color="auto"/>
              <w:right w:val="single" w:sz="4" w:space="0" w:color="auto"/>
            </w:tcBorders>
            <w:shd w:val="clear" w:color="auto" w:fill="C6EFCE"/>
            <w:noWrap/>
          </w:tcPr>
          <w:p w14:paraId="64340752" w14:textId="77777777" w:rsidR="00CB0FCB" w:rsidRDefault="009D2B11">
            <w:pPr>
              <w:pStyle w:val="P68B1DB1-Normal9"/>
              <w:spacing w:after="0" w:line="240" w:lineRule="auto"/>
              <w:rPr>
                <w:rFonts w:eastAsia="Times New Roman" w:cs="Calibri"/>
                <w:noProof/>
                <w:szCs w:val="18"/>
              </w:rPr>
            </w:pPr>
            <w:r>
              <w:rPr>
                <w:noProof/>
              </w:rPr>
              <w:t>Interaktīvo sistēmu uzstādīšanas pabeigšana</w:t>
            </w:r>
          </w:p>
        </w:tc>
        <w:tc>
          <w:tcPr>
            <w:tcW w:w="1713" w:type="dxa"/>
            <w:tcBorders>
              <w:top w:val="nil"/>
              <w:left w:val="nil"/>
              <w:bottom w:val="single" w:sz="4" w:space="0" w:color="auto"/>
              <w:right w:val="single" w:sz="4" w:space="0" w:color="auto"/>
            </w:tcBorders>
            <w:shd w:val="clear" w:color="auto" w:fill="C6EFCE"/>
            <w:noWrap/>
          </w:tcPr>
          <w:p w14:paraId="3B09C0B0" w14:textId="77777777" w:rsidR="00CB0FCB" w:rsidRDefault="00CB0FCB">
            <w:pPr>
              <w:spacing w:after="0" w:line="240" w:lineRule="auto"/>
              <w:rPr>
                <w:rFonts w:eastAsia="Times New Roman" w:cs="Calibri"/>
                <w:noProof/>
                <w:color w:val="006100"/>
                <w:sz w:val="18"/>
                <w:szCs w:val="18"/>
              </w:rPr>
            </w:pPr>
          </w:p>
        </w:tc>
        <w:tc>
          <w:tcPr>
            <w:tcW w:w="1154" w:type="dxa"/>
            <w:tcBorders>
              <w:top w:val="nil"/>
              <w:left w:val="nil"/>
              <w:bottom w:val="single" w:sz="4" w:space="0" w:color="auto"/>
              <w:right w:val="single" w:sz="4" w:space="0" w:color="auto"/>
            </w:tcBorders>
            <w:shd w:val="clear" w:color="auto" w:fill="C6EFCE"/>
            <w:noWrap/>
          </w:tcPr>
          <w:p w14:paraId="0031E8FF" w14:textId="77777777" w:rsidR="00CB0FCB" w:rsidRDefault="009D2B11">
            <w:pPr>
              <w:pStyle w:val="P68B1DB1-Normal9"/>
              <w:spacing w:after="0" w:line="240" w:lineRule="auto"/>
              <w:rPr>
                <w:rFonts w:eastAsia="Times New Roman" w:cs="Calibri"/>
                <w:noProof/>
                <w:szCs w:val="18"/>
              </w:rPr>
            </w:pPr>
            <w:r>
              <w:rPr>
                <w:noProof/>
              </w:rPr>
              <w:t>Uzstādīto interaktīvo mācību sistēmu skaits</w:t>
            </w:r>
          </w:p>
        </w:tc>
        <w:tc>
          <w:tcPr>
            <w:tcW w:w="857" w:type="dxa"/>
            <w:tcBorders>
              <w:top w:val="nil"/>
              <w:left w:val="nil"/>
              <w:bottom w:val="single" w:sz="4" w:space="0" w:color="auto"/>
              <w:right w:val="single" w:sz="4" w:space="0" w:color="auto"/>
            </w:tcBorders>
            <w:shd w:val="clear" w:color="auto" w:fill="C6EFCE"/>
            <w:noWrap/>
          </w:tcPr>
          <w:p w14:paraId="15C435F0" w14:textId="77777777" w:rsidR="00CB0FCB" w:rsidRDefault="009D2B11">
            <w:pPr>
              <w:pStyle w:val="P68B1DB1-Normal9"/>
              <w:spacing w:after="0" w:line="240" w:lineRule="auto"/>
              <w:rPr>
                <w:rFonts w:eastAsia="Times New Roman" w:cs="Calibri"/>
                <w:noProof/>
                <w:szCs w:val="18"/>
              </w:rPr>
            </w:pPr>
            <w:r>
              <w:rPr>
                <w:noProof/>
              </w:rPr>
              <w:t>0</w:t>
            </w:r>
          </w:p>
        </w:tc>
        <w:tc>
          <w:tcPr>
            <w:tcW w:w="771" w:type="dxa"/>
            <w:tcBorders>
              <w:top w:val="nil"/>
              <w:left w:val="nil"/>
              <w:bottom w:val="single" w:sz="4" w:space="0" w:color="auto"/>
              <w:right w:val="single" w:sz="4" w:space="0" w:color="auto"/>
            </w:tcBorders>
            <w:shd w:val="clear" w:color="auto" w:fill="C6EFCE"/>
            <w:noWrap/>
          </w:tcPr>
          <w:p w14:paraId="2355ED9D" w14:textId="77777777" w:rsidR="00CB0FCB" w:rsidRDefault="009D2B11">
            <w:pPr>
              <w:pStyle w:val="P68B1DB1-Normal9"/>
              <w:spacing w:after="0" w:line="240" w:lineRule="auto"/>
              <w:rPr>
                <w:rFonts w:eastAsia="Times New Roman" w:cs="Calibri"/>
                <w:noProof/>
                <w:szCs w:val="18"/>
              </w:rPr>
            </w:pPr>
            <w:r>
              <w:rPr>
                <w:noProof/>
              </w:rPr>
              <w:t>36 000</w:t>
            </w:r>
          </w:p>
        </w:tc>
        <w:tc>
          <w:tcPr>
            <w:tcW w:w="851" w:type="dxa"/>
            <w:tcBorders>
              <w:top w:val="nil"/>
              <w:left w:val="nil"/>
              <w:bottom w:val="single" w:sz="4" w:space="0" w:color="auto"/>
              <w:right w:val="single" w:sz="4" w:space="0" w:color="auto"/>
            </w:tcBorders>
            <w:shd w:val="clear" w:color="auto" w:fill="C6EFCE"/>
            <w:noWrap/>
          </w:tcPr>
          <w:p w14:paraId="32897570" w14:textId="7D811FE8" w:rsidR="00CB0FCB" w:rsidRDefault="009D2B11">
            <w:pPr>
              <w:pStyle w:val="P68B1DB1-Normal9"/>
              <w:spacing w:after="0" w:line="240" w:lineRule="auto"/>
              <w:rPr>
                <w:rFonts w:eastAsia="Times New Roman" w:cs="Calibri"/>
                <w:noProof/>
                <w:szCs w:val="18"/>
              </w:rPr>
            </w:pPr>
            <w:r>
              <w:rPr>
                <w:noProof/>
              </w:rPr>
              <w:t>2. CET.</w:t>
            </w:r>
          </w:p>
        </w:tc>
        <w:tc>
          <w:tcPr>
            <w:tcW w:w="720" w:type="dxa"/>
            <w:tcBorders>
              <w:top w:val="nil"/>
              <w:left w:val="nil"/>
              <w:bottom w:val="single" w:sz="4" w:space="0" w:color="auto"/>
              <w:right w:val="single" w:sz="4" w:space="0" w:color="auto"/>
            </w:tcBorders>
            <w:shd w:val="clear" w:color="auto" w:fill="C6EFCE"/>
            <w:noWrap/>
          </w:tcPr>
          <w:p w14:paraId="5E6B07BA" w14:textId="77777777" w:rsidR="00CB0FCB" w:rsidRDefault="009D2B11">
            <w:pPr>
              <w:pStyle w:val="P68B1DB1-Normal9"/>
              <w:spacing w:after="0" w:line="240" w:lineRule="auto"/>
              <w:rPr>
                <w:rFonts w:eastAsia="Times New Roman" w:cs="Calibri"/>
                <w:noProof/>
                <w:szCs w:val="18"/>
              </w:rPr>
            </w:pPr>
            <w:r>
              <w:rPr>
                <w:noProof/>
              </w:rPr>
              <w:t>2024</w:t>
            </w:r>
          </w:p>
        </w:tc>
        <w:tc>
          <w:tcPr>
            <w:tcW w:w="3710" w:type="dxa"/>
            <w:tcBorders>
              <w:top w:val="nil"/>
              <w:left w:val="nil"/>
              <w:bottom w:val="single" w:sz="4" w:space="0" w:color="auto"/>
              <w:right w:val="single" w:sz="4" w:space="0" w:color="auto"/>
            </w:tcBorders>
            <w:shd w:val="clear" w:color="auto" w:fill="C6EFCE"/>
            <w:noWrap/>
          </w:tcPr>
          <w:p w14:paraId="4B1453B2" w14:textId="7903BC80" w:rsidR="00CB0FCB" w:rsidRDefault="009D2B11">
            <w:pPr>
              <w:pStyle w:val="P68B1DB1-Normal9"/>
              <w:spacing w:after="0" w:line="240" w:lineRule="auto"/>
              <w:rPr>
                <w:rFonts w:eastAsia="Times New Roman" w:cs="Calibri"/>
                <w:noProof/>
                <w:szCs w:val="18"/>
              </w:rPr>
            </w:pPr>
            <w:r>
              <w:rPr>
                <w:noProof/>
              </w:rPr>
              <w:t>Vismaz 36000 interaktīvu mācību sistēmu uzstādīšana pamatskolu un vidusskolu klasēm</w:t>
            </w:r>
          </w:p>
        </w:tc>
      </w:tr>
      <w:tr w:rsidR="00CB0FCB" w14:paraId="570BE653"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36B32A03" w14:textId="77777777" w:rsidR="00CB0FCB" w:rsidRDefault="009D2B11">
            <w:pPr>
              <w:pStyle w:val="P68B1DB1-Normal9"/>
              <w:spacing w:after="0" w:line="240" w:lineRule="auto"/>
              <w:rPr>
                <w:rFonts w:eastAsia="Times New Roman" w:cs="Calibri"/>
                <w:noProof/>
                <w:szCs w:val="18"/>
              </w:rPr>
            </w:pPr>
            <w:r>
              <w:rPr>
                <w:noProof/>
              </w:rPr>
              <w:t>148.a</w:t>
            </w:r>
          </w:p>
        </w:tc>
        <w:tc>
          <w:tcPr>
            <w:tcW w:w="1560" w:type="dxa"/>
            <w:tcBorders>
              <w:top w:val="nil"/>
              <w:left w:val="nil"/>
              <w:bottom w:val="single" w:sz="4" w:space="0" w:color="auto"/>
              <w:right w:val="single" w:sz="4" w:space="0" w:color="auto"/>
            </w:tcBorders>
            <w:shd w:val="clear" w:color="auto" w:fill="C6EFCE"/>
            <w:noWrap/>
          </w:tcPr>
          <w:p w14:paraId="125F8305"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16676_Izglītības digitālā pārveide</w:t>
            </w:r>
          </w:p>
        </w:tc>
        <w:tc>
          <w:tcPr>
            <w:tcW w:w="1424" w:type="dxa"/>
            <w:tcBorders>
              <w:top w:val="nil"/>
              <w:left w:val="nil"/>
              <w:bottom w:val="single" w:sz="4" w:space="0" w:color="auto"/>
              <w:right w:val="single" w:sz="4" w:space="0" w:color="auto"/>
            </w:tcBorders>
            <w:shd w:val="clear" w:color="auto" w:fill="C6EFCE"/>
            <w:noWrap/>
          </w:tcPr>
          <w:p w14:paraId="753206B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86" w:type="dxa"/>
            <w:tcBorders>
              <w:top w:val="nil"/>
              <w:left w:val="nil"/>
              <w:bottom w:val="single" w:sz="4" w:space="0" w:color="auto"/>
              <w:right w:val="single" w:sz="4" w:space="0" w:color="auto"/>
            </w:tcBorders>
            <w:shd w:val="clear" w:color="auto" w:fill="C6EFCE"/>
            <w:noWrap/>
          </w:tcPr>
          <w:p w14:paraId="1B37B721" w14:textId="77777777" w:rsidR="00CB0FCB" w:rsidRDefault="009D2B11">
            <w:pPr>
              <w:pStyle w:val="P68B1DB1-Normal9"/>
              <w:spacing w:after="0" w:line="240" w:lineRule="auto"/>
              <w:rPr>
                <w:rFonts w:eastAsia="Times New Roman" w:cs="Calibri"/>
                <w:noProof/>
                <w:szCs w:val="18"/>
              </w:rPr>
            </w:pPr>
            <w:r>
              <w:rPr>
                <w:noProof/>
              </w:rPr>
              <w:t>Stratēģija mācību programmu atjaunināšanai, pakalpojumu racionalizēšanai un izglītības rezultātu uzraudzībai</w:t>
            </w:r>
          </w:p>
        </w:tc>
        <w:tc>
          <w:tcPr>
            <w:tcW w:w="1713" w:type="dxa"/>
            <w:tcBorders>
              <w:top w:val="nil"/>
              <w:left w:val="nil"/>
              <w:bottom w:val="single" w:sz="4" w:space="0" w:color="auto"/>
              <w:right w:val="single" w:sz="4" w:space="0" w:color="auto"/>
            </w:tcBorders>
            <w:shd w:val="clear" w:color="auto" w:fill="C6EFCE"/>
            <w:noWrap/>
          </w:tcPr>
          <w:p w14:paraId="43792629" w14:textId="77777777" w:rsidR="00CB0FCB" w:rsidRDefault="009D2B11">
            <w:pPr>
              <w:pStyle w:val="P68B1DB1-Normal9"/>
              <w:spacing w:after="0" w:line="240" w:lineRule="auto"/>
              <w:rPr>
                <w:rFonts w:eastAsia="Times New Roman" w:cs="Calibri"/>
                <w:noProof/>
                <w:szCs w:val="18"/>
              </w:rPr>
            </w:pPr>
            <w:r>
              <w:rPr>
                <w:noProof/>
              </w:rPr>
              <w:t>Visaptverošas reformu stratēģijas publicēšana, lai atjauninātu mācību programmas, racionalizētu pakalpojumus un uzraudzītu izglītības rezultātus</w:t>
            </w:r>
          </w:p>
        </w:tc>
        <w:tc>
          <w:tcPr>
            <w:tcW w:w="1154" w:type="dxa"/>
            <w:tcBorders>
              <w:top w:val="nil"/>
              <w:left w:val="nil"/>
              <w:bottom w:val="single" w:sz="4" w:space="0" w:color="auto"/>
              <w:right w:val="single" w:sz="4" w:space="0" w:color="auto"/>
            </w:tcBorders>
            <w:shd w:val="clear" w:color="auto" w:fill="C6EFCE"/>
            <w:noWrap/>
          </w:tcPr>
          <w:p w14:paraId="19B9BD14"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5975500" w14:textId="77777777" w:rsidR="00CB0FCB" w:rsidRDefault="00CB0FCB">
            <w:pPr>
              <w:spacing w:after="0" w:line="240" w:lineRule="auto"/>
              <w:rPr>
                <w:rFonts w:eastAsia="Times New Roman" w:cs="Calibri"/>
                <w:noProof/>
                <w:color w:val="006100"/>
                <w:sz w:val="18"/>
                <w:szCs w:val="18"/>
              </w:rPr>
            </w:pPr>
          </w:p>
        </w:tc>
        <w:tc>
          <w:tcPr>
            <w:tcW w:w="771" w:type="dxa"/>
            <w:tcBorders>
              <w:top w:val="nil"/>
              <w:left w:val="nil"/>
              <w:bottom w:val="single" w:sz="4" w:space="0" w:color="auto"/>
              <w:right w:val="single" w:sz="4" w:space="0" w:color="auto"/>
            </w:tcBorders>
            <w:shd w:val="clear" w:color="auto" w:fill="C6EFCE"/>
            <w:noWrap/>
          </w:tcPr>
          <w:p w14:paraId="19A4A556"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5C67A0E4" w14:textId="77777777" w:rsidR="00CB0FCB" w:rsidRDefault="009D2B11">
            <w:pPr>
              <w:pStyle w:val="P68B1DB1-Normal9"/>
              <w:spacing w:after="0" w:line="240" w:lineRule="auto"/>
              <w:rPr>
                <w:rFonts w:eastAsia="Times New Roman" w:cs="Calibri"/>
                <w:noProof/>
                <w:szCs w:val="18"/>
              </w:rPr>
            </w:pPr>
            <w:r>
              <w:rPr>
                <w:noProof/>
              </w:rPr>
              <w:t>2. CET.</w:t>
            </w:r>
          </w:p>
        </w:tc>
        <w:tc>
          <w:tcPr>
            <w:tcW w:w="720" w:type="dxa"/>
            <w:tcBorders>
              <w:top w:val="nil"/>
              <w:left w:val="nil"/>
              <w:bottom w:val="single" w:sz="4" w:space="0" w:color="auto"/>
              <w:right w:val="single" w:sz="4" w:space="0" w:color="auto"/>
            </w:tcBorders>
            <w:shd w:val="clear" w:color="auto" w:fill="C6EFCE"/>
            <w:noWrap/>
          </w:tcPr>
          <w:p w14:paraId="0E944411" w14:textId="77777777" w:rsidR="00CB0FCB" w:rsidRDefault="009D2B11">
            <w:pPr>
              <w:pStyle w:val="P68B1DB1-Normal9"/>
              <w:spacing w:after="0" w:line="240" w:lineRule="auto"/>
              <w:rPr>
                <w:rFonts w:eastAsia="Times New Roman" w:cs="Calibri"/>
                <w:noProof/>
                <w:szCs w:val="18"/>
              </w:rPr>
            </w:pPr>
            <w:r>
              <w:rPr>
                <w:noProof/>
              </w:rPr>
              <w:t>2025</w:t>
            </w:r>
          </w:p>
        </w:tc>
        <w:tc>
          <w:tcPr>
            <w:tcW w:w="3710" w:type="dxa"/>
            <w:tcBorders>
              <w:top w:val="nil"/>
              <w:left w:val="nil"/>
              <w:bottom w:val="single" w:sz="4" w:space="0" w:color="auto"/>
              <w:right w:val="single" w:sz="4" w:space="0" w:color="auto"/>
            </w:tcBorders>
            <w:shd w:val="clear" w:color="auto" w:fill="C6EFCE"/>
            <w:noWrap/>
          </w:tcPr>
          <w:p w14:paraId="6903EF9A" w14:textId="77777777" w:rsidR="00CB0FCB" w:rsidRDefault="009D2B11">
            <w:pPr>
              <w:spacing w:after="0" w:line="240" w:lineRule="auto"/>
              <w:rPr>
                <w:rFonts w:eastAsia="Times New Roman" w:cs="Calibri"/>
                <w:noProof/>
                <w:color w:val="006100"/>
                <w:sz w:val="18"/>
                <w:szCs w:val="18"/>
              </w:rPr>
            </w:pPr>
            <w:r>
              <w:rPr>
                <w:noProof/>
                <w:color w:val="006100"/>
                <w:sz w:val="18"/>
              </w:rPr>
              <w:t>Visaptverošas reformu stratēģijas izstrāde, lai atjauninātu mācību programmas, racionalizētu pakalpojumus un uzraudzītu izglītības rezultātus.</w:t>
            </w:r>
            <w:r>
              <w:rPr>
                <w:rStyle w:val="eop"/>
                <w:noProof/>
                <w:color w:val="D13438"/>
                <w:sz w:val="20"/>
              </w:rPr>
              <w:t xml:space="preserve"> </w:t>
            </w:r>
          </w:p>
        </w:tc>
      </w:tr>
      <w:tr w:rsidR="00CB0FCB" w14:paraId="5A13E28B"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7E8FCFE5" w14:textId="77777777" w:rsidR="00CB0FCB" w:rsidRDefault="009D2B11">
            <w:pPr>
              <w:pStyle w:val="P68B1DB1-Normal9"/>
              <w:spacing w:after="0" w:line="240" w:lineRule="auto"/>
              <w:rPr>
                <w:rFonts w:eastAsia="Times New Roman" w:cs="Calibri"/>
                <w:noProof/>
                <w:szCs w:val="18"/>
              </w:rPr>
            </w:pPr>
            <w:r>
              <w:rPr>
                <w:noProof/>
              </w:rPr>
              <w:t>148b</w:t>
            </w:r>
          </w:p>
        </w:tc>
        <w:tc>
          <w:tcPr>
            <w:tcW w:w="1560" w:type="dxa"/>
            <w:tcBorders>
              <w:top w:val="nil"/>
              <w:left w:val="nil"/>
              <w:bottom w:val="single" w:sz="4" w:space="0" w:color="auto"/>
              <w:right w:val="single" w:sz="4" w:space="0" w:color="auto"/>
            </w:tcBorders>
            <w:shd w:val="clear" w:color="auto" w:fill="C6EFCE"/>
            <w:noWrap/>
          </w:tcPr>
          <w:p w14:paraId="6E278AE9"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16676_Izglītības digitālā pārveide</w:t>
            </w:r>
          </w:p>
        </w:tc>
        <w:tc>
          <w:tcPr>
            <w:tcW w:w="1424" w:type="dxa"/>
            <w:tcBorders>
              <w:top w:val="nil"/>
              <w:left w:val="nil"/>
              <w:bottom w:val="single" w:sz="4" w:space="0" w:color="auto"/>
              <w:right w:val="single" w:sz="4" w:space="0" w:color="auto"/>
            </w:tcBorders>
            <w:shd w:val="clear" w:color="auto" w:fill="C6EFCE"/>
            <w:noWrap/>
          </w:tcPr>
          <w:p w14:paraId="7E08FD4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86" w:type="dxa"/>
            <w:tcBorders>
              <w:top w:val="nil"/>
              <w:left w:val="nil"/>
              <w:bottom w:val="single" w:sz="4" w:space="0" w:color="auto"/>
              <w:right w:val="single" w:sz="4" w:space="0" w:color="auto"/>
            </w:tcBorders>
            <w:shd w:val="clear" w:color="auto" w:fill="C6EFCE"/>
            <w:noWrap/>
          </w:tcPr>
          <w:p w14:paraId="39E8CD7B" w14:textId="77777777" w:rsidR="00CB0FCB" w:rsidRDefault="009D2B11">
            <w:pPr>
              <w:pStyle w:val="P68B1DB1-Normal9"/>
              <w:spacing w:after="0" w:line="240" w:lineRule="auto"/>
              <w:rPr>
                <w:rFonts w:eastAsia="Times New Roman" w:cs="Calibri"/>
                <w:noProof/>
                <w:szCs w:val="18"/>
              </w:rPr>
            </w:pPr>
            <w:r>
              <w:rPr>
                <w:noProof/>
              </w:rPr>
              <w:t>Izglītības digitālā pārveide</w:t>
            </w:r>
          </w:p>
        </w:tc>
        <w:tc>
          <w:tcPr>
            <w:tcW w:w="1713" w:type="dxa"/>
            <w:tcBorders>
              <w:top w:val="nil"/>
              <w:left w:val="nil"/>
              <w:bottom w:val="single" w:sz="4" w:space="0" w:color="auto"/>
              <w:right w:val="single" w:sz="4" w:space="0" w:color="auto"/>
            </w:tcBorders>
            <w:shd w:val="clear" w:color="auto" w:fill="C6EFCE"/>
            <w:noWrap/>
          </w:tcPr>
          <w:p w14:paraId="331FAEF1" w14:textId="77777777" w:rsidR="00CB0FCB" w:rsidRDefault="009D2B11">
            <w:pPr>
              <w:pStyle w:val="P68B1DB1-Normal9"/>
              <w:spacing w:after="0" w:line="240" w:lineRule="auto"/>
              <w:rPr>
                <w:rFonts w:eastAsia="Times New Roman" w:cs="Calibri"/>
                <w:noProof/>
                <w:szCs w:val="18"/>
              </w:rPr>
            </w:pPr>
            <w:r>
              <w:rPr>
                <w:noProof/>
              </w:rPr>
              <w:t>Izglītības ministrijas ziņojums par projektu pabeigšanu</w:t>
            </w:r>
          </w:p>
        </w:tc>
        <w:tc>
          <w:tcPr>
            <w:tcW w:w="1154" w:type="dxa"/>
            <w:tcBorders>
              <w:top w:val="nil"/>
              <w:left w:val="nil"/>
              <w:bottom w:val="single" w:sz="4" w:space="0" w:color="auto"/>
              <w:right w:val="single" w:sz="4" w:space="0" w:color="auto"/>
            </w:tcBorders>
            <w:shd w:val="clear" w:color="auto" w:fill="C6EFCE"/>
            <w:noWrap/>
          </w:tcPr>
          <w:p w14:paraId="6187236C"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866D834" w14:textId="77777777" w:rsidR="00CB0FCB" w:rsidRDefault="00CB0FCB">
            <w:pPr>
              <w:spacing w:after="0" w:line="240" w:lineRule="auto"/>
              <w:rPr>
                <w:rFonts w:eastAsia="Times New Roman" w:cs="Calibri"/>
                <w:noProof/>
                <w:color w:val="006100"/>
                <w:sz w:val="18"/>
                <w:szCs w:val="18"/>
              </w:rPr>
            </w:pPr>
          </w:p>
        </w:tc>
        <w:tc>
          <w:tcPr>
            <w:tcW w:w="771" w:type="dxa"/>
            <w:tcBorders>
              <w:top w:val="nil"/>
              <w:left w:val="nil"/>
              <w:bottom w:val="single" w:sz="4" w:space="0" w:color="auto"/>
              <w:right w:val="single" w:sz="4" w:space="0" w:color="auto"/>
            </w:tcBorders>
            <w:shd w:val="clear" w:color="auto" w:fill="C6EFCE"/>
            <w:noWrap/>
          </w:tcPr>
          <w:p w14:paraId="3C8100EF"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C0D9396"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tcBorders>
              <w:top w:val="nil"/>
              <w:left w:val="nil"/>
              <w:bottom w:val="single" w:sz="4" w:space="0" w:color="auto"/>
              <w:right w:val="single" w:sz="4" w:space="0" w:color="auto"/>
            </w:tcBorders>
            <w:shd w:val="clear" w:color="auto" w:fill="C6EFCE"/>
            <w:noWrap/>
          </w:tcPr>
          <w:p w14:paraId="6FE3B542" w14:textId="77777777" w:rsidR="00CB0FCB" w:rsidRDefault="009D2B11">
            <w:pPr>
              <w:pStyle w:val="P68B1DB1-Normal9"/>
              <w:spacing w:after="0" w:line="240" w:lineRule="auto"/>
              <w:rPr>
                <w:rFonts w:eastAsia="Times New Roman" w:cs="Calibri"/>
                <w:noProof/>
                <w:szCs w:val="18"/>
              </w:rPr>
            </w:pPr>
            <w:r>
              <w:rPr>
                <w:noProof/>
              </w:rPr>
              <w:t>2025</w:t>
            </w:r>
          </w:p>
        </w:tc>
        <w:tc>
          <w:tcPr>
            <w:tcW w:w="3710" w:type="dxa"/>
            <w:tcBorders>
              <w:top w:val="nil"/>
              <w:left w:val="nil"/>
              <w:bottom w:val="single" w:sz="4" w:space="0" w:color="auto"/>
              <w:right w:val="single" w:sz="4" w:space="0" w:color="auto"/>
            </w:tcBorders>
            <w:shd w:val="clear" w:color="auto" w:fill="C6EFCE"/>
            <w:noWrap/>
          </w:tcPr>
          <w:p w14:paraId="2E44A1D7" w14:textId="77777777" w:rsidR="00CB0FCB" w:rsidRDefault="009D2B11">
            <w:pPr>
              <w:pStyle w:val="P68B1DB1-paragraph28"/>
              <w:spacing w:before="0" w:beforeAutospacing="0" w:after="0" w:afterAutospacing="0"/>
              <w:textAlignment w:val="baseline"/>
              <w:rPr>
                <w:noProof/>
              </w:rPr>
            </w:pPr>
            <w:r>
              <w:rPr>
                <w:noProof/>
              </w:rPr>
              <w:t>Šādu projektu pabeigšana:</w:t>
            </w:r>
          </w:p>
          <w:p w14:paraId="0CB4B6FF" w14:textId="16186D88" w:rsidR="00CB0FCB" w:rsidRDefault="009D2B11">
            <w:pPr>
              <w:pStyle w:val="P68B1DB1-paragraph28"/>
              <w:spacing w:before="0" w:beforeAutospacing="0" w:after="0" w:afterAutospacing="0"/>
              <w:textAlignment w:val="baseline"/>
              <w:rPr>
                <w:noProof/>
              </w:rPr>
            </w:pPr>
            <w:r>
              <w:rPr>
                <w:noProof/>
              </w:rPr>
              <w:t>1. Konvencionālo mācību programmu un izglītības satura pārveidošana atklātā pirmkoda, interaktīvās un digitālās vidēs</w:t>
            </w:r>
          </w:p>
          <w:p w14:paraId="36BF5A13" w14:textId="0FC229CC" w:rsidR="00CB0FCB" w:rsidRDefault="009D2B11">
            <w:pPr>
              <w:pStyle w:val="P68B1DB1-paragraph28"/>
              <w:spacing w:before="0" w:beforeAutospacing="0" w:after="0" w:afterAutospacing="0"/>
              <w:textAlignment w:val="baseline"/>
              <w:rPr>
                <w:noProof/>
              </w:rPr>
            </w:pPr>
            <w:r>
              <w:rPr>
                <w:noProof/>
              </w:rPr>
              <w:t xml:space="preserve"> 2. Skolas profesionālās orientācijas nodrošināšana, izmantojot mašīnmācīšanos </w:t>
            </w:r>
          </w:p>
          <w:p w14:paraId="27318275" w14:textId="4006F53B" w:rsidR="00CB0FCB" w:rsidRDefault="009D2B11">
            <w:pPr>
              <w:pStyle w:val="P68B1DB1-paragraph28"/>
              <w:spacing w:before="0" w:beforeAutospacing="0" w:after="0" w:afterAutospacing="0"/>
              <w:textAlignment w:val="baseline"/>
              <w:rPr>
                <w:noProof/>
              </w:rPr>
            </w:pPr>
            <w:r>
              <w:rPr>
                <w:noProof/>
              </w:rPr>
              <w:t>3. Vismaz 2930 interaktīvu mācību sistēmu uzstādīšana pamatskolu un vidusskolu klasēm</w:t>
            </w:r>
          </w:p>
          <w:p w14:paraId="293978A5" w14:textId="498C4C13" w:rsidR="00CB0FCB" w:rsidRDefault="009D2B11">
            <w:pPr>
              <w:pStyle w:val="P68B1DB1-paragraph28"/>
              <w:spacing w:before="0" w:beforeAutospacing="0" w:after="0" w:afterAutospacing="0"/>
              <w:textAlignment w:val="baseline"/>
              <w:rPr>
                <w:noProof/>
              </w:rPr>
            </w:pPr>
            <w:r>
              <w:rPr>
                <w:noProof/>
              </w:rPr>
              <w:t xml:space="preserve">4. Vismaz 500000 kuponu nodrošināšana studentiem un skolotājiem digitālā aprīkojuma iegādei </w:t>
            </w:r>
          </w:p>
          <w:p w14:paraId="7ADE66CC" w14:textId="0CE45E24" w:rsidR="00CB0FCB" w:rsidRDefault="009D2B11">
            <w:pPr>
              <w:pStyle w:val="P68B1DB1-paragraph28"/>
              <w:spacing w:before="0" w:beforeAutospacing="0" w:after="0" w:afterAutospacing="0"/>
              <w:textAlignment w:val="baseline"/>
              <w:rPr>
                <w:noProof/>
              </w:rPr>
            </w:pPr>
            <w:r>
              <w:rPr>
                <w:noProof/>
              </w:rPr>
              <w:t>5. Robotikas un STEM mācību infrastruktūras nodrošināšana valsts skolām</w:t>
            </w:r>
          </w:p>
          <w:p w14:paraId="3A0FC69F" w14:textId="45FDA426" w:rsidR="00CB0FCB" w:rsidRDefault="009D2B11">
            <w:pPr>
              <w:pStyle w:val="P68B1DB1-paragraph28"/>
              <w:spacing w:before="0" w:beforeAutospacing="0" w:after="0" w:afterAutospacing="0"/>
              <w:textAlignment w:val="baseline"/>
              <w:rPr>
                <w:noProof/>
              </w:rPr>
            </w:pPr>
            <w:r>
              <w:rPr>
                <w:noProof/>
              </w:rPr>
              <w:t>6. Digitālo rīku nodrošināšana studentiem ar invaliditāti vai īpašām izglītības vajadzībām</w:t>
            </w:r>
          </w:p>
          <w:p w14:paraId="226E26B5" w14:textId="4A0D6F05" w:rsidR="00CB0FCB" w:rsidRDefault="009D2B11">
            <w:pPr>
              <w:pStyle w:val="P68B1DB1-paragraph28"/>
              <w:spacing w:before="0" w:beforeAutospacing="0" w:after="0" w:afterAutospacing="0"/>
              <w:textAlignment w:val="baseline"/>
              <w:rPr>
                <w:noProof/>
              </w:rPr>
            </w:pPr>
            <w:r>
              <w:rPr>
                <w:noProof/>
              </w:rPr>
              <w:t>7. Inovācijas centru izveide 13 reģionālajos direktorātos</w:t>
            </w:r>
          </w:p>
          <w:p w14:paraId="08B44BB6" w14:textId="3868E050" w:rsidR="00CB0FCB" w:rsidRDefault="009D2B11">
            <w:pPr>
              <w:pStyle w:val="P68B1DB1-paragraph28"/>
              <w:spacing w:before="0" w:beforeAutospacing="0" w:after="0" w:afterAutospacing="0"/>
              <w:textAlignment w:val="baseline"/>
              <w:rPr>
                <w:noProof/>
              </w:rPr>
            </w:pPr>
            <w:r>
              <w:rPr>
                <w:noProof/>
              </w:rPr>
              <w:t xml:space="preserve">8. Apmācības nodrošināšana 120000 skolotājiem, tostarp 35000 specializētiem skolotājiem </w:t>
            </w:r>
          </w:p>
          <w:p w14:paraId="0DADA808" w14:textId="35DA1683" w:rsidR="00CB0FCB" w:rsidRDefault="009D2B11">
            <w:pPr>
              <w:pStyle w:val="P68B1DB1-paragraph28"/>
              <w:spacing w:before="0" w:beforeAutospacing="0" w:after="0" w:afterAutospacing="0"/>
              <w:textAlignment w:val="baseline"/>
              <w:rPr>
                <w:rFonts w:ascii="Arial" w:hAnsi="Arial" w:cs="Arial"/>
                <w:b/>
                <w:noProof/>
                <w:sz w:val="22"/>
              </w:rPr>
            </w:pPr>
            <w:r>
              <w:rPr>
                <w:noProof/>
              </w:rPr>
              <w:t>9. Skolu un universitāšu digitālo pakalpojumu uzlabošana</w:t>
            </w:r>
          </w:p>
        </w:tc>
      </w:tr>
      <w:tr w:rsidR="00CB0FCB" w14:paraId="63733DEE"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47E6CBB5" w14:textId="77777777" w:rsidR="00CB0FCB" w:rsidRDefault="009D2B11">
            <w:pPr>
              <w:pStyle w:val="P68B1DB1-Normal9"/>
              <w:spacing w:after="0" w:line="240" w:lineRule="auto"/>
              <w:rPr>
                <w:rFonts w:eastAsia="Times New Roman" w:cs="Calibri"/>
                <w:noProof/>
                <w:szCs w:val="18"/>
              </w:rPr>
            </w:pPr>
            <w:r>
              <w:rPr>
                <w:noProof/>
              </w:rPr>
              <w:t>149</w:t>
            </w:r>
          </w:p>
        </w:tc>
        <w:tc>
          <w:tcPr>
            <w:tcW w:w="1560" w:type="dxa"/>
            <w:tcBorders>
              <w:top w:val="nil"/>
              <w:left w:val="nil"/>
              <w:bottom w:val="single" w:sz="4" w:space="0" w:color="auto"/>
              <w:right w:val="single" w:sz="4" w:space="0" w:color="auto"/>
            </w:tcBorders>
            <w:shd w:val="clear" w:color="auto" w:fill="C6EFCE"/>
            <w:noWrap/>
          </w:tcPr>
          <w:p w14:paraId="7C21B717" w14:textId="264F47DA"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16933_Profesionālās izglītības un apmācības (PIA) uzlabošana: Laboratorijas aprīkojuma piegāde laboratorijas centriem SAEK, EPAL, pēcvidusskolas praktikantu klasēm un profesionālās izglītības skolām</w:t>
            </w:r>
          </w:p>
        </w:tc>
        <w:tc>
          <w:tcPr>
            <w:tcW w:w="1424" w:type="dxa"/>
            <w:tcBorders>
              <w:top w:val="nil"/>
              <w:left w:val="nil"/>
              <w:bottom w:val="single" w:sz="4" w:space="0" w:color="auto"/>
              <w:right w:val="single" w:sz="4" w:space="0" w:color="auto"/>
            </w:tcBorders>
            <w:shd w:val="clear" w:color="auto" w:fill="C6EFCE"/>
            <w:noWrap/>
          </w:tcPr>
          <w:p w14:paraId="3479F37A" w14:textId="77777777" w:rsidR="00CB0FCB" w:rsidRDefault="009D2B11">
            <w:pPr>
              <w:pStyle w:val="P68B1DB1-Normal9"/>
              <w:spacing w:after="0" w:line="240" w:lineRule="auto"/>
              <w:rPr>
                <w:rFonts w:eastAsia="Times New Roman" w:cs="Calibri"/>
                <w:noProof/>
                <w:szCs w:val="18"/>
              </w:rPr>
            </w:pPr>
            <w:r>
              <w:rPr>
                <w:noProof/>
              </w:rPr>
              <w:t>Mērķa</w:t>
            </w:r>
          </w:p>
        </w:tc>
        <w:tc>
          <w:tcPr>
            <w:tcW w:w="1586" w:type="dxa"/>
            <w:tcBorders>
              <w:top w:val="nil"/>
              <w:left w:val="nil"/>
              <w:bottom w:val="single" w:sz="4" w:space="0" w:color="auto"/>
              <w:right w:val="single" w:sz="4" w:space="0" w:color="auto"/>
            </w:tcBorders>
            <w:shd w:val="clear" w:color="auto" w:fill="C6EFCE"/>
            <w:noWrap/>
          </w:tcPr>
          <w:p w14:paraId="457E6E8E" w14:textId="77777777" w:rsidR="00CB0FCB" w:rsidRDefault="009D2B11">
            <w:pPr>
              <w:pStyle w:val="P68B1DB1-Normal9"/>
              <w:spacing w:after="0" w:line="240" w:lineRule="auto"/>
              <w:rPr>
                <w:rFonts w:eastAsia="Times New Roman" w:cs="Calibri"/>
                <w:noProof/>
                <w:szCs w:val="18"/>
              </w:rPr>
            </w:pPr>
            <w:r>
              <w:rPr>
                <w:noProof/>
              </w:rPr>
              <w:t>PIA laboratoriju centru modernizācijas pabeigšana</w:t>
            </w:r>
          </w:p>
        </w:tc>
        <w:tc>
          <w:tcPr>
            <w:tcW w:w="1713" w:type="dxa"/>
            <w:tcBorders>
              <w:top w:val="nil"/>
              <w:left w:val="nil"/>
              <w:bottom w:val="single" w:sz="4" w:space="0" w:color="auto"/>
              <w:right w:val="single" w:sz="4" w:space="0" w:color="auto"/>
            </w:tcBorders>
            <w:shd w:val="clear" w:color="auto" w:fill="C6EFCE"/>
            <w:noWrap/>
          </w:tcPr>
          <w:p w14:paraId="1E641242" w14:textId="77777777" w:rsidR="00CB0FCB" w:rsidRDefault="00CB0FCB">
            <w:pPr>
              <w:spacing w:after="0" w:line="240" w:lineRule="auto"/>
              <w:rPr>
                <w:rFonts w:eastAsia="Times New Roman" w:cs="Calibri"/>
                <w:noProof/>
                <w:color w:val="006100"/>
                <w:sz w:val="18"/>
                <w:szCs w:val="18"/>
              </w:rPr>
            </w:pPr>
          </w:p>
        </w:tc>
        <w:tc>
          <w:tcPr>
            <w:tcW w:w="1154" w:type="dxa"/>
            <w:tcBorders>
              <w:top w:val="nil"/>
              <w:left w:val="nil"/>
              <w:bottom w:val="single" w:sz="4" w:space="0" w:color="auto"/>
              <w:right w:val="single" w:sz="4" w:space="0" w:color="auto"/>
            </w:tcBorders>
            <w:shd w:val="clear" w:color="auto" w:fill="C6EFCE"/>
            <w:noWrap/>
          </w:tcPr>
          <w:p w14:paraId="001D2B32" w14:textId="77777777" w:rsidR="00CB0FCB" w:rsidRDefault="009D2B11">
            <w:pPr>
              <w:pStyle w:val="P68B1DB1-Normal9"/>
              <w:spacing w:after="0" w:line="240" w:lineRule="auto"/>
              <w:rPr>
                <w:rFonts w:eastAsia="Times New Roman" w:cs="Calibri"/>
                <w:noProof/>
                <w:szCs w:val="18"/>
              </w:rPr>
            </w:pPr>
            <w:r>
              <w:rPr>
                <w:noProof/>
              </w:rPr>
              <w:t>Pilnībā modernizēto un atjaunoto laboratoriju skaits PIA skolās</w:t>
            </w:r>
          </w:p>
        </w:tc>
        <w:tc>
          <w:tcPr>
            <w:tcW w:w="857" w:type="dxa"/>
            <w:tcBorders>
              <w:top w:val="nil"/>
              <w:left w:val="nil"/>
              <w:bottom w:val="single" w:sz="4" w:space="0" w:color="auto"/>
              <w:right w:val="single" w:sz="4" w:space="0" w:color="auto"/>
            </w:tcBorders>
            <w:shd w:val="clear" w:color="auto" w:fill="C6EFCE"/>
            <w:noWrap/>
          </w:tcPr>
          <w:p w14:paraId="7A0EDFFF" w14:textId="77777777" w:rsidR="00CB0FCB" w:rsidRDefault="009D2B11">
            <w:pPr>
              <w:pStyle w:val="P68B1DB1-Normal9"/>
              <w:spacing w:after="0" w:line="240" w:lineRule="auto"/>
              <w:rPr>
                <w:rFonts w:eastAsia="Times New Roman" w:cs="Calibri"/>
                <w:noProof/>
                <w:szCs w:val="18"/>
              </w:rPr>
            </w:pPr>
            <w:r>
              <w:rPr>
                <w:noProof/>
              </w:rPr>
              <w:t>0</w:t>
            </w:r>
          </w:p>
        </w:tc>
        <w:tc>
          <w:tcPr>
            <w:tcW w:w="771" w:type="dxa"/>
            <w:tcBorders>
              <w:top w:val="nil"/>
              <w:left w:val="nil"/>
              <w:bottom w:val="single" w:sz="4" w:space="0" w:color="auto"/>
              <w:right w:val="single" w:sz="4" w:space="0" w:color="auto"/>
            </w:tcBorders>
            <w:shd w:val="clear" w:color="auto" w:fill="C6EFCE"/>
            <w:noWrap/>
          </w:tcPr>
          <w:p w14:paraId="27B43ABE" w14:textId="77777777" w:rsidR="00CB0FCB" w:rsidRDefault="009D2B11">
            <w:pPr>
              <w:pStyle w:val="P68B1DB1-Normal9"/>
              <w:spacing w:after="0" w:line="240" w:lineRule="auto"/>
              <w:rPr>
                <w:rFonts w:eastAsia="Times New Roman" w:cs="Calibri"/>
                <w:noProof/>
                <w:szCs w:val="18"/>
              </w:rPr>
            </w:pPr>
            <w:r>
              <w:rPr>
                <w:noProof/>
              </w:rPr>
              <w:t>376</w:t>
            </w:r>
          </w:p>
        </w:tc>
        <w:tc>
          <w:tcPr>
            <w:tcW w:w="851" w:type="dxa"/>
            <w:tcBorders>
              <w:top w:val="nil"/>
              <w:left w:val="nil"/>
              <w:bottom w:val="single" w:sz="4" w:space="0" w:color="auto"/>
              <w:right w:val="single" w:sz="4" w:space="0" w:color="auto"/>
            </w:tcBorders>
            <w:shd w:val="clear" w:color="auto" w:fill="C6EFCE"/>
            <w:noWrap/>
          </w:tcPr>
          <w:p w14:paraId="483E4BB0"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tcBorders>
              <w:top w:val="nil"/>
              <w:left w:val="nil"/>
              <w:bottom w:val="single" w:sz="4" w:space="0" w:color="auto"/>
              <w:right w:val="single" w:sz="4" w:space="0" w:color="auto"/>
            </w:tcBorders>
            <w:shd w:val="clear" w:color="auto" w:fill="C6EFCE"/>
            <w:noWrap/>
          </w:tcPr>
          <w:p w14:paraId="18EA6F6A" w14:textId="77777777" w:rsidR="00CB0FCB" w:rsidRDefault="009D2B11">
            <w:pPr>
              <w:pStyle w:val="P68B1DB1-Normal9"/>
              <w:spacing w:after="0" w:line="240" w:lineRule="auto"/>
              <w:rPr>
                <w:rFonts w:eastAsia="Times New Roman" w:cs="Calibri"/>
                <w:noProof/>
                <w:szCs w:val="18"/>
              </w:rPr>
            </w:pPr>
            <w:r>
              <w:rPr>
                <w:noProof/>
              </w:rPr>
              <w:t>2025</w:t>
            </w:r>
          </w:p>
        </w:tc>
        <w:tc>
          <w:tcPr>
            <w:tcW w:w="3710" w:type="dxa"/>
            <w:tcBorders>
              <w:top w:val="nil"/>
              <w:left w:val="nil"/>
              <w:bottom w:val="single" w:sz="4" w:space="0" w:color="auto"/>
              <w:right w:val="single" w:sz="4" w:space="0" w:color="auto"/>
            </w:tcBorders>
            <w:shd w:val="clear" w:color="auto" w:fill="C6EFCE"/>
            <w:noWrap/>
          </w:tcPr>
          <w:p w14:paraId="74C0EC21" w14:textId="77777777" w:rsidR="00CB0FCB" w:rsidRDefault="009D2B11">
            <w:pPr>
              <w:pStyle w:val="P68B1DB1-Normal9"/>
              <w:spacing w:after="0" w:line="240" w:lineRule="auto"/>
              <w:rPr>
                <w:rFonts w:eastAsia="Times New Roman" w:cs="Calibri"/>
                <w:noProof/>
                <w:szCs w:val="18"/>
              </w:rPr>
            </w:pPr>
            <w:r>
              <w:rPr>
                <w:noProof/>
              </w:rPr>
              <w:t xml:space="preserve">Pabeigta laboratorijas aprīkojuma infrastruktūras atjaunošana un tehnoloģiskā modernizācija 376 laboratorijām PIA skolās: </w:t>
            </w:r>
          </w:p>
          <w:p w14:paraId="282F97CA" w14:textId="4BAF981D" w:rsidR="00CB0FCB" w:rsidRDefault="009D2B11">
            <w:pPr>
              <w:pStyle w:val="P68B1DB1-Normal9"/>
              <w:spacing w:after="0" w:line="240" w:lineRule="auto"/>
              <w:rPr>
                <w:rFonts w:eastAsia="Times New Roman" w:cs="Calibri"/>
                <w:noProof/>
                <w:szCs w:val="18"/>
              </w:rPr>
            </w:pPr>
            <w:r>
              <w:rPr>
                <w:noProof/>
              </w:rPr>
              <w:t>—Progresīvās profesionālās izglītības skolas (SAEK)</w:t>
            </w:r>
          </w:p>
          <w:p w14:paraId="44DEE624" w14:textId="77777777" w:rsidR="00CB0FCB" w:rsidRDefault="009D2B11">
            <w:pPr>
              <w:pStyle w:val="P68B1DB1-Normal9"/>
              <w:spacing w:after="0" w:line="240" w:lineRule="auto"/>
              <w:rPr>
                <w:rFonts w:eastAsia="Times New Roman" w:cs="Calibri"/>
                <w:noProof/>
                <w:szCs w:val="18"/>
              </w:rPr>
            </w:pPr>
            <w:r>
              <w:rPr>
                <w:noProof/>
              </w:rPr>
              <w:t>—Profesionālie lyceums (EPAL)</w:t>
            </w:r>
          </w:p>
          <w:p w14:paraId="362FD10A" w14:textId="77777777" w:rsidR="00CB0FCB" w:rsidRDefault="009D2B11">
            <w:pPr>
              <w:pStyle w:val="P68B1DB1-Normal9"/>
              <w:spacing w:after="0" w:line="240" w:lineRule="auto"/>
              <w:rPr>
                <w:rFonts w:eastAsia="Times New Roman" w:cs="Calibri"/>
                <w:noProof/>
                <w:szCs w:val="18"/>
              </w:rPr>
            </w:pPr>
            <w:r>
              <w:rPr>
                <w:noProof/>
              </w:rPr>
              <w:t>— Profesionālās izglītības skolu pēcvidusskolas mācekļa klase.</w:t>
            </w:r>
          </w:p>
        </w:tc>
      </w:tr>
      <w:tr w:rsidR="00CB0FCB" w14:paraId="49245BD3"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571BB05F" w14:textId="77777777" w:rsidR="00CB0FCB" w:rsidRDefault="009D2B11">
            <w:pPr>
              <w:pStyle w:val="P68B1DB1-Normal10"/>
              <w:spacing w:after="0" w:line="240" w:lineRule="auto"/>
              <w:rPr>
                <w:rFonts w:eastAsia="Times New Roman" w:cs="Calibri"/>
                <w:noProof/>
              </w:rPr>
            </w:pPr>
            <w:r>
              <w:rPr>
                <w:noProof/>
              </w:rPr>
              <w:t>150</w:t>
            </w:r>
          </w:p>
        </w:tc>
        <w:tc>
          <w:tcPr>
            <w:tcW w:w="1560" w:type="dxa"/>
            <w:tcBorders>
              <w:top w:val="nil"/>
              <w:left w:val="nil"/>
              <w:bottom w:val="single" w:sz="4" w:space="0" w:color="auto"/>
              <w:right w:val="single" w:sz="4" w:space="0" w:color="auto"/>
            </w:tcBorders>
            <w:shd w:val="clear" w:color="auto" w:fill="C6EFCE"/>
            <w:noWrap/>
          </w:tcPr>
          <w:p w14:paraId="5C4A0F57"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16289_Stratēģija izcilībai universitātēs un inovācijā</w:t>
            </w:r>
          </w:p>
        </w:tc>
        <w:tc>
          <w:tcPr>
            <w:tcW w:w="1424" w:type="dxa"/>
            <w:tcBorders>
              <w:top w:val="nil"/>
              <w:left w:val="nil"/>
              <w:bottom w:val="single" w:sz="4" w:space="0" w:color="auto"/>
              <w:right w:val="single" w:sz="4" w:space="0" w:color="auto"/>
            </w:tcBorders>
            <w:shd w:val="clear" w:color="auto" w:fill="C6EFCE"/>
            <w:noWrap/>
          </w:tcPr>
          <w:p w14:paraId="203B6CD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86" w:type="dxa"/>
            <w:tcBorders>
              <w:top w:val="nil"/>
              <w:left w:val="nil"/>
              <w:bottom w:val="single" w:sz="4" w:space="0" w:color="auto"/>
              <w:right w:val="single" w:sz="4" w:space="0" w:color="auto"/>
            </w:tcBorders>
            <w:shd w:val="clear" w:color="auto" w:fill="C6EFCE"/>
            <w:noWrap/>
          </w:tcPr>
          <w:p w14:paraId="7897F173" w14:textId="77777777" w:rsidR="00CB0FCB" w:rsidRDefault="009D2B11">
            <w:pPr>
              <w:pStyle w:val="P68B1DB1-Normal9"/>
              <w:spacing w:after="0" w:line="240" w:lineRule="auto"/>
              <w:rPr>
                <w:rFonts w:eastAsia="Times New Roman" w:cs="Calibri"/>
                <w:noProof/>
                <w:szCs w:val="18"/>
              </w:rPr>
            </w:pPr>
            <w:r>
              <w:rPr>
                <w:noProof/>
              </w:rPr>
              <w:t>Visu universitāšu izcilības un inovācijas stratēģijas projektu pabeigšana</w:t>
            </w:r>
          </w:p>
          <w:p w14:paraId="7816BAF7" w14:textId="77777777" w:rsidR="00CB0FCB" w:rsidRDefault="00CB0FCB">
            <w:pPr>
              <w:spacing w:after="0" w:line="240" w:lineRule="auto"/>
              <w:rPr>
                <w:rFonts w:eastAsia="Times New Roman" w:cs="Calibri"/>
                <w:noProof/>
                <w:color w:val="006100"/>
                <w:sz w:val="18"/>
                <w:szCs w:val="18"/>
              </w:rPr>
            </w:pPr>
          </w:p>
        </w:tc>
        <w:tc>
          <w:tcPr>
            <w:tcW w:w="1713" w:type="dxa"/>
            <w:tcBorders>
              <w:top w:val="nil"/>
              <w:left w:val="nil"/>
              <w:bottom w:val="single" w:sz="4" w:space="0" w:color="auto"/>
              <w:right w:val="single" w:sz="4" w:space="0" w:color="auto"/>
            </w:tcBorders>
            <w:shd w:val="clear" w:color="auto" w:fill="C6EFCE"/>
            <w:noWrap/>
          </w:tcPr>
          <w:p w14:paraId="1B0F8F0B" w14:textId="2CE5A4E6" w:rsidR="00CB0FCB" w:rsidRDefault="009D2B11">
            <w:pPr>
              <w:pStyle w:val="P68B1DB1-Normal9"/>
              <w:spacing w:after="0" w:line="240" w:lineRule="auto"/>
              <w:rPr>
                <w:rFonts w:eastAsia="Times New Roman" w:cs="Calibri"/>
                <w:noProof/>
                <w:szCs w:val="18"/>
              </w:rPr>
            </w:pPr>
            <w:r>
              <w:rPr>
                <w:noProof/>
              </w:rPr>
              <w:t>Grieķijas Augstākās izglītības iestādes ziņojums, kurā apstiprināta visu universitāšu un inovāciju izcilības stratēģijas projektu pabeigšana.</w:t>
            </w:r>
          </w:p>
        </w:tc>
        <w:tc>
          <w:tcPr>
            <w:tcW w:w="1154" w:type="dxa"/>
            <w:tcBorders>
              <w:top w:val="nil"/>
              <w:left w:val="nil"/>
              <w:bottom w:val="single" w:sz="4" w:space="0" w:color="auto"/>
              <w:right w:val="single" w:sz="4" w:space="0" w:color="auto"/>
            </w:tcBorders>
            <w:shd w:val="clear" w:color="auto" w:fill="C6EFCE"/>
            <w:noWrap/>
          </w:tcPr>
          <w:p w14:paraId="3EEF4F78"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DC88A74" w14:textId="77777777" w:rsidR="00CB0FCB" w:rsidRDefault="00CB0FCB">
            <w:pPr>
              <w:spacing w:after="0" w:line="240" w:lineRule="auto"/>
              <w:rPr>
                <w:rFonts w:eastAsia="Times New Roman" w:cs="Calibri"/>
                <w:noProof/>
                <w:color w:val="006100"/>
                <w:sz w:val="18"/>
                <w:szCs w:val="18"/>
              </w:rPr>
            </w:pPr>
          </w:p>
        </w:tc>
        <w:tc>
          <w:tcPr>
            <w:tcW w:w="771" w:type="dxa"/>
            <w:tcBorders>
              <w:top w:val="nil"/>
              <w:left w:val="nil"/>
              <w:bottom w:val="single" w:sz="4" w:space="0" w:color="auto"/>
              <w:right w:val="single" w:sz="4" w:space="0" w:color="auto"/>
            </w:tcBorders>
            <w:shd w:val="clear" w:color="auto" w:fill="C6EFCE"/>
            <w:noWrap/>
          </w:tcPr>
          <w:p w14:paraId="11747882"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C3FCA26" w14:textId="77777777" w:rsidR="00CB0FCB" w:rsidRDefault="009D2B11">
            <w:pPr>
              <w:pStyle w:val="P68B1DB1-Normal9"/>
              <w:spacing w:after="0" w:line="240" w:lineRule="auto"/>
              <w:rPr>
                <w:rFonts w:eastAsia="Times New Roman" w:cs="Calibri"/>
                <w:noProof/>
                <w:szCs w:val="18"/>
              </w:rPr>
            </w:pPr>
            <w:r>
              <w:rPr>
                <w:noProof/>
              </w:rPr>
              <w:t>4. CET.</w:t>
            </w:r>
          </w:p>
        </w:tc>
        <w:tc>
          <w:tcPr>
            <w:tcW w:w="720" w:type="dxa"/>
            <w:tcBorders>
              <w:top w:val="nil"/>
              <w:left w:val="nil"/>
              <w:bottom w:val="single" w:sz="4" w:space="0" w:color="auto"/>
              <w:right w:val="single" w:sz="4" w:space="0" w:color="auto"/>
            </w:tcBorders>
            <w:shd w:val="clear" w:color="auto" w:fill="C6EFCE"/>
            <w:noWrap/>
          </w:tcPr>
          <w:p w14:paraId="763AF31C" w14:textId="77777777" w:rsidR="00CB0FCB" w:rsidRDefault="009D2B11">
            <w:pPr>
              <w:pStyle w:val="P68B1DB1-Normal9"/>
              <w:spacing w:after="0" w:line="240" w:lineRule="auto"/>
              <w:rPr>
                <w:rFonts w:eastAsia="Times New Roman" w:cs="Calibri"/>
                <w:noProof/>
                <w:szCs w:val="18"/>
              </w:rPr>
            </w:pPr>
            <w:r>
              <w:rPr>
                <w:noProof/>
              </w:rPr>
              <w:t>2025</w:t>
            </w:r>
          </w:p>
        </w:tc>
        <w:tc>
          <w:tcPr>
            <w:tcW w:w="3710" w:type="dxa"/>
            <w:tcBorders>
              <w:top w:val="nil"/>
              <w:left w:val="nil"/>
              <w:bottom w:val="single" w:sz="4" w:space="0" w:color="auto"/>
              <w:right w:val="single" w:sz="4" w:space="0" w:color="auto"/>
            </w:tcBorders>
            <w:shd w:val="clear" w:color="auto" w:fill="C6EFCE"/>
            <w:noWrap/>
          </w:tcPr>
          <w:p w14:paraId="4E8D7B2C" w14:textId="00F3E04E" w:rsidR="00CB0FCB" w:rsidRDefault="009D2B11">
            <w:pPr>
              <w:pStyle w:val="P68B1DB1-Normal9"/>
              <w:spacing w:after="0" w:line="240" w:lineRule="auto"/>
              <w:rPr>
                <w:rFonts w:eastAsia="Times New Roman" w:cs="Calibri"/>
                <w:noProof/>
                <w:szCs w:val="18"/>
              </w:rPr>
            </w:pPr>
            <w:r>
              <w:rPr>
                <w:noProof/>
              </w:rPr>
              <w:t>Visu universitāšu izcilības un inovācijas stratēģijas projektu pabeigšana:</w:t>
            </w:r>
          </w:p>
          <w:p w14:paraId="2D51893C" w14:textId="77777777" w:rsidR="00CB0FCB" w:rsidRDefault="009D2B11">
            <w:pPr>
              <w:pStyle w:val="P68B1DB1-Normal9"/>
              <w:spacing w:after="0" w:line="240" w:lineRule="auto"/>
              <w:rPr>
                <w:noProof/>
              </w:rPr>
            </w:pPr>
            <w:r>
              <w:rPr>
                <w:noProof/>
              </w:rPr>
              <w:t>a) 70 sadarbības pētniecības projektu (pētniecības izcilības kopas) pabeigšana akadēmiskajām aprindām ar privātā sektora uzņēmumiem.</w:t>
            </w:r>
          </w:p>
          <w:p w14:paraId="2C0A8722" w14:textId="1DB6804C" w:rsidR="00CB0FCB" w:rsidRDefault="00CB0FCB">
            <w:pPr>
              <w:spacing w:after="0" w:line="240" w:lineRule="auto"/>
              <w:rPr>
                <w:noProof/>
                <w:color w:val="006100"/>
                <w:sz w:val="18"/>
                <w:szCs w:val="18"/>
              </w:rPr>
            </w:pPr>
          </w:p>
          <w:p w14:paraId="2B7A293C" w14:textId="406BFDBF" w:rsidR="00CB0FCB" w:rsidRDefault="009D2B11">
            <w:pPr>
              <w:pStyle w:val="P68B1DB1-Normal10"/>
              <w:spacing w:after="0" w:line="240" w:lineRule="auto"/>
              <w:rPr>
                <w:noProof/>
              </w:rPr>
            </w:pPr>
            <w:r>
              <w:rPr>
                <w:noProof/>
              </w:rPr>
              <w:t>b) Pasākuma kontekstā izraudzīto Grieķijas universitāšu pētniecības un izglītības infrastruktūras modernizācijas pabeigšana.</w:t>
            </w:r>
          </w:p>
          <w:p w14:paraId="088CB898" w14:textId="6BBE7653" w:rsidR="00CB0FCB" w:rsidRDefault="009D2B11">
            <w:pPr>
              <w:pStyle w:val="P68B1DB1-Normal9"/>
              <w:spacing w:after="0" w:line="240" w:lineRule="auto"/>
              <w:rPr>
                <w:noProof/>
              </w:rPr>
            </w:pPr>
            <w:r>
              <w:rPr>
                <w:noProof/>
              </w:rPr>
              <w:t xml:space="preserve"> </w:t>
            </w:r>
          </w:p>
          <w:p w14:paraId="1D5BA9C3" w14:textId="11BA5E48" w:rsidR="00CB0FCB" w:rsidRDefault="009D2B11">
            <w:pPr>
              <w:pStyle w:val="P68B1DB1-Normal9"/>
              <w:spacing w:after="0"/>
              <w:rPr>
                <w:rFonts w:eastAsia="Times New Roman" w:cs="Calibri"/>
                <w:noProof/>
                <w:szCs w:val="18"/>
              </w:rPr>
            </w:pPr>
            <w:r>
              <w:rPr>
                <w:noProof/>
              </w:rPr>
              <w:t>Grieķijas Nacionālā bibliotēku tīkla digitālās pārveides pabeigšana.</w:t>
            </w:r>
          </w:p>
          <w:p w14:paraId="76662EF5" w14:textId="35BF9EFD" w:rsidR="00CB0FCB" w:rsidRDefault="009D2B11">
            <w:pPr>
              <w:pStyle w:val="P68B1DB1-Normal17"/>
              <w:spacing w:after="0"/>
              <w:rPr>
                <w:noProof/>
              </w:rPr>
            </w:pPr>
            <w:r>
              <w:rPr>
                <w:noProof/>
              </w:rPr>
              <w:t>kopīgu un/vai duālu pēcdiploma studiju programmu izveide ar ārvalstu universitātēm.</w:t>
            </w:r>
          </w:p>
        </w:tc>
      </w:tr>
      <w:tr w:rsidR="00CB0FCB" w14:paraId="223F309B" w14:textId="77777777">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7EB07F8" w14:textId="77777777" w:rsidR="00CB0FCB" w:rsidRDefault="009D2B11">
            <w:pPr>
              <w:pStyle w:val="P68B1DB1-Normal9"/>
              <w:spacing w:after="0" w:line="240" w:lineRule="auto"/>
              <w:rPr>
                <w:rFonts w:eastAsia="Times New Roman" w:cs="Calibri"/>
                <w:noProof/>
                <w:szCs w:val="18"/>
              </w:rPr>
            </w:pPr>
            <w:r>
              <w:rPr>
                <w:noProof/>
              </w:rPr>
              <w:t>152</w:t>
            </w:r>
          </w:p>
        </w:tc>
        <w:tc>
          <w:tcPr>
            <w:tcW w:w="1560" w:type="dxa"/>
            <w:tcBorders>
              <w:top w:val="single" w:sz="4" w:space="0" w:color="auto"/>
              <w:left w:val="nil"/>
              <w:bottom w:val="single" w:sz="4" w:space="0" w:color="auto"/>
              <w:right w:val="single" w:sz="4" w:space="0" w:color="auto"/>
            </w:tcBorders>
            <w:shd w:val="clear" w:color="auto" w:fill="C6EFCE"/>
            <w:noWrap/>
          </w:tcPr>
          <w:p w14:paraId="4E9D7801" w14:textId="77777777" w:rsidR="00CB0FCB" w:rsidRDefault="009D2B11">
            <w:pPr>
              <w:pStyle w:val="P68B1DB1-Normal9"/>
              <w:spacing w:after="0" w:line="240" w:lineRule="auto"/>
              <w:rPr>
                <w:rFonts w:eastAsia="Times New Roman" w:cs="Calibri"/>
                <w:noProof/>
                <w:szCs w:val="18"/>
              </w:rPr>
            </w:pPr>
            <w:r>
              <w:rPr>
                <w:noProof/>
              </w:rPr>
              <w:t>9–3.2. Izglītība, profesionālā izglītība un apmācība un prasmes — 16934_Profesionālās izglītības un apmācības uzlabošana</w:t>
            </w:r>
          </w:p>
        </w:tc>
        <w:tc>
          <w:tcPr>
            <w:tcW w:w="1424" w:type="dxa"/>
            <w:tcBorders>
              <w:top w:val="single" w:sz="4" w:space="0" w:color="auto"/>
              <w:left w:val="nil"/>
              <w:bottom w:val="single" w:sz="4" w:space="0" w:color="auto"/>
              <w:right w:val="single" w:sz="4" w:space="0" w:color="auto"/>
            </w:tcBorders>
            <w:shd w:val="clear" w:color="auto" w:fill="C6EFCE"/>
            <w:noWrap/>
          </w:tcPr>
          <w:p w14:paraId="0A11A01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86" w:type="dxa"/>
            <w:tcBorders>
              <w:top w:val="single" w:sz="4" w:space="0" w:color="auto"/>
              <w:left w:val="nil"/>
              <w:bottom w:val="single" w:sz="4" w:space="0" w:color="auto"/>
              <w:right w:val="single" w:sz="4" w:space="0" w:color="auto"/>
            </w:tcBorders>
            <w:shd w:val="clear" w:color="auto" w:fill="C6EFCE"/>
            <w:noWrap/>
          </w:tcPr>
          <w:p w14:paraId="6136A6FB" w14:textId="1343178B" w:rsidR="00CB0FCB" w:rsidRDefault="009D2B11">
            <w:pPr>
              <w:pStyle w:val="P68B1DB1-Normal9"/>
              <w:spacing w:after="0" w:line="240" w:lineRule="auto"/>
              <w:rPr>
                <w:rFonts w:eastAsia="Times New Roman" w:cs="Calibri"/>
                <w:noProof/>
                <w:szCs w:val="18"/>
              </w:rPr>
            </w:pPr>
            <w:r>
              <w:rPr>
                <w:noProof/>
              </w:rPr>
              <w:t>PIA sistēmas SAEK modernizācija, EPAL modeļa izstrāde un izstrāde, digitalizācija EOPPEP pabeigšana</w:t>
            </w:r>
          </w:p>
        </w:tc>
        <w:tc>
          <w:tcPr>
            <w:tcW w:w="1713" w:type="dxa"/>
            <w:tcBorders>
              <w:top w:val="single" w:sz="4" w:space="0" w:color="auto"/>
              <w:left w:val="nil"/>
              <w:bottom w:val="single" w:sz="4" w:space="0" w:color="auto"/>
              <w:right w:val="single" w:sz="4" w:space="0" w:color="auto"/>
            </w:tcBorders>
            <w:shd w:val="clear" w:color="auto" w:fill="C6EFCE"/>
            <w:noWrap/>
          </w:tcPr>
          <w:p w14:paraId="08B0E03A" w14:textId="77777777" w:rsidR="00CB0FCB" w:rsidRDefault="009D2B11">
            <w:pPr>
              <w:pStyle w:val="P68B1DB1-Normal9"/>
              <w:spacing w:after="0" w:line="240" w:lineRule="auto"/>
              <w:rPr>
                <w:rFonts w:eastAsia="Times New Roman" w:cs="Calibri"/>
                <w:noProof/>
                <w:szCs w:val="18"/>
              </w:rPr>
            </w:pPr>
            <w:r>
              <w:rPr>
                <w:noProof/>
              </w:rPr>
              <w:t>Izglītības ministrijas ziņojums par projektu pabeigšanu</w:t>
            </w:r>
          </w:p>
        </w:tc>
        <w:tc>
          <w:tcPr>
            <w:tcW w:w="1154" w:type="dxa"/>
            <w:tcBorders>
              <w:top w:val="single" w:sz="4" w:space="0" w:color="auto"/>
              <w:left w:val="nil"/>
              <w:bottom w:val="single" w:sz="4" w:space="0" w:color="auto"/>
              <w:right w:val="single" w:sz="4" w:space="0" w:color="auto"/>
            </w:tcBorders>
            <w:shd w:val="clear" w:color="auto" w:fill="C6EFCE"/>
            <w:noWrap/>
          </w:tcPr>
          <w:p w14:paraId="0496B9E9"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566D2E6" w14:textId="77777777" w:rsidR="00CB0FCB" w:rsidRDefault="00CB0FCB">
            <w:pPr>
              <w:spacing w:after="0" w:line="240" w:lineRule="auto"/>
              <w:rPr>
                <w:rFonts w:eastAsia="Times New Roman" w:cs="Calibri"/>
                <w:noProof/>
                <w:color w:val="006100"/>
                <w:sz w:val="18"/>
                <w:szCs w:val="18"/>
              </w:rPr>
            </w:pPr>
          </w:p>
        </w:tc>
        <w:tc>
          <w:tcPr>
            <w:tcW w:w="771" w:type="dxa"/>
            <w:tcBorders>
              <w:top w:val="single" w:sz="4" w:space="0" w:color="auto"/>
              <w:left w:val="nil"/>
              <w:bottom w:val="single" w:sz="4" w:space="0" w:color="auto"/>
              <w:right w:val="single" w:sz="4" w:space="0" w:color="auto"/>
            </w:tcBorders>
            <w:shd w:val="clear" w:color="auto" w:fill="C6EFCE"/>
            <w:noWrap/>
          </w:tcPr>
          <w:p w14:paraId="74B57E52" w14:textId="77777777" w:rsidR="00CB0FCB" w:rsidRDefault="00CB0FCB">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732BD4D2" w14:textId="77777777" w:rsidR="00CB0FCB" w:rsidRDefault="009D2B11">
            <w:pPr>
              <w:pStyle w:val="P68B1DB1-Normal9"/>
              <w:spacing w:after="0" w:line="240" w:lineRule="auto"/>
              <w:rPr>
                <w:noProof/>
              </w:rPr>
            </w:pPr>
            <w:r>
              <w:rPr>
                <w:noProof/>
              </w:rPr>
              <w:t>4. CET.</w:t>
            </w:r>
          </w:p>
          <w:p w14:paraId="71BBF58A" w14:textId="20304745" w:rsidR="00CB0FCB" w:rsidRDefault="00CB0FCB">
            <w:pPr>
              <w:spacing w:after="0" w:line="240" w:lineRule="auto"/>
              <w:rPr>
                <w:rFonts w:eastAsia="Times New Roman" w:cs="Calibri"/>
                <w:noProof/>
                <w:color w:val="006100"/>
                <w:sz w:val="18"/>
                <w:szCs w:val="18"/>
              </w:rPr>
            </w:pPr>
          </w:p>
        </w:tc>
        <w:tc>
          <w:tcPr>
            <w:tcW w:w="720" w:type="dxa"/>
            <w:tcBorders>
              <w:top w:val="single" w:sz="4" w:space="0" w:color="auto"/>
              <w:left w:val="nil"/>
              <w:bottom w:val="single" w:sz="4" w:space="0" w:color="auto"/>
              <w:right w:val="single" w:sz="4" w:space="0" w:color="auto"/>
            </w:tcBorders>
            <w:shd w:val="clear" w:color="auto" w:fill="C6EFCE"/>
            <w:noWrap/>
          </w:tcPr>
          <w:p w14:paraId="52C7A2BF" w14:textId="77777777" w:rsidR="00CB0FCB" w:rsidRDefault="009D2B11">
            <w:pPr>
              <w:pStyle w:val="P68B1DB1-Normal9"/>
              <w:spacing w:after="0" w:line="240" w:lineRule="auto"/>
              <w:rPr>
                <w:rFonts w:eastAsia="Times New Roman" w:cs="Calibri"/>
                <w:noProof/>
                <w:szCs w:val="18"/>
              </w:rPr>
            </w:pPr>
            <w:r>
              <w:rPr>
                <w:noProof/>
              </w:rPr>
              <w:t>2025</w:t>
            </w:r>
          </w:p>
        </w:tc>
        <w:tc>
          <w:tcPr>
            <w:tcW w:w="3710" w:type="dxa"/>
            <w:tcBorders>
              <w:top w:val="single" w:sz="4" w:space="0" w:color="auto"/>
              <w:left w:val="nil"/>
              <w:bottom w:val="single" w:sz="4" w:space="0" w:color="auto"/>
              <w:right w:val="single" w:sz="4" w:space="0" w:color="auto"/>
            </w:tcBorders>
            <w:shd w:val="clear" w:color="auto" w:fill="C6EFCE"/>
            <w:noWrap/>
          </w:tcPr>
          <w:p w14:paraId="4FBB5DB7" w14:textId="77777777" w:rsidR="00CB0FCB" w:rsidRDefault="009D2B11">
            <w:pPr>
              <w:pStyle w:val="P68B1DB1-Normal9"/>
              <w:spacing w:after="0" w:line="240" w:lineRule="auto"/>
              <w:rPr>
                <w:noProof/>
              </w:rPr>
            </w:pPr>
            <w:r>
              <w:rPr>
                <w:noProof/>
              </w:rPr>
              <w:t>Pabeigti šādi projekti, kuru mērķis ir uzlabot profesionālās izglītības un apmācības sistēmu:</w:t>
            </w:r>
          </w:p>
          <w:p w14:paraId="620717A3" w14:textId="6CA1197D" w:rsidR="00CB0FCB" w:rsidRDefault="009D2B11">
            <w:pPr>
              <w:pStyle w:val="P68B1DB1-Normal9"/>
              <w:spacing w:after="0" w:line="240" w:lineRule="auto"/>
              <w:rPr>
                <w:noProof/>
              </w:rPr>
            </w:pPr>
            <w:r>
              <w:rPr>
                <w:noProof/>
              </w:rPr>
              <w:t>1. Mācību ceļvežu, mācību programmu un pasniedzēju apmācības izstrāde un izstrāde 5 tematiskajām un 10 padziļinātās profesionālās izglītības eksperimentālajām skolām (SAEK) un ēku renovācija 6 tematiskās/eksperimentālās SAEK vajadzībām;</w:t>
            </w:r>
          </w:p>
          <w:p w14:paraId="5C65081E" w14:textId="5A19A51E" w:rsidR="00CB0FCB" w:rsidRDefault="009D2B11">
            <w:pPr>
              <w:pStyle w:val="P68B1DB1-Normal9"/>
              <w:spacing w:after="0" w:line="240" w:lineRule="auto"/>
              <w:rPr>
                <w:noProof/>
              </w:rPr>
            </w:pPr>
            <w:r>
              <w:rPr>
                <w:noProof/>
              </w:rPr>
              <w:t>2. Mācību programmu, mācību programmu un pasniedzēju apmācības izstrāde un izstrāde 25 modeļu profesionālajiem gičiem (paraugs ΕPΑL) un ēku renovācija 21 modelim EPAL;</w:t>
            </w:r>
          </w:p>
          <w:p w14:paraId="2AF55EB6" w14:textId="77777777" w:rsidR="00CB0FCB" w:rsidRDefault="009D2B11">
            <w:pPr>
              <w:pStyle w:val="P68B1DB1-Normal9"/>
              <w:spacing w:after="0" w:line="240" w:lineRule="auto"/>
              <w:rPr>
                <w:rFonts w:eastAsia="Times New Roman" w:cs="Calibri"/>
                <w:noProof/>
                <w:szCs w:val="18"/>
              </w:rPr>
            </w:pPr>
            <w:r>
              <w:rPr>
                <w:noProof/>
              </w:rPr>
              <w:t>3. Valsts kvalifikāciju un profesionālās orientācijas sertifikācijas organizācijas (EOPPEP) digitalizācija, tostarp e-pārbaužu platformas un PIA e-mācību platformas izstrāde.</w:t>
            </w:r>
          </w:p>
        </w:tc>
      </w:tr>
    </w:tbl>
    <w:p w14:paraId="69EE46B8"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163"/>
          <w:headerReference w:type="default" r:id="rId164"/>
          <w:footerReference w:type="even" r:id="rId165"/>
          <w:footerReference w:type="default" r:id="rId166"/>
          <w:headerReference w:type="first" r:id="rId167"/>
          <w:footerReference w:type="first" r:id="rId168"/>
          <w:pgSz w:w="16839" w:h="11907" w:orient="landscape"/>
          <w:pgMar w:top="720" w:right="720" w:bottom="720" w:left="720" w:header="709" w:footer="75" w:gutter="0"/>
          <w:cols w:space="720"/>
          <w:docGrid w:linePitch="360"/>
        </w:sectPr>
      </w:pPr>
    </w:p>
    <w:p w14:paraId="751BFBF3" w14:textId="77777777" w:rsidR="00CB0FCB" w:rsidRDefault="009D2B11">
      <w:pPr>
        <w:pStyle w:val="P68B1DB1-Normal2"/>
        <w:spacing w:before="120" w:after="120" w:line="240" w:lineRule="auto"/>
        <w:ind w:firstLine="6"/>
        <w:jc w:val="both"/>
        <w:outlineLvl w:val="3"/>
        <w:rPr>
          <w:rFonts w:cs="Times New Roman"/>
          <w:bCs/>
          <w:noProof/>
        </w:rPr>
      </w:pPr>
      <w:r>
        <w:rPr>
          <w:noProof/>
        </w:rPr>
        <w:t>J. 3.3. KOMPONENTS: VESELĪBAS APRŪPES NOTURĪBAS, PIEEJAMĪBAS UN ILGTSPĒJAS UZLABOŠANA</w:t>
      </w:r>
    </w:p>
    <w:p w14:paraId="4D9D83D3" w14:textId="77777777" w:rsidR="00CB0FCB" w:rsidRDefault="009D2B11">
      <w:pPr>
        <w:pStyle w:val="P68B1DB1-Normal4"/>
        <w:spacing w:before="120" w:after="120" w:line="240" w:lineRule="auto"/>
        <w:jc w:val="both"/>
        <w:rPr>
          <w:rFonts w:cs="Times New Roman"/>
          <w:noProof/>
        </w:rPr>
      </w:pPr>
      <w:r>
        <w:rPr>
          <w:noProof/>
        </w:rPr>
        <w:t>Šis Grieķijas atveseļošanas un noturības plāna komponents ir vērsts uz veselības aprūpes sistēmas noturības palielināšanu, izmantojot dažādus intervences pasākumus. Daļa no šiem pasākumiem ir vērsta uz infrastruktūru — gan fizisko, gan digitālo — un darbības uzlabojumiem, lai modernizētu un modernizētu slimnīcu sistēmu un veselības centru tīklu. Citu mērķis ir atbalstīt un uzlabot veselības aprūpes nozares pieejamību, efektivitāti un noturību. Konkrētāk, tie ietver pasākumus, kuru mērķis ir stiprināt sabiedrības veselību un profilaksi, palielināt veselības aprūpes sistēmas spēju sniegt garīgās veselības un aprūpes pakalpojumus mājās, atbalstīt pāreju uz spēcīgāku primārās veselības aprūpes nozari, racionalizēt izdevumus par zālēm un atbalstīt pētniecību un izstrādi farmācijas jomā. Veselības aprūpes sistēmu un pakalpojumu digitalizācijas plāna mērķis ir veicināt efektivitāti, uzlabot piekļuvi un palielināt publisko izdevumu vispārējo pārredzamību un kvalitāti sistēmā.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2ED71AE2"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J.1. </w:t>
      </w:r>
      <w:r>
        <w:rPr>
          <w:noProof/>
        </w:rPr>
        <w:t xml:space="preserve"> </w:t>
      </w:r>
      <w:r>
        <w:rPr>
          <w:rFonts w:ascii="Times New Roman" w:hAnsi="Times New Roman"/>
          <w:b/>
          <w:noProof/>
          <w:sz w:val="24"/>
          <w:u w:val="single"/>
        </w:rPr>
        <w:t>Reformu un investīciju apraksts neatmaksājamam finansiālajam atbalstam</w:t>
      </w:r>
    </w:p>
    <w:p w14:paraId="0D2F12CB"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Reformas un ieguldījumu paātrināšana veselības aprūpes nozarē — Veselības aprūpes izdevumu samazināšana un racionalizācija (ID: 16816)</w:t>
      </w:r>
    </w:p>
    <w:p w14:paraId="61F09C2F" w14:textId="24E0538E" w:rsidR="00CB0FCB" w:rsidRDefault="009D2B11">
      <w:pPr>
        <w:pStyle w:val="P68B1DB1-Normal5"/>
        <w:spacing w:before="120" w:after="120" w:line="240" w:lineRule="auto"/>
        <w:jc w:val="both"/>
        <w:rPr>
          <w:rFonts w:cs="Times New Roman"/>
          <w:b/>
          <w:noProof/>
        </w:rPr>
      </w:pPr>
      <w:r>
        <w:rPr>
          <w:noProof/>
        </w:rPr>
        <w:t>Atgūšanas sistēmas reforma ievieš riska dalīšanu atgūšanas aprēķinā, nosakot saistošu mērķrādītāju atgūšanas samazināšanai nākamajos gados, atgūšanas summu minimālo samazinājumu attiecīgi par 50 000 000 EUR (2022), 150 000 000 EUR (2023. gads), 300 000 000 EUR (2024) un 400 000 000 EUR (2025) no 2020. gada līmeņa, kas jāsasniedz, pilnībā īstenojot iepriekš pieņemtus un jaunus efektivitātes uzlabošanas pasākumus un pilnībā ievērojot ES valsts atbalsta noteikumus. Turklāt pasākums paredz, ka atbildīgie uzņēmumi finansē klīnisko izmēģinājumu, pētniecības un izstrādes vai citus investīciju izdevumus, daļēji kompensējot to atgūšanas saistības par 2021. gadu un pēc tam. Reformas īstenošanu pabeidz līdz 2026. gada 30. jūnijam.</w:t>
      </w:r>
    </w:p>
    <w:p w14:paraId="66A497E1"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Primārās veselības aprūpes sistēmas reforma (pasākuma ID: 16755)</w:t>
      </w:r>
    </w:p>
    <w:p w14:paraId="5A44E013" w14:textId="0D8E0F3C" w:rsidR="00CB0FCB" w:rsidRDefault="009D2B11">
      <w:pPr>
        <w:pStyle w:val="P68B1DB1-Normal5"/>
        <w:spacing w:before="120" w:after="120" w:line="240" w:lineRule="auto"/>
        <w:jc w:val="both"/>
        <w:rPr>
          <w:noProof/>
        </w:rPr>
      </w:pPr>
      <w:r>
        <w:rPr>
          <w:noProof/>
        </w:rPr>
        <w:t xml:space="preserve">Primārās veselības aprūpes sistēmas reformas mērķis ir uzlabot veselības centru infrastruktūru un medicīnisko aprīkojumu un reorganizēt primārās veselības aprūpes sistēmu, pārkvalificējot personālu, lai tas darbotos kā pirmās pakāpes aprūpe. Šī reforma paredz 1) modernizācijas un energoefektīvas renovācijas pabeigšanu un medicīniskā aprīkojuma iegādi vismaz 156 veselības aprūpes centriem valstī, 2) ceļveža izstrādi primārās veselības aprūpes reformai, nosūtīšanas mehānisma izmēģinājuma īstenošanu, personāla apmācību, kuras mērķis ir uzlabot PHC darbaspēka spējas, digitālas platformas izveidi, lai stiprinātu datu izmantošanu uz informāciju balstītu lēmumu pieņemšanai PHC, 3) paplašināt aktīvas (kur kursi jau ir sākušies) ģimenes medicīnas mācību programmu pieejamību, lai tās piedāvātu vismaz 75 % medicīnas skolu, un ieviestu ģimenes medicīnas elementu visās medicīnas mācību programmās līdz 2022. gada 4. ceturksnim un 4) atbalstītu integrētas aprūpes sistēmas izstrādi, izveidojot satvaru hronisku slimību pārvaldībai.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w:t>
      </w:r>
    </w:p>
    <w:p w14:paraId="536386A7" w14:textId="6926BCBD" w:rsidR="00CB0FCB" w:rsidRDefault="009D2B11">
      <w:pPr>
        <w:pStyle w:val="P68B1DB1-Normal4"/>
        <w:spacing w:before="120" w:after="120" w:line="240" w:lineRule="auto"/>
        <w:jc w:val="both"/>
        <w:rPr>
          <w:rFonts w:cs="Times New Roman"/>
          <w:noProof/>
        </w:rPr>
      </w:pPr>
      <w:r>
        <w:rPr>
          <w:noProof/>
        </w:rPr>
        <w:t>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Reformas īstenošanu pabeidz līdz 2025. gada 31. decembrim.</w:t>
      </w:r>
    </w:p>
    <w:p w14:paraId="2C318E6F"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Valsts sabiedrības veselības profilakses programmas “Spiros Doxiadis” (NPP) īstenošana (pasākuma ID: 16783)</w:t>
      </w:r>
    </w:p>
    <w:p w14:paraId="04320308" w14:textId="170EE6A0" w:rsidR="00CB0FCB" w:rsidRDefault="009D2B11">
      <w:pPr>
        <w:pStyle w:val="P68B1DB1-Normal5"/>
        <w:spacing w:before="120" w:after="120" w:line="240" w:lineRule="auto"/>
        <w:jc w:val="both"/>
        <w:rPr>
          <w:rFonts w:cs="Times New Roman"/>
          <w:noProof/>
        </w:rPr>
      </w:pPr>
      <w:r>
        <w:rPr>
          <w:noProof/>
        </w:rPr>
        <w:t>Reformas mērķis ir uzlabot iedzīvotāju dzīves kvalitāti un veselības aprūpes sistēmas noturību, izveidojot visaptverošu profilakses, primārās un sekundārās veselības aprūpes sistēmu. Tas attiecas uz vairākiem izmēģinājuma elementiem, proti: Pasākumi fizisku vingrinājumu un veselīga uztura veicināšanai, izmantojot: tiesiskais regulējums attiecībā uz veselības ēdināšanu un skolu ēdnīcām, b) sistemātiska apmācība, izmantojot pieredzes apmācību skolu mācību programmās, c) kopienas pasākumi, d) Eiropas Aptaukošanās centra izveide, e) fiziskās aktivitātes veicināšana, f) digitālie rīki, g) izpratnes kampaņa, 1.b) veselībpratības pasākumi, kas vērsti uz alkohola pārmērīgas lietošanas kaitīgajām sekām, 1.c) intervences pasākumi, lai novērstu psihosociālās problēmas bērniem, 1.d) intervences pasākumi bērnu zobārstniecības jomā, (2a) populācijas skrīnings krūts vēža, dzemdes kakla vēža, kolorektālā vēža un sirds un asinsvadu slimību atklāšanai, 2.b) iejaukšanās valsts pirmsdzemdību skrīningā attālos apgabalos un valsts pirmsdzemdību skrīnings (3) sabiedrības veselības sistēmas funkcionālā un darbības modernizācija. Reformas īstenošanu pabeidz līdz 2025. gada 31. decembrim.</w:t>
      </w:r>
    </w:p>
    <w:p w14:paraId="0DAB010F"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Reforma garīgās veselības un atkarības jomā (pasākuma ID: 16820)</w:t>
      </w:r>
    </w:p>
    <w:p w14:paraId="745443EF" w14:textId="3F7C118D" w:rsidR="00CB0FCB" w:rsidRDefault="009D2B11">
      <w:pPr>
        <w:pStyle w:val="P68B1DB1-Normal5"/>
        <w:spacing w:before="120" w:after="120" w:line="240" w:lineRule="auto"/>
        <w:jc w:val="both"/>
        <w:rPr>
          <w:noProof/>
        </w:rPr>
      </w:pPr>
      <w:r>
        <w:rPr>
          <w:noProof/>
        </w:rPr>
        <w:t>Šīs reformas mērķis ir nodrošināt piekļuvi kvalitatīviem garīgās veselības pakalpojumiem konkrētām iedzīvotāju grupām, kas cieš no garīgām slimībām un atkarības, lai novērstu viņu marginalizāciju vai institucionalizāciju.  Tā ietver garīgās veselības pakalpojumu paplašināšanu, izmantojot garīgās veselības vienības pacientiem ar demenci un Alcheimera slimību, kā arī pacientiem ar autismu un bērniem vecuma grupā, pusaudžiem un jauniem pieaugušajiem, kā arī garīgās veselības pakalpojumus personām ar atkarību. To papildina tīmekļa lietojumprogrammu izstrāde un garīgās veselības pakalpojumu digitalizācija. Reformas īstenošanu pabeidz līdz 2023. gada 31. decembrim.</w:t>
      </w:r>
    </w:p>
    <w:p w14:paraId="5FBF1D76" w14:textId="15BA1D20" w:rsidR="00CB0FCB" w:rsidRDefault="009D2B11">
      <w:pPr>
        <w:pStyle w:val="P68B1DB1-Normal5"/>
        <w:spacing w:before="120" w:after="120" w:line="240" w:lineRule="auto"/>
        <w:jc w:val="both"/>
        <w:rPr>
          <w:rFonts w:cs="Times New Roman"/>
          <w:noProof/>
        </w:rPr>
      </w:pPr>
      <w:r>
        <w:rPr>
          <w:b/>
          <w:noProof/>
        </w:rPr>
        <w:t>Reforma:</w:t>
      </w:r>
      <w:r>
        <w:rPr>
          <w:noProof/>
        </w:rPr>
        <w:t xml:space="preserve"> Organizatoriskās reformas veselības aprūpes sistēmā (pasākuma ID: 16756)</w:t>
      </w:r>
    </w:p>
    <w:p w14:paraId="41DA189A" w14:textId="6CF2BE92" w:rsidR="00CB0FCB" w:rsidRDefault="009D2B11">
      <w:pPr>
        <w:pStyle w:val="P68B1DB1-Normal4"/>
        <w:spacing w:before="120" w:after="120" w:line="240" w:lineRule="auto"/>
        <w:jc w:val="both"/>
        <w:rPr>
          <w:rFonts w:cs="Times New Roman"/>
          <w:noProof/>
          <w:szCs w:val="24"/>
        </w:rPr>
      </w:pPr>
      <w:r>
        <w:rPr>
          <w:noProof/>
          <w:szCs w:val="24"/>
        </w:rPr>
        <w:t xml:space="preserve">Šīs reformas mērķis ir racionalizēt slimnīcu medicīnisko procedūru atlīdzināšanu, 1) stiprinot Grieķijas diagnozes grupas (DRG) institūtu (KETEKNY) un 2) izveidojot sistēmu, kas nodrošina uzticamu, kvalitatīvu procedūru un veiktspējas mērījumu izveidi saistībā ar pacientu aprūpi, veselības vajadzībām un aprūpes sniegšanu, lai atbalstītu Grieķijas Veselības aprūpes kvalitātes nodrošināšanas aģentūru (ODIPY) un tās darbību. Paredzams, ka valsts veselības kartes izveide, kurā reģistrē pakalpojumu pieprasījumu un piedāvājumu veselības aprūpes sistēmā un izveido kvalitātes novērtēšanas sistēmu, nodrošinās lielāku </w:t>
      </w:r>
      <w:r>
        <w:rPr>
          <w:noProof/>
        </w:rPr>
        <w:t>veselības aprūpes sistēmas pārredzamību un efektivitāti. Turklāt reformu papildina vēlēto ķirurģiju gaidīšanas saraksta samazināšana (pabeidzot 34000 pēcpusdienas ķirurģijas (ķirurģiskās operācijas, kas veiktas pēc valsts veselības aprūpes sistēmas (NHS) parastā darbalaika). Reformas īstenošanu pabeidz līdz 2025. gada 31. decembrim.</w:t>
      </w:r>
    </w:p>
    <w:p w14:paraId="66EE9287" w14:textId="354B105C" w:rsidR="00CB0FCB" w:rsidRDefault="009D2B11">
      <w:pPr>
        <w:pStyle w:val="P68B1DB1-Normal5"/>
        <w:spacing w:before="120" w:after="120" w:line="240" w:lineRule="auto"/>
        <w:jc w:val="both"/>
        <w:rPr>
          <w:rFonts w:cs="Times New Roman"/>
          <w:noProof/>
        </w:rPr>
      </w:pPr>
      <w:r>
        <w:rPr>
          <w:b/>
          <w:noProof/>
        </w:rPr>
        <w:t>Ieguldījums:</w:t>
      </w:r>
      <w:r>
        <w:rPr>
          <w:noProof/>
        </w:rPr>
        <w:t xml:space="preserve"> Veselības infrastruktūra (pasākuma ID: 16795)</w:t>
      </w:r>
    </w:p>
    <w:p w14:paraId="697822ED" w14:textId="4B86F12E" w:rsidR="00CB0FCB" w:rsidRDefault="009D2B11">
      <w:pPr>
        <w:pStyle w:val="P68B1DB1-Normal4"/>
        <w:spacing w:before="120" w:after="120" w:line="240" w:lineRule="auto"/>
        <w:jc w:val="both"/>
        <w:rPr>
          <w:rFonts w:cs="Times New Roman"/>
          <w:noProof/>
        </w:rPr>
      </w:pPr>
      <w:r>
        <w:rPr>
          <w:noProof/>
        </w:rPr>
        <w:t>Investīcija sastāv no visaptverošiem pasākumiem slimnīcu loģistikas infrastruktūras modernizācijai visā Grieķijā, tostarp ēku energoefektīvai renovācijai un jauna medicīniskā aprīkojuma piegādei. Investīcija nodrošina valsts veselības aprūpes sistēmas medicīnas un aprūpes darbiniekiem nepieciešamos instrumentus, lai uzlabotu sniegto veselības aprūpes pakalpojumu kvalitāti un efektivitāti.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40E0CECA"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Veselības digitālā pārveide (DigHealth) (pasākuma ID: 16752)</w:t>
      </w:r>
    </w:p>
    <w:p w14:paraId="0B69FC6B" w14:textId="1179F538" w:rsidR="00CB0FCB" w:rsidRDefault="009D2B11">
      <w:pPr>
        <w:pStyle w:val="P68B1DB1-Normal5"/>
        <w:spacing w:before="120" w:after="120" w:line="240" w:lineRule="auto"/>
        <w:jc w:val="both"/>
        <w:rPr>
          <w:rFonts w:cs="Times New Roman"/>
          <w:noProof/>
        </w:rPr>
      </w:pPr>
      <w:r>
        <w:rPr>
          <w:noProof/>
        </w:rPr>
        <w:t>Investīcijas mērķis ir optimizēt veselības aprūpes kvalitāti un pacientu drošību ar jauniem inovatīviem pakalpojumiem, vienlaikus palīdzot kontrolēt veselības aprūpes izdevumus, novēršot produktu un zāļu pārmērīgu izmantošanu, uzlabojot slimnīcu pārvaldību, pacientu pieredzi, publiskā iepirkuma procedūras un uzlabojot sistēmas funkcionalitāti, sadarbspēju un EOPYY (Valsts veselības aprūpes pakalpojumu sniegšanas organizācija) digitālās spējas. Investīcija aptver astoņu apakšprojektu īstenošanu: valsts digitālās veselības kartes pabeigšana un darbības uzsākšana, vēža ārstēšanas digitālās pārveides programmas ieviešana, Valsts telemedicīnas tīkla (EDIT) spēju paplašināšana, slimnīcu digitālās gatavības uzlabošana un EOPYY digitālā pārveide, darbā iekārtošanas un pārvaldības sistēmas paplašināšanas pakalpojumi Valsts vakcinācijas programmas pret Covid-19 ietvaros, elektroniskās profilakses sistēmas infrastruktūras modernizācija un IDIKA SA informācijas sistēmu izstrādes un ražošanas darbības pakalpojumi. Investīciju īstenošanu pabeidz līdz 2025. gada 31. decembrim.</w:t>
      </w:r>
    </w:p>
    <w:p w14:paraId="7C0550F6"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Radioterapijas centra izveide “Sotiria” torakālo slimību slimnīcā Atēnās (ID: 16757)</w:t>
      </w:r>
    </w:p>
    <w:p w14:paraId="72FFE121" w14:textId="1FBFAF06" w:rsidR="00CB0FCB" w:rsidRDefault="009D2B11">
      <w:pPr>
        <w:pStyle w:val="P68B1DB1-Normal5"/>
        <w:spacing w:before="120" w:after="120" w:line="240" w:lineRule="auto"/>
        <w:jc w:val="both"/>
        <w:rPr>
          <w:rFonts w:cs="Times New Roman"/>
          <w:noProof/>
        </w:rPr>
      </w:pPr>
      <w:r>
        <w:rPr>
          <w:noProof/>
        </w:rPr>
        <w:t>Radioterapijas centra izveide un būvniecība Sotiria slimnīcā palīdzēs apmierināt vēža pacientu vajadzības un palielināt pieprasījumu pēc radioterapijas nodaļām valstī. Tas ietver jauna radioterapijas departamenta izveidi, jaunu ēku infrastruktūru ambulatorās nodaļas, klīniskās izcilības centru un specializēto aprūpes nodaļu izmitināšanai, esošo ēku (Mega Laikon &amp; 300 Andron) starpsavienojumu;  klīniku un jaunu laboratoriju, tostarp infrastruktūras un aprīkojuma, atjaunošana.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5D6CA141"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Mājas veselības aprūpes un slimnīcas izveide mājās (pasākuma ID: 16753)</w:t>
      </w:r>
    </w:p>
    <w:p w14:paraId="2B73149B" w14:textId="77777777" w:rsidR="00CB0FCB" w:rsidRDefault="009D2B11">
      <w:pPr>
        <w:pStyle w:val="P68B1DB1-Normal4"/>
        <w:spacing w:before="120" w:after="120" w:line="240" w:lineRule="auto"/>
        <w:jc w:val="both"/>
        <w:rPr>
          <w:rFonts w:cs="Times New Roman"/>
          <w:noProof/>
        </w:rPr>
      </w:pPr>
      <w:r>
        <w:rPr>
          <w:noProof/>
        </w:rPr>
        <w:t>Ieguldījums attiecas uz mājas aprūpes sistēmas izveidi pacientu ar hronisku invaliditāti mērķgrupām. Aprūpe mājās tiek apvienota ar paralēlu organizētu atbalstu no veselības aprūpes nodaļām, un tā attiecas uz bērniem, pusaudžiem un pieaugušajiem ar nopietnām hroniskām veselības problēmām, kas izraisa ilgstošu vai pastāvīgu invaliditāti. Tas uzlabo pacientu dzīves kvalitāti, vienlaikus atbrīvojot resursus valsts veselības aprūpes sistēmai. Investīcija īsteno piecus apakšprojektus: 1) vajadzību novērtējuma apsekojums, kurā galvenā uzmanība pievērsta labas prakses apzināšanai, vajadzību un pašreizējās situācijas reģistrēšanai Grieķijā un priekšlikuma formulēšanai par aprūpes institucionalizēšanu mājās; 2) telemedicīnas lietojumprogrammu kā uzraudzības instrumentu ieviešana pacientu atbalstam; 3) valsts reģistra izveide un ieviešana pacientiem, kurus ārstē mājās; Noteikt standartizētus terapeitiskos protokolus, kā arī kvalitātes un drošības standartus un 5) izveidot astoņas references vietas (pa vienai katrā reģionālajā veselības iestādē). Investīciju īstenošanu pabeidz līdz 2025. gada 30. jūnijam.</w:t>
      </w:r>
    </w:p>
    <w:p w14:paraId="78EA378D"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Projekts ēkas būvniecībai, kas paredzēta šūnu un gēnu terapijām un hematoloģijas klīniskajām laboratorijām Saloniku Galvenajā slimnīcā Papanikolaou (ID: 16793). </w:t>
      </w:r>
    </w:p>
    <w:p w14:paraId="7E475C69" w14:textId="2FFC0599" w:rsidR="00CB0FCB" w:rsidRDefault="009D2B11">
      <w:pPr>
        <w:pStyle w:val="P68B1DB1-Normal4"/>
        <w:spacing w:before="120" w:after="120" w:line="240" w:lineRule="auto"/>
        <w:jc w:val="both"/>
        <w:rPr>
          <w:noProof/>
        </w:rPr>
      </w:pPr>
      <w:r>
        <w:rPr>
          <w:noProof/>
        </w:rPr>
        <w:t xml:space="preserve">Investīcija paredz jaunu ēku izveidi šūnu laboratoriju un Ģenētiskās terapijas un hematoloģijas klīnikas izmitināšanai Papanikolaou slimnīcā, lai saglabātu tās pakalpojumus atbilstoši pieaugošajām pacientu aprūpes prasībām (ļaunprātīgas hematoloģiskās slimības) un pieaugošajam pieprasījumam pēc modernām un tehnoloģijām; tā arī modernizē esošo ēku laboratoriju un dienas aprūpes vienības nodošanai. Jaunceltai ēkai jāatbilst primārās enerģijas pieprasījumam (PED), kas ir vismaz par 20 % zemāks nekā GNEĒ prasība (gandrīz nulles enerģijas ēka, valstu direktīvas).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w:t>
      </w:r>
    </w:p>
    <w:p w14:paraId="4C6213BC" w14:textId="08E61885" w:rsidR="00CB0FCB" w:rsidRDefault="009D2B11">
      <w:pPr>
        <w:pStyle w:val="P68B1DB1-Normal4"/>
        <w:spacing w:before="120" w:after="120" w:line="240" w:lineRule="auto"/>
        <w:jc w:val="both"/>
        <w:rPr>
          <w:rFonts w:cs="Times New Roman"/>
          <w:noProof/>
        </w:rPr>
      </w:pPr>
      <w:r>
        <w:rPr>
          <w:noProof/>
        </w:rPr>
        <w:t>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699BE25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Personīgā ārsta reforma (pasākuma ID: 16984)</w:t>
      </w:r>
    </w:p>
    <w:p w14:paraId="7B713A48" w14:textId="46D238B1" w:rsidR="00CB0FCB" w:rsidRDefault="009D2B11">
      <w:pPr>
        <w:pStyle w:val="P68B1DB1-Default29"/>
        <w:jc w:val="both"/>
        <w:rPr>
          <w:rFonts w:cs="Times New Roman"/>
          <w:noProof/>
        </w:rPr>
        <w:sectPr w:rsidR="00CB0FCB" w:rsidSect="00271D33">
          <w:headerReference w:type="even" r:id="rId169"/>
          <w:headerReference w:type="default" r:id="rId170"/>
          <w:footerReference w:type="even" r:id="rId171"/>
          <w:footerReference w:type="default" r:id="rId172"/>
          <w:headerReference w:type="first" r:id="rId173"/>
          <w:footerReference w:type="first" r:id="rId174"/>
          <w:pgSz w:w="11907" w:h="16839"/>
          <w:pgMar w:top="1134" w:right="1417" w:bottom="1134" w:left="1417" w:header="709" w:footer="468" w:gutter="0"/>
          <w:cols w:space="720"/>
          <w:docGrid w:linePitch="360"/>
        </w:sectPr>
      </w:pPr>
      <w:r>
        <w:rPr>
          <w:noProof/>
        </w:rPr>
        <w:t xml:space="preserve">Reformas mērķis ir palielināt personīgo ārstu skaitu, kas uzņemti personīgo ārstu sistēmā, lai panāktu pilnīgu iedzīvotāju skaitu un pabeigtu iedzīvotāju reģistrāciju.  Reforma ļaus paplašināt pieejamo individuālo ārstu loku, pieņemot darbā visus pašreizējos lauku ārstus kā personīgos ārstus un izveidojot jaunas līdzīgas amata vietas visos pilsētu, piepilsētu un lauku apvidos, kur joprojām trūkst individuālo ārstu. Ievieš stimulēšanas mehānismu, lai ārsti varētu kļūt par vispārējās/ģimenes medicīnas vai iekšējās medicīnas rezidentiem. Aktivizē vārtziņu sistēmu. Reformas īstenošanu pabeidz līdz 2025. gada 2. ceturksnim.  </w:t>
      </w:r>
    </w:p>
    <w:p w14:paraId="41D5E7E6" w14:textId="13F8D4C8" w:rsidR="00CB0FCB" w:rsidRDefault="009D2B11">
      <w:pPr>
        <w:pStyle w:val="P68B1DB1-Normal25"/>
        <w:spacing w:before="120" w:after="120" w:line="240" w:lineRule="auto"/>
        <w:jc w:val="both"/>
        <w:rPr>
          <w:rFonts w:cs="Times New Roman"/>
          <w:bCs/>
          <w:noProof/>
        </w:rPr>
      </w:pPr>
      <w:r>
        <w:rPr>
          <w:noProof/>
        </w:rPr>
        <w:t>J.2. Starpposma mērķi, mērķrādītāji, rādītāji un neatmaksājama finansiālā atbalsta uzraudzības un īstenošanas grafiks</w:t>
      </w:r>
    </w:p>
    <w:p w14:paraId="462E3341" w14:textId="77777777" w:rsidR="00CB0FCB" w:rsidRDefault="009D2B11">
      <w:pPr>
        <w:pStyle w:val="P68B1DB1-Normal6"/>
        <w:keepNext/>
        <w:keepLines/>
        <w:spacing w:before="40" w:after="0" w:line="240" w:lineRule="auto"/>
        <w:jc w:val="both"/>
        <w:outlineLvl w:val="4"/>
        <w:rPr>
          <w:noProof/>
        </w:rPr>
      </w:pPr>
      <w:r>
        <w:rPr>
          <w:noProof/>
        </w:rPr>
        <w:t>Galvenā reforma Nr. 7: Reformas un ieguldījumu paātrināšana veselības aprūpes nozarē — veselības aprūpes izdevumu samazināšana un racionalizācija (ID: 16816)</w:t>
      </w:r>
    </w:p>
    <w:p w14:paraId="75711023"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W w:w="15730" w:type="dxa"/>
        <w:jc w:val="center"/>
        <w:tblLook w:val="04A0" w:firstRow="1" w:lastRow="0" w:firstColumn="1" w:lastColumn="0" w:noHBand="0" w:noVBand="1"/>
      </w:tblPr>
      <w:tblGrid>
        <w:gridCol w:w="1027"/>
        <w:gridCol w:w="1463"/>
        <w:gridCol w:w="1807"/>
        <w:gridCol w:w="1350"/>
        <w:gridCol w:w="1717"/>
        <w:gridCol w:w="1262"/>
        <w:gridCol w:w="1396"/>
        <w:gridCol w:w="766"/>
        <w:gridCol w:w="1027"/>
        <w:gridCol w:w="992"/>
        <w:gridCol w:w="4501"/>
      </w:tblGrid>
      <w:tr w:rsidR="00CB0FCB" w14:paraId="347D3D0D" w14:textId="77777777">
        <w:trPr>
          <w:trHeight w:val="75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851284"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52418E9"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DC7D03"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B491D0"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4ABB78"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82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106BB72"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965" w:type="dxa"/>
            <w:gridSpan w:val="2"/>
            <w:tcBorders>
              <w:top w:val="single" w:sz="4" w:space="0" w:color="auto"/>
              <w:left w:val="nil"/>
              <w:bottom w:val="single" w:sz="4" w:space="0" w:color="auto"/>
              <w:right w:val="single" w:sz="4" w:space="0" w:color="auto"/>
            </w:tcBorders>
            <w:shd w:val="clear" w:color="auto" w:fill="BDD7EE"/>
            <w:vAlign w:val="center"/>
            <w:hideMark/>
          </w:tcPr>
          <w:p w14:paraId="7A51B783"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5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FA1826"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5C01EF19" w14:textId="77777777">
        <w:trPr>
          <w:trHeight w:val="532"/>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39BEDFE" w14:textId="77777777" w:rsidR="00CB0FCB" w:rsidRDefault="00CB0FCB">
            <w:pPr>
              <w:spacing w:after="0" w:line="240" w:lineRule="auto"/>
              <w:rPr>
                <w:rFonts w:ascii="Times New Roman" w:eastAsia="Times New Roman" w:hAnsi="Times New Roman" w:cs="Times New Roman"/>
                <w:b/>
                <w:bCs/>
                <w:noProof/>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006140C"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143BE3FB" w14:textId="77777777" w:rsidR="00CB0FCB" w:rsidRDefault="00CB0FCB">
            <w:pPr>
              <w:spacing w:after="0" w:line="240" w:lineRule="auto"/>
              <w:rPr>
                <w:rFonts w:ascii="Times New Roman" w:eastAsia="Times New Roman" w:hAnsi="Times New Roman" w:cs="Times New Roman"/>
                <w:b/>
                <w:bCs/>
                <w:noProof/>
                <w:sz w:val="18"/>
                <w:szCs w:val="1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8A5E2EF" w14:textId="77777777" w:rsidR="00CB0FCB" w:rsidRDefault="00CB0FCB">
            <w:pPr>
              <w:spacing w:after="0" w:line="240" w:lineRule="auto"/>
              <w:rPr>
                <w:rFonts w:ascii="Times New Roman" w:eastAsia="Times New Roman" w:hAnsi="Times New Roman" w:cs="Times New Roman"/>
                <w:b/>
                <w:bCs/>
                <w:noProof/>
                <w:sz w:val="18"/>
                <w:szCs w:val="18"/>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6EFFC0FD" w14:textId="77777777" w:rsidR="00CB0FCB" w:rsidRDefault="00CB0FCB">
            <w:pPr>
              <w:spacing w:after="0" w:line="240" w:lineRule="auto"/>
              <w:rPr>
                <w:rFonts w:ascii="Times New Roman" w:eastAsia="Times New Roman" w:hAnsi="Times New Roman" w:cs="Times New Roman"/>
                <w:b/>
                <w:bCs/>
                <w:noProof/>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49BA5C4"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70" w:type="dxa"/>
            <w:tcBorders>
              <w:top w:val="nil"/>
              <w:left w:val="nil"/>
              <w:bottom w:val="single" w:sz="4" w:space="0" w:color="auto"/>
              <w:right w:val="single" w:sz="4" w:space="0" w:color="auto"/>
            </w:tcBorders>
            <w:shd w:val="clear" w:color="auto" w:fill="BDD7EE"/>
            <w:vAlign w:val="center"/>
            <w:hideMark/>
          </w:tcPr>
          <w:p w14:paraId="423333C8"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64" w:type="dxa"/>
            <w:tcBorders>
              <w:top w:val="nil"/>
              <w:left w:val="nil"/>
              <w:bottom w:val="single" w:sz="4" w:space="0" w:color="auto"/>
              <w:right w:val="single" w:sz="4" w:space="0" w:color="auto"/>
            </w:tcBorders>
            <w:shd w:val="clear" w:color="auto" w:fill="BDD7EE"/>
            <w:vAlign w:val="center"/>
            <w:hideMark/>
          </w:tcPr>
          <w:p w14:paraId="415668D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73" w:type="dxa"/>
            <w:tcBorders>
              <w:top w:val="nil"/>
              <w:left w:val="nil"/>
              <w:bottom w:val="single" w:sz="4" w:space="0" w:color="auto"/>
              <w:right w:val="single" w:sz="4" w:space="0" w:color="auto"/>
            </w:tcBorders>
            <w:shd w:val="clear" w:color="auto" w:fill="BDD7EE"/>
            <w:vAlign w:val="center"/>
            <w:hideMark/>
          </w:tcPr>
          <w:p w14:paraId="2B01744C"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992" w:type="dxa"/>
            <w:tcBorders>
              <w:top w:val="nil"/>
              <w:left w:val="nil"/>
              <w:bottom w:val="single" w:sz="4" w:space="0" w:color="auto"/>
              <w:right w:val="single" w:sz="4" w:space="0" w:color="auto"/>
            </w:tcBorders>
            <w:shd w:val="clear" w:color="auto" w:fill="BDD7EE"/>
            <w:vAlign w:val="center"/>
            <w:hideMark/>
          </w:tcPr>
          <w:p w14:paraId="71D7602C"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501" w:type="dxa"/>
            <w:vMerge/>
            <w:tcBorders>
              <w:top w:val="single" w:sz="4" w:space="0" w:color="auto"/>
              <w:bottom w:val="single" w:sz="4" w:space="0" w:color="auto"/>
              <w:right w:val="single" w:sz="4" w:space="0" w:color="auto"/>
            </w:tcBorders>
            <w:vAlign w:val="center"/>
            <w:hideMark/>
          </w:tcPr>
          <w:p w14:paraId="6E916CA5"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60D60C94"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13E8758" w14:textId="77777777" w:rsidR="00CB0FCB" w:rsidRDefault="009D2B11">
            <w:pPr>
              <w:pStyle w:val="P68B1DB1-Normal9"/>
              <w:spacing w:after="0" w:line="240" w:lineRule="auto"/>
              <w:rPr>
                <w:rFonts w:eastAsia="Times New Roman" w:cs="Calibri"/>
                <w:noProof/>
                <w:szCs w:val="18"/>
              </w:rPr>
            </w:pPr>
            <w:r>
              <w:rPr>
                <w:noProof/>
              </w:rPr>
              <w:t>153</w:t>
            </w:r>
          </w:p>
        </w:tc>
        <w:tc>
          <w:tcPr>
            <w:tcW w:w="1376" w:type="dxa"/>
            <w:tcBorders>
              <w:top w:val="single" w:sz="4" w:space="0" w:color="auto"/>
              <w:left w:val="nil"/>
              <w:bottom w:val="single" w:sz="4" w:space="0" w:color="auto"/>
              <w:right w:val="single" w:sz="4" w:space="0" w:color="auto"/>
            </w:tcBorders>
            <w:shd w:val="clear" w:color="auto" w:fill="C6EFCE"/>
            <w:noWrap/>
          </w:tcPr>
          <w:p w14:paraId="66DB1F12"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966" w:type="dxa"/>
            <w:tcBorders>
              <w:top w:val="single" w:sz="4" w:space="0" w:color="auto"/>
              <w:left w:val="nil"/>
              <w:bottom w:val="single" w:sz="4" w:space="0" w:color="auto"/>
              <w:right w:val="single" w:sz="4" w:space="0" w:color="auto"/>
            </w:tcBorders>
            <w:shd w:val="clear" w:color="auto" w:fill="C6EFCE"/>
            <w:noWrap/>
          </w:tcPr>
          <w:p w14:paraId="7F43E92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50" w:type="dxa"/>
            <w:tcBorders>
              <w:top w:val="single" w:sz="4" w:space="0" w:color="auto"/>
              <w:left w:val="nil"/>
              <w:bottom w:val="single" w:sz="4" w:space="0" w:color="auto"/>
              <w:right w:val="single" w:sz="4" w:space="0" w:color="auto"/>
            </w:tcBorders>
            <w:shd w:val="clear" w:color="auto" w:fill="C6EFCE"/>
            <w:noWrap/>
          </w:tcPr>
          <w:p w14:paraId="6B54616B" w14:textId="77777777" w:rsidR="00CB0FCB" w:rsidRDefault="009D2B11">
            <w:pPr>
              <w:pStyle w:val="P68B1DB1-Normal9"/>
              <w:spacing w:after="0" w:line="240" w:lineRule="auto"/>
              <w:rPr>
                <w:rFonts w:eastAsia="Times New Roman" w:cs="Calibri"/>
                <w:noProof/>
                <w:szCs w:val="18"/>
              </w:rPr>
            </w:pPr>
            <w:r>
              <w:rPr>
                <w:noProof/>
              </w:rPr>
              <w:t>Atgūšana — tiesību aktu stāšanās spēkā</w:t>
            </w:r>
          </w:p>
        </w:tc>
        <w:tc>
          <w:tcPr>
            <w:tcW w:w="1717" w:type="dxa"/>
            <w:tcBorders>
              <w:top w:val="single" w:sz="4" w:space="0" w:color="auto"/>
              <w:left w:val="nil"/>
              <w:bottom w:val="single" w:sz="4" w:space="0" w:color="auto"/>
              <w:right w:val="single" w:sz="4" w:space="0" w:color="auto"/>
            </w:tcBorders>
            <w:shd w:val="clear" w:color="auto" w:fill="C6EFCE"/>
            <w:noWrap/>
          </w:tcPr>
          <w:p w14:paraId="1F2A4793" w14:textId="77777777" w:rsidR="00CB0FCB" w:rsidRDefault="009D2B11">
            <w:pPr>
              <w:pStyle w:val="P68B1DB1-Normal9"/>
              <w:spacing w:after="0" w:line="240" w:lineRule="auto"/>
              <w:rPr>
                <w:rFonts w:eastAsia="Times New Roman" w:cs="Calibri"/>
                <w:noProof/>
                <w:szCs w:val="18"/>
              </w:rPr>
            </w:pPr>
            <w:r>
              <w:rPr>
                <w:noProof/>
              </w:rPr>
              <w:t xml:space="preserve">Stājas spēkā pārskatītie tiesību akti, ar kuriem ievieš riska dalīšanu un saistošus mērķrādītājus attiecībā uz atgūšanas minimālo samazinājumu saskaņā ar aprakstā izklāstīto grafiku. </w:t>
            </w:r>
          </w:p>
        </w:tc>
        <w:tc>
          <w:tcPr>
            <w:tcW w:w="1194" w:type="dxa"/>
            <w:tcBorders>
              <w:top w:val="single" w:sz="4" w:space="0" w:color="auto"/>
              <w:left w:val="nil"/>
              <w:bottom w:val="single" w:sz="4" w:space="0" w:color="auto"/>
              <w:right w:val="single" w:sz="4" w:space="0" w:color="auto"/>
            </w:tcBorders>
            <w:shd w:val="clear" w:color="auto" w:fill="C6EFCE"/>
            <w:noWrap/>
          </w:tcPr>
          <w:p w14:paraId="34089610" w14:textId="77777777" w:rsidR="00CB0FCB" w:rsidRDefault="00CB0FCB">
            <w:pPr>
              <w:spacing w:after="0" w:line="240" w:lineRule="auto"/>
              <w:rPr>
                <w:rFonts w:eastAsia="Times New Roman" w:cs="Calibri"/>
                <w:noProof/>
                <w:color w:val="006100"/>
                <w:sz w:val="18"/>
                <w:szCs w:val="18"/>
              </w:rPr>
            </w:pPr>
          </w:p>
        </w:tc>
        <w:tc>
          <w:tcPr>
            <w:tcW w:w="870" w:type="dxa"/>
            <w:tcBorders>
              <w:top w:val="nil"/>
              <w:left w:val="nil"/>
              <w:bottom w:val="single" w:sz="4" w:space="0" w:color="auto"/>
              <w:right w:val="single" w:sz="4" w:space="0" w:color="auto"/>
            </w:tcBorders>
            <w:shd w:val="clear" w:color="auto" w:fill="C6EFCE"/>
            <w:noWrap/>
          </w:tcPr>
          <w:p w14:paraId="4871BE7A" w14:textId="77777777" w:rsidR="00CB0FCB" w:rsidRDefault="00CB0FCB">
            <w:pPr>
              <w:spacing w:after="0" w:line="240" w:lineRule="auto"/>
              <w:rPr>
                <w:rFonts w:eastAsia="Times New Roman" w:cs="Calibri"/>
                <w:noProof/>
                <w:color w:val="006100"/>
                <w:sz w:val="18"/>
                <w:szCs w:val="18"/>
              </w:rPr>
            </w:pPr>
          </w:p>
        </w:tc>
        <w:tc>
          <w:tcPr>
            <w:tcW w:w="764" w:type="dxa"/>
            <w:tcBorders>
              <w:top w:val="nil"/>
              <w:left w:val="nil"/>
              <w:bottom w:val="single" w:sz="4" w:space="0" w:color="auto"/>
              <w:right w:val="single" w:sz="4" w:space="0" w:color="auto"/>
            </w:tcBorders>
            <w:shd w:val="clear" w:color="auto" w:fill="C6EFCE"/>
            <w:noWrap/>
          </w:tcPr>
          <w:p w14:paraId="4EA51FEB" w14:textId="77777777" w:rsidR="00CB0FCB" w:rsidRDefault="00CB0FCB">
            <w:pPr>
              <w:spacing w:after="0" w:line="240" w:lineRule="auto"/>
              <w:rPr>
                <w:rFonts w:eastAsia="Times New Roman" w:cs="Calibri"/>
                <w:noProof/>
                <w:color w:val="006100"/>
                <w:sz w:val="18"/>
                <w:szCs w:val="18"/>
              </w:rPr>
            </w:pPr>
          </w:p>
        </w:tc>
        <w:tc>
          <w:tcPr>
            <w:tcW w:w="973" w:type="dxa"/>
            <w:tcBorders>
              <w:top w:val="nil"/>
              <w:left w:val="nil"/>
              <w:bottom w:val="single" w:sz="4" w:space="0" w:color="auto"/>
              <w:right w:val="single" w:sz="4" w:space="0" w:color="auto"/>
            </w:tcBorders>
            <w:shd w:val="clear" w:color="auto" w:fill="C6EFCE"/>
            <w:noWrap/>
          </w:tcPr>
          <w:p w14:paraId="2FC64CCB" w14:textId="77777777" w:rsidR="00CB0FCB" w:rsidRDefault="009D2B11">
            <w:pPr>
              <w:pStyle w:val="P68B1DB1-Normal9"/>
              <w:spacing w:after="0" w:line="240" w:lineRule="auto"/>
              <w:rPr>
                <w:rFonts w:eastAsia="Times New Roman" w:cs="Calibri"/>
                <w:noProof/>
                <w:szCs w:val="18"/>
              </w:rPr>
            </w:pPr>
            <w:r>
              <w:rPr>
                <w:noProof/>
              </w:rPr>
              <w:t>CET.</w:t>
            </w:r>
          </w:p>
        </w:tc>
        <w:tc>
          <w:tcPr>
            <w:tcW w:w="992" w:type="dxa"/>
            <w:tcBorders>
              <w:top w:val="nil"/>
              <w:left w:val="nil"/>
              <w:bottom w:val="single" w:sz="4" w:space="0" w:color="auto"/>
              <w:right w:val="single" w:sz="4" w:space="0" w:color="auto"/>
            </w:tcBorders>
            <w:shd w:val="clear" w:color="auto" w:fill="C6EFCE"/>
            <w:noWrap/>
          </w:tcPr>
          <w:p w14:paraId="657CDA17" w14:textId="77777777" w:rsidR="00CB0FCB" w:rsidRDefault="009D2B11">
            <w:pPr>
              <w:pStyle w:val="P68B1DB1-Normal9"/>
              <w:spacing w:after="0" w:line="240" w:lineRule="auto"/>
              <w:rPr>
                <w:rFonts w:eastAsia="Times New Roman" w:cs="Calibri"/>
                <w:noProof/>
                <w:szCs w:val="18"/>
              </w:rPr>
            </w:pPr>
            <w:r>
              <w:rPr>
                <w:noProof/>
              </w:rPr>
              <w:t>2021</w:t>
            </w:r>
          </w:p>
        </w:tc>
        <w:tc>
          <w:tcPr>
            <w:tcW w:w="4501" w:type="dxa"/>
            <w:tcBorders>
              <w:top w:val="single" w:sz="4" w:space="0" w:color="auto"/>
              <w:left w:val="nil"/>
              <w:bottom w:val="single" w:sz="4" w:space="0" w:color="auto"/>
              <w:right w:val="single" w:sz="4" w:space="0" w:color="auto"/>
            </w:tcBorders>
            <w:shd w:val="clear" w:color="auto" w:fill="C6EFCE"/>
            <w:noWrap/>
          </w:tcPr>
          <w:p w14:paraId="01C7961A" w14:textId="77777777" w:rsidR="00CB0FCB" w:rsidRDefault="009D2B11">
            <w:pPr>
              <w:pStyle w:val="P68B1DB1-Normal9"/>
              <w:spacing w:after="0" w:line="240" w:lineRule="auto"/>
              <w:rPr>
                <w:rFonts w:eastAsia="Times New Roman" w:cs="Calibri"/>
                <w:noProof/>
                <w:szCs w:val="18"/>
              </w:rPr>
            </w:pPr>
            <w:r>
              <w:rPr>
                <w:noProof/>
              </w:rPr>
              <w:t>Stājas spēkā tiesiskais regulējums (primārais tiesību akts) attiecībā uz riska dalīšanu apvērses aprēķināšanā, nosakot saistošu mērķrādītāju atgūšanas samazināšanai nākamajos gados. Reformas mērķis ir samazināt atgūšanas summas par attiecīgi 50 000 000 EUR (2022. gadā), 150 000 000 EUR (2023. gadā), 300 000 000 EUR (2024. gadā) un 400 000 000 EUR (2025) salīdzinājumā ar 2020. gada līmeni. Ciktāl tas netiek sasniegts, starpību starp plānoto samazinājumu un faktisko samazinājumu par katru gadu neatgūst no farmācijas nozares, un attiecīgo summu sedz no valsts budžeta līdz atgūšanas summu mērķtiecīgam samazinājumam.</w:t>
            </w:r>
          </w:p>
        </w:tc>
      </w:tr>
      <w:tr w:rsidR="00CB0FCB" w14:paraId="06CE5AEF"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0EAD7F42" w14:textId="77777777" w:rsidR="00CB0FCB" w:rsidRDefault="009D2B11">
            <w:pPr>
              <w:pStyle w:val="P68B1DB1-Normal9"/>
              <w:spacing w:after="0" w:line="240" w:lineRule="auto"/>
              <w:rPr>
                <w:rFonts w:eastAsia="Times New Roman" w:cs="Calibri"/>
                <w:noProof/>
                <w:szCs w:val="18"/>
              </w:rPr>
            </w:pPr>
            <w:r>
              <w:rPr>
                <w:noProof/>
              </w:rPr>
              <w:t>154</w:t>
            </w:r>
          </w:p>
        </w:tc>
        <w:tc>
          <w:tcPr>
            <w:tcW w:w="1376" w:type="dxa"/>
            <w:tcBorders>
              <w:top w:val="nil"/>
              <w:left w:val="nil"/>
              <w:bottom w:val="single" w:sz="4" w:space="0" w:color="auto"/>
              <w:right w:val="single" w:sz="4" w:space="0" w:color="auto"/>
            </w:tcBorders>
            <w:shd w:val="clear" w:color="auto" w:fill="C6EFCE"/>
            <w:noWrap/>
          </w:tcPr>
          <w:p w14:paraId="30F7CA43"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966" w:type="dxa"/>
            <w:tcBorders>
              <w:top w:val="nil"/>
              <w:left w:val="nil"/>
              <w:bottom w:val="single" w:sz="4" w:space="0" w:color="auto"/>
              <w:right w:val="single" w:sz="4" w:space="0" w:color="auto"/>
            </w:tcBorders>
            <w:shd w:val="clear" w:color="auto" w:fill="C6EFCE"/>
            <w:noWrap/>
          </w:tcPr>
          <w:p w14:paraId="2D174A87" w14:textId="77777777" w:rsidR="00CB0FCB" w:rsidRDefault="009D2B11">
            <w:pPr>
              <w:pStyle w:val="P68B1DB1-Normal9"/>
              <w:spacing w:after="0" w:line="240" w:lineRule="auto"/>
              <w:rPr>
                <w:rFonts w:eastAsia="Times New Roman" w:cs="Calibri"/>
                <w:noProof/>
                <w:szCs w:val="18"/>
              </w:rPr>
            </w:pPr>
            <w:r>
              <w:rPr>
                <w:noProof/>
              </w:rPr>
              <w:t>Mērķa</w:t>
            </w:r>
          </w:p>
        </w:tc>
        <w:tc>
          <w:tcPr>
            <w:tcW w:w="1350" w:type="dxa"/>
            <w:tcBorders>
              <w:top w:val="nil"/>
              <w:left w:val="nil"/>
              <w:bottom w:val="single" w:sz="4" w:space="0" w:color="auto"/>
              <w:right w:val="single" w:sz="4" w:space="0" w:color="auto"/>
            </w:tcBorders>
            <w:shd w:val="clear" w:color="auto" w:fill="C6EFCE"/>
            <w:noWrap/>
          </w:tcPr>
          <w:p w14:paraId="7192DCE1" w14:textId="77777777" w:rsidR="00CB0FCB" w:rsidRDefault="009D2B11">
            <w:pPr>
              <w:pStyle w:val="P68B1DB1-Normal9"/>
              <w:spacing w:after="0" w:line="240" w:lineRule="auto"/>
              <w:rPr>
                <w:rFonts w:eastAsia="Times New Roman" w:cs="Calibri"/>
                <w:noProof/>
                <w:szCs w:val="18"/>
              </w:rPr>
            </w:pPr>
            <w:r>
              <w:rPr>
                <w:noProof/>
              </w:rPr>
              <w:t>Atgūšanas samazinājums 50000000–1. solis</w:t>
            </w:r>
          </w:p>
        </w:tc>
        <w:tc>
          <w:tcPr>
            <w:tcW w:w="1717" w:type="dxa"/>
            <w:tcBorders>
              <w:top w:val="nil"/>
              <w:left w:val="nil"/>
              <w:bottom w:val="single" w:sz="4" w:space="0" w:color="auto"/>
              <w:right w:val="single" w:sz="4" w:space="0" w:color="auto"/>
            </w:tcBorders>
            <w:shd w:val="clear" w:color="auto" w:fill="C6EFCE"/>
            <w:noWrap/>
          </w:tcPr>
          <w:p w14:paraId="2A309AA7" w14:textId="77777777" w:rsidR="00CB0FCB" w:rsidRDefault="00CB0FCB">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25A9B656" w14:textId="77777777" w:rsidR="00CB0FCB" w:rsidRDefault="009D2B11">
            <w:pPr>
              <w:pStyle w:val="P68B1DB1-Normal9"/>
              <w:spacing w:after="0" w:line="240" w:lineRule="auto"/>
              <w:rPr>
                <w:rFonts w:eastAsia="Times New Roman" w:cs="Calibri"/>
                <w:noProof/>
                <w:szCs w:val="18"/>
              </w:rPr>
            </w:pPr>
            <w:r>
              <w:rPr>
                <w:noProof/>
              </w:rPr>
              <w:t>Atgūšanas summas samazinājums salīdzinājumā ar 2020. gada līmeni (miljonos EUR)</w:t>
            </w:r>
          </w:p>
        </w:tc>
        <w:tc>
          <w:tcPr>
            <w:tcW w:w="870" w:type="dxa"/>
            <w:tcBorders>
              <w:top w:val="nil"/>
              <w:left w:val="nil"/>
              <w:bottom w:val="single" w:sz="4" w:space="0" w:color="auto"/>
              <w:right w:val="single" w:sz="4" w:space="0" w:color="auto"/>
            </w:tcBorders>
            <w:shd w:val="clear" w:color="auto" w:fill="C6EFCE"/>
            <w:noWrap/>
          </w:tcPr>
          <w:p w14:paraId="7AC4C786" w14:textId="77777777" w:rsidR="00CB0FCB" w:rsidRDefault="009D2B11">
            <w:pPr>
              <w:pStyle w:val="P68B1DB1-Normal9"/>
              <w:spacing w:after="0" w:line="240" w:lineRule="auto"/>
              <w:rPr>
                <w:rFonts w:eastAsia="Times New Roman" w:cs="Calibri"/>
                <w:noProof/>
                <w:szCs w:val="18"/>
              </w:rPr>
            </w:pPr>
            <w:r>
              <w:rPr>
                <w:noProof/>
              </w:rPr>
              <w:t>0</w:t>
            </w:r>
          </w:p>
        </w:tc>
        <w:tc>
          <w:tcPr>
            <w:tcW w:w="764" w:type="dxa"/>
            <w:tcBorders>
              <w:top w:val="nil"/>
              <w:left w:val="nil"/>
              <w:bottom w:val="single" w:sz="4" w:space="0" w:color="auto"/>
              <w:right w:val="single" w:sz="4" w:space="0" w:color="auto"/>
            </w:tcBorders>
            <w:shd w:val="clear" w:color="auto" w:fill="C6EFCE"/>
            <w:noWrap/>
          </w:tcPr>
          <w:p w14:paraId="6A27480D" w14:textId="77777777" w:rsidR="00CB0FCB" w:rsidRDefault="009D2B11">
            <w:pPr>
              <w:pStyle w:val="P68B1DB1-Normal9"/>
              <w:spacing w:after="0" w:line="240" w:lineRule="auto"/>
              <w:rPr>
                <w:rFonts w:eastAsia="Times New Roman" w:cs="Calibri"/>
                <w:noProof/>
                <w:szCs w:val="18"/>
              </w:rPr>
            </w:pPr>
            <w:r>
              <w:rPr>
                <w:noProof/>
              </w:rPr>
              <w:t>50</w:t>
            </w:r>
          </w:p>
        </w:tc>
        <w:tc>
          <w:tcPr>
            <w:tcW w:w="973" w:type="dxa"/>
            <w:tcBorders>
              <w:top w:val="nil"/>
              <w:left w:val="nil"/>
              <w:bottom w:val="single" w:sz="4" w:space="0" w:color="auto"/>
              <w:right w:val="single" w:sz="4" w:space="0" w:color="auto"/>
            </w:tcBorders>
            <w:shd w:val="clear" w:color="auto" w:fill="C6EFCE"/>
            <w:noWrap/>
          </w:tcPr>
          <w:p w14:paraId="00041BFA" w14:textId="77777777" w:rsidR="00CB0FCB" w:rsidRDefault="009D2B11">
            <w:pPr>
              <w:pStyle w:val="P68B1DB1-Normal9"/>
              <w:spacing w:after="0" w:line="240" w:lineRule="auto"/>
              <w:rPr>
                <w:rFonts w:eastAsia="Times New Roman" w:cs="Calibri"/>
                <w:noProof/>
                <w:szCs w:val="18"/>
              </w:rPr>
            </w:pPr>
            <w:r>
              <w:rPr>
                <w:noProof/>
              </w:rPr>
              <w:t>2. CET.</w:t>
            </w:r>
          </w:p>
        </w:tc>
        <w:tc>
          <w:tcPr>
            <w:tcW w:w="992" w:type="dxa"/>
            <w:tcBorders>
              <w:top w:val="nil"/>
              <w:left w:val="nil"/>
              <w:bottom w:val="single" w:sz="4" w:space="0" w:color="auto"/>
              <w:right w:val="single" w:sz="4" w:space="0" w:color="auto"/>
            </w:tcBorders>
            <w:shd w:val="clear" w:color="auto" w:fill="C6EFCE"/>
            <w:noWrap/>
          </w:tcPr>
          <w:p w14:paraId="38B205F6" w14:textId="77777777" w:rsidR="00CB0FCB" w:rsidRDefault="009D2B11">
            <w:pPr>
              <w:pStyle w:val="P68B1DB1-Normal9"/>
              <w:spacing w:after="0" w:line="240" w:lineRule="auto"/>
              <w:rPr>
                <w:rFonts w:eastAsia="Times New Roman" w:cs="Calibri"/>
                <w:noProof/>
                <w:szCs w:val="18"/>
              </w:rPr>
            </w:pPr>
            <w:r>
              <w:rPr>
                <w:noProof/>
              </w:rPr>
              <w:t>2023</w:t>
            </w:r>
          </w:p>
        </w:tc>
        <w:tc>
          <w:tcPr>
            <w:tcW w:w="4501" w:type="dxa"/>
            <w:tcBorders>
              <w:top w:val="nil"/>
              <w:left w:val="nil"/>
              <w:bottom w:val="single" w:sz="4" w:space="0" w:color="auto"/>
              <w:right w:val="single" w:sz="4" w:space="0" w:color="auto"/>
            </w:tcBorders>
            <w:shd w:val="clear" w:color="auto" w:fill="C6EFCE"/>
            <w:noWrap/>
          </w:tcPr>
          <w:p w14:paraId="209B746E" w14:textId="360A982C" w:rsidR="00CB0FCB" w:rsidRDefault="009D2B11">
            <w:pPr>
              <w:pStyle w:val="P68B1DB1-Normal9"/>
              <w:spacing w:after="0" w:line="240" w:lineRule="auto"/>
              <w:rPr>
                <w:rFonts w:eastAsia="Times New Roman" w:cs="Calibri"/>
                <w:noProof/>
                <w:szCs w:val="18"/>
              </w:rPr>
            </w:pPr>
            <w:r>
              <w:rPr>
                <w:noProof/>
              </w:rPr>
              <w:t xml:space="preserve">Īstenot iepriekš pieņemtos efektivitātes palielināšanas pasākumus, lai panāktu 2022. gada farmaceitisko līdzekļu atgūšanas samazinājumu gan ambulatorajām, gan stacionārajām zālēm par 50 000 000 EUR salīdzinājumā ar 2020. gada līmeni. Ja tas netiek sasniegts, starpību starp plānoto samazinājumu un faktisko samazinājumu par katru gadu neatgūst no farmācijas nozares, un attiecīgo summu sedz no valsts budžeta līdz EUR 50000000. </w:t>
            </w:r>
          </w:p>
        </w:tc>
      </w:tr>
      <w:tr w:rsidR="00CB0FCB" w14:paraId="6C6C1FD3"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3583346D" w14:textId="77777777" w:rsidR="00CB0FCB" w:rsidRDefault="009D2B11">
            <w:pPr>
              <w:pStyle w:val="P68B1DB1-Normal9"/>
              <w:spacing w:after="0" w:line="240" w:lineRule="auto"/>
              <w:rPr>
                <w:rFonts w:eastAsia="Times New Roman" w:cs="Calibri"/>
                <w:noProof/>
                <w:szCs w:val="18"/>
              </w:rPr>
            </w:pPr>
            <w:r>
              <w:rPr>
                <w:noProof/>
              </w:rPr>
              <w:t>155</w:t>
            </w:r>
          </w:p>
        </w:tc>
        <w:tc>
          <w:tcPr>
            <w:tcW w:w="1376" w:type="dxa"/>
            <w:tcBorders>
              <w:top w:val="nil"/>
              <w:left w:val="nil"/>
              <w:bottom w:val="single" w:sz="4" w:space="0" w:color="auto"/>
              <w:right w:val="single" w:sz="4" w:space="0" w:color="auto"/>
            </w:tcBorders>
            <w:shd w:val="clear" w:color="auto" w:fill="C6EFCE"/>
            <w:noWrap/>
          </w:tcPr>
          <w:p w14:paraId="057F1CE2"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966" w:type="dxa"/>
            <w:tcBorders>
              <w:top w:val="nil"/>
              <w:left w:val="nil"/>
              <w:bottom w:val="single" w:sz="4" w:space="0" w:color="auto"/>
              <w:right w:val="single" w:sz="4" w:space="0" w:color="auto"/>
            </w:tcBorders>
            <w:shd w:val="clear" w:color="auto" w:fill="C6EFCE"/>
            <w:noWrap/>
          </w:tcPr>
          <w:p w14:paraId="7883B110" w14:textId="77777777" w:rsidR="00CB0FCB" w:rsidRDefault="009D2B11">
            <w:pPr>
              <w:pStyle w:val="P68B1DB1-Normal9"/>
              <w:spacing w:after="0" w:line="240" w:lineRule="auto"/>
              <w:rPr>
                <w:rFonts w:eastAsia="Times New Roman" w:cs="Calibri"/>
                <w:noProof/>
                <w:szCs w:val="18"/>
              </w:rPr>
            </w:pPr>
            <w:r>
              <w:rPr>
                <w:noProof/>
              </w:rPr>
              <w:t>Mērķa</w:t>
            </w:r>
          </w:p>
        </w:tc>
        <w:tc>
          <w:tcPr>
            <w:tcW w:w="1350" w:type="dxa"/>
            <w:tcBorders>
              <w:top w:val="nil"/>
              <w:left w:val="nil"/>
              <w:bottom w:val="single" w:sz="4" w:space="0" w:color="auto"/>
              <w:right w:val="single" w:sz="4" w:space="0" w:color="auto"/>
            </w:tcBorders>
            <w:shd w:val="clear" w:color="auto" w:fill="C6EFCE"/>
            <w:noWrap/>
          </w:tcPr>
          <w:p w14:paraId="6F2C9E08" w14:textId="77777777" w:rsidR="00CB0FCB" w:rsidRDefault="009D2B11">
            <w:pPr>
              <w:pStyle w:val="P68B1DB1-Normal9"/>
              <w:spacing w:after="0" w:line="240" w:lineRule="auto"/>
              <w:rPr>
                <w:rFonts w:eastAsia="Times New Roman" w:cs="Calibri"/>
                <w:noProof/>
                <w:szCs w:val="18"/>
              </w:rPr>
            </w:pPr>
            <w:r>
              <w:rPr>
                <w:noProof/>
              </w:rPr>
              <w:t>Atgūšanas samazinājums 150000000–2. posms</w:t>
            </w:r>
          </w:p>
        </w:tc>
        <w:tc>
          <w:tcPr>
            <w:tcW w:w="1717" w:type="dxa"/>
            <w:tcBorders>
              <w:top w:val="nil"/>
              <w:left w:val="nil"/>
              <w:bottom w:val="single" w:sz="4" w:space="0" w:color="auto"/>
              <w:right w:val="single" w:sz="4" w:space="0" w:color="auto"/>
            </w:tcBorders>
            <w:shd w:val="clear" w:color="auto" w:fill="C6EFCE"/>
            <w:noWrap/>
          </w:tcPr>
          <w:p w14:paraId="1DB7966A" w14:textId="77777777" w:rsidR="00CB0FCB" w:rsidRDefault="00CB0FCB">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27121D94" w14:textId="77777777" w:rsidR="00CB0FCB" w:rsidRDefault="009D2B11">
            <w:pPr>
              <w:pStyle w:val="P68B1DB1-Normal9"/>
              <w:spacing w:after="0" w:line="240" w:lineRule="auto"/>
              <w:rPr>
                <w:rFonts w:eastAsia="Times New Roman" w:cs="Calibri"/>
                <w:noProof/>
                <w:szCs w:val="18"/>
              </w:rPr>
            </w:pPr>
            <w:r>
              <w:rPr>
                <w:noProof/>
              </w:rPr>
              <w:t>Atgūšanas summas samazinājums salīdzinājumā ar 2020. gada līmeni (miljonos EUR)</w:t>
            </w:r>
          </w:p>
        </w:tc>
        <w:tc>
          <w:tcPr>
            <w:tcW w:w="870" w:type="dxa"/>
            <w:tcBorders>
              <w:top w:val="nil"/>
              <w:left w:val="nil"/>
              <w:bottom w:val="single" w:sz="4" w:space="0" w:color="auto"/>
              <w:right w:val="single" w:sz="4" w:space="0" w:color="auto"/>
            </w:tcBorders>
            <w:shd w:val="clear" w:color="auto" w:fill="C6EFCE"/>
            <w:noWrap/>
          </w:tcPr>
          <w:p w14:paraId="7D056BA9" w14:textId="77777777" w:rsidR="00CB0FCB" w:rsidRDefault="009D2B11">
            <w:pPr>
              <w:pStyle w:val="P68B1DB1-Normal9"/>
              <w:spacing w:after="0" w:line="240" w:lineRule="auto"/>
              <w:rPr>
                <w:rFonts w:eastAsia="Times New Roman" w:cs="Calibri"/>
                <w:noProof/>
                <w:szCs w:val="18"/>
              </w:rPr>
            </w:pPr>
            <w:r>
              <w:rPr>
                <w:noProof/>
              </w:rPr>
              <w:t>0</w:t>
            </w:r>
          </w:p>
        </w:tc>
        <w:tc>
          <w:tcPr>
            <w:tcW w:w="764" w:type="dxa"/>
            <w:tcBorders>
              <w:top w:val="nil"/>
              <w:left w:val="nil"/>
              <w:bottom w:val="single" w:sz="4" w:space="0" w:color="auto"/>
              <w:right w:val="single" w:sz="4" w:space="0" w:color="auto"/>
            </w:tcBorders>
            <w:shd w:val="clear" w:color="auto" w:fill="C6EFCE"/>
            <w:noWrap/>
          </w:tcPr>
          <w:p w14:paraId="54003BBD" w14:textId="77777777" w:rsidR="00CB0FCB" w:rsidRDefault="009D2B11">
            <w:pPr>
              <w:pStyle w:val="P68B1DB1-Normal9"/>
              <w:spacing w:after="0" w:line="240" w:lineRule="auto"/>
              <w:rPr>
                <w:rFonts w:eastAsia="Times New Roman" w:cs="Calibri"/>
                <w:noProof/>
                <w:szCs w:val="18"/>
              </w:rPr>
            </w:pPr>
            <w:r>
              <w:rPr>
                <w:noProof/>
              </w:rPr>
              <w:t>150</w:t>
            </w:r>
          </w:p>
        </w:tc>
        <w:tc>
          <w:tcPr>
            <w:tcW w:w="973" w:type="dxa"/>
            <w:tcBorders>
              <w:top w:val="nil"/>
              <w:left w:val="nil"/>
              <w:bottom w:val="single" w:sz="4" w:space="0" w:color="auto"/>
              <w:right w:val="single" w:sz="4" w:space="0" w:color="auto"/>
            </w:tcBorders>
            <w:shd w:val="clear" w:color="auto" w:fill="C6EFCE"/>
            <w:noWrap/>
          </w:tcPr>
          <w:p w14:paraId="2800998E" w14:textId="77777777" w:rsidR="00CB0FCB" w:rsidRDefault="009D2B11">
            <w:pPr>
              <w:pStyle w:val="P68B1DB1-Normal9"/>
              <w:spacing w:after="0" w:line="240" w:lineRule="auto"/>
              <w:rPr>
                <w:rFonts w:eastAsia="Times New Roman" w:cs="Calibri"/>
                <w:noProof/>
                <w:szCs w:val="18"/>
              </w:rPr>
            </w:pPr>
            <w:r>
              <w:rPr>
                <w:noProof/>
              </w:rPr>
              <w:t>2. CET.</w:t>
            </w:r>
          </w:p>
        </w:tc>
        <w:tc>
          <w:tcPr>
            <w:tcW w:w="992" w:type="dxa"/>
            <w:tcBorders>
              <w:top w:val="nil"/>
              <w:left w:val="nil"/>
              <w:bottom w:val="single" w:sz="4" w:space="0" w:color="auto"/>
              <w:right w:val="single" w:sz="4" w:space="0" w:color="auto"/>
            </w:tcBorders>
            <w:shd w:val="clear" w:color="auto" w:fill="C6EFCE"/>
            <w:noWrap/>
          </w:tcPr>
          <w:p w14:paraId="3A0F9289" w14:textId="77777777" w:rsidR="00CB0FCB" w:rsidRDefault="009D2B11">
            <w:pPr>
              <w:pStyle w:val="P68B1DB1-Normal9"/>
              <w:spacing w:after="0" w:line="240" w:lineRule="auto"/>
              <w:rPr>
                <w:rFonts w:eastAsia="Times New Roman" w:cs="Calibri"/>
                <w:noProof/>
                <w:szCs w:val="18"/>
              </w:rPr>
            </w:pPr>
            <w:r>
              <w:rPr>
                <w:noProof/>
              </w:rPr>
              <w:t>2024</w:t>
            </w:r>
          </w:p>
        </w:tc>
        <w:tc>
          <w:tcPr>
            <w:tcW w:w="4501" w:type="dxa"/>
            <w:tcBorders>
              <w:top w:val="nil"/>
              <w:left w:val="nil"/>
              <w:bottom w:val="single" w:sz="4" w:space="0" w:color="auto"/>
              <w:right w:val="single" w:sz="4" w:space="0" w:color="auto"/>
            </w:tcBorders>
            <w:shd w:val="clear" w:color="auto" w:fill="C6EFCE"/>
            <w:noWrap/>
          </w:tcPr>
          <w:p w14:paraId="02756338" w14:textId="77777777" w:rsidR="00CB0FCB" w:rsidRDefault="009D2B11">
            <w:pPr>
              <w:pStyle w:val="P68B1DB1-Normal9"/>
              <w:spacing w:after="0" w:line="240" w:lineRule="auto"/>
              <w:rPr>
                <w:rFonts w:eastAsia="Times New Roman" w:cs="Calibri"/>
                <w:noProof/>
                <w:szCs w:val="18"/>
              </w:rPr>
            </w:pPr>
            <w:r>
              <w:rPr>
                <w:noProof/>
              </w:rPr>
              <w:t>Īstenot iepriekš pieņemtos efektivitāti uzlabojošos pasākumus, lai panāktu 2023. gada farmaceitisko līdzekļu atgūšanas samazinājumu gan ambulatorajām, gan stacionārajām zālēm par 150 000 000 EUR salīdzinājumā ar 2020. gada līmeni, tādējādi atbalstot veselības aprūpes sistēmas noturību. Ja tas netiek sasniegts, starpību starp plānoto samazinājumu un faktisko samazinājumu par katru gadu neatgūst no farmācijas nozares, un attiecīgo summu sedz no valsts budžeta līdz EUR 150000000.</w:t>
            </w:r>
          </w:p>
        </w:tc>
      </w:tr>
      <w:tr w:rsidR="00CB0FCB" w14:paraId="6681F9D6"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0B0DE29C" w14:textId="77777777" w:rsidR="00CB0FCB" w:rsidRDefault="009D2B11">
            <w:pPr>
              <w:pStyle w:val="P68B1DB1-Normal9"/>
              <w:spacing w:after="0" w:line="240" w:lineRule="auto"/>
              <w:rPr>
                <w:rFonts w:eastAsia="Times New Roman" w:cs="Calibri"/>
                <w:noProof/>
                <w:szCs w:val="18"/>
              </w:rPr>
            </w:pPr>
            <w:r>
              <w:rPr>
                <w:noProof/>
              </w:rPr>
              <w:t>156</w:t>
            </w:r>
          </w:p>
        </w:tc>
        <w:tc>
          <w:tcPr>
            <w:tcW w:w="1376" w:type="dxa"/>
            <w:tcBorders>
              <w:top w:val="nil"/>
              <w:left w:val="nil"/>
              <w:bottom w:val="single" w:sz="4" w:space="0" w:color="auto"/>
              <w:right w:val="single" w:sz="4" w:space="0" w:color="auto"/>
            </w:tcBorders>
            <w:shd w:val="clear" w:color="auto" w:fill="C6EFCE"/>
            <w:noWrap/>
          </w:tcPr>
          <w:p w14:paraId="2EBB35F1"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966" w:type="dxa"/>
            <w:tcBorders>
              <w:top w:val="nil"/>
              <w:left w:val="nil"/>
              <w:bottom w:val="single" w:sz="4" w:space="0" w:color="auto"/>
              <w:right w:val="single" w:sz="4" w:space="0" w:color="auto"/>
            </w:tcBorders>
            <w:shd w:val="clear" w:color="auto" w:fill="C6EFCE"/>
            <w:noWrap/>
          </w:tcPr>
          <w:p w14:paraId="5F112C06" w14:textId="77777777" w:rsidR="00CB0FCB" w:rsidRDefault="009D2B11">
            <w:pPr>
              <w:pStyle w:val="P68B1DB1-Normal9"/>
              <w:spacing w:after="0" w:line="240" w:lineRule="auto"/>
              <w:rPr>
                <w:rFonts w:eastAsia="Times New Roman" w:cs="Calibri"/>
                <w:noProof/>
                <w:szCs w:val="18"/>
              </w:rPr>
            </w:pPr>
            <w:r>
              <w:rPr>
                <w:noProof/>
              </w:rPr>
              <w:t>Mērķa</w:t>
            </w:r>
          </w:p>
        </w:tc>
        <w:tc>
          <w:tcPr>
            <w:tcW w:w="1350" w:type="dxa"/>
            <w:tcBorders>
              <w:top w:val="nil"/>
              <w:left w:val="nil"/>
              <w:bottom w:val="single" w:sz="4" w:space="0" w:color="auto"/>
              <w:right w:val="single" w:sz="4" w:space="0" w:color="auto"/>
            </w:tcBorders>
            <w:shd w:val="clear" w:color="auto" w:fill="C6EFCE"/>
            <w:noWrap/>
          </w:tcPr>
          <w:p w14:paraId="30D2DB57" w14:textId="77777777" w:rsidR="00CB0FCB" w:rsidRDefault="009D2B11">
            <w:pPr>
              <w:pStyle w:val="P68B1DB1-Normal9"/>
              <w:spacing w:after="0" w:line="240" w:lineRule="auto"/>
              <w:rPr>
                <w:rFonts w:eastAsia="Times New Roman" w:cs="Calibri"/>
                <w:noProof/>
                <w:szCs w:val="18"/>
              </w:rPr>
            </w:pPr>
            <w:r>
              <w:rPr>
                <w:noProof/>
              </w:rPr>
              <w:t>Pētniecība un izstrāde farmācijas jomā</w:t>
            </w:r>
          </w:p>
          <w:p w14:paraId="2435676F" w14:textId="653A2371" w:rsidR="00CB0FCB" w:rsidRDefault="009D2B11">
            <w:pPr>
              <w:pStyle w:val="P68B1DB1-Normal10"/>
              <w:spacing w:after="0" w:line="240" w:lineRule="auto"/>
              <w:rPr>
                <w:rFonts w:eastAsia="Times New Roman" w:cs="Calibri"/>
                <w:noProof/>
              </w:rPr>
            </w:pPr>
            <w:r>
              <w:rPr>
                <w:noProof/>
              </w:rPr>
              <w:t>pierādījums par ieguldījumiem — 1. posms</w:t>
            </w:r>
          </w:p>
        </w:tc>
        <w:tc>
          <w:tcPr>
            <w:tcW w:w="1717" w:type="dxa"/>
            <w:tcBorders>
              <w:top w:val="nil"/>
              <w:left w:val="nil"/>
              <w:bottom w:val="single" w:sz="4" w:space="0" w:color="auto"/>
              <w:right w:val="single" w:sz="4" w:space="0" w:color="auto"/>
            </w:tcBorders>
            <w:shd w:val="clear" w:color="auto" w:fill="C6EFCE"/>
            <w:noWrap/>
          </w:tcPr>
          <w:p w14:paraId="2FCDC419" w14:textId="77777777" w:rsidR="00CB0FCB" w:rsidRDefault="00CB0FCB">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03E8C475" w14:textId="77777777" w:rsidR="00CB0FCB" w:rsidRDefault="009D2B11">
            <w:pPr>
              <w:pStyle w:val="P68B1DB1-Normal9"/>
              <w:spacing w:after="0" w:line="240" w:lineRule="auto"/>
              <w:rPr>
                <w:rFonts w:eastAsia="Times New Roman" w:cs="Calibri"/>
                <w:noProof/>
                <w:szCs w:val="18"/>
              </w:rPr>
            </w:pPr>
            <w:r>
              <w:rPr>
                <w:noProof/>
              </w:rPr>
              <w:t>Ieguldījumi (miljonos EUR), ko piemēro, kompensējot līdzvērtīgu summu ar atgūstamajām summām</w:t>
            </w:r>
          </w:p>
        </w:tc>
        <w:tc>
          <w:tcPr>
            <w:tcW w:w="870" w:type="dxa"/>
            <w:tcBorders>
              <w:top w:val="nil"/>
              <w:left w:val="nil"/>
              <w:bottom w:val="single" w:sz="4" w:space="0" w:color="auto"/>
              <w:right w:val="single" w:sz="4" w:space="0" w:color="auto"/>
            </w:tcBorders>
            <w:shd w:val="clear" w:color="auto" w:fill="C6EFCE"/>
            <w:noWrap/>
          </w:tcPr>
          <w:p w14:paraId="13C57A06" w14:textId="026E86A3" w:rsidR="00CB0FCB" w:rsidRDefault="009D2B11">
            <w:pPr>
              <w:pStyle w:val="P68B1DB1-Normal10"/>
              <w:spacing w:after="0" w:line="240" w:lineRule="auto"/>
              <w:rPr>
                <w:rFonts w:eastAsia="Times New Roman" w:cs="Calibri"/>
                <w:noProof/>
              </w:rPr>
            </w:pPr>
            <w:r>
              <w:rPr>
                <w:noProof/>
              </w:rPr>
              <w:t>0</w:t>
            </w:r>
          </w:p>
        </w:tc>
        <w:tc>
          <w:tcPr>
            <w:tcW w:w="764" w:type="dxa"/>
            <w:tcBorders>
              <w:top w:val="nil"/>
              <w:left w:val="nil"/>
              <w:bottom w:val="single" w:sz="4" w:space="0" w:color="auto"/>
              <w:right w:val="single" w:sz="4" w:space="0" w:color="auto"/>
            </w:tcBorders>
            <w:shd w:val="clear" w:color="auto" w:fill="C6EFCE"/>
            <w:noWrap/>
          </w:tcPr>
          <w:p w14:paraId="19E6F087" w14:textId="652FD3DC" w:rsidR="00CB0FCB" w:rsidRDefault="009D2B11">
            <w:pPr>
              <w:pStyle w:val="P68B1DB1-Normal10"/>
              <w:spacing w:after="0" w:line="240" w:lineRule="auto"/>
              <w:rPr>
                <w:rFonts w:eastAsia="Times New Roman" w:cs="Calibri"/>
                <w:noProof/>
              </w:rPr>
            </w:pPr>
            <w:r>
              <w:rPr>
                <w:noProof/>
              </w:rPr>
              <w:t>117</w:t>
            </w:r>
          </w:p>
        </w:tc>
        <w:tc>
          <w:tcPr>
            <w:tcW w:w="973" w:type="dxa"/>
            <w:tcBorders>
              <w:top w:val="nil"/>
              <w:left w:val="nil"/>
              <w:bottom w:val="single" w:sz="4" w:space="0" w:color="auto"/>
              <w:right w:val="single" w:sz="4" w:space="0" w:color="auto"/>
            </w:tcBorders>
            <w:shd w:val="clear" w:color="auto" w:fill="C6EFCE"/>
            <w:noWrap/>
          </w:tcPr>
          <w:p w14:paraId="4BA6354C" w14:textId="77777777" w:rsidR="00CB0FCB" w:rsidRDefault="009D2B11">
            <w:pPr>
              <w:pStyle w:val="P68B1DB1-Normal9"/>
              <w:spacing w:after="0" w:line="240" w:lineRule="auto"/>
              <w:rPr>
                <w:rFonts w:eastAsia="Times New Roman" w:cs="Calibri"/>
                <w:noProof/>
                <w:szCs w:val="18"/>
              </w:rPr>
            </w:pPr>
            <w:r>
              <w:rPr>
                <w:noProof/>
              </w:rPr>
              <w:t>2. CET.</w:t>
            </w:r>
          </w:p>
        </w:tc>
        <w:tc>
          <w:tcPr>
            <w:tcW w:w="992" w:type="dxa"/>
            <w:tcBorders>
              <w:top w:val="nil"/>
              <w:left w:val="nil"/>
              <w:bottom w:val="single" w:sz="4" w:space="0" w:color="auto"/>
              <w:right w:val="single" w:sz="4" w:space="0" w:color="auto"/>
            </w:tcBorders>
            <w:shd w:val="clear" w:color="auto" w:fill="C6EFCE"/>
            <w:noWrap/>
          </w:tcPr>
          <w:p w14:paraId="42577EAC" w14:textId="77777777" w:rsidR="00CB0FCB" w:rsidRDefault="009D2B11">
            <w:pPr>
              <w:pStyle w:val="P68B1DB1-Normal9"/>
              <w:spacing w:after="0" w:line="240" w:lineRule="auto"/>
              <w:rPr>
                <w:rFonts w:eastAsia="Times New Roman" w:cs="Calibri"/>
                <w:noProof/>
                <w:szCs w:val="18"/>
              </w:rPr>
            </w:pPr>
            <w:r>
              <w:rPr>
                <w:noProof/>
              </w:rPr>
              <w:t>2024</w:t>
            </w:r>
          </w:p>
        </w:tc>
        <w:tc>
          <w:tcPr>
            <w:tcW w:w="4501" w:type="dxa"/>
            <w:tcBorders>
              <w:top w:val="nil"/>
              <w:left w:val="nil"/>
              <w:bottom w:val="single" w:sz="4" w:space="0" w:color="auto"/>
              <w:right w:val="single" w:sz="4" w:space="0" w:color="auto"/>
            </w:tcBorders>
            <w:shd w:val="clear" w:color="auto" w:fill="C6EFCE"/>
            <w:noWrap/>
          </w:tcPr>
          <w:p w14:paraId="31A37310" w14:textId="3200C55B" w:rsidR="00CB0FCB" w:rsidRDefault="009D2B11">
            <w:pPr>
              <w:pStyle w:val="P68B1DB1-Normal10"/>
              <w:spacing w:after="0" w:line="240" w:lineRule="auto"/>
              <w:rPr>
                <w:rFonts w:eastAsia="Times New Roman" w:cs="Calibri"/>
                <w:noProof/>
              </w:rPr>
            </w:pPr>
            <w:r>
              <w:rPr>
                <w:noProof/>
              </w:rPr>
              <w:t xml:space="preserve">Veikt ieguldījumus farmācijas pētniecībā un izstrādē EUR 117000000 apmērā. Ieguldījumus apstiprina, kompetentajai iestādei izdodot izlīdzinošus atgūšanas sertifikātus par summu EUR 117000000 apmērā. </w:t>
            </w:r>
            <w:r>
              <w:rPr>
                <w:rFonts w:asciiTheme="minorHAnsi" w:eastAsiaTheme="minorEastAsia" w:hAnsiTheme="minorHAnsi" w:cstheme="minorBidi"/>
                <w:noProof/>
              </w:rPr>
              <w:t xml:space="preserve"> </w:t>
            </w:r>
          </w:p>
        </w:tc>
      </w:tr>
      <w:tr w:rsidR="00CB0FCB" w14:paraId="2DF6CB8E"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373B5A0C" w14:textId="136EF077" w:rsidR="00CB0FCB" w:rsidRDefault="009D2B11">
            <w:pPr>
              <w:pStyle w:val="P68B1DB1-Normal10"/>
              <w:spacing w:line="240" w:lineRule="auto"/>
              <w:rPr>
                <w:noProof/>
              </w:rPr>
            </w:pPr>
            <w:r>
              <w:rPr>
                <w:noProof/>
              </w:rPr>
              <w:t>156.a</w:t>
            </w:r>
          </w:p>
        </w:tc>
        <w:tc>
          <w:tcPr>
            <w:tcW w:w="1376" w:type="dxa"/>
            <w:tcBorders>
              <w:top w:val="nil"/>
              <w:left w:val="nil"/>
              <w:bottom w:val="single" w:sz="4" w:space="0" w:color="auto"/>
              <w:right w:val="single" w:sz="4" w:space="0" w:color="auto"/>
            </w:tcBorders>
            <w:shd w:val="clear" w:color="auto" w:fill="C6EFCE"/>
            <w:noWrap/>
          </w:tcPr>
          <w:p w14:paraId="14A1B16F" w14:textId="53AB8462" w:rsidR="00CB0FCB" w:rsidRDefault="009D2B11">
            <w:pPr>
              <w:pStyle w:val="P68B1DB1-Normal10"/>
              <w:spacing w:after="0" w:line="240" w:lineRule="auto"/>
              <w:rPr>
                <w:rFonts w:eastAsia="Times New Roman" w:cs="Calibri"/>
                <w:noProof/>
              </w:rPr>
            </w:pPr>
            <w:r>
              <w:rPr>
                <w:noProof/>
              </w:rPr>
              <w:t>10–3.3. Uzlabot veselības aprūpes noturību, pieejamību un ilgtspēju — 16816_Reformas un investīciju paātrināšana veselības aprūpes nozarē — Veselības aprūpes izdevumu samazināšana un racionalizācija</w:t>
            </w:r>
          </w:p>
        </w:tc>
        <w:tc>
          <w:tcPr>
            <w:tcW w:w="966" w:type="dxa"/>
            <w:tcBorders>
              <w:top w:val="nil"/>
              <w:left w:val="nil"/>
              <w:bottom w:val="single" w:sz="4" w:space="0" w:color="auto"/>
              <w:right w:val="single" w:sz="4" w:space="0" w:color="auto"/>
            </w:tcBorders>
            <w:shd w:val="clear" w:color="auto" w:fill="C6EFCE"/>
            <w:noWrap/>
          </w:tcPr>
          <w:p w14:paraId="1244A826" w14:textId="3B56B96D" w:rsidR="00CB0FCB" w:rsidRDefault="009D2B11">
            <w:pPr>
              <w:pStyle w:val="P68B1DB1-Normal10"/>
              <w:spacing w:after="0" w:line="240" w:lineRule="auto"/>
              <w:rPr>
                <w:rFonts w:eastAsia="Times New Roman" w:cs="Calibri"/>
                <w:noProof/>
              </w:rPr>
            </w:pPr>
            <w:r>
              <w:rPr>
                <w:noProof/>
              </w:rPr>
              <w:t>Mērķa</w:t>
            </w:r>
          </w:p>
        </w:tc>
        <w:tc>
          <w:tcPr>
            <w:tcW w:w="1350" w:type="dxa"/>
            <w:tcBorders>
              <w:top w:val="nil"/>
              <w:left w:val="nil"/>
              <w:bottom w:val="single" w:sz="4" w:space="0" w:color="auto"/>
              <w:right w:val="single" w:sz="4" w:space="0" w:color="auto"/>
            </w:tcBorders>
            <w:shd w:val="clear" w:color="auto" w:fill="C6EFCE"/>
            <w:noWrap/>
          </w:tcPr>
          <w:p w14:paraId="20B88CB2" w14:textId="59874F9E" w:rsidR="00CB0FCB" w:rsidRDefault="009D2B11">
            <w:pPr>
              <w:pStyle w:val="P68B1DB1-Normal10"/>
              <w:spacing w:after="0" w:line="240" w:lineRule="auto"/>
              <w:rPr>
                <w:rFonts w:eastAsia="Times New Roman" w:cs="Calibri"/>
                <w:noProof/>
              </w:rPr>
            </w:pPr>
            <w:r>
              <w:rPr>
                <w:noProof/>
              </w:rPr>
              <w:t>Pētniecība un izstrāde farmācijas jomā</w:t>
            </w:r>
          </w:p>
          <w:p w14:paraId="12A5EDFB" w14:textId="5FAB8172" w:rsidR="00CB0FCB" w:rsidRDefault="009D2B11">
            <w:pPr>
              <w:pStyle w:val="P68B1DB1-Normal10"/>
              <w:spacing w:after="0" w:line="240" w:lineRule="auto"/>
              <w:rPr>
                <w:rFonts w:eastAsia="Times New Roman" w:cs="Calibri"/>
                <w:noProof/>
              </w:rPr>
            </w:pPr>
            <w:r>
              <w:rPr>
                <w:noProof/>
              </w:rPr>
              <w:t>pierādījums par ieguldījumiem — 2. posms</w:t>
            </w:r>
          </w:p>
        </w:tc>
        <w:tc>
          <w:tcPr>
            <w:tcW w:w="1717" w:type="dxa"/>
            <w:tcBorders>
              <w:top w:val="nil"/>
              <w:left w:val="nil"/>
              <w:bottom w:val="single" w:sz="4" w:space="0" w:color="auto"/>
              <w:right w:val="single" w:sz="4" w:space="0" w:color="auto"/>
            </w:tcBorders>
            <w:shd w:val="clear" w:color="auto" w:fill="C6EFCE"/>
            <w:noWrap/>
          </w:tcPr>
          <w:p w14:paraId="26A213A9" w14:textId="0205C9DA" w:rsidR="00CB0FCB" w:rsidRDefault="00CB0FCB">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59595672" w14:textId="1A11388A" w:rsidR="00CB0FCB" w:rsidRDefault="009D2B11">
            <w:pPr>
              <w:pStyle w:val="P68B1DB1-Normal10"/>
              <w:spacing w:after="0" w:line="240" w:lineRule="auto"/>
              <w:rPr>
                <w:rFonts w:eastAsia="Times New Roman" w:cs="Calibri"/>
                <w:noProof/>
              </w:rPr>
            </w:pPr>
            <w:r>
              <w:rPr>
                <w:noProof/>
              </w:rPr>
              <w:t>Ieguldījumi (miljonos EUR), ko piemēro, kompensējot līdzvērtīgu summu ar atgūstamajām summām</w:t>
            </w:r>
          </w:p>
        </w:tc>
        <w:tc>
          <w:tcPr>
            <w:tcW w:w="870" w:type="dxa"/>
            <w:tcBorders>
              <w:top w:val="nil"/>
              <w:left w:val="nil"/>
              <w:bottom w:val="single" w:sz="4" w:space="0" w:color="auto"/>
              <w:right w:val="single" w:sz="4" w:space="0" w:color="auto"/>
            </w:tcBorders>
            <w:shd w:val="clear" w:color="auto" w:fill="C6EFCE"/>
            <w:noWrap/>
          </w:tcPr>
          <w:p w14:paraId="13750E2B" w14:textId="66915D1E" w:rsidR="00CB0FCB" w:rsidRDefault="009D2B11">
            <w:pPr>
              <w:pStyle w:val="P68B1DB1-Normal10"/>
              <w:spacing w:after="0" w:line="240" w:lineRule="auto"/>
              <w:rPr>
                <w:rFonts w:eastAsia="Times New Roman" w:cs="Calibri"/>
                <w:noProof/>
              </w:rPr>
            </w:pPr>
            <w:r>
              <w:rPr>
                <w:noProof/>
              </w:rPr>
              <w:t>117</w:t>
            </w:r>
          </w:p>
        </w:tc>
        <w:tc>
          <w:tcPr>
            <w:tcW w:w="764" w:type="dxa"/>
            <w:tcBorders>
              <w:top w:val="nil"/>
              <w:left w:val="nil"/>
              <w:bottom w:val="single" w:sz="4" w:space="0" w:color="auto"/>
              <w:right w:val="single" w:sz="4" w:space="0" w:color="auto"/>
            </w:tcBorders>
            <w:shd w:val="clear" w:color="auto" w:fill="C6EFCE"/>
            <w:noWrap/>
          </w:tcPr>
          <w:p w14:paraId="03621B28" w14:textId="136A7120" w:rsidR="00CB0FCB" w:rsidRDefault="009D2B11">
            <w:pPr>
              <w:pStyle w:val="P68B1DB1-Normal10"/>
              <w:spacing w:after="0" w:line="240" w:lineRule="auto"/>
              <w:rPr>
                <w:rFonts w:eastAsia="Times New Roman" w:cs="Calibri"/>
                <w:noProof/>
              </w:rPr>
            </w:pPr>
            <w:r>
              <w:rPr>
                <w:noProof/>
              </w:rPr>
              <w:t>250</w:t>
            </w:r>
          </w:p>
        </w:tc>
        <w:tc>
          <w:tcPr>
            <w:tcW w:w="973" w:type="dxa"/>
            <w:tcBorders>
              <w:top w:val="nil"/>
              <w:left w:val="nil"/>
              <w:bottom w:val="single" w:sz="4" w:space="0" w:color="auto"/>
              <w:right w:val="single" w:sz="4" w:space="0" w:color="auto"/>
            </w:tcBorders>
            <w:shd w:val="clear" w:color="auto" w:fill="C6EFCE"/>
            <w:noWrap/>
          </w:tcPr>
          <w:p w14:paraId="7754B702" w14:textId="28B100CA" w:rsidR="00CB0FCB" w:rsidRDefault="009D2B11">
            <w:pPr>
              <w:pStyle w:val="P68B1DB1-Normal10"/>
              <w:spacing w:after="0" w:line="240" w:lineRule="auto"/>
              <w:rPr>
                <w:rFonts w:eastAsia="Times New Roman" w:cs="Calibri"/>
                <w:noProof/>
              </w:rPr>
            </w:pPr>
            <w:r>
              <w:rPr>
                <w:noProof/>
              </w:rPr>
              <w:t>4. CET.</w:t>
            </w:r>
          </w:p>
        </w:tc>
        <w:tc>
          <w:tcPr>
            <w:tcW w:w="992" w:type="dxa"/>
            <w:tcBorders>
              <w:top w:val="nil"/>
              <w:left w:val="nil"/>
              <w:bottom w:val="single" w:sz="4" w:space="0" w:color="auto"/>
              <w:right w:val="single" w:sz="4" w:space="0" w:color="auto"/>
            </w:tcBorders>
            <w:shd w:val="clear" w:color="auto" w:fill="C6EFCE"/>
            <w:noWrap/>
          </w:tcPr>
          <w:p w14:paraId="2F6DBA71" w14:textId="60625BBB" w:rsidR="00CB0FCB" w:rsidRDefault="009D2B11">
            <w:pPr>
              <w:pStyle w:val="P68B1DB1-Normal10"/>
              <w:spacing w:after="0" w:line="240" w:lineRule="auto"/>
              <w:rPr>
                <w:rFonts w:eastAsia="Times New Roman" w:cs="Calibri"/>
                <w:noProof/>
              </w:rPr>
            </w:pPr>
            <w:r>
              <w:rPr>
                <w:noProof/>
              </w:rPr>
              <w:t>2025</w:t>
            </w:r>
          </w:p>
        </w:tc>
        <w:tc>
          <w:tcPr>
            <w:tcW w:w="4501" w:type="dxa"/>
            <w:tcBorders>
              <w:top w:val="nil"/>
              <w:left w:val="nil"/>
              <w:bottom w:val="single" w:sz="4" w:space="0" w:color="auto"/>
              <w:right w:val="single" w:sz="4" w:space="0" w:color="auto"/>
            </w:tcBorders>
            <w:shd w:val="clear" w:color="auto" w:fill="C6EFCE"/>
            <w:noWrap/>
          </w:tcPr>
          <w:p w14:paraId="25A87C6B" w14:textId="52A8FE9B" w:rsidR="00CB0FCB" w:rsidRDefault="009D2B11">
            <w:pPr>
              <w:pStyle w:val="P68B1DB1-Normal10"/>
              <w:spacing w:after="0" w:line="240" w:lineRule="auto"/>
              <w:rPr>
                <w:noProof/>
              </w:rPr>
            </w:pPr>
            <w:r>
              <w:rPr>
                <w:noProof/>
              </w:rPr>
              <w:t xml:space="preserve">Veikt ieguldījumus farmācijas pētniecībā un izstrādē par papildu summu 133 000 000 EUR apmērā, lai sasniegtu kopējo summu 250 000 000 EUR apmērā (1. un 2. posms).  </w:t>
            </w:r>
          </w:p>
          <w:p w14:paraId="7408F4D6" w14:textId="77777777" w:rsidR="00CB0FCB" w:rsidRDefault="00CB0FCB">
            <w:pPr>
              <w:spacing w:after="0" w:line="240" w:lineRule="auto"/>
              <w:rPr>
                <w:noProof/>
                <w:color w:val="006100"/>
                <w:sz w:val="18"/>
                <w:szCs w:val="18"/>
              </w:rPr>
            </w:pPr>
          </w:p>
          <w:p w14:paraId="1E253F09" w14:textId="61A172DA" w:rsidR="00CB0FCB" w:rsidRDefault="009D2B11">
            <w:pPr>
              <w:pStyle w:val="P68B1DB1-Normal10"/>
              <w:spacing w:after="0" w:line="240" w:lineRule="auto"/>
              <w:rPr>
                <w:noProof/>
              </w:rPr>
            </w:pPr>
            <w:r>
              <w:rPr>
                <w:noProof/>
              </w:rPr>
              <w:t>Ieguldījumus apstiprina, kompetentajai iestādei izdodot kompensācijas atgūšanas sertifikātus</w:t>
            </w:r>
            <w:r>
              <w:rPr>
                <w:rFonts w:asciiTheme="minorHAnsi" w:eastAsiaTheme="minorEastAsia" w:hAnsiTheme="minorHAnsi" w:cstheme="minorBidi"/>
                <w:noProof/>
              </w:rPr>
              <w:t xml:space="preserve"> par summu </w:t>
            </w:r>
            <w:r>
              <w:rPr>
                <w:noProof/>
              </w:rPr>
              <w:t>EUR 133000000.</w:t>
            </w:r>
          </w:p>
        </w:tc>
      </w:tr>
      <w:tr w:rsidR="00CB0FCB" w14:paraId="224371BA"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235A7C75" w14:textId="77777777" w:rsidR="00CB0FCB" w:rsidRDefault="009D2B11">
            <w:pPr>
              <w:pStyle w:val="P68B1DB1-Normal9"/>
              <w:spacing w:after="0" w:line="240" w:lineRule="auto"/>
              <w:rPr>
                <w:rFonts w:eastAsia="Times New Roman" w:cs="Calibri"/>
                <w:noProof/>
                <w:szCs w:val="18"/>
              </w:rPr>
            </w:pPr>
            <w:r>
              <w:rPr>
                <w:noProof/>
              </w:rPr>
              <w:t>157</w:t>
            </w:r>
          </w:p>
        </w:tc>
        <w:tc>
          <w:tcPr>
            <w:tcW w:w="1376" w:type="dxa"/>
            <w:tcBorders>
              <w:top w:val="nil"/>
              <w:left w:val="nil"/>
              <w:bottom w:val="single" w:sz="4" w:space="0" w:color="auto"/>
              <w:right w:val="single" w:sz="4" w:space="0" w:color="auto"/>
            </w:tcBorders>
            <w:shd w:val="clear" w:color="auto" w:fill="C6EFCE"/>
            <w:noWrap/>
          </w:tcPr>
          <w:p w14:paraId="616555B1"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966" w:type="dxa"/>
            <w:tcBorders>
              <w:top w:val="nil"/>
              <w:left w:val="nil"/>
              <w:bottom w:val="single" w:sz="4" w:space="0" w:color="auto"/>
              <w:right w:val="single" w:sz="4" w:space="0" w:color="auto"/>
            </w:tcBorders>
            <w:shd w:val="clear" w:color="auto" w:fill="C6EFCE"/>
            <w:noWrap/>
          </w:tcPr>
          <w:p w14:paraId="07954231" w14:textId="77777777" w:rsidR="00CB0FCB" w:rsidRDefault="009D2B11">
            <w:pPr>
              <w:pStyle w:val="P68B1DB1-Normal9"/>
              <w:spacing w:after="0" w:line="240" w:lineRule="auto"/>
              <w:rPr>
                <w:rFonts w:eastAsia="Times New Roman" w:cs="Calibri"/>
                <w:noProof/>
                <w:szCs w:val="18"/>
              </w:rPr>
            </w:pPr>
            <w:r>
              <w:rPr>
                <w:noProof/>
              </w:rPr>
              <w:t>Mērķa</w:t>
            </w:r>
          </w:p>
        </w:tc>
        <w:tc>
          <w:tcPr>
            <w:tcW w:w="1350" w:type="dxa"/>
            <w:tcBorders>
              <w:top w:val="nil"/>
              <w:left w:val="nil"/>
              <w:bottom w:val="single" w:sz="4" w:space="0" w:color="auto"/>
              <w:right w:val="single" w:sz="4" w:space="0" w:color="auto"/>
            </w:tcBorders>
            <w:shd w:val="clear" w:color="auto" w:fill="C6EFCE"/>
            <w:noWrap/>
          </w:tcPr>
          <w:p w14:paraId="041911F2" w14:textId="77777777" w:rsidR="00CB0FCB" w:rsidRDefault="009D2B11">
            <w:pPr>
              <w:pStyle w:val="P68B1DB1-Normal9"/>
              <w:spacing w:after="0" w:line="240" w:lineRule="auto"/>
              <w:rPr>
                <w:rFonts w:eastAsia="Times New Roman" w:cs="Calibri"/>
                <w:noProof/>
                <w:szCs w:val="18"/>
              </w:rPr>
            </w:pPr>
            <w:r>
              <w:rPr>
                <w:noProof/>
              </w:rPr>
              <w:t>Atgūšanas samazinājums 300000000–3. solis</w:t>
            </w:r>
          </w:p>
        </w:tc>
        <w:tc>
          <w:tcPr>
            <w:tcW w:w="1717" w:type="dxa"/>
            <w:tcBorders>
              <w:top w:val="nil"/>
              <w:left w:val="nil"/>
              <w:bottom w:val="single" w:sz="4" w:space="0" w:color="auto"/>
              <w:right w:val="single" w:sz="4" w:space="0" w:color="auto"/>
            </w:tcBorders>
            <w:shd w:val="clear" w:color="auto" w:fill="C6EFCE"/>
            <w:noWrap/>
          </w:tcPr>
          <w:p w14:paraId="50D2109C" w14:textId="77777777" w:rsidR="00CB0FCB" w:rsidRDefault="00CB0FCB">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25D40425" w14:textId="77777777" w:rsidR="00CB0FCB" w:rsidRDefault="009D2B11">
            <w:pPr>
              <w:pStyle w:val="P68B1DB1-Normal9"/>
              <w:spacing w:after="0" w:line="240" w:lineRule="auto"/>
              <w:rPr>
                <w:rFonts w:eastAsia="Times New Roman" w:cs="Calibri"/>
                <w:noProof/>
                <w:szCs w:val="18"/>
              </w:rPr>
            </w:pPr>
            <w:r>
              <w:rPr>
                <w:noProof/>
              </w:rPr>
              <w:t>Atgūšanas summas samazinājums salīdzinājumā ar 2020. gada līmeni (miljonos EUR)</w:t>
            </w:r>
          </w:p>
        </w:tc>
        <w:tc>
          <w:tcPr>
            <w:tcW w:w="870" w:type="dxa"/>
            <w:tcBorders>
              <w:top w:val="nil"/>
              <w:left w:val="nil"/>
              <w:bottom w:val="single" w:sz="4" w:space="0" w:color="auto"/>
              <w:right w:val="single" w:sz="4" w:space="0" w:color="auto"/>
            </w:tcBorders>
            <w:shd w:val="clear" w:color="auto" w:fill="C6EFCE"/>
            <w:noWrap/>
          </w:tcPr>
          <w:p w14:paraId="51AFC041" w14:textId="629FF911" w:rsidR="00CB0FCB" w:rsidRDefault="009D2B11">
            <w:pPr>
              <w:pStyle w:val="P68B1DB1-Normal9"/>
              <w:spacing w:after="0" w:line="240" w:lineRule="auto"/>
              <w:rPr>
                <w:rFonts w:eastAsia="Times New Roman" w:cs="Calibri"/>
                <w:noProof/>
                <w:szCs w:val="18"/>
              </w:rPr>
            </w:pPr>
            <w:r>
              <w:rPr>
                <w:noProof/>
              </w:rPr>
              <w:t>0</w:t>
            </w:r>
          </w:p>
        </w:tc>
        <w:tc>
          <w:tcPr>
            <w:tcW w:w="764" w:type="dxa"/>
            <w:tcBorders>
              <w:top w:val="nil"/>
              <w:left w:val="nil"/>
              <w:bottom w:val="single" w:sz="4" w:space="0" w:color="auto"/>
              <w:right w:val="single" w:sz="4" w:space="0" w:color="auto"/>
            </w:tcBorders>
            <w:shd w:val="clear" w:color="auto" w:fill="C6EFCE"/>
            <w:noWrap/>
          </w:tcPr>
          <w:p w14:paraId="5E6F5C05" w14:textId="77777777" w:rsidR="00CB0FCB" w:rsidRDefault="009D2B11">
            <w:pPr>
              <w:pStyle w:val="P68B1DB1-Normal9"/>
              <w:spacing w:after="0" w:line="240" w:lineRule="auto"/>
              <w:rPr>
                <w:rFonts w:eastAsia="Times New Roman" w:cs="Calibri"/>
                <w:noProof/>
                <w:szCs w:val="18"/>
              </w:rPr>
            </w:pPr>
            <w:r>
              <w:rPr>
                <w:noProof/>
              </w:rPr>
              <w:t>300</w:t>
            </w:r>
          </w:p>
        </w:tc>
        <w:tc>
          <w:tcPr>
            <w:tcW w:w="973" w:type="dxa"/>
            <w:tcBorders>
              <w:top w:val="nil"/>
              <w:left w:val="nil"/>
              <w:bottom w:val="single" w:sz="4" w:space="0" w:color="auto"/>
              <w:right w:val="single" w:sz="4" w:space="0" w:color="auto"/>
            </w:tcBorders>
            <w:shd w:val="clear" w:color="auto" w:fill="C6EFCE"/>
            <w:noWrap/>
          </w:tcPr>
          <w:p w14:paraId="712A26EC" w14:textId="77777777" w:rsidR="00CB0FCB" w:rsidRDefault="009D2B11">
            <w:pPr>
              <w:pStyle w:val="P68B1DB1-Normal9"/>
              <w:spacing w:after="0" w:line="240" w:lineRule="auto"/>
              <w:rPr>
                <w:rFonts w:eastAsia="Times New Roman" w:cs="Calibri"/>
                <w:noProof/>
                <w:szCs w:val="18"/>
              </w:rPr>
            </w:pPr>
            <w:r>
              <w:rPr>
                <w:noProof/>
              </w:rPr>
              <w:t>2. CET.</w:t>
            </w:r>
          </w:p>
        </w:tc>
        <w:tc>
          <w:tcPr>
            <w:tcW w:w="992" w:type="dxa"/>
            <w:tcBorders>
              <w:top w:val="nil"/>
              <w:left w:val="nil"/>
              <w:bottom w:val="single" w:sz="4" w:space="0" w:color="auto"/>
              <w:right w:val="single" w:sz="4" w:space="0" w:color="auto"/>
            </w:tcBorders>
            <w:shd w:val="clear" w:color="auto" w:fill="C6EFCE"/>
            <w:noWrap/>
          </w:tcPr>
          <w:p w14:paraId="79241647" w14:textId="77777777" w:rsidR="00CB0FCB" w:rsidRDefault="009D2B11">
            <w:pPr>
              <w:pStyle w:val="P68B1DB1-Normal9"/>
              <w:spacing w:after="0" w:line="240" w:lineRule="auto"/>
              <w:rPr>
                <w:rFonts w:eastAsia="Times New Roman" w:cs="Calibri"/>
                <w:noProof/>
                <w:szCs w:val="18"/>
              </w:rPr>
            </w:pPr>
            <w:r>
              <w:rPr>
                <w:noProof/>
              </w:rPr>
              <w:t>2025</w:t>
            </w:r>
          </w:p>
        </w:tc>
        <w:tc>
          <w:tcPr>
            <w:tcW w:w="4501" w:type="dxa"/>
            <w:tcBorders>
              <w:top w:val="nil"/>
              <w:left w:val="nil"/>
              <w:bottom w:val="single" w:sz="4" w:space="0" w:color="auto"/>
              <w:right w:val="single" w:sz="4" w:space="0" w:color="auto"/>
            </w:tcBorders>
            <w:shd w:val="clear" w:color="auto" w:fill="C6EFCE"/>
            <w:noWrap/>
          </w:tcPr>
          <w:p w14:paraId="7877AD62" w14:textId="6E49AD7E" w:rsidR="00CB0FCB" w:rsidRDefault="009D2B11">
            <w:pPr>
              <w:pStyle w:val="P68B1DB1-Normal9"/>
              <w:spacing w:after="0" w:line="240" w:lineRule="auto"/>
              <w:rPr>
                <w:rFonts w:eastAsia="Times New Roman" w:cs="Calibri"/>
                <w:noProof/>
                <w:szCs w:val="18"/>
              </w:rPr>
            </w:pPr>
            <w:r>
              <w:rPr>
                <w:noProof/>
              </w:rPr>
              <w:t>Īstenot iepriekš pieņemtos efektivitāti uzlabojošos pasākumus, lai panāktu 2024. gada farmaceitisko līdzekļu atgūšanas samazinājumu par 300 000 000 EUR gan ambulatorajiem, gan stacionārajiem medikamentiem salīdzinājumā ar 2020. gada līmeni, tādējādi atbalstot veselības aprūpes sistēmas noturību. Ja tas netiek sasniegts, starpību starp plānoto samazinājumu un faktisko samazinājumu par katru gadu neatgūst no farmācijas nozares, un attiecīgo summu sedz no valsts budžeta līdz EUR 300000000.</w:t>
            </w:r>
          </w:p>
        </w:tc>
      </w:tr>
      <w:tr w:rsidR="00CB0FCB" w14:paraId="5FDBBC2F"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06EC06B" w14:textId="77777777" w:rsidR="00CB0FCB" w:rsidRDefault="009D2B11">
            <w:pPr>
              <w:pStyle w:val="P68B1DB1-Normal9"/>
              <w:spacing w:after="0" w:line="240" w:lineRule="auto"/>
              <w:rPr>
                <w:rFonts w:eastAsia="Times New Roman" w:cs="Calibri"/>
                <w:noProof/>
                <w:szCs w:val="18"/>
              </w:rPr>
            </w:pPr>
            <w:r>
              <w:rPr>
                <w:noProof/>
              </w:rPr>
              <w:t>158</w:t>
            </w:r>
          </w:p>
        </w:tc>
        <w:tc>
          <w:tcPr>
            <w:tcW w:w="1376" w:type="dxa"/>
            <w:tcBorders>
              <w:top w:val="single" w:sz="4" w:space="0" w:color="auto"/>
              <w:left w:val="nil"/>
              <w:bottom w:val="single" w:sz="4" w:space="0" w:color="auto"/>
              <w:right w:val="single" w:sz="4" w:space="0" w:color="auto"/>
            </w:tcBorders>
            <w:shd w:val="clear" w:color="auto" w:fill="C6EFCE"/>
            <w:noWrap/>
          </w:tcPr>
          <w:p w14:paraId="03D8862B"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966" w:type="dxa"/>
            <w:tcBorders>
              <w:top w:val="single" w:sz="4" w:space="0" w:color="auto"/>
              <w:left w:val="nil"/>
              <w:bottom w:val="single" w:sz="4" w:space="0" w:color="auto"/>
              <w:right w:val="single" w:sz="4" w:space="0" w:color="auto"/>
            </w:tcBorders>
            <w:shd w:val="clear" w:color="auto" w:fill="C6EFCE"/>
            <w:noWrap/>
          </w:tcPr>
          <w:p w14:paraId="249FC310" w14:textId="77777777" w:rsidR="00CB0FCB" w:rsidRDefault="009D2B11">
            <w:pPr>
              <w:pStyle w:val="P68B1DB1-Normal9"/>
              <w:spacing w:after="0" w:line="240" w:lineRule="auto"/>
              <w:rPr>
                <w:rFonts w:eastAsia="Times New Roman" w:cs="Calibri"/>
                <w:noProof/>
                <w:szCs w:val="18"/>
              </w:rPr>
            </w:pPr>
            <w:r>
              <w:rPr>
                <w:noProof/>
              </w:rPr>
              <w:t>Mērķa</w:t>
            </w:r>
          </w:p>
        </w:tc>
        <w:tc>
          <w:tcPr>
            <w:tcW w:w="1350" w:type="dxa"/>
            <w:tcBorders>
              <w:top w:val="single" w:sz="4" w:space="0" w:color="auto"/>
              <w:left w:val="nil"/>
              <w:bottom w:val="single" w:sz="4" w:space="0" w:color="auto"/>
              <w:right w:val="single" w:sz="4" w:space="0" w:color="auto"/>
            </w:tcBorders>
            <w:shd w:val="clear" w:color="auto" w:fill="C6EFCE"/>
            <w:noWrap/>
          </w:tcPr>
          <w:p w14:paraId="200B136F" w14:textId="77777777" w:rsidR="00CB0FCB" w:rsidRDefault="009D2B11">
            <w:pPr>
              <w:pStyle w:val="P68B1DB1-Normal9"/>
              <w:spacing w:after="0" w:line="240" w:lineRule="auto"/>
              <w:rPr>
                <w:rFonts w:eastAsia="Times New Roman" w:cs="Calibri"/>
                <w:noProof/>
                <w:szCs w:val="18"/>
              </w:rPr>
            </w:pPr>
            <w:r>
              <w:rPr>
                <w:noProof/>
              </w:rPr>
              <w:t>Atgūšanas samazinājums 400000000–4. solis</w:t>
            </w:r>
          </w:p>
        </w:tc>
        <w:tc>
          <w:tcPr>
            <w:tcW w:w="1717" w:type="dxa"/>
            <w:tcBorders>
              <w:top w:val="single" w:sz="4" w:space="0" w:color="auto"/>
              <w:left w:val="nil"/>
              <w:bottom w:val="single" w:sz="4" w:space="0" w:color="auto"/>
              <w:right w:val="single" w:sz="4" w:space="0" w:color="auto"/>
            </w:tcBorders>
            <w:shd w:val="clear" w:color="auto" w:fill="C6EFCE"/>
            <w:noWrap/>
          </w:tcPr>
          <w:p w14:paraId="63F53BE6" w14:textId="77777777" w:rsidR="00CB0FCB" w:rsidRDefault="00CB0FCB">
            <w:pPr>
              <w:spacing w:after="0" w:line="240" w:lineRule="auto"/>
              <w:rPr>
                <w:rFonts w:eastAsia="Times New Roman" w:cs="Calibri"/>
                <w:noProof/>
                <w:color w:val="006100"/>
                <w:sz w:val="18"/>
                <w:szCs w:val="18"/>
              </w:rPr>
            </w:pPr>
          </w:p>
        </w:tc>
        <w:tc>
          <w:tcPr>
            <w:tcW w:w="1194" w:type="dxa"/>
            <w:tcBorders>
              <w:top w:val="single" w:sz="4" w:space="0" w:color="auto"/>
              <w:left w:val="nil"/>
              <w:bottom w:val="single" w:sz="4" w:space="0" w:color="auto"/>
              <w:right w:val="single" w:sz="4" w:space="0" w:color="auto"/>
            </w:tcBorders>
            <w:shd w:val="clear" w:color="auto" w:fill="C6EFCE"/>
            <w:noWrap/>
          </w:tcPr>
          <w:p w14:paraId="5207D7B2" w14:textId="77777777" w:rsidR="00CB0FCB" w:rsidRDefault="009D2B11">
            <w:pPr>
              <w:pStyle w:val="P68B1DB1-Normal9"/>
              <w:spacing w:after="0" w:line="240" w:lineRule="auto"/>
              <w:rPr>
                <w:rFonts w:eastAsia="Times New Roman" w:cs="Calibri"/>
                <w:noProof/>
                <w:szCs w:val="18"/>
              </w:rPr>
            </w:pPr>
            <w:r>
              <w:rPr>
                <w:noProof/>
              </w:rPr>
              <w:t>Atgūšanas summas samazinājums salīdzinājumā ar 2020. gada līmeni (miljonos EUR)</w:t>
            </w:r>
          </w:p>
        </w:tc>
        <w:tc>
          <w:tcPr>
            <w:tcW w:w="870" w:type="dxa"/>
            <w:tcBorders>
              <w:top w:val="single" w:sz="4" w:space="0" w:color="auto"/>
              <w:left w:val="nil"/>
              <w:bottom w:val="single" w:sz="4" w:space="0" w:color="auto"/>
              <w:right w:val="single" w:sz="4" w:space="0" w:color="auto"/>
            </w:tcBorders>
            <w:shd w:val="clear" w:color="auto" w:fill="C6EFCE"/>
            <w:noWrap/>
          </w:tcPr>
          <w:p w14:paraId="11EAAC25" w14:textId="2E22E62E" w:rsidR="00CB0FCB" w:rsidRDefault="009D2B11">
            <w:pPr>
              <w:pStyle w:val="P68B1DB1-Normal9"/>
              <w:spacing w:after="0" w:line="240" w:lineRule="auto"/>
              <w:rPr>
                <w:rFonts w:eastAsia="Times New Roman" w:cs="Calibri"/>
                <w:noProof/>
                <w:szCs w:val="18"/>
              </w:rPr>
            </w:pPr>
            <w:r>
              <w:rPr>
                <w:noProof/>
              </w:rPr>
              <w:t>0</w:t>
            </w:r>
          </w:p>
        </w:tc>
        <w:tc>
          <w:tcPr>
            <w:tcW w:w="764" w:type="dxa"/>
            <w:tcBorders>
              <w:top w:val="single" w:sz="4" w:space="0" w:color="auto"/>
              <w:left w:val="nil"/>
              <w:bottom w:val="single" w:sz="4" w:space="0" w:color="auto"/>
              <w:right w:val="single" w:sz="4" w:space="0" w:color="auto"/>
            </w:tcBorders>
            <w:shd w:val="clear" w:color="auto" w:fill="C6EFCE"/>
            <w:noWrap/>
          </w:tcPr>
          <w:p w14:paraId="72DAD12B" w14:textId="77777777" w:rsidR="00CB0FCB" w:rsidRDefault="009D2B11">
            <w:pPr>
              <w:pStyle w:val="P68B1DB1-Normal9"/>
              <w:spacing w:after="0" w:line="240" w:lineRule="auto"/>
              <w:rPr>
                <w:rFonts w:eastAsia="Times New Roman" w:cs="Calibri"/>
                <w:noProof/>
                <w:szCs w:val="18"/>
              </w:rPr>
            </w:pPr>
            <w:r>
              <w:rPr>
                <w:noProof/>
              </w:rPr>
              <w:t>400</w:t>
            </w:r>
          </w:p>
        </w:tc>
        <w:tc>
          <w:tcPr>
            <w:tcW w:w="973" w:type="dxa"/>
            <w:tcBorders>
              <w:top w:val="single" w:sz="4" w:space="0" w:color="auto"/>
              <w:left w:val="nil"/>
              <w:bottom w:val="single" w:sz="4" w:space="0" w:color="auto"/>
              <w:right w:val="single" w:sz="4" w:space="0" w:color="auto"/>
            </w:tcBorders>
            <w:shd w:val="clear" w:color="auto" w:fill="C6EFCE"/>
            <w:noWrap/>
          </w:tcPr>
          <w:p w14:paraId="4F9754A2" w14:textId="77777777" w:rsidR="00CB0FCB" w:rsidRDefault="009D2B11">
            <w:pPr>
              <w:pStyle w:val="P68B1DB1-Normal9"/>
              <w:spacing w:after="0" w:line="240" w:lineRule="auto"/>
              <w:rPr>
                <w:rFonts w:eastAsia="Times New Roman" w:cs="Calibri"/>
                <w:noProof/>
                <w:szCs w:val="18"/>
              </w:rPr>
            </w:pPr>
            <w:r>
              <w:rPr>
                <w:noProof/>
              </w:rPr>
              <w:t>2. CET.</w:t>
            </w:r>
          </w:p>
        </w:tc>
        <w:tc>
          <w:tcPr>
            <w:tcW w:w="992" w:type="dxa"/>
            <w:tcBorders>
              <w:top w:val="single" w:sz="4" w:space="0" w:color="auto"/>
              <w:left w:val="nil"/>
              <w:bottom w:val="single" w:sz="4" w:space="0" w:color="auto"/>
              <w:right w:val="single" w:sz="4" w:space="0" w:color="auto"/>
            </w:tcBorders>
            <w:shd w:val="clear" w:color="auto" w:fill="C6EFCE"/>
            <w:noWrap/>
          </w:tcPr>
          <w:p w14:paraId="7B96A7FC" w14:textId="77777777" w:rsidR="00CB0FCB" w:rsidRDefault="009D2B11">
            <w:pPr>
              <w:pStyle w:val="P68B1DB1-Normal9"/>
              <w:spacing w:after="0" w:line="240" w:lineRule="auto"/>
              <w:rPr>
                <w:rFonts w:eastAsia="Times New Roman" w:cs="Calibri"/>
                <w:noProof/>
                <w:szCs w:val="18"/>
              </w:rPr>
            </w:pPr>
            <w:r>
              <w:rPr>
                <w:noProof/>
              </w:rPr>
              <w:t>2026</w:t>
            </w:r>
          </w:p>
        </w:tc>
        <w:tc>
          <w:tcPr>
            <w:tcW w:w="4501" w:type="dxa"/>
            <w:tcBorders>
              <w:top w:val="single" w:sz="4" w:space="0" w:color="auto"/>
              <w:left w:val="nil"/>
              <w:bottom w:val="single" w:sz="4" w:space="0" w:color="auto"/>
              <w:right w:val="single" w:sz="4" w:space="0" w:color="auto"/>
            </w:tcBorders>
            <w:shd w:val="clear" w:color="auto" w:fill="C6EFCE"/>
            <w:noWrap/>
          </w:tcPr>
          <w:p w14:paraId="5DB76648" w14:textId="7F7D9A0A" w:rsidR="00CB0FCB" w:rsidRDefault="009D2B11">
            <w:pPr>
              <w:pStyle w:val="P68B1DB1-Normal9"/>
              <w:spacing w:after="0" w:line="240" w:lineRule="auto"/>
              <w:rPr>
                <w:rFonts w:eastAsia="Times New Roman" w:cs="Calibri"/>
                <w:noProof/>
                <w:szCs w:val="18"/>
              </w:rPr>
            </w:pPr>
            <w:r>
              <w:rPr>
                <w:noProof/>
              </w:rPr>
              <w:t>Īstenot iepriekš pieņemtos efektivitāti uzlabojošos pasākumus, lai panāktu, ka ambulatoro un stacionāro zāļu atgūšana 2025. gadā tiek samazināta par 400 000 000 EUR salīdzinājumā ar 2020. gada līmeni, tādējādi atbalstot veselības aprūpes sistēmas noturību. Ja tas netiek sasniegts, starpību starp plānoto samazinājumu un faktisko samazinājumu par katru gadu neatgūst no farmācijas nozares, un attiecīgo summu sedz no valsts budžeta līdz EUR 400000000.</w:t>
            </w:r>
          </w:p>
        </w:tc>
      </w:tr>
    </w:tbl>
    <w:p w14:paraId="4C0AC73B" w14:textId="77777777" w:rsidR="00CB0FCB" w:rsidRDefault="00CB0FCB">
      <w:pPr>
        <w:spacing w:before="120" w:after="120" w:line="240" w:lineRule="auto"/>
        <w:ind w:left="709"/>
        <w:jc w:val="both"/>
        <w:rPr>
          <w:rFonts w:ascii="Times New Roman" w:hAnsi="Times New Roman" w:cs="Times New Roman"/>
          <w:noProof/>
          <w:sz w:val="24"/>
          <w:szCs w:val="24"/>
        </w:rPr>
        <w:sectPr w:rsidR="00CB0FCB" w:rsidSect="00271D33">
          <w:headerReference w:type="even" r:id="rId175"/>
          <w:headerReference w:type="default" r:id="rId176"/>
          <w:footerReference w:type="even" r:id="rId177"/>
          <w:footerReference w:type="default" r:id="rId178"/>
          <w:headerReference w:type="first" r:id="rId179"/>
          <w:footerReference w:type="first" r:id="rId180"/>
          <w:pgSz w:w="16839" w:h="11907" w:orient="landscape"/>
          <w:pgMar w:top="720" w:right="720" w:bottom="720" w:left="720" w:header="709" w:footer="217" w:gutter="0"/>
          <w:cols w:space="720"/>
          <w:docGrid w:linePitch="360"/>
        </w:sectPr>
      </w:pPr>
    </w:p>
    <w:p w14:paraId="5489EFFC" w14:textId="77777777" w:rsidR="00CB0FCB" w:rsidRDefault="009D2B11">
      <w:pPr>
        <w:pStyle w:val="P68B1DB1-Normal6"/>
        <w:keepNext/>
        <w:keepLines/>
        <w:spacing w:before="40" w:after="0" w:line="240" w:lineRule="auto"/>
        <w:jc w:val="both"/>
        <w:outlineLvl w:val="4"/>
        <w:rPr>
          <w:rFonts w:eastAsia="Times New Roman"/>
          <w:noProof/>
        </w:rPr>
      </w:pPr>
      <w:r>
        <w:rPr>
          <w:noProof/>
        </w:rPr>
        <w:t>Grupa: Veselības aprūpes noturības, pieejamības un ilgtspējas uzlabošana</w:t>
      </w:r>
    </w:p>
    <w:p w14:paraId="4AC87050" w14:textId="24596D67" w:rsidR="00CB0FCB" w:rsidRDefault="009D2B11">
      <w:pPr>
        <w:pStyle w:val="P68B1DB1-Normal4"/>
        <w:numPr>
          <w:ilvl w:val="0"/>
          <w:numId w:val="41"/>
        </w:numPr>
        <w:tabs>
          <w:tab w:val="left" w:pos="8364"/>
        </w:tabs>
        <w:spacing w:before="120" w:after="0" w:line="240" w:lineRule="auto"/>
        <w:jc w:val="both"/>
        <w:rPr>
          <w:rFonts w:cs="Times New Roman"/>
          <w:noProof/>
        </w:rPr>
      </w:pPr>
      <w:r>
        <w:rPr>
          <w:noProof/>
        </w:rPr>
        <w:t>Veselības aprūpes sistēmas organizatoriskās reformas (ID: 16756)</w:t>
      </w:r>
    </w:p>
    <w:p w14:paraId="068977C5" w14:textId="77777777" w:rsidR="00CB0FCB" w:rsidRDefault="009D2B11">
      <w:pPr>
        <w:pStyle w:val="P68B1DB1-Normal4"/>
        <w:numPr>
          <w:ilvl w:val="0"/>
          <w:numId w:val="41"/>
        </w:numPr>
        <w:tabs>
          <w:tab w:val="left" w:pos="8364"/>
        </w:tabs>
        <w:spacing w:before="120" w:after="0" w:line="240" w:lineRule="auto"/>
        <w:jc w:val="both"/>
        <w:rPr>
          <w:rFonts w:cs="Times New Roman"/>
          <w:noProof/>
        </w:rPr>
      </w:pPr>
      <w:r>
        <w:rPr>
          <w:noProof/>
        </w:rPr>
        <w:t>Reforma garīgās veselības un atkarības jomā (ID: 16820)</w:t>
      </w:r>
    </w:p>
    <w:p w14:paraId="62C477B6" w14:textId="77777777" w:rsidR="00CB0FCB" w:rsidRDefault="009D2B11">
      <w:pPr>
        <w:pStyle w:val="P68B1DB1-Normal4"/>
        <w:numPr>
          <w:ilvl w:val="0"/>
          <w:numId w:val="41"/>
        </w:numPr>
        <w:tabs>
          <w:tab w:val="left" w:pos="8364"/>
        </w:tabs>
        <w:spacing w:before="120" w:after="0" w:line="240" w:lineRule="auto"/>
        <w:jc w:val="both"/>
        <w:rPr>
          <w:rFonts w:cs="Times New Roman"/>
          <w:noProof/>
        </w:rPr>
      </w:pPr>
      <w:r>
        <w:rPr>
          <w:noProof/>
        </w:rPr>
        <w:t>Primārās veselības aprūpes sistēmas reforma (ID: 16755)</w:t>
      </w:r>
    </w:p>
    <w:p w14:paraId="26317555" w14:textId="77777777" w:rsidR="00CB0FCB" w:rsidRDefault="009D2B11">
      <w:pPr>
        <w:pStyle w:val="P68B1DB1-Normal4"/>
        <w:numPr>
          <w:ilvl w:val="0"/>
          <w:numId w:val="41"/>
        </w:numPr>
        <w:tabs>
          <w:tab w:val="left" w:pos="8364"/>
        </w:tabs>
        <w:spacing w:before="120" w:after="120" w:line="240" w:lineRule="auto"/>
        <w:jc w:val="both"/>
        <w:rPr>
          <w:rFonts w:cs="Times New Roman"/>
          <w:noProof/>
        </w:rPr>
      </w:pPr>
      <w:r>
        <w:rPr>
          <w:noProof/>
        </w:rPr>
        <w:t>Valsts sabiedrības veselības profilakses programmas “Spiros Doxiadis” īstenošana (ID: 16783)</w:t>
      </w:r>
    </w:p>
    <w:p w14:paraId="526F0D27" w14:textId="77777777" w:rsidR="00CB0FCB" w:rsidRDefault="009D2B11">
      <w:pPr>
        <w:pStyle w:val="P68B1DB1-Normal4"/>
        <w:numPr>
          <w:ilvl w:val="0"/>
          <w:numId w:val="41"/>
        </w:numPr>
        <w:tabs>
          <w:tab w:val="left" w:pos="8364"/>
        </w:tabs>
        <w:spacing w:before="120" w:after="120" w:line="240" w:lineRule="auto"/>
        <w:jc w:val="both"/>
        <w:rPr>
          <w:rFonts w:cs="Times New Roman"/>
          <w:noProof/>
        </w:rPr>
      </w:pPr>
      <w:r>
        <w:rPr>
          <w:noProof/>
        </w:rPr>
        <w:t>Personīgā ārsta reforma (ID: 16984)</w:t>
      </w:r>
    </w:p>
    <w:p w14:paraId="095871C1" w14:textId="77777777" w:rsidR="00CB0FCB" w:rsidRDefault="00CB0FCB">
      <w:pPr>
        <w:tabs>
          <w:tab w:val="left" w:pos="8364"/>
        </w:tabs>
        <w:spacing w:before="120" w:after="120" w:line="240" w:lineRule="auto"/>
        <w:jc w:val="both"/>
        <w:rPr>
          <w:rFonts w:ascii="Times New Roman" w:hAnsi="Times New Roman" w:cs="Times New Roman"/>
          <w:noProof/>
          <w:sz w:val="24"/>
        </w:rPr>
      </w:pPr>
    </w:p>
    <w:tbl>
      <w:tblPr>
        <w:tblpPr w:leftFromText="180" w:rightFromText="180" w:vertAnchor="text" w:tblpXSpec="center" w:tblpY="1"/>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268"/>
        <w:gridCol w:w="1001"/>
        <w:gridCol w:w="1274"/>
        <w:gridCol w:w="2178"/>
        <w:gridCol w:w="1199"/>
        <w:gridCol w:w="960"/>
        <w:gridCol w:w="839"/>
        <w:gridCol w:w="960"/>
        <w:gridCol w:w="721"/>
        <w:gridCol w:w="4142"/>
      </w:tblGrid>
      <w:tr w:rsidR="00CB0FCB" w14:paraId="6CD275FE" w14:textId="77777777">
        <w:trPr>
          <w:trHeight w:val="631"/>
          <w:tblHeader/>
        </w:trPr>
        <w:tc>
          <w:tcPr>
            <w:tcW w:w="320" w:type="pct"/>
            <w:vMerge w:val="restart"/>
            <w:shd w:val="clear" w:color="auto" w:fill="BDD7EE"/>
            <w:vAlign w:val="center"/>
            <w:hideMark/>
          </w:tcPr>
          <w:p w14:paraId="2110B1C3" w14:textId="77777777" w:rsidR="00CB0FCB" w:rsidRDefault="009D2B11">
            <w:pPr>
              <w:pStyle w:val="P68B1DB1-Normal7"/>
              <w:spacing w:after="0" w:line="240" w:lineRule="auto"/>
              <w:ind w:right="-670"/>
              <w:rPr>
                <w:rFonts w:eastAsia="Times New Roman" w:cs="Times New Roman"/>
                <w:bCs/>
                <w:noProof/>
                <w:szCs w:val="18"/>
              </w:rPr>
            </w:pPr>
            <w:r>
              <w:rPr>
                <w:noProof/>
              </w:rPr>
              <w:t>Kārtas numurs</w:t>
            </w:r>
          </w:p>
        </w:tc>
        <w:tc>
          <w:tcPr>
            <w:tcW w:w="408" w:type="pct"/>
            <w:vMerge w:val="restart"/>
            <w:shd w:val="clear" w:color="auto" w:fill="BDD7EE"/>
            <w:vAlign w:val="center"/>
            <w:hideMark/>
          </w:tcPr>
          <w:p w14:paraId="1880459B" w14:textId="55B5A30B" w:rsidR="00CB0FCB" w:rsidRDefault="009D2B11">
            <w:pPr>
              <w:pStyle w:val="P68B1DB1-Normal7"/>
              <w:spacing w:after="0" w:line="240" w:lineRule="auto"/>
              <w:ind w:right="-670"/>
              <w:rPr>
                <w:noProof/>
              </w:rPr>
            </w:pPr>
            <w:r>
              <w:rPr>
                <w:noProof/>
              </w:rPr>
              <w:t>Saistīts</w:t>
            </w:r>
          </w:p>
          <w:p w14:paraId="0BFB14E4" w14:textId="77777777" w:rsidR="00CB0FCB" w:rsidRDefault="009D2B11">
            <w:pPr>
              <w:pStyle w:val="P68B1DB1-Normal7"/>
              <w:spacing w:after="0" w:line="240" w:lineRule="auto"/>
              <w:ind w:right="-670"/>
              <w:rPr>
                <w:noProof/>
              </w:rPr>
            </w:pPr>
            <w:r>
              <w:rPr>
                <w:noProof/>
              </w:rPr>
              <w:t>Mērījums</w:t>
            </w:r>
          </w:p>
          <w:p w14:paraId="3A5D308A" w14:textId="77777777" w:rsidR="00CB0FCB" w:rsidRDefault="009D2B11">
            <w:pPr>
              <w:pStyle w:val="P68B1DB1-Normal7"/>
              <w:spacing w:after="0" w:line="240" w:lineRule="auto"/>
              <w:ind w:right="-670"/>
              <w:rPr>
                <w:rFonts w:eastAsia="Times New Roman" w:cs="Times New Roman"/>
                <w:bCs/>
                <w:noProof/>
                <w:szCs w:val="18"/>
              </w:rPr>
            </w:pPr>
            <w:r>
              <w:rPr>
                <w:noProof/>
              </w:rPr>
              <w:t>(Reforma vai investīcijas)</w:t>
            </w:r>
          </w:p>
        </w:tc>
        <w:tc>
          <w:tcPr>
            <w:tcW w:w="322" w:type="pct"/>
            <w:vMerge w:val="restart"/>
            <w:shd w:val="clear" w:color="auto" w:fill="BDD7EE"/>
            <w:vAlign w:val="center"/>
            <w:hideMark/>
          </w:tcPr>
          <w:p w14:paraId="241C0370" w14:textId="77777777" w:rsidR="00CB0FCB" w:rsidRDefault="009D2B11">
            <w:pPr>
              <w:pStyle w:val="P68B1DB1-Normal7"/>
              <w:spacing w:after="0" w:line="240" w:lineRule="auto"/>
              <w:ind w:right="-670"/>
              <w:rPr>
                <w:noProof/>
              </w:rPr>
            </w:pPr>
            <w:r>
              <w:rPr>
                <w:noProof/>
              </w:rPr>
              <w:t xml:space="preserve">Atskaites punkts/ </w:t>
            </w:r>
          </w:p>
          <w:p w14:paraId="61BCA957" w14:textId="77777777" w:rsidR="00CB0FCB" w:rsidRDefault="009D2B11">
            <w:pPr>
              <w:pStyle w:val="P68B1DB1-Normal7"/>
              <w:spacing w:after="0" w:line="240" w:lineRule="auto"/>
              <w:ind w:right="-670"/>
              <w:rPr>
                <w:rFonts w:eastAsia="Times New Roman" w:cs="Times New Roman"/>
                <w:bCs/>
                <w:noProof/>
                <w:szCs w:val="18"/>
              </w:rPr>
            </w:pPr>
            <w:r>
              <w:rPr>
                <w:noProof/>
              </w:rPr>
              <w:t>Mērķa</w:t>
            </w:r>
          </w:p>
        </w:tc>
        <w:tc>
          <w:tcPr>
            <w:tcW w:w="410" w:type="pct"/>
            <w:vMerge w:val="restart"/>
            <w:shd w:val="clear" w:color="auto" w:fill="BDD7EE"/>
            <w:vAlign w:val="center"/>
            <w:hideMark/>
          </w:tcPr>
          <w:p w14:paraId="1DB95DA7" w14:textId="77777777" w:rsidR="00CB0FCB" w:rsidRDefault="009D2B11">
            <w:pPr>
              <w:pStyle w:val="P68B1DB1-Normal7"/>
              <w:spacing w:after="0" w:line="240" w:lineRule="auto"/>
              <w:ind w:left="447" w:right="-670" w:hanging="447"/>
              <w:rPr>
                <w:rFonts w:eastAsia="Times New Roman" w:cs="Times New Roman"/>
                <w:bCs/>
                <w:noProof/>
                <w:szCs w:val="18"/>
              </w:rPr>
            </w:pPr>
            <w:r>
              <w:rPr>
                <w:noProof/>
              </w:rPr>
              <w:t>Nosaukums</w:t>
            </w:r>
          </w:p>
        </w:tc>
        <w:tc>
          <w:tcPr>
            <w:tcW w:w="701" w:type="pct"/>
            <w:vMerge w:val="restart"/>
            <w:shd w:val="clear" w:color="auto" w:fill="BDD7EE"/>
            <w:vAlign w:val="center"/>
            <w:hideMark/>
          </w:tcPr>
          <w:p w14:paraId="20A3DC7A" w14:textId="77777777" w:rsidR="00CB0FCB" w:rsidRDefault="009D2B11">
            <w:pPr>
              <w:pStyle w:val="P68B1DB1-Normal7"/>
              <w:spacing w:after="0" w:line="240" w:lineRule="auto"/>
              <w:ind w:left="447" w:right="-670" w:hanging="447"/>
              <w:rPr>
                <w:noProof/>
              </w:rPr>
            </w:pPr>
            <w:r>
              <w:rPr>
                <w:noProof/>
              </w:rPr>
              <w:t xml:space="preserve">Kvalitātes rādītāji  </w:t>
            </w:r>
          </w:p>
          <w:p w14:paraId="6B4A8A7C" w14:textId="494DFDE6" w:rsidR="00CB0FCB" w:rsidRDefault="009D2B11">
            <w:pPr>
              <w:pStyle w:val="P68B1DB1-Normal7"/>
              <w:spacing w:after="0" w:line="240" w:lineRule="auto"/>
              <w:ind w:left="447" w:right="-670" w:hanging="447"/>
              <w:rPr>
                <w:rFonts w:eastAsia="Times New Roman" w:cs="Times New Roman"/>
                <w:bCs/>
                <w:noProof/>
                <w:szCs w:val="18"/>
              </w:rPr>
            </w:pPr>
            <w:r>
              <w:rPr>
                <w:noProof/>
              </w:rPr>
              <w:t>(attiecībā uz starpposma mērķiem)</w:t>
            </w:r>
          </w:p>
        </w:tc>
        <w:tc>
          <w:tcPr>
            <w:tcW w:w="965" w:type="pct"/>
            <w:gridSpan w:val="3"/>
            <w:shd w:val="clear" w:color="auto" w:fill="BDD7EE"/>
            <w:vAlign w:val="center"/>
            <w:hideMark/>
          </w:tcPr>
          <w:p w14:paraId="25AFA771" w14:textId="15C6C650" w:rsidR="00CB0FCB" w:rsidRDefault="009D2B11">
            <w:pPr>
              <w:pStyle w:val="P68B1DB1-Normal7"/>
              <w:spacing w:after="0" w:line="240" w:lineRule="auto"/>
              <w:ind w:right="-670"/>
              <w:jc w:val="center"/>
              <w:rPr>
                <w:noProof/>
              </w:rPr>
            </w:pPr>
            <w:r>
              <w:rPr>
                <w:noProof/>
              </w:rPr>
              <w:t>Kvantitatīvie rādītāji</w:t>
            </w:r>
          </w:p>
          <w:p w14:paraId="5EB75F35" w14:textId="77777777" w:rsidR="00CB0FCB" w:rsidRDefault="009D2B11">
            <w:pPr>
              <w:pStyle w:val="P68B1DB1-Normal7"/>
              <w:spacing w:after="0" w:line="240" w:lineRule="auto"/>
              <w:ind w:right="-670"/>
              <w:jc w:val="center"/>
              <w:rPr>
                <w:rFonts w:eastAsia="Times New Roman" w:cs="Times New Roman"/>
                <w:bCs/>
                <w:noProof/>
                <w:szCs w:val="18"/>
              </w:rPr>
            </w:pPr>
            <w:r>
              <w:rPr>
                <w:noProof/>
              </w:rPr>
              <w:t>(mērķiem)</w:t>
            </w:r>
          </w:p>
        </w:tc>
        <w:tc>
          <w:tcPr>
            <w:tcW w:w="541" w:type="pct"/>
            <w:gridSpan w:val="2"/>
            <w:shd w:val="clear" w:color="auto" w:fill="BDD7EE"/>
            <w:vAlign w:val="center"/>
            <w:hideMark/>
          </w:tcPr>
          <w:p w14:paraId="3BCC6732" w14:textId="77777777" w:rsidR="00CB0FCB" w:rsidRDefault="009D2B11">
            <w:pPr>
              <w:pStyle w:val="P68B1DB1-Normal7"/>
              <w:spacing w:after="0" w:line="240" w:lineRule="auto"/>
              <w:ind w:right="-670"/>
              <w:rPr>
                <w:noProof/>
              </w:rPr>
            </w:pPr>
            <w:r>
              <w:rPr>
                <w:noProof/>
              </w:rPr>
              <w:t>Orientējošs grafiks</w:t>
            </w:r>
          </w:p>
          <w:p w14:paraId="2B9FB511" w14:textId="05B29FE4" w:rsidR="00CB0FCB" w:rsidRDefault="009D2B11">
            <w:pPr>
              <w:pStyle w:val="P68B1DB1-Normal7"/>
              <w:spacing w:after="0" w:line="240" w:lineRule="auto"/>
              <w:ind w:right="-670"/>
              <w:rPr>
                <w:rFonts w:eastAsia="Times New Roman" w:cs="Times New Roman"/>
                <w:bCs/>
                <w:noProof/>
                <w:szCs w:val="18"/>
              </w:rPr>
            </w:pPr>
            <w:r>
              <w:rPr>
                <w:noProof/>
              </w:rPr>
              <w:t xml:space="preserve"> aizpildāms</w:t>
            </w:r>
          </w:p>
        </w:tc>
        <w:tc>
          <w:tcPr>
            <w:tcW w:w="1333" w:type="pct"/>
            <w:vMerge w:val="restart"/>
            <w:shd w:val="clear" w:color="auto" w:fill="BDD7EE"/>
            <w:vAlign w:val="center"/>
            <w:hideMark/>
          </w:tcPr>
          <w:p w14:paraId="28F22717" w14:textId="77777777" w:rsidR="00CB0FCB" w:rsidRDefault="009D2B11">
            <w:pPr>
              <w:pStyle w:val="P68B1DB1-Normal7"/>
              <w:spacing w:after="0" w:line="240" w:lineRule="auto"/>
              <w:ind w:right="-670"/>
              <w:jc w:val="center"/>
              <w:rPr>
                <w:rFonts w:eastAsia="Times New Roman" w:cs="Times New Roman"/>
                <w:bCs/>
                <w:noProof/>
                <w:szCs w:val="18"/>
              </w:rPr>
            </w:pPr>
            <w:r>
              <w:rPr>
                <w:noProof/>
              </w:rPr>
              <w:t>Apraksts par katru atskaites punktu un mērķrādītāju</w:t>
            </w:r>
          </w:p>
        </w:tc>
      </w:tr>
      <w:tr w:rsidR="00CB0FCB" w14:paraId="13AE0862" w14:textId="77777777">
        <w:trPr>
          <w:trHeight w:val="532"/>
          <w:tblHeader/>
        </w:trPr>
        <w:tc>
          <w:tcPr>
            <w:tcW w:w="320" w:type="pct"/>
            <w:vMerge/>
            <w:vAlign w:val="center"/>
            <w:hideMark/>
          </w:tcPr>
          <w:p w14:paraId="61058CE7" w14:textId="77777777" w:rsidR="00CB0FCB" w:rsidRDefault="00CB0FCB">
            <w:pPr>
              <w:spacing w:after="0" w:line="240" w:lineRule="auto"/>
              <w:rPr>
                <w:rFonts w:ascii="Times New Roman" w:eastAsia="Times New Roman" w:hAnsi="Times New Roman" w:cs="Times New Roman"/>
                <w:b/>
                <w:bCs/>
                <w:noProof/>
                <w:sz w:val="18"/>
                <w:szCs w:val="18"/>
              </w:rPr>
            </w:pPr>
          </w:p>
        </w:tc>
        <w:tc>
          <w:tcPr>
            <w:tcW w:w="408" w:type="pct"/>
            <w:vMerge/>
            <w:vAlign w:val="center"/>
            <w:hideMark/>
          </w:tcPr>
          <w:p w14:paraId="2CFB6F08" w14:textId="77777777" w:rsidR="00CB0FCB" w:rsidRDefault="00CB0FCB">
            <w:pPr>
              <w:spacing w:after="0" w:line="240" w:lineRule="auto"/>
              <w:rPr>
                <w:rFonts w:ascii="Times New Roman" w:eastAsia="Times New Roman" w:hAnsi="Times New Roman" w:cs="Times New Roman"/>
                <w:b/>
                <w:bCs/>
                <w:noProof/>
                <w:sz w:val="18"/>
                <w:szCs w:val="18"/>
              </w:rPr>
            </w:pPr>
          </w:p>
        </w:tc>
        <w:tc>
          <w:tcPr>
            <w:tcW w:w="322" w:type="pct"/>
            <w:vMerge/>
            <w:vAlign w:val="center"/>
            <w:hideMark/>
          </w:tcPr>
          <w:p w14:paraId="44DF5C13" w14:textId="77777777" w:rsidR="00CB0FCB" w:rsidRDefault="00CB0FCB">
            <w:pPr>
              <w:spacing w:after="0" w:line="240" w:lineRule="auto"/>
              <w:rPr>
                <w:rFonts w:ascii="Times New Roman" w:eastAsia="Times New Roman" w:hAnsi="Times New Roman" w:cs="Times New Roman"/>
                <w:b/>
                <w:bCs/>
                <w:noProof/>
                <w:sz w:val="18"/>
                <w:szCs w:val="18"/>
              </w:rPr>
            </w:pPr>
          </w:p>
        </w:tc>
        <w:tc>
          <w:tcPr>
            <w:tcW w:w="410" w:type="pct"/>
            <w:vMerge/>
            <w:vAlign w:val="center"/>
            <w:hideMark/>
          </w:tcPr>
          <w:p w14:paraId="47DC1A65" w14:textId="77777777" w:rsidR="00CB0FCB" w:rsidRDefault="00CB0FCB">
            <w:pPr>
              <w:spacing w:after="0" w:line="240" w:lineRule="auto"/>
              <w:rPr>
                <w:rFonts w:ascii="Times New Roman" w:eastAsia="Times New Roman" w:hAnsi="Times New Roman" w:cs="Times New Roman"/>
                <w:b/>
                <w:bCs/>
                <w:noProof/>
                <w:sz w:val="18"/>
                <w:szCs w:val="18"/>
              </w:rPr>
            </w:pPr>
          </w:p>
        </w:tc>
        <w:tc>
          <w:tcPr>
            <w:tcW w:w="701" w:type="pct"/>
            <w:vMerge/>
            <w:vAlign w:val="center"/>
            <w:hideMark/>
          </w:tcPr>
          <w:p w14:paraId="61ED7832" w14:textId="77777777" w:rsidR="00CB0FCB" w:rsidRDefault="00CB0FCB">
            <w:pPr>
              <w:spacing w:after="0" w:line="240" w:lineRule="auto"/>
              <w:rPr>
                <w:rFonts w:ascii="Times New Roman" w:eastAsia="Times New Roman" w:hAnsi="Times New Roman" w:cs="Times New Roman"/>
                <w:b/>
                <w:bCs/>
                <w:noProof/>
                <w:sz w:val="18"/>
                <w:szCs w:val="18"/>
              </w:rPr>
            </w:pPr>
          </w:p>
        </w:tc>
        <w:tc>
          <w:tcPr>
            <w:tcW w:w="386" w:type="pct"/>
            <w:shd w:val="clear" w:color="auto" w:fill="BDD7EE"/>
            <w:vAlign w:val="center"/>
            <w:hideMark/>
          </w:tcPr>
          <w:p w14:paraId="6E28F864"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309" w:type="pct"/>
            <w:shd w:val="clear" w:color="auto" w:fill="BDD7EE"/>
            <w:vAlign w:val="center"/>
            <w:hideMark/>
          </w:tcPr>
          <w:p w14:paraId="34CE198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270" w:type="pct"/>
            <w:shd w:val="clear" w:color="auto" w:fill="BDD7EE"/>
            <w:vAlign w:val="center"/>
            <w:hideMark/>
          </w:tcPr>
          <w:p w14:paraId="61B70E90"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309" w:type="pct"/>
            <w:shd w:val="clear" w:color="auto" w:fill="BDD7EE"/>
            <w:vAlign w:val="center"/>
            <w:hideMark/>
          </w:tcPr>
          <w:p w14:paraId="46B68A12"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232" w:type="pct"/>
            <w:shd w:val="clear" w:color="auto" w:fill="BDD7EE"/>
            <w:vAlign w:val="center"/>
            <w:hideMark/>
          </w:tcPr>
          <w:p w14:paraId="63DBB39F"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1333" w:type="pct"/>
            <w:vMerge/>
            <w:vAlign w:val="center"/>
            <w:hideMark/>
          </w:tcPr>
          <w:p w14:paraId="7E86C7DB"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2989C1D" w14:textId="77777777">
        <w:trPr>
          <w:trHeight w:val="313"/>
        </w:trPr>
        <w:tc>
          <w:tcPr>
            <w:tcW w:w="320" w:type="pct"/>
            <w:shd w:val="clear" w:color="auto" w:fill="C6EFCE"/>
            <w:noWrap/>
          </w:tcPr>
          <w:p w14:paraId="168459C4" w14:textId="77777777" w:rsidR="00CB0FCB" w:rsidRDefault="009D2B11">
            <w:pPr>
              <w:pStyle w:val="P68B1DB1-Normal9"/>
              <w:spacing w:after="0" w:line="240" w:lineRule="auto"/>
              <w:rPr>
                <w:rFonts w:eastAsia="Times New Roman" w:cs="Calibri"/>
                <w:noProof/>
                <w:szCs w:val="18"/>
              </w:rPr>
            </w:pPr>
            <w:r>
              <w:rPr>
                <w:noProof/>
              </w:rPr>
              <w:t>159</w:t>
            </w:r>
          </w:p>
        </w:tc>
        <w:tc>
          <w:tcPr>
            <w:tcW w:w="408" w:type="pct"/>
            <w:shd w:val="clear" w:color="auto" w:fill="C6EFCE"/>
            <w:noWrap/>
          </w:tcPr>
          <w:p w14:paraId="6E747696"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16755_Primārās veselības aprūpes sistēmas reforma</w:t>
            </w:r>
          </w:p>
        </w:tc>
        <w:tc>
          <w:tcPr>
            <w:tcW w:w="322" w:type="pct"/>
            <w:shd w:val="clear" w:color="auto" w:fill="C6EFCE"/>
            <w:noWrap/>
          </w:tcPr>
          <w:p w14:paraId="04F6562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410" w:type="pct"/>
            <w:shd w:val="clear" w:color="auto" w:fill="C6EFCE"/>
            <w:noWrap/>
          </w:tcPr>
          <w:p w14:paraId="7953BACE" w14:textId="77777777" w:rsidR="00CB0FCB" w:rsidRDefault="009D2B11">
            <w:pPr>
              <w:pStyle w:val="P68B1DB1-Normal9"/>
              <w:spacing w:after="0" w:line="240" w:lineRule="auto"/>
              <w:rPr>
                <w:rFonts w:eastAsia="Times New Roman" w:cs="Calibri"/>
                <w:noProof/>
                <w:szCs w:val="18"/>
              </w:rPr>
            </w:pPr>
            <w:r>
              <w:rPr>
                <w:noProof/>
              </w:rPr>
              <w:t xml:space="preserve">Primārās veselības aprūpes ģimenes medicīnas mācību programmu aktivizēšana </w:t>
            </w:r>
          </w:p>
        </w:tc>
        <w:tc>
          <w:tcPr>
            <w:tcW w:w="701" w:type="pct"/>
            <w:shd w:val="clear" w:color="auto" w:fill="C6EFCE"/>
            <w:noWrap/>
          </w:tcPr>
          <w:p w14:paraId="1C326A39" w14:textId="77777777" w:rsidR="00CB0FCB" w:rsidRDefault="009D2B11">
            <w:pPr>
              <w:pStyle w:val="P68B1DB1-Normal9"/>
              <w:spacing w:after="0" w:line="240" w:lineRule="auto"/>
              <w:rPr>
                <w:rFonts w:eastAsia="Times New Roman" w:cs="Calibri"/>
                <w:noProof/>
                <w:szCs w:val="18"/>
              </w:rPr>
            </w:pPr>
            <w:r>
              <w:rPr>
                <w:noProof/>
              </w:rPr>
              <w:t>Pierādījums, ka visās nesen aktivizētajās akadēmiskajās mācību programmās ģimenes medicīnā ir sākti kursi un ka visās medicīnas mācību programmās ir iekļauts ģimenes medicīnas modulis.</w:t>
            </w:r>
          </w:p>
          <w:p w14:paraId="5521CA13" w14:textId="77777777" w:rsidR="00CB0FCB" w:rsidRDefault="00CB0FCB">
            <w:pPr>
              <w:spacing w:after="0" w:line="240" w:lineRule="auto"/>
              <w:rPr>
                <w:rFonts w:ascii="Times New Roman" w:hAnsi="Times New Roman" w:cs="Times New Roman"/>
                <w:noProof/>
                <w:color w:val="006100"/>
                <w:sz w:val="18"/>
                <w:szCs w:val="18"/>
              </w:rPr>
            </w:pPr>
          </w:p>
        </w:tc>
        <w:tc>
          <w:tcPr>
            <w:tcW w:w="386" w:type="pct"/>
            <w:shd w:val="clear" w:color="auto" w:fill="C6EFCE"/>
            <w:noWrap/>
          </w:tcPr>
          <w:p w14:paraId="0C520BAE"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4296BE58" w14:textId="77777777" w:rsidR="00CB0FCB" w:rsidRDefault="00CB0FCB">
            <w:pPr>
              <w:spacing w:after="0" w:line="240" w:lineRule="auto"/>
              <w:rPr>
                <w:rFonts w:eastAsia="Times New Roman" w:cs="Calibri"/>
                <w:noProof/>
                <w:color w:val="006100"/>
                <w:sz w:val="18"/>
                <w:szCs w:val="18"/>
              </w:rPr>
            </w:pPr>
          </w:p>
        </w:tc>
        <w:tc>
          <w:tcPr>
            <w:tcW w:w="270" w:type="pct"/>
            <w:shd w:val="clear" w:color="auto" w:fill="C6EFCE"/>
            <w:noWrap/>
          </w:tcPr>
          <w:p w14:paraId="2C110F49"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25842AC7" w14:textId="77777777" w:rsidR="00CB0FCB" w:rsidRDefault="009D2B11">
            <w:pPr>
              <w:pStyle w:val="P68B1DB1-Normal9"/>
              <w:spacing w:after="0" w:line="240" w:lineRule="auto"/>
              <w:rPr>
                <w:rFonts w:eastAsia="Times New Roman" w:cs="Calibri"/>
                <w:noProof/>
                <w:szCs w:val="18"/>
              </w:rPr>
            </w:pPr>
            <w:r>
              <w:rPr>
                <w:noProof/>
              </w:rPr>
              <w:t>4. CET.</w:t>
            </w:r>
          </w:p>
        </w:tc>
        <w:tc>
          <w:tcPr>
            <w:tcW w:w="232" w:type="pct"/>
            <w:shd w:val="clear" w:color="auto" w:fill="C6EFCE"/>
            <w:noWrap/>
          </w:tcPr>
          <w:p w14:paraId="5A69E42A" w14:textId="77777777" w:rsidR="00CB0FCB" w:rsidRDefault="009D2B11">
            <w:pPr>
              <w:pStyle w:val="P68B1DB1-Normal9"/>
              <w:spacing w:after="0" w:line="240" w:lineRule="auto"/>
              <w:rPr>
                <w:rFonts w:eastAsia="Times New Roman" w:cs="Calibri"/>
                <w:noProof/>
                <w:szCs w:val="18"/>
              </w:rPr>
            </w:pPr>
            <w:r>
              <w:rPr>
                <w:noProof/>
              </w:rPr>
              <w:t>2022</w:t>
            </w:r>
          </w:p>
        </w:tc>
        <w:tc>
          <w:tcPr>
            <w:tcW w:w="1333" w:type="pct"/>
            <w:shd w:val="clear" w:color="auto" w:fill="C6EFCE"/>
            <w:noWrap/>
          </w:tcPr>
          <w:p w14:paraId="2B63113A" w14:textId="77777777" w:rsidR="00CB0FCB" w:rsidRDefault="009D2B11">
            <w:pPr>
              <w:pStyle w:val="P68B1DB1-Normal9"/>
              <w:spacing w:after="0" w:line="240" w:lineRule="auto"/>
              <w:rPr>
                <w:rFonts w:eastAsia="Times New Roman" w:cs="Calibri"/>
                <w:noProof/>
                <w:szCs w:val="18"/>
              </w:rPr>
            </w:pPr>
            <w:r>
              <w:rPr>
                <w:noProof/>
              </w:rPr>
              <w:t>Paplašināt aktīvo akadēmisko mācību programmu skaitu ģimenes medicīnā līdz vismaz 75 % Grieķijas medicīnas skolu un visās medicīnas mācību programmās iekļaut obligātu moduli ģimenes medicīnā. Tas ietver dokumentāciju skartajām universitātēm, uzsverot jauno grādu arhitektūru: 1) jaunizveidotās mācību programmas un 2) ģimenes medicīnas obligātā moduļa iekļaušana esošajās mācību programmās).</w:t>
            </w:r>
          </w:p>
        </w:tc>
      </w:tr>
      <w:tr w:rsidR="00CB0FCB" w14:paraId="6D9971A0" w14:textId="77777777">
        <w:trPr>
          <w:trHeight w:val="313"/>
        </w:trPr>
        <w:tc>
          <w:tcPr>
            <w:tcW w:w="320" w:type="pct"/>
            <w:shd w:val="clear" w:color="auto" w:fill="C6EFCE"/>
            <w:noWrap/>
          </w:tcPr>
          <w:p w14:paraId="03A9C74D" w14:textId="77777777" w:rsidR="00CB0FCB" w:rsidRDefault="009D2B11">
            <w:pPr>
              <w:pStyle w:val="P68B1DB1-Normal9"/>
              <w:spacing w:after="0" w:line="240" w:lineRule="auto"/>
              <w:rPr>
                <w:rFonts w:eastAsia="Times New Roman" w:cs="Calibri"/>
                <w:noProof/>
                <w:szCs w:val="18"/>
              </w:rPr>
            </w:pPr>
            <w:r>
              <w:rPr>
                <w:noProof/>
              </w:rPr>
              <w:t>160</w:t>
            </w:r>
          </w:p>
        </w:tc>
        <w:tc>
          <w:tcPr>
            <w:tcW w:w="408" w:type="pct"/>
            <w:shd w:val="clear" w:color="auto" w:fill="C6EFCE"/>
            <w:noWrap/>
          </w:tcPr>
          <w:p w14:paraId="234F8262" w14:textId="77777777" w:rsidR="00CB0FCB" w:rsidRDefault="009D2B11">
            <w:pPr>
              <w:pStyle w:val="P68B1DB1-Normal9"/>
              <w:spacing w:after="0" w:line="240" w:lineRule="auto"/>
              <w:rPr>
                <w:rFonts w:eastAsia="Times New Roman"/>
                <w:noProof/>
                <w:szCs w:val="18"/>
                <w:highlight w:val="yellow"/>
              </w:rPr>
            </w:pPr>
            <w:r>
              <w:rPr>
                <w:noProof/>
              </w:rPr>
              <w:t>10–3.3. Uzlabot veselības aprūpes noturību, pieejamību un ilgtspēju — 16820_Reforma garīgās veselības un atkarības jomā</w:t>
            </w:r>
          </w:p>
          <w:p w14:paraId="3C499FED" w14:textId="77777777" w:rsidR="00CB0FCB" w:rsidRDefault="00CB0FCB">
            <w:pPr>
              <w:spacing w:after="0" w:line="240" w:lineRule="auto"/>
              <w:rPr>
                <w:rFonts w:eastAsia="Times New Roman" w:cs="Calibri"/>
                <w:noProof/>
                <w:color w:val="006100"/>
                <w:sz w:val="18"/>
                <w:szCs w:val="18"/>
              </w:rPr>
            </w:pPr>
          </w:p>
        </w:tc>
        <w:tc>
          <w:tcPr>
            <w:tcW w:w="322" w:type="pct"/>
            <w:shd w:val="clear" w:color="auto" w:fill="C6EFCE"/>
            <w:noWrap/>
          </w:tcPr>
          <w:p w14:paraId="6F891505" w14:textId="77777777" w:rsidR="00CB0FCB" w:rsidRDefault="009D2B11">
            <w:pPr>
              <w:pStyle w:val="P68B1DB1-Normal9"/>
              <w:spacing w:after="0" w:line="240" w:lineRule="auto"/>
              <w:rPr>
                <w:rFonts w:eastAsia="Times New Roman" w:cs="Calibri"/>
                <w:noProof/>
                <w:szCs w:val="18"/>
              </w:rPr>
            </w:pPr>
            <w:r>
              <w:rPr>
                <w:noProof/>
              </w:rPr>
              <w:t>Mērķa</w:t>
            </w:r>
          </w:p>
        </w:tc>
        <w:tc>
          <w:tcPr>
            <w:tcW w:w="410" w:type="pct"/>
            <w:shd w:val="clear" w:color="auto" w:fill="C6EFCE"/>
            <w:noWrap/>
          </w:tcPr>
          <w:p w14:paraId="78F85D6B" w14:textId="77777777" w:rsidR="00CB0FCB" w:rsidRDefault="009D2B11">
            <w:pPr>
              <w:pStyle w:val="P68B1DB1-Normal9"/>
              <w:spacing w:after="0" w:line="240" w:lineRule="auto"/>
              <w:rPr>
                <w:rFonts w:eastAsia="Times New Roman" w:cs="Calibri"/>
                <w:noProof/>
                <w:szCs w:val="18"/>
              </w:rPr>
            </w:pPr>
            <w:r>
              <w:rPr>
                <w:noProof/>
              </w:rPr>
              <w:t>Garīgā veselība — 50 vienības atvērtas — 1. posms no 2.</w:t>
            </w:r>
          </w:p>
        </w:tc>
        <w:tc>
          <w:tcPr>
            <w:tcW w:w="701" w:type="pct"/>
            <w:shd w:val="clear" w:color="auto" w:fill="C6EFCE"/>
            <w:noWrap/>
          </w:tcPr>
          <w:p w14:paraId="6B24D4C5" w14:textId="77777777" w:rsidR="00CB0FCB" w:rsidRDefault="00CB0FCB">
            <w:pPr>
              <w:spacing w:after="0" w:line="240" w:lineRule="auto"/>
              <w:rPr>
                <w:rFonts w:eastAsia="Times New Roman" w:cs="Calibri"/>
                <w:noProof/>
                <w:color w:val="006100"/>
                <w:sz w:val="18"/>
                <w:szCs w:val="18"/>
              </w:rPr>
            </w:pPr>
          </w:p>
        </w:tc>
        <w:tc>
          <w:tcPr>
            <w:tcW w:w="386" w:type="pct"/>
            <w:shd w:val="clear" w:color="auto" w:fill="C6EFCE"/>
            <w:noWrap/>
          </w:tcPr>
          <w:p w14:paraId="7F036FFD" w14:textId="77777777" w:rsidR="00CB0FCB" w:rsidRDefault="009D2B11">
            <w:pPr>
              <w:pStyle w:val="P68B1DB1-Normal9"/>
              <w:spacing w:after="0" w:line="240" w:lineRule="auto"/>
              <w:rPr>
                <w:rFonts w:eastAsia="Times New Roman" w:cs="Calibri"/>
                <w:noProof/>
                <w:szCs w:val="18"/>
              </w:rPr>
            </w:pPr>
            <w:r>
              <w:rPr>
                <w:noProof/>
              </w:rPr>
              <w:t>Pabeigto un darbojošos garīgās veselības nodaļu skaits</w:t>
            </w:r>
          </w:p>
        </w:tc>
        <w:tc>
          <w:tcPr>
            <w:tcW w:w="309" w:type="pct"/>
            <w:shd w:val="clear" w:color="auto" w:fill="C6EFCE"/>
            <w:noWrap/>
          </w:tcPr>
          <w:p w14:paraId="41EC48CD" w14:textId="77777777" w:rsidR="00CB0FCB" w:rsidRDefault="009D2B11">
            <w:pPr>
              <w:pStyle w:val="P68B1DB1-Normal9"/>
              <w:spacing w:after="0" w:line="240" w:lineRule="auto"/>
              <w:rPr>
                <w:rFonts w:eastAsia="Times New Roman" w:cs="Calibri"/>
                <w:noProof/>
                <w:szCs w:val="18"/>
              </w:rPr>
            </w:pPr>
            <w:r>
              <w:rPr>
                <w:noProof/>
              </w:rPr>
              <w:t>0</w:t>
            </w:r>
          </w:p>
        </w:tc>
        <w:tc>
          <w:tcPr>
            <w:tcW w:w="270" w:type="pct"/>
            <w:shd w:val="clear" w:color="auto" w:fill="C6EFCE"/>
            <w:noWrap/>
          </w:tcPr>
          <w:p w14:paraId="20B1BF1C" w14:textId="77777777" w:rsidR="00CB0FCB" w:rsidRDefault="009D2B11">
            <w:pPr>
              <w:pStyle w:val="P68B1DB1-Normal9"/>
              <w:spacing w:after="0" w:line="240" w:lineRule="auto"/>
              <w:rPr>
                <w:rFonts w:eastAsia="Times New Roman" w:cs="Calibri"/>
                <w:noProof/>
                <w:szCs w:val="18"/>
              </w:rPr>
            </w:pPr>
            <w:r>
              <w:rPr>
                <w:noProof/>
              </w:rPr>
              <w:t>50</w:t>
            </w:r>
          </w:p>
        </w:tc>
        <w:tc>
          <w:tcPr>
            <w:tcW w:w="309" w:type="pct"/>
            <w:shd w:val="clear" w:color="auto" w:fill="C6EFCE"/>
            <w:noWrap/>
          </w:tcPr>
          <w:p w14:paraId="5DFD5875" w14:textId="77777777" w:rsidR="00CB0FCB" w:rsidRDefault="009D2B11">
            <w:pPr>
              <w:pStyle w:val="P68B1DB1-Normal9"/>
              <w:spacing w:after="0" w:line="240" w:lineRule="auto"/>
              <w:rPr>
                <w:rFonts w:eastAsia="Times New Roman" w:cs="Calibri"/>
                <w:noProof/>
                <w:szCs w:val="18"/>
              </w:rPr>
            </w:pPr>
            <w:r>
              <w:rPr>
                <w:noProof/>
              </w:rPr>
              <w:t>4. CET.</w:t>
            </w:r>
          </w:p>
        </w:tc>
        <w:tc>
          <w:tcPr>
            <w:tcW w:w="232" w:type="pct"/>
            <w:shd w:val="clear" w:color="auto" w:fill="C6EFCE"/>
            <w:noWrap/>
          </w:tcPr>
          <w:p w14:paraId="5B375EB0" w14:textId="77777777" w:rsidR="00CB0FCB" w:rsidRDefault="009D2B11">
            <w:pPr>
              <w:pStyle w:val="P68B1DB1-Normal9"/>
              <w:spacing w:after="0" w:line="240" w:lineRule="auto"/>
              <w:rPr>
                <w:rFonts w:eastAsia="Times New Roman" w:cs="Calibri"/>
                <w:noProof/>
                <w:szCs w:val="18"/>
              </w:rPr>
            </w:pPr>
            <w:r>
              <w:rPr>
                <w:noProof/>
              </w:rPr>
              <w:t>2022</w:t>
            </w:r>
          </w:p>
        </w:tc>
        <w:tc>
          <w:tcPr>
            <w:tcW w:w="1333" w:type="pct"/>
            <w:shd w:val="clear" w:color="auto" w:fill="C6EFCE"/>
            <w:noWrap/>
          </w:tcPr>
          <w:p w14:paraId="76386C23" w14:textId="77777777" w:rsidR="00CB0FCB" w:rsidRDefault="009D2B11">
            <w:pPr>
              <w:pStyle w:val="P68B1DB1-Normal9"/>
              <w:spacing w:after="0" w:line="240" w:lineRule="auto"/>
              <w:rPr>
                <w:rFonts w:eastAsia="Times New Roman" w:cs="Calibri"/>
                <w:noProof/>
                <w:szCs w:val="18"/>
              </w:rPr>
            </w:pPr>
            <w:r>
              <w:rPr>
                <w:noProof/>
              </w:rPr>
              <w:t>50 garīgās veselības nodaļu izveide un pilnīga darbība (īstenotas, atjaunojot esošās vienības), ko atbalsta valsts stratēģiskais plāns garīgās veselības atbalstam (no kopumā 106 garīgās veselības vienībām)</w:t>
            </w:r>
          </w:p>
        </w:tc>
      </w:tr>
      <w:tr w:rsidR="00CB0FCB" w14:paraId="290CE788" w14:textId="77777777">
        <w:trPr>
          <w:trHeight w:val="313"/>
        </w:trPr>
        <w:tc>
          <w:tcPr>
            <w:tcW w:w="320" w:type="pct"/>
            <w:shd w:val="clear" w:color="auto" w:fill="C6EFCE"/>
            <w:noWrap/>
          </w:tcPr>
          <w:p w14:paraId="6294C8C3" w14:textId="77777777" w:rsidR="00CB0FCB" w:rsidRDefault="009D2B11">
            <w:pPr>
              <w:pStyle w:val="P68B1DB1-Normal9"/>
              <w:spacing w:after="0" w:line="240" w:lineRule="auto"/>
              <w:rPr>
                <w:rFonts w:eastAsia="Times New Roman" w:cs="Calibri"/>
                <w:noProof/>
                <w:szCs w:val="18"/>
              </w:rPr>
            </w:pPr>
            <w:r>
              <w:rPr>
                <w:noProof/>
              </w:rPr>
              <w:t>162</w:t>
            </w:r>
          </w:p>
        </w:tc>
        <w:tc>
          <w:tcPr>
            <w:tcW w:w="408" w:type="pct"/>
            <w:shd w:val="clear" w:color="auto" w:fill="C6EFCE"/>
            <w:noWrap/>
          </w:tcPr>
          <w:p w14:paraId="00E6D3A2"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16820_Reforma garīgās veselības un atkarības jomā</w:t>
            </w:r>
          </w:p>
        </w:tc>
        <w:tc>
          <w:tcPr>
            <w:tcW w:w="322" w:type="pct"/>
            <w:shd w:val="clear" w:color="auto" w:fill="C6EFCE"/>
            <w:noWrap/>
          </w:tcPr>
          <w:p w14:paraId="3251ABD2" w14:textId="77777777" w:rsidR="00CB0FCB" w:rsidRDefault="009D2B11">
            <w:pPr>
              <w:pStyle w:val="P68B1DB1-Normal9"/>
              <w:spacing w:after="0" w:line="240" w:lineRule="auto"/>
              <w:rPr>
                <w:rFonts w:eastAsia="Times New Roman" w:cs="Calibri"/>
                <w:noProof/>
                <w:szCs w:val="18"/>
              </w:rPr>
            </w:pPr>
            <w:r>
              <w:rPr>
                <w:noProof/>
              </w:rPr>
              <w:t>Mērķa</w:t>
            </w:r>
          </w:p>
        </w:tc>
        <w:tc>
          <w:tcPr>
            <w:tcW w:w="410" w:type="pct"/>
            <w:shd w:val="clear" w:color="auto" w:fill="C6EFCE"/>
            <w:noWrap/>
          </w:tcPr>
          <w:p w14:paraId="02395316" w14:textId="77777777" w:rsidR="00CB0FCB" w:rsidRDefault="009D2B11">
            <w:pPr>
              <w:pStyle w:val="P68B1DB1-Normal9"/>
              <w:spacing w:after="0" w:line="240" w:lineRule="auto"/>
              <w:rPr>
                <w:rFonts w:eastAsia="Times New Roman" w:cs="Calibri"/>
                <w:noProof/>
                <w:szCs w:val="18"/>
              </w:rPr>
            </w:pPr>
            <w:r>
              <w:rPr>
                <w:noProof/>
              </w:rPr>
              <w:t>Garīgā veselība — 106 vienības atvērtas — 2. posms no 2.</w:t>
            </w:r>
          </w:p>
        </w:tc>
        <w:tc>
          <w:tcPr>
            <w:tcW w:w="701" w:type="pct"/>
            <w:shd w:val="clear" w:color="auto" w:fill="C6EFCE"/>
            <w:noWrap/>
          </w:tcPr>
          <w:p w14:paraId="6C353005" w14:textId="77777777" w:rsidR="00CB0FCB" w:rsidRDefault="00CB0FCB">
            <w:pPr>
              <w:spacing w:after="0" w:line="240" w:lineRule="auto"/>
              <w:rPr>
                <w:rFonts w:eastAsia="Times New Roman" w:cs="Calibri"/>
                <w:noProof/>
                <w:color w:val="006100"/>
                <w:sz w:val="18"/>
                <w:szCs w:val="18"/>
              </w:rPr>
            </w:pPr>
          </w:p>
        </w:tc>
        <w:tc>
          <w:tcPr>
            <w:tcW w:w="386" w:type="pct"/>
            <w:shd w:val="clear" w:color="auto" w:fill="C6EFCE"/>
            <w:noWrap/>
          </w:tcPr>
          <w:p w14:paraId="4F801AC7" w14:textId="30ACA37A" w:rsidR="00CB0FCB" w:rsidRDefault="009D2B11">
            <w:pPr>
              <w:pStyle w:val="P68B1DB1-Normal9"/>
              <w:spacing w:after="0" w:line="240" w:lineRule="auto"/>
              <w:rPr>
                <w:rFonts w:eastAsia="Times New Roman" w:cs="Calibri"/>
                <w:noProof/>
                <w:szCs w:val="18"/>
              </w:rPr>
            </w:pPr>
            <w:r>
              <w:rPr>
                <w:noProof/>
              </w:rPr>
              <w:t>Izveidoto vai atjaunoto garīgās veselības nodaļu skaits</w:t>
            </w:r>
          </w:p>
        </w:tc>
        <w:tc>
          <w:tcPr>
            <w:tcW w:w="309" w:type="pct"/>
            <w:shd w:val="clear" w:color="auto" w:fill="C6EFCE"/>
            <w:noWrap/>
          </w:tcPr>
          <w:p w14:paraId="00902D46" w14:textId="77777777" w:rsidR="00CB0FCB" w:rsidRDefault="009D2B11">
            <w:pPr>
              <w:pStyle w:val="P68B1DB1-Normal9"/>
              <w:spacing w:after="0" w:line="240" w:lineRule="auto"/>
              <w:rPr>
                <w:rFonts w:eastAsia="Times New Roman" w:cs="Calibri"/>
                <w:noProof/>
                <w:szCs w:val="18"/>
              </w:rPr>
            </w:pPr>
            <w:r>
              <w:rPr>
                <w:noProof/>
              </w:rPr>
              <w:t>50</w:t>
            </w:r>
          </w:p>
        </w:tc>
        <w:tc>
          <w:tcPr>
            <w:tcW w:w="270" w:type="pct"/>
            <w:shd w:val="clear" w:color="auto" w:fill="C6EFCE"/>
            <w:noWrap/>
          </w:tcPr>
          <w:p w14:paraId="362575E7" w14:textId="77777777" w:rsidR="00CB0FCB" w:rsidRDefault="009D2B11">
            <w:pPr>
              <w:pStyle w:val="P68B1DB1-Normal9"/>
              <w:spacing w:after="0" w:line="240" w:lineRule="auto"/>
              <w:rPr>
                <w:rFonts w:eastAsia="Times New Roman" w:cs="Calibri"/>
                <w:noProof/>
                <w:szCs w:val="18"/>
              </w:rPr>
            </w:pPr>
            <w:r>
              <w:rPr>
                <w:noProof/>
              </w:rPr>
              <w:t>106</w:t>
            </w:r>
          </w:p>
          <w:p w14:paraId="5628DD7C"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78C5B6AF" w14:textId="77777777" w:rsidR="00CB0FCB" w:rsidRDefault="009D2B11">
            <w:pPr>
              <w:pStyle w:val="P68B1DB1-Normal9"/>
              <w:spacing w:after="0" w:line="240" w:lineRule="auto"/>
              <w:rPr>
                <w:rFonts w:eastAsia="Times New Roman" w:cs="Calibri"/>
                <w:noProof/>
                <w:szCs w:val="18"/>
              </w:rPr>
            </w:pPr>
            <w:r>
              <w:rPr>
                <w:noProof/>
              </w:rPr>
              <w:t>4. CET.</w:t>
            </w:r>
          </w:p>
        </w:tc>
        <w:tc>
          <w:tcPr>
            <w:tcW w:w="232" w:type="pct"/>
            <w:shd w:val="clear" w:color="auto" w:fill="C6EFCE"/>
            <w:noWrap/>
          </w:tcPr>
          <w:p w14:paraId="53FE5334" w14:textId="77777777" w:rsidR="00CB0FCB" w:rsidRDefault="009D2B11">
            <w:pPr>
              <w:pStyle w:val="P68B1DB1-Normal9"/>
              <w:spacing w:after="0" w:line="240" w:lineRule="auto"/>
              <w:rPr>
                <w:rFonts w:eastAsia="Times New Roman" w:cs="Calibri"/>
                <w:noProof/>
                <w:szCs w:val="18"/>
              </w:rPr>
            </w:pPr>
            <w:r>
              <w:rPr>
                <w:noProof/>
              </w:rPr>
              <w:t>2023</w:t>
            </w:r>
          </w:p>
        </w:tc>
        <w:tc>
          <w:tcPr>
            <w:tcW w:w="1333" w:type="pct"/>
            <w:shd w:val="clear" w:color="auto" w:fill="C6EFCE"/>
            <w:noWrap/>
          </w:tcPr>
          <w:p w14:paraId="5ECAE701" w14:textId="43A71193" w:rsidR="00CB0FCB" w:rsidRDefault="009D2B11">
            <w:pPr>
              <w:pStyle w:val="P68B1DB1-Normal10"/>
              <w:spacing w:after="0" w:line="240" w:lineRule="auto"/>
              <w:rPr>
                <w:rFonts w:eastAsia="Times New Roman" w:cs="Calibri"/>
                <w:noProof/>
              </w:rPr>
            </w:pPr>
            <w:r>
              <w:rPr>
                <w:noProof/>
              </w:rPr>
              <w:t xml:space="preserve">25 jaunu garīgās veselības nodaļu izveide un darbības sākšana un 31 esošas garīgās veselības vienības renovācija, ko atbalsta valsts stratēģiskais plāns garīgās veselības atbalstam, kā arī tīmekļa lietojumprogrammu izstrāde un garīgās veselības pakalpojumu digitalizācija (ko veido garīgās veselības vienību digitālā karte un digitāla platforma to bezpeļņas struktūru uzraudzībai, kuras sniedz garīgās veselības pakalpojumus) </w:t>
            </w:r>
          </w:p>
        </w:tc>
      </w:tr>
      <w:tr w:rsidR="00CB0FCB" w14:paraId="15FE7109" w14:textId="77777777">
        <w:trPr>
          <w:trHeight w:val="313"/>
        </w:trPr>
        <w:tc>
          <w:tcPr>
            <w:tcW w:w="320" w:type="pct"/>
            <w:shd w:val="clear" w:color="auto" w:fill="C6EFCE"/>
            <w:noWrap/>
          </w:tcPr>
          <w:p w14:paraId="6F1B21E6" w14:textId="77777777" w:rsidR="00CB0FCB" w:rsidRDefault="009D2B11">
            <w:pPr>
              <w:pStyle w:val="P68B1DB1-Normal10"/>
              <w:spacing w:after="0" w:line="240" w:lineRule="auto"/>
              <w:rPr>
                <w:rFonts w:eastAsia="Times New Roman" w:cs="Calibri"/>
                <w:noProof/>
              </w:rPr>
            </w:pPr>
            <w:r>
              <w:rPr>
                <w:noProof/>
              </w:rPr>
              <w:t>163</w:t>
            </w:r>
          </w:p>
        </w:tc>
        <w:tc>
          <w:tcPr>
            <w:tcW w:w="408" w:type="pct"/>
            <w:shd w:val="clear" w:color="auto" w:fill="C6EFCE"/>
            <w:noWrap/>
          </w:tcPr>
          <w:p w14:paraId="7EF0580E" w14:textId="7B5A0E9D" w:rsidR="00CB0FCB" w:rsidRDefault="009D2B11">
            <w:pPr>
              <w:pStyle w:val="P68B1DB1-Normal9"/>
              <w:spacing w:after="0" w:line="240" w:lineRule="auto"/>
              <w:rPr>
                <w:rFonts w:eastAsia="Times New Roman" w:cs="Calibri"/>
                <w:noProof/>
                <w:szCs w:val="18"/>
              </w:rPr>
            </w:pPr>
            <w:r>
              <w:rPr>
                <w:noProof/>
              </w:rPr>
              <w:t xml:space="preserve">10–3.3. Uzlabot veselības aprūpes noturību, pieejamību un ilgtspēju — 16756_organizatoriskās reformas veselības aprūpes sistēmā </w:t>
            </w:r>
          </w:p>
        </w:tc>
        <w:tc>
          <w:tcPr>
            <w:tcW w:w="322" w:type="pct"/>
            <w:shd w:val="clear" w:color="auto" w:fill="C6EFCE"/>
            <w:noWrap/>
          </w:tcPr>
          <w:p w14:paraId="656F19A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410" w:type="pct"/>
            <w:shd w:val="clear" w:color="auto" w:fill="C6EFCE"/>
            <w:noWrap/>
          </w:tcPr>
          <w:p w14:paraId="72390724" w14:textId="6F97D2D7" w:rsidR="00CB0FCB" w:rsidRDefault="009D2B11">
            <w:pPr>
              <w:spacing w:after="0" w:line="240" w:lineRule="auto"/>
              <w:rPr>
                <w:rFonts w:eastAsia="Times New Roman" w:cs="Calibri"/>
                <w:noProof/>
                <w:color w:val="006100"/>
                <w:sz w:val="18"/>
                <w:szCs w:val="18"/>
              </w:rPr>
            </w:pPr>
            <w:r>
              <w:rPr>
                <w:noProof/>
                <w:color w:val="006100"/>
                <w:sz w:val="18"/>
              </w:rPr>
              <w:t>Veselības sistēma — pabeigt Grieķijas DRG institūta KETEKNY un jaunās Veselības aprūpes kvalitātes nodrošināšanas</w:t>
            </w:r>
            <w:r>
              <w:rPr>
                <w:rFonts w:ascii="Times New Roman" w:hAnsi="Times New Roman"/>
                <w:noProof/>
                <w:sz w:val="24"/>
              </w:rPr>
              <w:t xml:space="preserve"> </w:t>
            </w:r>
            <w:r>
              <w:rPr>
                <w:noProof/>
                <w:color w:val="006100"/>
                <w:sz w:val="18"/>
              </w:rPr>
              <w:t>aģentūras ODIPY izveidi (izņemot apmācību)</w:t>
            </w:r>
          </w:p>
        </w:tc>
        <w:tc>
          <w:tcPr>
            <w:tcW w:w="701" w:type="pct"/>
            <w:shd w:val="clear" w:color="auto" w:fill="C6EFCE"/>
            <w:noWrap/>
          </w:tcPr>
          <w:p w14:paraId="10D3F59B" w14:textId="75DC18B8" w:rsidR="00CB0FCB" w:rsidRDefault="009D2B11">
            <w:pPr>
              <w:pStyle w:val="P68B1DB1-Normal10"/>
              <w:spacing w:after="0" w:line="240" w:lineRule="auto"/>
              <w:rPr>
                <w:rFonts w:eastAsia="Times New Roman" w:cs="Calibri"/>
                <w:noProof/>
              </w:rPr>
            </w:pPr>
            <w:r>
              <w:rPr>
                <w:noProof/>
              </w:rPr>
              <w:t xml:space="preserve">Pierādījums par 1., 2., 3. apakšprojekta, KETEKNY un 1., 2., 3. apakšprojekta attiecībā uz ODIPY pabeigšanu, iesniedzot iepriekš minētos nodevumus </w:t>
            </w:r>
          </w:p>
        </w:tc>
        <w:tc>
          <w:tcPr>
            <w:tcW w:w="386" w:type="pct"/>
            <w:shd w:val="clear" w:color="auto" w:fill="C6EFCE"/>
            <w:noWrap/>
          </w:tcPr>
          <w:p w14:paraId="2E81E2CC"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47E67B62" w14:textId="77777777" w:rsidR="00CB0FCB" w:rsidRDefault="00CB0FCB">
            <w:pPr>
              <w:spacing w:after="0" w:line="240" w:lineRule="auto"/>
              <w:rPr>
                <w:rFonts w:eastAsia="Times New Roman" w:cs="Calibri"/>
                <w:noProof/>
                <w:color w:val="006100"/>
                <w:sz w:val="18"/>
                <w:szCs w:val="18"/>
              </w:rPr>
            </w:pPr>
          </w:p>
        </w:tc>
        <w:tc>
          <w:tcPr>
            <w:tcW w:w="270" w:type="pct"/>
            <w:shd w:val="clear" w:color="auto" w:fill="C6EFCE"/>
            <w:noWrap/>
          </w:tcPr>
          <w:p w14:paraId="70183F2E"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6D3CCD15" w14:textId="77777777" w:rsidR="00CB0FCB" w:rsidRDefault="009D2B11">
            <w:pPr>
              <w:pStyle w:val="P68B1DB1-Normal9"/>
              <w:spacing w:after="0" w:line="240" w:lineRule="auto"/>
              <w:rPr>
                <w:rFonts w:eastAsia="Times New Roman" w:cs="Calibri"/>
                <w:noProof/>
                <w:szCs w:val="18"/>
              </w:rPr>
            </w:pPr>
            <w:r>
              <w:rPr>
                <w:noProof/>
              </w:rPr>
              <w:t>2. CET.</w:t>
            </w:r>
          </w:p>
        </w:tc>
        <w:tc>
          <w:tcPr>
            <w:tcW w:w="232" w:type="pct"/>
            <w:shd w:val="clear" w:color="auto" w:fill="C6EFCE"/>
            <w:noWrap/>
          </w:tcPr>
          <w:p w14:paraId="509484C1" w14:textId="77777777" w:rsidR="00CB0FCB" w:rsidRDefault="009D2B11">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6CB5D021" w14:textId="6F051304" w:rsidR="00CB0FCB" w:rsidRDefault="009D2B11">
            <w:pPr>
              <w:spacing w:after="0" w:line="240" w:lineRule="auto"/>
              <w:rPr>
                <w:rFonts w:eastAsia="Times New Roman" w:cs="Calibri"/>
                <w:noProof/>
                <w:color w:val="006100"/>
                <w:sz w:val="18"/>
                <w:szCs w:val="18"/>
              </w:rPr>
            </w:pPr>
            <w:r>
              <w:rPr>
                <w:noProof/>
                <w:color w:val="006100"/>
                <w:sz w:val="18"/>
                <w:szCs w:val="18"/>
              </w:rPr>
              <w:t>Pabeigt sadarbspējas paplašināšanu, Starptautiskās slimību klasifikācijas (ICD) un</w:t>
            </w:r>
            <w:r>
              <w:rPr>
                <w:rFonts w:ascii="Times New Roman" w:hAnsi="Times New Roman"/>
                <w:noProof/>
                <w:sz w:val="24"/>
                <w:szCs w:val="24"/>
              </w:rPr>
              <w:t xml:space="preserve"> </w:t>
            </w:r>
            <w:r>
              <w:rPr>
                <w:noProof/>
                <w:color w:val="006100"/>
                <w:sz w:val="18"/>
                <w:szCs w:val="18"/>
              </w:rPr>
              <w:t>Grieķijas medicīnisko procedūru klasifikācijas (ETIP) medicīnisko kodēšanas konsultāciju platformu un Finanšu un grāmatvedības datu vākšanas platformas izmēģinājuma projektu (1., 2., 3. KETEKNY apakšprojekts), kā arī valsts stratēģiju un ierosināto tiesisko regulējumu kvalitātes nodrošināšanai, pacientu drošībai un pacientu iesaistei veselības aprūpes pakalpojumu sniegšanā; valsts veselības karte; valsts stratēģija un ierosinātais tiesiskais regulējums attiecībā uz aprūpes un drošības politikas kvalitāti.</w:t>
            </w:r>
          </w:p>
        </w:tc>
      </w:tr>
      <w:tr w:rsidR="00CB0FCB" w14:paraId="267EC2C3" w14:textId="77777777">
        <w:trPr>
          <w:trHeight w:val="313"/>
        </w:trPr>
        <w:tc>
          <w:tcPr>
            <w:tcW w:w="320" w:type="pct"/>
            <w:shd w:val="clear" w:color="auto" w:fill="C6EFCE"/>
            <w:noWrap/>
          </w:tcPr>
          <w:p w14:paraId="5D43213D" w14:textId="77777777" w:rsidR="00CB0FCB" w:rsidRDefault="009D2B11">
            <w:pPr>
              <w:pStyle w:val="P68B1DB1-Normal10"/>
              <w:spacing w:after="0" w:line="240" w:lineRule="auto"/>
              <w:rPr>
                <w:rFonts w:eastAsia="Times New Roman" w:cs="Calibri"/>
                <w:noProof/>
              </w:rPr>
            </w:pPr>
            <w:r>
              <w:rPr>
                <w:noProof/>
              </w:rPr>
              <w:t>164</w:t>
            </w:r>
          </w:p>
        </w:tc>
        <w:tc>
          <w:tcPr>
            <w:tcW w:w="408" w:type="pct"/>
            <w:shd w:val="clear" w:color="auto" w:fill="C6EFCE"/>
            <w:noWrap/>
          </w:tcPr>
          <w:p w14:paraId="735EF920" w14:textId="48EF918C" w:rsidR="00CB0FCB" w:rsidRDefault="009D2B11">
            <w:pPr>
              <w:pStyle w:val="P68B1DB1-Normal9"/>
              <w:spacing w:after="0" w:line="240" w:lineRule="auto"/>
              <w:rPr>
                <w:rFonts w:eastAsia="Times New Roman" w:cs="Calibri"/>
                <w:noProof/>
                <w:szCs w:val="18"/>
              </w:rPr>
            </w:pPr>
            <w:r>
              <w:rPr>
                <w:noProof/>
              </w:rPr>
              <w:t xml:space="preserve">10–3.3. Uzlabot veselības aprūpes noturību, pieejamību un ilgtspēju — 16756_organizatoriskās reformas veselības aprūpes sistēmā </w:t>
            </w:r>
          </w:p>
        </w:tc>
        <w:tc>
          <w:tcPr>
            <w:tcW w:w="322" w:type="pct"/>
            <w:shd w:val="clear" w:color="auto" w:fill="C6EFCE"/>
            <w:noWrap/>
          </w:tcPr>
          <w:p w14:paraId="1D8823E8" w14:textId="77777777" w:rsidR="00CB0FCB" w:rsidRDefault="009D2B11">
            <w:pPr>
              <w:pStyle w:val="P68B1DB1-Normal9"/>
              <w:spacing w:after="0" w:line="240" w:lineRule="auto"/>
              <w:rPr>
                <w:rFonts w:eastAsia="Times New Roman" w:cs="Calibri"/>
                <w:noProof/>
                <w:szCs w:val="18"/>
              </w:rPr>
            </w:pPr>
            <w:r>
              <w:rPr>
                <w:noProof/>
              </w:rPr>
              <w:t>Mērķa</w:t>
            </w:r>
          </w:p>
        </w:tc>
        <w:tc>
          <w:tcPr>
            <w:tcW w:w="410" w:type="pct"/>
            <w:shd w:val="clear" w:color="auto" w:fill="C6EFCE"/>
            <w:noWrap/>
          </w:tcPr>
          <w:p w14:paraId="0AD648B0" w14:textId="77777777" w:rsidR="00CB0FCB" w:rsidRDefault="009D2B11">
            <w:pPr>
              <w:pStyle w:val="P68B1DB1-Normal9"/>
              <w:spacing w:after="0" w:line="240" w:lineRule="auto"/>
              <w:rPr>
                <w:rFonts w:eastAsia="Times New Roman" w:cs="Calibri"/>
                <w:noProof/>
                <w:szCs w:val="18"/>
              </w:rPr>
            </w:pPr>
            <w:r>
              <w:rPr>
                <w:noProof/>
              </w:rPr>
              <w:t>Veselības sistēma — KETEKNIJA DALĪBVALSTS</w:t>
            </w:r>
          </w:p>
        </w:tc>
        <w:tc>
          <w:tcPr>
            <w:tcW w:w="701" w:type="pct"/>
            <w:shd w:val="clear" w:color="auto" w:fill="C6EFCE"/>
            <w:noWrap/>
          </w:tcPr>
          <w:p w14:paraId="59AF2D67" w14:textId="77777777" w:rsidR="00CB0FCB" w:rsidRDefault="00CB0FCB">
            <w:pPr>
              <w:spacing w:after="0" w:line="240" w:lineRule="auto"/>
              <w:rPr>
                <w:rFonts w:eastAsia="Times New Roman" w:cs="Calibri"/>
                <w:noProof/>
                <w:color w:val="006100"/>
                <w:sz w:val="18"/>
                <w:szCs w:val="18"/>
              </w:rPr>
            </w:pPr>
          </w:p>
        </w:tc>
        <w:tc>
          <w:tcPr>
            <w:tcW w:w="386" w:type="pct"/>
            <w:shd w:val="clear" w:color="auto" w:fill="C6EFCE"/>
            <w:noWrap/>
          </w:tcPr>
          <w:p w14:paraId="306D9B5D" w14:textId="77777777" w:rsidR="00CB0FCB" w:rsidRDefault="009D2B11">
            <w:pPr>
              <w:pStyle w:val="P68B1DB1-Normal9"/>
              <w:spacing w:after="0" w:line="240" w:lineRule="auto"/>
              <w:rPr>
                <w:rFonts w:eastAsia="Times New Roman" w:cs="Calibri"/>
                <w:noProof/>
                <w:szCs w:val="18"/>
              </w:rPr>
            </w:pPr>
            <w:r>
              <w:rPr>
                <w:noProof/>
              </w:rPr>
              <w:t>To veselības aprūpes speciālistu skaits, kuri pabeiguši apmācības programmas un ir oficiāli sertificēti klīniskās kodēšanas, rēķinu sagatavošanas un atbilstības novērtēšanas jomā</w:t>
            </w:r>
          </w:p>
        </w:tc>
        <w:tc>
          <w:tcPr>
            <w:tcW w:w="309" w:type="pct"/>
            <w:shd w:val="clear" w:color="auto" w:fill="C6EFCE"/>
            <w:noWrap/>
          </w:tcPr>
          <w:p w14:paraId="77EE1B8B" w14:textId="77777777" w:rsidR="00CB0FCB" w:rsidRDefault="009D2B11">
            <w:pPr>
              <w:pStyle w:val="P68B1DB1-Normal9"/>
              <w:spacing w:after="0" w:line="240" w:lineRule="auto"/>
              <w:rPr>
                <w:rFonts w:eastAsia="Times New Roman" w:cs="Calibri"/>
                <w:noProof/>
                <w:szCs w:val="18"/>
              </w:rPr>
            </w:pPr>
            <w:r>
              <w:rPr>
                <w:noProof/>
              </w:rPr>
              <w:t>0</w:t>
            </w:r>
          </w:p>
        </w:tc>
        <w:tc>
          <w:tcPr>
            <w:tcW w:w="270" w:type="pct"/>
            <w:shd w:val="clear" w:color="auto" w:fill="C6EFCE"/>
            <w:noWrap/>
          </w:tcPr>
          <w:p w14:paraId="04A39EC2" w14:textId="77777777" w:rsidR="00CB0FCB" w:rsidRDefault="009D2B11">
            <w:pPr>
              <w:pStyle w:val="P68B1DB1-Normal9"/>
              <w:spacing w:after="0" w:line="240" w:lineRule="auto"/>
              <w:rPr>
                <w:rFonts w:eastAsia="Times New Roman" w:cs="Calibri"/>
                <w:noProof/>
                <w:szCs w:val="18"/>
              </w:rPr>
            </w:pPr>
            <w:r>
              <w:rPr>
                <w:noProof/>
              </w:rPr>
              <w:t>4 500</w:t>
            </w:r>
          </w:p>
        </w:tc>
        <w:tc>
          <w:tcPr>
            <w:tcW w:w="309" w:type="pct"/>
            <w:shd w:val="clear" w:color="auto" w:fill="C6EFCE"/>
            <w:noWrap/>
          </w:tcPr>
          <w:p w14:paraId="140E2450" w14:textId="77777777" w:rsidR="00CB0FCB" w:rsidRDefault="009D2B11">
            <w:pPr>
              <w:pStyle w:val="P68B1DB1-Normal9"/>
              <w:spacing w:after="0" w:line="240" w:lineRule="auto"/>
              <w:rPr>
                <w:rFonts w:eastAsia="Times New Roman" w:cs="Calibri"/>
                <w:noProof/>
                <w:szCs w:val="18"/>
              </w:rPr>
            </w:pPr>
            <w:r>
              <w:rPr>
                <w:noProof/>
              </w:rPr>
              <w:t>2. CET.</w:t>
            </w:r>
          </w:p>
        </w:tc>
        <w:tc>
          <w:tcPr>
            <w:tcW w:w="232" w:type="pct"/>
            <w:shd w:val="clear" w:color="auto" w:fill="C6EFCE"/>
            <w:noWrap/>
          </w:tcPr>
          <w:p w14:paraId="7D93CE80" w14:textId="77777777" w:rsidR="00CB0FCB" w:rsidRDefault="009D2B11">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2A66029B" w14:textId="612BEFBF" w:rsidR="00CB0FCB" w:rsidRDefault="009D2B11">
            <w:pPr>
              <w:pStyle w:val="P68B1DB1-Normal9"/>
              <w:spacing w:after="0" w:line="240" w:lineRule="auto"/>
              <w:rPr>
                <w:rFonts w:eastAsia="Times New Roman" w:cs="Calibri"/>
                <w:noProof/>
                <w:szCs w:val="18"/>
              </w:rPr>
            </w:pPr>
            <w:r>
              <w:rPr>
                <w:noProof/>
              </w:rPr>
              <w:t>Pabeigt 4500 veselības aprūpes speciālistu apmācību un sertifikāciju klīniskās kodēšanas un Bilēšanas jomā (4. apakšprojekts KETEKNY) un atbilstības novērtējumu, pamatojoties uz jauno kopējo novērtēšanas sistēmu (4. apakšprojekts ODIPY) proporcionāli KETEKNY un ODIPY apzinātajām vajadzībām.</w:t>
            </w:r>
          </w:p>
        </w:tc>
      </w:tr>
      <w:tr w:rsidR="00CB0FCB" w14:paraId="58A80BB6" w14:textId="77777777">
        <w:trPr>
          <w:trHeight w:val="313"/>
        </w:trPr>
        <w:tc>
          <w:tcPr>
            <w:tcW w:w="320" w:type="pct"/>
            <w:shd w:val="clear" w:color="auto" w:fill="C6EFCE"/>
            <w:noWrap/>
          </w:tcPr>
          <w:p w14:paraId="68026D22" w14:textId="77777777" w:rsidR="00CB0FCB" w:rsidRDefault="009D2B11">
            <w:pPr>
              <w:pStyle w:val="P68B1DB1-Normal10"/>
              <w:spacing w:after="0" w:line="240" w:lineRule="auto"/>
              <w:rPr>
                <w:noProof/>
              </w:rPr>
            </w:pPr>
            <w:r>
              <w:rPr>
                <w:noProof/>
              </w:rPr>
              <w:t>164.a</w:t>
            </w:r>
          </w:p>
        </w:tc>
        <w:tc>
          <w:tcPr>
            <w:tcW w:w="408" w:type="pct"/>
            <w:shd w:val="clear" w:color="auto" w:fill="C6EFCE"/>
            <w:noWrap/>
          </w:tcPr>
          <w:p w14:paraId="40219754" w14:textId="6E18418B" w:rsidR="00CB0FCB" w:rsidRDefault="009D2B11">
            <w:pPr>
              <w:pStyle w:val="P68B1DB1-Normal9"/>
              <w:spacing w:after="0" w:line="240" w:lineRule="auto"/>
              <w:rPr>
                <w:noProof/>
              </w:rPr>
            </w:pPr>
            <w:r>
              <w:rPr>
                <w:noProof/>
              </w:rPr>
              <w:t>10–3.3. Uzlabot veselības aprūpes noturību, pieejamību un ilgtspēju — 16 756_Organizācijas reformas veselības aprūpes sistēmā</w:t>
            </w:r>
          </w:p>
        </w:tc>
        <w:tc>
          <w:tcPr>
            <w:tcW w:w="322" w:type="pct"/>
            <w:shd w:val="clear" w:color="auto" w:fill="C6EFCE"/>
            <w:noWrap/>
          </w:tcPr>
          <w:p w14:paraId="63B75385" w14:textId="77777777" w:rsidR="00CB0FCB" w:rsidRDefault="009D2B11">
            <w:pPr>
              <w:pStyle w:val="P68B1DB1-Normal9"/>
              <w:spacing w:after="0" w:line="240" w:lineRule="auto"/>
              <w:rPr>
                <w:noProof/>
              </w:rPr>
            </w:pPr>
            <w:r>
              <w:rPr>
                <w:noProof/>
              </w:rPr>
              <w:t>Mērķa</w:t>
            </w:r>
          </w:p>
        </w:tc>
        <w:tc>
          <w:tcPr>
            <w:tcW w:w="410" w:type="pct"/>
            <w:shd w:val="clear" w:color="auto" w:fill="C6EFCE"/>
            <w:noWrap/>
          </w:tcPr>
          <w:p w14:paraId="0B0C05A3" w14:textId="77777777" w:rsidR="00CB0FCB" w:rsidRDefault="009D2B11">
            <w:pPr>
              <w:pStyle w:val="P68B1DB1-Normal9"/>
              <w:spacing w:after="0" w:line="240" w:lineRule="auto"/>
              <w:rPr>
                <w:noProof/>
              </w:rPr>
            </w:pPr>
            <w:r>
              <w:rPr>
                <w:noProof/>
              </w:rPr>
              <w:t>Operāciju gaidīšanas saraksta samazināšana</w:t>
            </w:r>
          </w:p>
        </w:tc>
        <w:tc>
          <w:tcPr>
            <w:tcW w:w="701" w:type="pct"/>
            <w:shd w:val="clear" w:color="auto" w:fill="C6EFCE"/>
            <w:noWrap/>
          </w:tcPr>
          <w:p w14:paraId="6740FC67" w14:textId="77777777" w:rsidR="00CB0FCB" w:rsidRDefault="00CB0FCB">
            <w:pPr>
              <w:spacing w:after="0" w:line="240" w:lineRule="auto"/>
              <w:rPr>
                <w:rFonts w:eastAsia="Times New Roman" w:cs="Calibri"/>
                <w:noProof/>
                <w:color w:val="006100"/>
                <w:sz w:val="18"/>
                <w:szCs w:val="18"/>
              </w:rPr>
            </w:pPr>
          </w:p>
        </w:tc>
        <w:tc>
          <w:tcPr>
            <w:tcW w:w="386" w:type="pct"/>
            <w:shd w:val="clear" w:color="auto" w:fill="C6EFCE"/>
            <w:noWrap/>
          </w:tcPr>
          <w:p w14:paraId="431FF27B" w14:textId="77777777" w:rsidR="00CB0FCB" w:rsidRDefault="009D2B11">
            <w:pPr>
              <w:pStyle w:val="P68B1DB1-Normal9"/>
              <w:spacing w:after="0" w:line="240" w:lineRule="auto"/>
              <w:rPr>
                <w:noProof/>
              </w:rPr>
            </w:pPr>
            <w:r>
              <w:rPr>
                <w:noProof/>
              </w:rPr>
              <w:t>Pabeigto operāciju skaits pacientiem, kas gaidījuši ilgāk nekā četrus mēnešus.</w:t>
            </w:r>
          </w:p>
        </w:tc>
        <w:tc>
          <w:tcPr>
            <w:tcW w:w="309" w:type="pct"/>
            <w:shd w:val="clear" w:color="auto" w:fill="C6EFCE"/>
            <w:noWrap/>
          </w:tcPr>
          <w:p w14:paraId="3BA62436" w14:textId="77777777" w:rsidR="00CB0FCB" w:rsidRDefault="009D2B11">
            <w:pPr>
              <w:pStyle w:val="P68B1DB1-Normal9"/>
              <w:spacing w:after="0" w:line="240" w:lineRule="auto"/>
              <w:rPr>
                <w:noProof/>
              </w:rPr>
            </w:pPr>
            <w:r>
              <w:rPr>
                <w:noProof/>
              </w:rPr>
              <w:t>0</w:t>
            </w:r>
          </w:p>
        </w:tc>
        <w:tc>
          <w:tcPr>
            <w:tcW w:w="270" w:type="pct"/>
            <w:shd w:val="clear" w:color="auto" w:fill="C6EFCE"/>
            <w:noWrap/>
          </w:tcPr>
          <w:p w14:paraId="6FC8090D" w14:textId="50A497CC" w:rsidR="00CB0FCB" w:rsidRDefault="009D2B11">
            <w:pPr>
              <w:pStyle w:val="P68B1DB1-Normal9"/>
              <w:spacing w:after="0" w:line="240" w:lineRule="auto"/>
              <w:rPr>
                <w:noProof/>
              </w:rPr>
            </w:pPr>
            <w:r>
              <w:rPr>
                <w:noProof/>
              </w:rPr>
              <w:t>34 000</w:t>
            </w:r>
          </w:p>
        </w:tc>
        <w:tc>
          <w:tcPr>
            <w:tcW w:w="309" w:type="pct"/>
            <w:shd w:val="clear" w:color="auto" w:fill="C6EFCE"/>
            <w:noWrap/>
          </w:tcPr>
          <w:p w14:paraId="681024F7" w14:textId="77777777" w:rsidR="00CB0FCB" w:rsidRDefault="009D2B11">
            <w:pPr>
              <w:pStyle w:val="P68B1DB1-Normal9"/>
              <w:spacing w:after="0" w:line="240" w:lineRule="auto"/>
              <w:rPr>
                <w:noProof/>
              </w:rPr>
            </w:pPr>
            <w:r>
              <w:rPr>
                <w:noProof/>
              </w:rPr>
              <w:t>4. CET.</w:t>
            </w:r>
          </w:p>
        </w:tc>
        <w:tc>
          <w:tcPr>
            <w:tcW w:w="232" w:type="pct"/>
            <w:shd w:val="clear" w:color="auto" w:fill="C6EFCE"/>
            <w:noWrap/>
          </w:tcPr>
          <w:p w14:paraId="4E6711A3" w14:textId="77777777" w:rsidR="00CB0FCB" w:rsidRDefault="009D2B11">
            <w:pPr>
              <w:pStyle w:val="P68B1DB1-Normal9"/>
              <w:spacing w:after="0" w:line="240" w:lineRule="auto"/>
              <w:rPr>
                <w:noProof/>
              </w:rPr>
            </w:pPr>
            <w:r>
              <w:rPr>
                <w:noProof/>
              </w:rPr>
              <w:t>2025</w:t>
            </w:r>
          </w:p>
        </w:tc>
        <w:tc>
          <w:tcPr>
            <w:tcW w:w="1333" w:type="pct"/>
            <w:shd w:val="clear" w:color="auto" w:fill="C6EFCE"/>
            <w:noWrap/>
          </w:tcPr>
          <w:p w14:paraId="631C885C" w14:textId="73E9AC98" w:rsidR="00CB0FCB" w:rsidRDefault="009D2B11">
            <w:pPr>
              <w:pStyle w:val="P68B1DB1-Normal10"/>
              <w:spacing w:after="0" w:line="240" w:lineRule="auto"/>
              <w:rPr>
                <w:noProof/>
              </w:rPr>
            </w:pPr>
            <w:r>
              <w:rPr>
                <w:noProof/>
              </w:rPr>
              <w:t>Neizskatīto operāciju skaita samazināšana par vismaz pusi no to pacientu kopējā nepabeigto operāciju skaita, kuri ilgāk nekā četrus mēnešus gaidījuši vienotajā digitālajā ķirurģiju sarakstā (pamatojoties uz saraksta statusu 2024. gada 16. oktobrī). Tas ietver 34000 operāciju pabeigšanu pacientiem, kuri gaidījuši ilgāk nekā četrus mēnešus, tostarp vismaz 26000 operāciju pacientiem, kas gaidījuši vairāk nekā 8 mēnešus.</w:t>
            </w:r>
          </w:p>
        </w:tc>
      </w:tr>
      <w:tr w:rsidR="00CB0FCB" w14:paraId="6450AAEB" w14:textId="77777777">
        <w:trPr>
          <w:trHeight w:val="313"/>
        </w:trPr>
        <w:tc>
          <w:tcPr>
            <w:tcW w:w="320" w:type="pct"/>
            <w:shd w:val="clear" w:color="auto" w:fill="C6EFCE"/>
            <w:noWrap/>
          </w:tcPr>
          <w:p w14:paraId="41D61A3C" w14:textId="77777777" w:rsidR="00CB0FCB" w:rsidRDefault="009D2B11">
            <w:pPr>
              <w:pStyle w:val="P68B1DB1-Normal9"/>
              <w:spacing w:after="0" w:line="240" w:lineRule="auto"/>
              <w:rPr>
                <w:rFonts w:eastAsia="Times New Roman" w:cs="Calibri"/>
                <w:noProof/>
                <w:szCs w:val="18"/>
              </w:rPr>
            </w:pPr>
            <w:r>
              <w:rPr>
                <w:noProof/>
              </w:rPr>
              <w:t>165</w:t>
            </w:r>
          </w:p>
        </w:tc>
        <w:tc>
          <w:tcPr>
            <w:tcW w:w="408" w:type="pct"/>
            <w:shd w:val="clear" w:color="auto" w:fill="C6EFCE"/>
            <w:noWrap/>
          </w:tcPr>
          <w:p w14:paraId="4DB956D3" w14:textId="77777777" w:rsidR="00CB0FCB" w:rsidRDefault="009D2B11">
            <w:pPr>
              <w:pStyle w:val="P68B1DB1-Normal9"/>
              <w:spacing w:after="0" w:line="240" w:lineRule="auto"/>
              <w:rPr>
                <w:rFonts w:eastAsia="Times New Roman"/>
                <w:noProof/>
                <w:szCs w:val="18"/>
              </w:rPr>
            </w:pPr>
            <w:r>
              <w:rPr>
                <w:noProof/>
              </w:rPr>
              <w:t>10–3.3. Uzlabot veselības aprūpes noturību, pieejamību un ilgtspēju — 16783_Valsts sabiedrības veselības profilakses programmas “Spiros Doxiadis” (NPP) īstenošana</w:t>
            </w:r>
          </w:p>
          <w:p w14:paraId="5A44AD20" w14:textId="77777777" w:rsidR="00CB0FCB" w:rsidRDefault="00CB0FCB">
            <w:pPr>
              <w:spacing w:after="0" w:line="240" w:lineRule="auto"/>
              <w:rPr>
                <w:rFonts w:eastAsia="Times New Roman" w:cs="Calibri"/>
                <w:noProof/>
                <w:color w:val="006100"/>
                <w:sz w:val="18"/>
                <w:szCs w:val="18"/>
                <w:highlight w:val="yellow"/>
              </w:rPr>
            </w:pPr>
          </w:p>
          <w:p w14:paraId="17B2819D" w14:textId="77777777" w:rsidR="00CB0FCB" w:rsidRDefault="00CB0FCB">
            <w:pPr>
              <w:spacing w:after="0" w:line="240" w:lineRule="auto"/>
              <w:rPr>
                <w:rFonts w:eastAsia="Times New Roman" w:cs="Calibri"/>
                <w:noProof/>
                <w:color w:val="006100"/>
                <w:sz w:val="18"/>
                <w:szCs w:val="18"/>
              </w:rPr>
            </w:pPr>
          </w:p>
        </w:tc>
        <w:tc>
          <w:tcPr>
            <w:tcW w:w="322" w:type="pct"/>
            <w:shd w:val="clear" w:color="auto" w:fill="C6EFCE"/>
            <w:noWrap/>
          </w:tcPr>
          <w:p w14:paraId="3623277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410" w:type="pct"/>
            <w:shd w:val="clear" w:color="auto" w:fill="C6EFCE"/>
            <w:noWrap/>
          </w:tcPr>
          <w:p w14:paraId="7DAE12B6" w14:textId="30B778A4" w:rsidR="00CB0FCB" w:rsidRDefault="009D2B11">
            <w:pPr>
              <w:pStyle w:val="P68B1DB1-Normal9"/>
              <w:spacing w:after="0" w:line="240" w:lineRule="auto"/>
              <w:rPr>
                <w:rFonts w:eastAsia="Times New Roman" w:cs="Calibri"/>
                <w:noProof/>
                <w:szCs w:val="18"/>
              </w:rPr>
            </w:pPr>
            <w:r>
              <w:rPr>
                <w:noProof/>
              </w:rPr>
              <w:t>Valsts sabiedrības veselības profilakses programma “</w:t>
            </w:r>
            <w:r>
              <w:rPr>
                <w:noProof/>
                <w:szCs w:val="18"/>
              </w:rPr>
              <w:t xml:space="preserve">Spiros </w:t>
            </w:r>
            <w:r>
              <w:rPr>
                <w:noProof/>
              </w:rPr>
              <w:t>Doxiadis” — pabeigti visi projekti</w:t>
            </w:r>
          </w:p>
        </w:tc>
        <w:tc>
          <w:tcPr>
            <w:tcW w:w="701" w:type="pct"/>
            <w:shd w:val="clear" w:color="auto" w:fill="C6EFCE"/>
            <w:noWrap/>
          </w:tcPr>
          <w:p w14:paraId="1A10D471" w14:textId="099BEC8B" w:rsidR="00CB0FCB" w:rsidRDefault="009D2B11">
            <w:pPr>
              <w:pStyle w:val="P68B1DB1-Normal9"/>
              <w:spacing w:after="0" w:line="240" w:lineRule="auto"/>
              <w:rPr>
                <w:rFonts w:eastAsia="Times New Roman" w:cs="Calibri"/>
                <w:noProof/>
                <w:szCs w:val="18"/>
              </w:rPr>
            </w:pPr>
            <w:r>
              <w:rPr>
                <w:noProof/>
              </w:rPr>
              <w:t>Pierādījums par visu projektu pabeigšanu, ko apliecina ziņojumi par visām jomām (sabiedrības veselības sistēmas primārā, sekundārā un funkcionālā modernizācija), kas aptver visas darbības un iedzīvotājus, uz kuriem attiecas katra darbība.</w:t>
            </w:r>
          </w:p>
        </w:tc>
        <w:tc>
          <w:tcPr>
            <w:tcW w:w="386" w:type="pct"/>
            <w:shd w:val="clear" w:color="auto" w:fill="C6EFCE"/>
            <w:noWrap/>
          </w:tcPr>
          <w:p w14:paraId="12B2C480"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6F2926FB" w14:textId="77777777" w:rsidR="00CB0FCB" w:rsidRDefault="00CB0FCB">
            <w:pPr>
              <w:spacing w:after="0" w:line="240" w:lineRule="auto"/>
              <w:rPr>
                <w:rFonts w:eastAsia="Times New Roman" w:cs="Calibri"/>
                <w:noProof/>
                <w:color w:val="006100"/>
                <w:sz w:val="18"/>
                <w:szCs w:val="18"/>
              </w:rPr>
            </w:pPr>
          </w:p>
        </w:tc>
        <w:tc>
          <w:tcPr>
            <w:tcW w:w="270" w:type="pct"/>
            <w:shd w:val="clear" w:color="auto" w:fill="C6EFCE"/>
            <w:noWrap/>
          </w:tcPr>
          <w:p w14:paraId="18C96C23"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0246456C" w14:textId="77777777" w:rsidR="00CB0FCB" w:rsidRDefault="009D2B11">
            <w:pPr>
              <w:pStyle w:val="P68B1DB1-Normal9"/>
              <w:spacing w:after="0" w:line="240" w:lineRule="auto"/>
              <w:rPr>
                <w:rFonts w:eastAsia="Times New Roman" w:cs="Calibri"/>
                <w:noProof/>
                <w:szCs w:val="18"/>
              </w:rPr>
            </w:pPr>
            <w:r>
              <w:rPr>
                <w:noProof/>
              </w:rPr>
              <w:t>4. CET.</w:t>
            </w:r>
          </w:p>
        </w:tc>
        <w:tc>
          <w:tcPr>
            <w:tcW w:w="232" w:type="pct"/>
            <w:shd w:val="clear" w:color="auto" w:fill="C6EFCE"/>
            <w:noWrap/>
          </w:tcPr>
          <w:p w14:paraId="5CE1F761" w14:textId="77777777" w:rsidR="00CB0FCB" w:rsidRDefault="009D2B11">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126EA06C" w14:textId="1EADEB60" w:rsidR="00CB0FCB" w:rsidRDefault="009D2B11">
            <w:pPr>
              <w:pStyle w:val="P68B1DB1-Normal10"/>
              <w:spacing w:after="0" w:line="240" w:lineRule="auto"/>
              <w:rPr>
                <w:rFonts w:eastAsia="Times New Roman" w:cs="Calibri"/>
                <w:noProof/>
              </w:rPr>
            </w:pPr>
            <w:r>
              <w:rPr>
                <w:noProof/>
              </w:rPr>
              <w:t xml:space="preserve">Pabeigšana: </w:t>
            </w:r>
          </w:p>
          <w:p w14:paraId="0971AEC2" w14:textId="112B798D" w:rsidR="00CB0FCB" w:rsidRDefault="009D2B11">
            <w:pPr>
              <w:pStyle w:val="P68B1DB1-Normal10"/>
              <w:spacing w:after="0" w:line="240" w:lineRule="auto"/>
              <w:rPr>
                <w:rFonts w:eastAsia="Times New Roman" w:cs="Calibri"/>
                <w:noProof/>
              </w:rPr>
            </w:pPr>
            <w:r>
              <w:rPr>
                <w:noProof/>
              </w:rPr>
              <w:t xml:space="preserve">1. Primārā profilakse:  </w:t>
            </w:r>
          </w:p>
          <w:p w14:paraId="01AECB37" w14:textId="56244C6A" w:rsidR="00CB0FCB" w:rsidRDefault="009D2B11">
            <w:pPr>
              <w:pStyle w:val="P68B1DB1-Normal10"/>
              <w:spacing w:after="0" w:line="240" w:lineRule="auto"/>
              <w:ind w:left="720"/>
              <w:rPr>
                <w:rFonts w:eastAsia="Times New Roman" w:cs="Calibri"/>
                <w:noProof/>
              </w:rPr>
            </w:pPr>
            <w:r>
              <w:rPr>
                <w:noProof/>
              </w:rPr>
              <w:t>I) Intervences fizisko mācību un veselīgas ēšanas veicināšanai, izmantojot: tiesiskais regulējums attiecībā uz veselības ēdināšanu un skolu ēdnīcām, b) sistemātiska apmācība, izmantojot pieredzes apmācību skolu mācību programmās, c) kopienas pasākumi, d) Eiropas Aptaukošanās centra izveide, e) fiziskās aktivitātes veicināšana, f) digitālie rīki, g) izpratnes veidošanas kampaņa,</w:t>
            </w:r>
          </w:p>
          <w:p w14:paraId="043AA822" w14:textId="20505416" w:rsidR="00CB0FCB" w:rsidRDefault="009D2B11">
            <w:pPr>
              <w:pStyle w:val="P68B1DB1-Normal10"/>
              <w:spacing w:after="0" w:line="240" w:lineRule="auto"/>
              <w:ind w:left="720"/>
              <w:rPr>
                <w:noProof/>
              </w:rPr>
            </w:pPr>
            <w:r>
              <w:rPr>
                <w:noProof/>
              </w:rPr>
              <w:t xml:space="preserve">II) veselības aizsardzības pasākumi, kas vērsti uz alkohola pārmērīgas lietošanas kaitīgajām sekām </w:t>
            </w:r>
          </w:p>
          <w:p w14:paraId="34643517" w14:textId="2E25677C" w:rsidR="00CB0FCB" w:rsidRDefault="009D2B11">
            <w:pPr>
              <w:pStyle w:val="P68B1DB1-Normal10"/>
              <w:spacing w:after="0" w:line="240" w:lineRule="auto"/>
              <w:ind w:left="720"/>
              <w:rPr>
                <w:rFonts w:eastAsia="Times New Roman" w:cs="Calibri"/>
                <w:noProof/>
              </w:rPr>
            </w:pPr>
            <w:r>
              <w:rPr>
                <w:noProof/>
              </w:rPr>
              <w:t xml:space="preserve">III) intervences pasākumi, lai novērstu bērnu psihosociālās problēmas, un </w:t>
            </w:r>
          </w:p>
          <w:p w14:paraId="390D0063" w14:textId="4E76CC3E" w:rsidR="00CB0FCB" w:rsidRDefault="009D2B11">
            <w:pPr>
              <w:pStyle w:val="P68B1DB1-Normal10"/>
              <w:spacing w:after="0" w:line="240" w:lineRule="auto"/>
              <w:ind w:left="720"/>
              <w:rPr>
                <w:rFonts w:eastAsia="Times New Roman" w:cs="Calibri"/>
                <w:noProof/>
              </w:rPr>
            </w:pPr>
            <w:r>
              <w:rPr>
                <w:noProof/>
              </w:rPr>
              <w:t>IV) iejaukšanās bērnu zobārstniecībā.</w:t>
            </w:r>
          </w:p>
          <w:p w14:paraId="25852F99" w14:textId="1E925FE6" w:rsidR="00CB0FCB" w:rsidRDefault="00CB0FCB">
            <w:pPr>
              <w:spacing w:after="0" w:line="240" w:lineRule="auto"/>
              <w:rPr>
                <w:noProof/>
                <w:color w:val="006100"/>
                <w:sz w:val="18"/>
                <w:szCs w:val="18"/>
              </w:rPr>
            </w:pPr>
          </w:p>
          <w:p w14:paraId="521D770C" w14:textId="423460DE" w:rsidR="00CB0FCB" w:rsidRDefault="009D2B11">
            <w:pPr>
              <w:pStyle w:val="P68B1DB1-Normal10"/>
              <w:spacing w:after="0" w:line="240" w:lineRule="auto"/>
              <w:rPr>
                <w:rFonts w:eastAsia="Times New Roman" w:cs="Calibri"/>
                <w:noProof/>
              </w:rPr>
            </w:pPr>
            <w:r>
              <w:rPr>
                <w:noProof/>
              </w:rPr>
              <w:t xml:space="preserve">2. Sekundārā profilakse:  </w:t>
            </w:r>
          </w:p>
          <w:p w14:paraId="16FCCC8E" w14:textId="31B241F9" w:rsidR="00CB0FCB" w:rsidRDefault="009D2B11">
            <w:pPr>
              <w:pStyle w:val="P68B1DB1-Normal10"/>
              <w:spacing w:after="0" w:line="240" w:lineRule="auto"/>
              <w:ind w:left="720"/>
              <w:rPr>
                <w:rFonts w:eastAsia="Times New Roman" w:cs="Calibri"/>
                <w:noProof/>
              </w:rPr>
            </w:pPr>
            <w:r>
              <w:rPr>
                <w:noProof/>
              </w:rPr>
              <w:t xml:space="preserve">I) iedzīvotāju skrīnings krūts vēža, dzemdes kakla vēža, kolorektālā vēža un sirds un asinsvadu slimību atklāšanai, </w:t>
            </w:r>
          </w:p>
          <w:p w14:paraId="42D4B5CC" w14:textId="3CDBE5BB" w:rsidR="00CB0FCB" w:rsidRDefault="009D2B11">
            <w:pPr>
              <w:pStyle w:val="P68B1DB1-Normal10"/>
              <w:spacing w:after="0" w:line="240" w:lineRule="auto"/>
              <w:ind w:left="720"/>
              <w:rPr>
                <w:rFonts w:eastAsia="Times New Roman" w:cs="Calibri"/>
                <w:noProof/>
              </w:rPr>
            </w:pPr>
            <w:r>
              <w:rPr>
                <w:noProof/>
              </w:rPr>
              <w:t>II) Intervences saistībā ar pirmsdzemdību skrīningu attālos apgabalos un valsts perinatālo skrīningu.</w:t>
            </w:r>
          </w:p>
          <w:p w14:paraId="5D4E314E" w14:textId="34C56C90" w:rsidR="00CB0FCB" w:rsidRDefault="00CB0FCB">
            <w:pPr>
              <w:spacing w:after="0" w:line="240" w:lineRule="auto"/>
              <w:rPr>
                <w:noProof/>
                <w:color w:val="006100"/>
                <w:sz w:val="18"/>
                <w:szCs w:val="18"/>
              </w:rPr>
            </w:pPr>
          </w:p>
          <w:p w14:paraId="2523A38A" w14:textId="5B091B1D" w:rsidR="00CB0FCB" w:rsidRDefault="00CB0FCB">
            <w:pPr>
              <w:spacing w:after="0" w:line="240" w:lineRule="auto"/>
              <w:rPr>
                <w:rFonts w:eastAsia="Times New Roman" w:cs="Calibri"/>
                <w:noProof/>
                <w:color w:val="006100"/>
                <w:sz w:val="18"/>
                <w:szCs w:val="18"/>
              </w:rPr>
            </w:pPr>
          </w:p>
          <w:p w14:paraId="2145A932" w14:textId="0407C0BB" w:rsidR="00CB0FCB" w:rsidRDefault="00CB0FCB">
            <w:pPr>
              <w:spacing w:after="0" w:line="240" w:lineRule="auto"/>
              <w:rPr>
                <w:noProof/>
                <w:color w:val="006100"/>
                <w:sz w:val="18"/>
                <w:szCs w:val="18"/>
              </w:rPr>
            </w:pPr>
          </w:p>
          <w:p w14:paraId="6381BFC0" w14:textId="5503FB3F" w:rsidR="00CB0FCB" w:rsidRDefault="009D2B11">
            <w:pPr>
              <w:pStyle w:val="P68B1DB1-Normal10"/>
              <w:spacing w:after="0" w:line="240" w:lineRule="auto"/>
              <w:rPr>
                <w:rFonts w:eastAsia="Times New Roman" w:cs="Calibri"/>
                <w:noProof/>
              </w:rPr>
            </w:pPr>
            <w:r>
              <w:rPr>
                <w:noProof/>
              </w:rPr>
              <w:t xml:space="preserve">3. Sabiedrības veselības sistēmas funkcionālā modernizācija:  </w:t>
            </w:r>
          </w:p>
          <w:p w14:paraId="520E0F2A" w14:textId="74612040" w:rsidR="00CB0FCB" w:rsidRDefault="009D2B11">
            <w:pPr>
              <w:pStyle w:val="P68B1DB1-Normal10"/>
              <w:spacing w:after="0" w:line="240" w:lineRule="auto"/>
              <w:ind w:left="720"/>
              <w:rPr>
                <w:rFonts w:eastAsia="Times New Roman" w:cs="Calibri"/>
                <w:noProof/>
              </w:rPr>
            </w:pPr>
            <w:r>
              <w:rPr>
                <w:noProof/>
              </w:rPr>
              <w:t xml:space="preserve">I) Iedzīvotāju veselības uzraudzības sistēmas funkcionālā reorganizācija, </w:t>
            </w:r>
          </w:p>
          <w:p w14:paraId="5DA231DA" w14:textId="1FA849F7" w:rsidR="00CB0FCB" w:rsidRDefault="009D2B11">
            <w:pPr>
              <w:pStyle w:val="P68B1DB1-Normal10"/>
              <w:spacing w:after="0" w:line="240" w:lineRule="auto"/>
              <w:ind w:left="720"/>
              <w:rPr>
                <w:rFonts w:eastAsia="Times New Roman" w:cs="Calibri"/>
                <w:noProof/>
              </w:rPr>
            </w:pPr>
            <w:r>
              <w:rPr>
                <w:noProof/>
              </w:rPr>
              <w:t xml:space="preserve">II) sabiedrības veselības aprūpes pakalpojumu efektivitāte un efektivitāte, </w:t>
            </w:r>
          </w:p>
          <w:p w14:paraId="2734EB9B" w14:textId="52AF36D8" w:rsidR="00CB0FCB" w:rsidRDefault="009D2B11">
            <w:pPr>
              <w:pStyle w:val="P68B1DB1-Normal10"/>
              <w:spacing w:after="0" w:line="240" w:lineRule="auto"/>
              <w:ind w:left="720"/>
              <w:rPr>
                <w:rFonts w:eastAsia="Times New Roman" w:cs="Calibri"/>
                <w:noProof/>
              </w:rPr>
            </w:pPr>
            <w:r>
              <w:rPr>
                <w:noProof/>
              </w:rPr>
              <w:t xml:space="preserve">ātrās reaģēšanas mehānismu efektivitāte, lai risinātu ārkārtas situācijas un apdraudējumus, </w:t>
            </w:r>
          </w:p>
          <w:p w14:paraId="21D4C1D7" w14:textId="5B26B8A2" w:rsidR="00CB0FCB" w:rsidRDefault="009D2B11">
            <w:pPr>
              <w:pStyle w:val="P68B1DB1-Normal10"/>
              <w:spacing w:after="0" w:line="240" w:lineRule="auto"/>
              <w:ind w:left="720"/>
              <w:rPr>
                <w:rFonts w:eastAsia="Times New Roman" w:cs="Calibri"/>
                <w:noProof/>
              </w:rPr>
            </w:pPr>
            <w:r>
              <w:rPr>
                <w:noProof/>
              </w:rPr>
              <w:t xml:space="preserve">uzlabot vides veselības aizsardzības mehānismu efektivitāti, </w:t>
            </w:r>
          </w:p>
          <w:p w14:paraId="4535BE4A" w14:textId="64308B72" w:rsidR="00CB0FCB" w:rsidRDefault="009D2B11">
            <w:pPr>
              <w:pStyle w:val="P68B1DB1-Normal10"/>
              <w:spacing w:after="0" w:line="240" w:lineRule="auto"/>
              <w:ind w:left="720"/>
              <w:rPr>
                <w:rFonts w:eastAsia="Times New Roman" w:cs="Calibri"/>
                <w:noProof/>
              </w:rPr>
            </w:pPr>
            <w:r>
              <w:rPr>
                <w:noProof/>
              </w:rPr>
              <w:t xml:space="preserve">sniegto pakalpojumu kvalitātes un zinātniskā derīguma uzlabošana, </w:t>
            </w:r>
          </w:p>
          <w:p w14:paraId="02730C85" w14:textId="14CA7B74" w:rsidR="00CB0FCB" w:rsidRDefault="009D2B11">
            <w:pPr>
              <w:pStyle w:val="P68B1DB1-Normal10"/>
              <w:spacing w:after="0" w:line="240" w:lineRule="auto"/>
              <w:ind w:left="720"/>
              <w:rPr>
                <w:noProof/>
              </w:rPr>
            </w:pPr>
            <w:r>
              <w:rPr>
                <w:noProof/>
              </w:rPr>
              <w:t>sabiedrības veselības informātikas organizācija</w:t>
            </w:r>
          </w:p>
          <w:p w14:paraId="7B50C2DE" w14:textId="36EEC345" w:rsidR="00CB0FCB" w:rsidRDefault="009D2B11">
            <w:pPr>
              <w:pStyle w:val="P68B1DB1-Normal10"/>
              <w:spacing w:after="0" w:line="240" w:lineRule="auto"/>
              <w:rPr>
                <w:rFonts w:eastAsia="Times New Roman" w:cs="Calibri"/>
                <w:noProof/>
              </w:rPr>
            </w:pPr>
            <w:r>
              <w:rPr>
                <w:noProof/>
              </w:rPr>
              <w:t>.</w:t>
            </w:r>
          </w:p>
        </w:tc>
      </w:tr>
      <w:tr w:rsidR="00CB0FCB" w14:paraId="29CF5AF0" w14:textId="77777777">
        <w:trPr>
          <w:trHeight w:val="313"/>
        </w:trPr>
        <w:tc>
          <w:tcPr>
            <w:tcW w:w="320" w:type="pct"/>
            <w:shd w:val="clear" w:color="auto" w:fill="C6EFCE"/>
            <w:noWrap/>
          </w:tcPr>
          <w:p w14:paraId="05B9E559" w14:textId="77777777" w:rsidR="00CB0FCB" w:rsidRDefault="009D2B11">
            <w:pPr>
              <w:pStyle w:val="P68B1DB1-Normal9"/>
              <w:spacing w:after="0" w:line="240" w:lineRule="auto"/>
              <w:rPr>
                <w:rFonts w:eastAsia="Times New Roman" w:cs="Calibri"/>
                <w:noProof/>
                <w:szCs w:val="18"/>
              </w:rPr>
            </w:pPr>
            <w:r>
              <w:rPr>
                <w:noProof/>
              </w:rPr>
              <w:t>166</w:t>
            </w:r>
          </w:p>
        </w:tc>
        <w:tc>
          <w:tcPr>
            <w:tcW w:w="408" w:type="pct"/>
            <w:shd w:val="clear" w:color="auto" w:fill="C6EFCE"/>
            <w:noWrap/>
          </w:tcPr>
          <w:p w14:paraId="47A030FE"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16755_Zaļās investīcijas — primārās veselības aprūpes sistēmas reforma</w:t>
            </w:r>
          </w:p>
        </w:tc>
        <w:tc>
          <w:tcPr>
            <w:tcW w:w="322" w:type="pct"/>
            <w:shd w:val="clear" w:color="auto" w:fill="C6EFCE"/>
            <w:noWrap/>
          </w:tcPr>
          <w:p w14:paraId="678459D0" w14:textId="77777777" w:rsidR="00CB0FCB" w:rsidRDefault="009D2B11">
            <w:pPr>
              <w:pStyle w:val="P68B1DB1-Normal9"/>
              <w:spacing w:after="0" w:line="240" w:lineRule="auto"/>
              <w:rPr>
                <w:rFonts w:eastAsia="Times New Roman" w:cs="Calibri"/>
                <w:noProof/>
                <w:szCs w:val="18"/>
              </w:rPr>
            </w:pPr>
            <w:r>
              <w:rPr>
                <w:noProof/>
              </w:rPr>
              <w:t>Mērķa</w:t>
            </w:r>
          </w:p>
        </w:tc>
        <w:tc>
          <w:tcPr>
            <w:tcW w:w="410" w:type="pct"/>
            <w:shd w:val="clear" w:color="auto" w:fill="C6EFCE"/>
            <w:noWrap/>
          </w:tcPr>
          <w:p w14:paraId="5B765CB9" w14:textId="1C327C3C" w:rsidR="00CB0FCB" w:rsidRDefault="009D2B11">
            <w:pPr>
              <w:pStyle w:val="P68B1DB1-Normal9"/>
              <w:spacing w:after="0" w:line="240" w:lineRule="auto"/>
              <w:rPr>
                <w:rFonts w:eastAsia="Times New Roman" w:cs="Calibri"/>
                <w:noProof/>
                <w:szCs w:val="18"/>
              </w:rPr>
            </w:pPr>
            <w:r>
              <w:rPr>
                <w:noProof/>
              </w:rPr>
              <w:t>PHC — pilnībā atjaunoti veselības centri</w:t>
            </w:r>
          </w:p>
        </w:tc>
        <w:tc>
          <w:tcPr>
            <w:tcW w:w="701" w:type="pct"/>
            <w:shd w:val="clear" w:color="auto" w:fill="C6EFCE"/>
            <w:noWrap/>
          </w:tcPr>
          <w:p w14:paraId="66D00F14" w14:textId="77777777" w:rsidR="00CB0FCB" w:rsidRDefault="00CB0FCB">
            <w:pPr>
              <w:spacing w:after="0" w:line="240" w:lineRule="auto"/>
              <w:rPr>
                <w:rFonts w:eastAsia="Times New Roman" w:cs="Calibri"/>
                <w:noProof/>
                <w:color w:val="006100"/>
                <w:sz w:val="18"/>
                <w:szCs w:val="18"/>
              </w:rPr>
            </w:pPr>
          </w:p>
        </w:tc>
        <w:tc>
          <w:tcPr>
            <w:tcW w:w="386" w:type="pct"/>
            <w:shd w:val="clear" w:color="auto" w:fill="C6EFCE"/>
            <w:noWrap/>
          </w:tcPr>
          <w:p w14:paraId="56DF655B" w14:textId="57D4CC2F" w:rsidR="00CB0FCB" w:rsidRDefault="009D2B11">
            <w:pPr>
              <w:pStyle w:val="P68B1DB1-Normal9"/>
              <w:spacing w:after="0" w:line="240" w:lineRule="auto"/>
              <w:rPr>
                <w:rFonts w:eastAsia="Times New Roman" w:cs="Calibri"/>
                <w:noProof/>
                <w:szCs w:val="18"/>
              </w:rPr>
            </w:pPr>
            <w:r>
              <w:rPr>
                <w:noProof/>
              </w:rPr>
              <w:t>To veselības centru skaits (vismaz), kuros infrastruktūras renovācija ir pilnībā pabeigta un centri darbojas</w:t>
            </w:r>
          </w:p>
        </w:tc>
        <w:tc>
          <w:tcPr>
            <w:tcW w:w="309" w:type="pct"/>
            <w:shd w:val="clear" w:color="auto" w:fill="C6EFCE"/>
            <w:noWrap/>
          </w:tcPr>
          <w:p w14:paraId="53402DE6" w14:textId="77777777" w:rsidR="00CB0FCB" w:rsidRDefault="009D2B11">
            <w:pPr>
              <w:pStyle w:val="P68B1DB1-Normal9"/>
              <w:spacing w:after="0" w:line="240" w:lineRule="auto"/>
              <w:rPr>
                <w:rFonts w:eastAsia="Times New Roman" w:cs="Calibri"/>
                <w:noProof/>
                <w:szCs w:val="18"/>
              </w:rPr>
            </w:pPr>
            <w:r>
              <w:rPr>
                <w:noProof/>
              </w:rPr>
              <w:t>0</w:t>
            </w:r>
          </w:p>
        </w:tc>
        <w:tc>
          <w:tcPr>
            <w:tcW w:w="270" w:type="pct"/>
            <w:shd w:val="clear" w:color="auto" w:fill="C6EFCE"/>
            <w:noWrap/>
          </w:tcPr>
          <w:p w14:paraId="602DA23A" w14:textId="77777777" w:rsidR="00CB0FCB" w:rsidRDefault="009D2B11">
            <w:pPr>
              <w:pStyle w:val="P68B1DB1-Normal9"/>
              <w:spacing w:after="0" w:line="240" w:lineRule="auto"/>
              <w:rPr>
                <w:rFonts w:eastAsia="Times New Roman" w:cs="Calibri"/>
                <w:noProof/>
                <w:szCs w:val="18"/>
              </w:rPr>
            </w:pPr>
            <w:r>
              <w:rPr>
                <w:noProof/>
              </w:rPr>
              <w:t>156</w:t>
            </w:r>
          </w:p>
        </w:tc>
        <w:tc>
          <w:tcPr>
            <w:tcW w:w="309" w:type="pct"/>
            <w:shd w:val="clear" w:color="auto" w:fill="C6EFCE"/>
            <w:noWrap/>
          </w:tcPr>
          <w:p w14:paraId="51B56476" w14:textId="77777777" w:rsidR="00CB0FCB" w:rsidRDefault="009D2B11">
            <w:pPr>
              <w:pStyle w:val="P68B1DB1-Normal9"/>
              <w:spacing w:after="0" w:line="240" w:lineRule="auto"/>
              <w:rPr>
                <w:rFonts w:eastAsia="Times New Roman" w:cs="Calibri"/>
                <w:noProof/>
                <w:szCs w:val="18"/>
              </w:rPr>
            </w:pPr>
            <w:r>
              <w:rPr>
                <w:noProof/>
              </w:rPr>
              <w:t>4. CET.</w:t>
            </w:r>
          </w:p>
        </w:tc>
        <w:tc>
          <w:tcPr>
            <w:tcW w:w="232" w:type="pct"/>
            <w:shd w:val="clear" w:color="auto" w:fill="C6EFCE"/>
            <w:noWrap/>
          </w:tcPr>
          <w:p w14:paraId="36DBD118" w14:textId="77777777" w:rsidR="00CB0FCB" w:rsidRDefault="009D2B11">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637D222E" w14:textId="00C5F567" w:rsidR="00CB0FCB" w:rsidRDefault="009D2B11">
            <w:pPr>
              <w:pStyle w:val="P68B1DB1-Normal10"/>
              <w:spacing w:after="0" w:line="240" w:lineRule="auto"/>
              <w:rPr>
                <w:noProof/>
              </w:rPr>
            </w:pPr>
            <w:r>
              <w:rPr>
                <w:noProof/>
              </w:rPr>
              <w:t xml:space="preserve">Infrastruktūras renovācijas pabeigšana, lai uzlabotu vismaz 156 veselības centru energoefektivitāti, un medicīniskā aprīkojuma iegāde. </w:t>
            </w:r>
          </w:p>
          <w:p w14:paraId="2EC981BC" w14:textId="77777777" w:rsidR="00CB0FCB" w:rsidRDefault="00CB0FCB">
            <w:pPr>
              <w:spacing w:after="0" w:line="240" w:lineRule="auto"/>
              <w:rPr>
                <w:noProof/>
                <w:color w:val="006100"/>
                <w:sz w:val="18"/>
                <w:szCs w:val="18"/>
              </w:rPr>
            </w:pPr>
          </w:p>
          <w:p w14:paraId="72550C5C" w14:textId="579A622A" w:rsidR="00CB0FCB" w:rsidRDefault="009D2B11">
            <w:pPr>
              <w:pStyle w:val="P68B1DB1-Normal10"/>
              <w:spacing w:after="0" w:line="240" w:lineRule="auto"/>
              <w:rPr>
                <w:noProof/>
              </w:rPr>
            </w:pPr>
            <w:r>
              <w:rPr>
                <w:noProof/>
              </w:rPr>
              <w:t>Izstrādāt</w:t>
            </w:r>
            <w:r>
              <w:rPr>
                <w:rFonts w:asciiTheme="minorHAnsi" w:eastAsiaTheme="minorEastAsia" w:hAnsiTheme="minorHAnsi" w:cstheme="minorBidi"/>
                <w:noProof/>
              </w:rPr>
              <w:t xml:space="preserve">ceļvedi </w:t>
            </w:r>
            <w:r>
              <w:rPr>
                <w:noProof/>
              </w:rPr>
              <w:t xml:space="preserve">primārās veselības aprūpes reformai, eksperimentālu nosūtīšanas mehānisma īstenošanu, darbinieku apmācību, kuras mērķis ir uzlabot PHC darbaspēka spējas, digitālās platformas ieviešanu, lai stiprinātu datu izmantošanu uz informāciju balstītu lēmumu pieņemšanai PPP.  </w:t>
            </w:r>
          </w:p>
          <w:p w14:paraId="5DBD669D" w14:textId="77777777" w:rsidR="00CB0FCB" w:rsidRDefault="00CB0FCB">
            <w:pPr>
              <w:spacing w:after="0" w:line="240" w:lineRule="auto"/>
              <w:rPr>
                <w:noProof/>
                <w:color w:val="006100"/>
                <w:sz w:val="18"/>
                <w:szCs w:val="18"/>
              </w:rPr>
            </w:pPr>
          </w:p>
          <w:p w14:paraId="08472365" w14:textId="3AF139B6" w:rsidR="00CB0FCB" w:rsidRDefault="009D2B11">
            <w:pPr>
              <w:pStyle w:val="P68B1DB1-Normal10"/>
              <w:spacing w:after="0" w:line="240" w:lineRule="auto"/>
              <w:rPr>
                <w:noProof/>
              </w:rPr>
            </w:pPr>
            <w:r>
              <w:rPr>
                <w:noProof/>
              </w:rPr>
              <w:t xml:space="preserve">Veselības aprūpes speciālistu izglītības un apmācības paplašināšanas pabeigšana 10000 primārās veselības aprūpes speciālistu, tostarp apmācība par jaunajām tehnoloģijām </w:t>
            </w:r>
          </w:p>
          <w:p w14:paraId="720887BE" w14:textId="77777777" w:rsidR="00CB0FCB" w:rsidRDefault="00CB0FCB">
            <w:pPr>
              <w:spacing w:after="0" w:line="240" w:lineRule="auto"/>
              <w:rPr>
                <w:noProof/>
                <w:color w:val="006100"/>
                <w:sz w:val="18"/>
                <w:szCs w:val="18"/>
              </w:rPr>
            </w:pPr>
          </w:p>
          <w:p w14:paraId="29F15179" w14:textId="586D3EA1" w:rsidR="00CB0FCB" w:rsidRDefault="009D2B11">
            <w:pPr>
              <w:pStyle w:val="P68B1DB1-Normal10"/>
              <w:spacing w:after="0" w:line="240" w:lineRule="auto"/>
              <w:rPr>
                <w:rFonts w:eastAsia="Times New Roman" w:cs="Calibri"/>
                <w:noProof/>
              </w:rPr>
            </w:pPr>
            <w:r>
              <w:rPr>
                <w:noProof/>
              </w:rPr>
              <w:t>Hronisko slimību pārvaldības nodaļu izveide 312 veselības centros un decentralizētas primārās veselības aprūpes nodaļas, kas saistītas ar pirmapstrādes veselības aprūpes centriem.</w:t>
            </w:r>
          </w:p>
        </w:tc>
      </w:tr>
      <w:tr w:rsidR="00CB0FCB" w14:paraId="381D13CC" w14:textId="77777777">
        <w:trPr>
          <w:trHeight w:val="313"/>
        </w:trPr>
        <w:tc>
          <w:tcPr>
            <w:tcW w:w="320" w:type="pct"/>
            <w:shd w:val="clear" w:color="auto" w:fill="C6EFCE"/>
            <w:noWrap/>
          </w:tcPr>
          <w:p w14:paraId="12E063B6" w14:textId="77777777" w:rsidR="00CB0FCB" w:rsidRDefault="009D2B11">
            <w:pPr>
              <w:pStyle w:val="P68B1DB1-Normal9"/>
              <w:spacing w:after="0" w:line="240" w:lineRule="auto"/>
              <w:rPr>
                <w:rFonts w:eastAsia="Times New Roman" w:cs="Calibri"/>
                <w:noProof/>
                <w:szCs w:val="18"/>
              </w:rPr>
            </w:pPr>
            <w:r>
              <w:rPr>
                <w:noProof/>
              </w:rPr>
              <w:t>335</w:t>
            </w:r>
          </w:p>
        </w:tc>
        <w:tc>
          <w:tcPr>
            <w:tcW w:w="408" w:type="pct"/>
            <w:shd w:val="clear" w:color="auto" w:fill="C6EFCE"/>
            <w:noWrap/>
          </w:tcPr>
          <w:p w14:paraId="455DEB46" w14:textId="77777777" w:rsidR="00CB0FCB" w:rsidRDefault="009D2B11">
            <w:pPr>
              <w:spacing w:after="0" w:line="240" w:lineRule="auto"/>
              <w:rPr>
                <w:rFonts w:eastAsia="Times New Roman" w:cs="Calibri"/>
                <w:noProof/>
                <w:color w:val="006100"/>
                <w:sz w:val="18"/>
                <w:szCs w:val="18"/>
              </w:rPr>
            </w:pPr>
            <w:r>
              <w:rPr>
                <w:noProof/>
                <w:color w:val="006100"/>
                <w:sz w:val="18"/>
              </w:rPr>
              <w:t>10–3.3. Uzlabot veselības aprūpes noturību, pieejamību un ilgtspēju — 16984_ Personīgo</w:t>
            </w:r>
            <w:r>
              <w:rPr>
                <w:rFonts w:ascii="Times New Roman" w:hAnsi="Times New Roman"/>
                <w:noProof/>
              </w:rPr>
              <w:t xml:space="preserve"> </w:t>
            </w:r>
            <w:r>
              <w:rPr>
                <w:noProof/>
                <w:color w:val="006100"/>
                <w:sz w:val="18"/>
              </w:rPr>
              <w:t>ārstu reforma</w:t>
            </w:r>
          </w:p>
        </w:tc>
        <w:tc>
          <w:tcPr>
            <w:tcW w:w="322" w:type="pct"/>
            <w:shd w:val="clear" w:color="auto" w:fill="C6EFCE"/>
            <w:noWrap/>
          </w:tcPr>
          <w:p w14:paraId="3F17B21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410" w:type="pct"/>
            <w:shd w:val="clear" w:color="auto" w:fill="C6EFCE"/>
            <w:noWrap/>
          </w:tcPr>
          <w:p w14:paraId="0B174DFC" w14:textId="77777777" w:rsidR="00CB0FCB" w:rsidRDefault="009D2B11">
            <w:pPr>
              <w:spacing w:after="0" w:line="240" w:lineRule="auto"/>
              <w:rPr>
                <w:rFonts w:eastAsia="Times New Roman" w:cs="Calibri"/>
                <w:noProof/>
                <w:color w:val="006100"/>
                <w:sz w:val="18"/>
                <w:szCs w:val="18"/>
              </w:rPr>
            </w:pPr>
            <w:r>
              <w:rPr>
                <w:noProof/>
                <w:color w:val="006100"/>
                <w:sz w:val="18"/>
              </w:rPr>
              <w:t>Personīgo</w:t>
            </w:r>
            <w:r>
              <w:rPr>
                <w:rFonts w:ascii="Times New Roman" w:hAnsi="Times New Roman"/>
                <w:noProof/>
              </w:rPr>
              <w:t xml:space="preserve"> </w:t>
            </w:r>
            <w:r>
              <w:rPr>
                <w:noProof/>
                <w:color w:val="006100"/>
                <w:sz w:val="18"/>
              </w:rPr>
              <w:t>ārstu reforma — tiesību aktu stāšanās spēkā</w:t>
            </w:r>
          </w:p>
        </w:tc>
        <w:tc>
          <w:tcPr>
            <w:tcW w:w="701" w:type="pct"/>
            <w:shd w:val="clear" w:color="auto" w:fill="C6EFCE"/>
            <w:noWrap/>
          </w:tcPr>
          <w:p w14:paraId="1817702D" w14:textId="533FD195" w:rsidR="00CB0FCB" w:rsidRDefault="009D2B11">
            <w:pPr>
              <w:spacing w:after="0" w:line="240" w:lineRule="auto"/>
              <w:rPr>
                <w:rFonts w:eastAsia="Times New Roman" w:cs="Calibri"/>
                <w:noProof/>
                <w:color w:val="006100"/>
                <w:sz w:val="18"/>
                <w:szCs w:val="18"/>
              </w:rPr>
            </w:pPr>
            <w:r>
              <w:rPr>
                <w:noProof/>
                <w:color w:val="006100"/>
                <w:sz w:val="18"/>
                <w:szCs w:val="18"/>
              </w:rPr>
              <w:t>Stājas spēkā tiesību akti, kuros noteikti galvenie elementi lauku ārstu uzņemšanai individuālo ārstu sistēmā, jaunu līdzīgu amatu izveide pilsētās, piepilsētās un lauku apvidos, kā arī stimulu mehānisms</w:t>
            </w:r>
          </w:p>
        </w:tc>
        <w:tc>
          <w:tcPr>
            <w:tcW w:w="386" w:type="pct"/>
            <w:shd w:val="clear" w:color="auto" w:fill="C6EFCE"/>
            <w:noWrap/>
          </w:tcPr>
          <w:p w14:paraId="56372798"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1CF6C35E" w14:textId="77777777" w:rsidR="00CB0FCB" w:rsidRDefault="00CB0FCB">
            <w:pPr>
              <w:spacing w:after="0" w:line="240" w:lineRule="auto"/>
              <w:rPr>
                <w:rFonts w:eastAsia="Times New Roman" w:cs="Calibri"/>
                <w:noProof/>
                <w:color w:val="006100"/>
                <w:sz w:val="18"/>
                <w:szCs w:val="18"/>
              </w:rPr>
            </w:pPr>
          </w:p>
        </w:tc>
        <w:tc>
          <w:tcPr>
            <w:tcW w:w="270" w:type="pct"/>
            <w:shd w:val="clear" w:color="auto" w:fill="C6EFCE"/>
            <w:noWrap/>
          </w:tcPr>
          <w:p w14:paraId="41B1BC20"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5A8ADC55" w14:textId="77777777" w:rsidR="00CB0FCB" w:rsidRDefault="009D2B11">
            <w:pPr>
              <w:pStyle w:val="P68B1DB1-Normal9"/>
              <w:spacing w:after="0" w:line="240" w:lineRule="auto"/>
              <w:rPr>
                <w:rFonts w:eastAsia="Times New Roman" w:cs="Calibri"/>
                <w:noProof/>
                <w:szCs w:val="18"/>
              </w:rPr>
            </w:pPr>
            <w:r>
              <w:rPr>
                <w:noProof/>
              </w:rPr>
              <w:t>Q1</w:t>
            </w:r>
          </w:p>
        </w:tc>
        <w:tc>
          <w:tcPr>
            <w:tcW w:w="232" w:type="pct"/>
            <w:shd w:val="clear" w:color="auto" w:fill="C6EFCE"/>
            <w:noWrap/>
          </w:tcPr>
          <w:p w14:paraId="1C339860" w14:textId="77777777" w:rsidR="00CB0FCB" w:rsidRDefault="009D2B11">
            <w:pPr>
              <w:pStyle w:val="P68B1DB1-Normal9"/>
              <w:spacing w:after="0" w:line="240" w:lineRule="auto"/>
              <w:rPr>
                <w:rFonts w:eastAsia="Times New Roman" w:cs="Calibri"/>
                <w:noProof/>
                <w:szCs w:val="18"/>
              </w:rPr>
            </w:pPr>
            <w:r>
              <w:rPr>
                <w:noProof/>
              </w:rPr>
              <w:t>2024</w:t>
            </w:r>
          </w:p>
        </w:tc>
        <w:tc>
          <w:tcPr>
            <w:tcW w:w="1333" w:type="pct"/>
            <w:shd w:val="clear" w:color="auto" w:fill="C6EFCE"/>
            <w:noWrap/>
          </w:tcPr>
          <w:p w14:paraId="1E8D91BF" w14:textId="66B91D38" w:rsidR="00CB0FCB" w:rsidRDefault="009D2B11">
            <w:pPr>
              <w:pStyle w:val="P68B1DB1-Normal10"/>
              <w:spacing w:before="120"/>
              <w:rPr>
                <w:rFonts w:eastAsia="Times New Roman" w:cs="Calibri"/>
                <w:noProof/>
              </w:rPr>
            </w:pPr>
            <w:r>
              <w:rPr>
                <w:noProof/>
              </w:rPr>
              <w:t>Stājas spēkā tiesību akti, kas nosaka galvenos elementus lauku ārstu uzņemšanai personīgo ārstu sistēmā, jaunu līdzīgu amatu izveidi pilsētās, piepilsētās un lauku apvidos, kur joprojām trūkst individuālo ārstu, un stimulēšanas mehānismu, lai ārsti varētu kļūt par vispārējās/ģimenes medicīnas vai iekšējās medicīnas rezidentiem.</w:t>
            </w:r>
          </w:p>
        </w:tc>
      </w:tr>
      <w:tr w:rsidR="00CB0FCB" w14:paraId="06067782" w14:textId="77777777">
        <w:trPr>
          <w:trHeight w:val="313"/>
        </w:trPr>
        <w:tc>
          <w:tcPr>
            <w:tcW w:w="320" w:type="pct"/>
            <w:shd w:val="clear" w:color="auto" w:fill="C6EFCE"/>
            <w:noWrap/>
          </w:tcPr>
          <w:p w14:paraId="4E8D478F" w14:textId="77777777" w:rsidR="00CB0FCB" w:rsidRDefault="009D2B11">
            <w:pPr>
              <w:pStyle w:val="P68B1DB1-Normal9"/>
              <w:spacing w:after="0" w:line="240" w:lineRule="auto"/>
              <w:rPr>
                <w:rFonts w:eastAsia="Times New Roman" w:cs="Calibri"/>
                <w:noProof/>
                <w:szCs w:val="18"/>
              </w:rPr>
            </w:pPr>
            <w:r>
              <w:rPr>
                <w:noProof/>
              </w:rPr>
              <w:t>336</w:t>
            </w:r>
          </w:p>
        </w:tc>
        <w:tc>
          <w:tcPr>
            <w:tcW w:w="408" w:type="pct"/>
            <w:shd w:val="clear" w:color="auto" w:fill="C6EFCE"/>
            <w:noWrap/>
          </w:tcPr>
          <w:p w14:paraId="1CFF199C" w14:textId="77777777" w:rsidR="00CB0FCB" w:rsidRDefault="009D2B11">
            <w:pPr>
              <w:spacing w:after="0" w:line="240" w:lineRule="auto"/>
              <w:rPr>
                <w:rFonts w:eastAsia="Times New Roman" w:cs="Calibri"/>
                <w:noProof/>
                <w:color w:val="006100"/>
                <w:sz w:val="18"/>
                <w:szCs w:val="18"/>
              </w:rPr>
            </w:pPr>
            <w:r>
              <w:rPr>
                <w:noProof/>
                <w:color w:val="006100"/>
                <w:sz w:val="18"/>
              </w:rPr>
              <w:t>10–3.3. Uzlabot veselības aprūpes noturību, pieejamību un ilgtspēju — 16984_ Personīgo</w:t>
            </w:r>
            <w:r>
              <w:rPr>
                <w:rFonts w:ascii="Times New Roman" w:hAnsi="Times New Roman"/>
                <w:noProof/>
              </w:rPr>
              <w:t xml:space="preserve"> </w:t>
            </w:r>
            <w:r>
              <w:rPr>
                <w:noProof/>
                <w:color w:val="006100"/>
                <w:sz w:val="18"/>
              </w:rPr>
              <w:t>ārstu reforma</w:t>
            </w:r>
          </w:p>
        </w:tc>
        <w:tc>
          <w:tcPr>
            <w:tcW w:w="322" w:type="pct"/>
            <w:shd w:val="clear" w:color="auto" w:fill="C6EFCE"/>
            <w:noWrap/>
          </w:tcPr>
          <w:p w14:paraId="0186354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410" w:type="pct"/>
            <w:shd w:val="clear" w:color="auto" w:fill="C6EFCE"/>
            <w:noWrap/>
          </w:tcPr>
          <w:p w14:paraId="14B71387" w14:textId="77777777" w:rsidR="00CB0FCB" w:rsidRDefault="009D2B11">
            <w:pPr>
              <w:spacing w:after="0" w:line="240" w:lineRule="auto"/>
              <w:rPr>
                <w:rFonts w:eastAsia="Times New Roman" w:cs="Calibri"/>
                <w:noProof/>
                <w:color w:val="006100"/>
                <w:sz w:val="18"/>
                <w:szCs w:val="18"/>
              </w:rPr>
            </w:pPr>
            <w:r>
              <w:rPr>
                <w:noProof/>
                <w:color w:val="006100"/>
                <w:sz w:val="18"/>
              </w:rPr>
              <w:t>Personīgo</w:t>
            </w:r>
            <w:r>
              <w:rPr>
                <w:rFonts w:ascii="Times New Roman" w:hAnsi="Times New Roman"/>
                <w:noProof/>
              </w:rPr>
              <w:t xml:space="preserve"> </w:t>
            </w:r>
            <w:r>
              <w:rPr>
                <w:noProof/>
                <w:color w:val="006100"/>
                <w:sz w:val="18"/>
              </w:rPr>
              <w:t xml:space="preserve">ārstu reforma — iedzīvotāju reģistrācija </w:t>
            </w:r>
          </w:p>
        </w:tc>
        <w:tc>
          <w:tcPr>
            <w:tcW w:w="701" w:type="pct"/>
            <w:shd w:val="clear" w:color="auto" w:fill="C6EFCE"/>
            <w:noWrap/>
          </w:tcPr>
          <w:p w14:paraId="4E74EBFF" w14:textId="77777777" w:rsidR="00CB0FCB" w:rsidRDefault="009D2B11">
            <w:pPr>
              <w:pStyle w:val="P68B1DB1-Normal9"/>
              <w:spacing w:after="0" w:line="240" w:lineRule="auto"/>
              <w:rPr>
                <w:rFonts w:eastAsia="Times New Roman" w:cs="Calibri"/>
                <w:noProof/>
                <w:szCs w:val="18"/>
              </w:rPr>
            </w:pPr>
            <w:r>
              <w:rPr>
                <w:noProof/>
              </w:rPr>
              <w:t>100 % iedzīvotāju reģistrācija un vārtziņu aktivizēšana</w:t>
            </w:r>
          </w:p>
        </w:tc>
        <w:tc>
          <w:tcPr>
            <w:tcW w:w="386" w:type="pct"/>
            <w:shd w:val="clear" w:color="auto" w:fill="C6EFCE"/>
            <w:noWrap/>
          </w:tcPr>
          <w:p w14:paraId="768E85B0"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54ABB69C" w14:textId="77777777" w:rsidR="00CB0FCB" w:rsidRDefault="00CB0FCB">
            <w:pPr>
              <w:spacing w:after="0" w:line="240" w:lineRule="auto"/>
              <w:rPr>
                <w:rFonts w:eastAsia="Times New Roman" w:cs="Calibri"/>
                <w:noProof/>
                <w:color w:val="006100"/>
                <w:sz w:val="18"/>
                <w:szCs w:val="18"/>
              </w:rPr>
            </w:pPr>
          </w:p>
        </w:tc>
        <w:tc>
          <w:tcPr>
            <w:tcW w:w="270" w:type="pct"/>
            <w:shd w:val="clear" w:color="auto" w:fill="C6EFCE"/>
            <w:noWrap/>
          </w:tcPr>
          <w:p w14:paraId="5A895A4F" w14:textId="77777777" w:rsidR="00CB0FCB" w:rsidRDefault="00CB0FCB">
            <w:pPr>
              <w:spacing w:after="0" w:line="240" w:lineRule="auto"/>
              <w:rPr>
                <w:rFonts w:eastAsia="Times New Roman" w:cs="Calibri"/>
                <w:noProof/>
                <w:color w:val="006100"/>
                <w:sz w:val="18"/>
                <w:szCs w:val="18"/>
              </w:rPr>
            </w:pPr>
          </w:p>
        </w:tc>
        <w:tc>
          <w:tcPr>
            <w:tcW w:w="309" w:type="pct"/>
            <w:shd w:val="clear" w:color="auto" w:fill="C6EFCE"/>
            <w:noWrap/>
          </w:tcPr>
          <w:p w14:paraId="625A6828" w14:textId="77777777" w:rsidR="00CB0FCB" w:rsidRDefault="009D2B11">
            <w:pPr>
              <w:pStyle w:val="P68B1DB1-Normal9"/>
              <w:spacing w:after="0" w:line="240" w:lineRule="auto"/>
              <w:rPr>
                <w:rFonts w:eastAsia="Times New Roman" w:cs="Calibri"/>
                <w:noProof/>
                <w:szCs w:val="18"/>
              </w:rPr>
            </w:pPr>
            <w:r>
              <w:rPr>
                <w:noProof/>
              </w:rPr>
              <w:t>2. CET.</w:t>
            </w:r>
          </w:p>
        </w:tc>
        <w:tc>
          <w:tcPr>
            <w:tcW w:w="232" w:type="pct"/>
            <w:shd w:val="clear" w:color="auto" w:fill="C6EFCE"/>
            <w:noWrap/>
          </w:tcPr>
          <w:p w14:paraId="415AB01B" w14:textId="77777777" w:rsidR="00CB0FCB" w:rsidRDefault="009D2B11">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4F22D306" w14:textId="66A2DAF6" w:rsidR="00CB0FCB" w:rsidRDefault="009D2B11">
            <w:pPr>
              <w:spacing w:after="0" w:line="240" w:lineRule="auto"/>
              <w:rPr>
                <w:rFonts w:eastAsia="Times New Roman" w:cs="Calibri"/>
                <w:noProof/>
                <w:color w:val="006100"/>
                <w:sz w:val="18"/>
                <w:szCs w:val="18"/>
              </w:rPr>
            </w:pPr>
            <w:r>
              <w:rPr>
                <w:noProof/>
                <w:color w:val="006100"/>
                <w:sz w:val="18"/>
                <w:szCs w:val="18"/>
              </w:rPr>
              <w:t>Visus tiesīgos pilsoņus reģistrē pie personīgā</w:t>
            </w:r>
            <w:r>
              <w:rPr>
                <w:rFonts w:ascii="Times New Roman" w:hAnsi="Times New Roman"/>
                <w:noProof/>
              </w:rPr>
              <w:t xml:space="preserve"> </w:t>
            </w:r>
            <w:r>
              <w:rPr>
                <w:noProof/>
                <w:color w:val="006100"/>
                <w:sz w:val="18"/>
                <w:szCs w:val="18"/>
              </w:rPr>
              <w:t>ārsta. Vārtziņu sistēmu aktivizē, kā aprakstīts ministrijas lēmumā 64513 (GG B 6974/19–12–2024), saskaņā ar kuru individuālie</w:t>
            </w:r>
            <w:r>
              <w:rPr>
                <w:rFonts w:ascii="Times New Roman" w:hAnsi="Times New Roman"/>
                <w:noProof/>
              </w:rPr>
              <w:t xml:space="preserve"> </w:t>
            </w:r>
            <w:r>
              <w:rPr>
                <w:noProof/>
                <w:color w:val="006100"/>
                <w:sz w:val="18"/>
                <w:szCs w:val="18"/>
              </w:rPr>
              <w:t>ārsti darbojas kā pacienta aprūpes sākotnējais kontaktpunkts un galvenais koordinators un atļauj pacientam piekļuvi specializētai aprūpei valsts sekundārās un terciārās veselības aprūpes struktūrās, izņemot steidzamus gadījumus, kad tiek piemērots piemērojamais pacientu šķirošanas process.</w:t>
            </w:r>
          </w:p>
        </w:tc>
      </w:tr>
    </w:tbl>
    <w:p w14:paraId="41236009" w14:textId="77777777" w:rsidR="00CB0FCB" w:rsidRDefault="009D2B11">
      <w:pPr>
        <w:pStyle w:val="P68B1DB1-Normal6"/>
        <w:keepNext/>
        <w:keepLines/>
        <w:spacing w:before="40" w:after="0" w:line="240" w:lineRule="auto"/>
        <w:jc w:val="both"/>
        <w:outlineLvl w:val="4"/>
        <w:rPr>
          <w:noProof/>
          <w:color w:val="365F91" w:themeColor="accent1" w:themeShade="BF"/>
        </w:rPr>
      </w:pPr>
      <w:r>
        <w:rPr>
          <w:noProof/>
        </w:rPr>
        <w:br/>
      </w:r>
    </w:p>
    <w:p w14:paraId="052820C0" w14:textId="77777777" w:rsidR="00CB0FCB" w:rsidRDefault="009D2B11">
      <w:pPr>
        <w:pStyle w:val="P68B1DB1-Normal6"/>
        <w:keepNext/>
        <w:keepLines/>
        <w:spacing w:before="40" w:after="0" w:line="240" w:lineRule="auto"/>
        <w:jc w:val="both"/>
        <w:outlineLvl w:val="4"/>
        <w:rPr>
          <w:rFonts w:eastAsia="Times New Roman"/>
          <w:noProof/>
          <w:szCs w:val="24"/>
        </w:rPr>
      </w:pPr>
      <w:r>
        <w:rPr>
          <w:noProof/>
        </w:rPr>
        <w:t xml:space="preserve">Grupa:  Infrastruktūras un digitālie pasākumi veselības aprūpes sistēmas modernizēšanai un modernizēšanai </w:t>
      </w:r>
    </w:p>
    <w:p w14:paraId="6F7D134E" w14:textId="77777777" w:rsidR="00CB0FCB" w:rsidRDefault="009D2B11">
      <w:pPr>
        <w:pStyle w:val="P68B1DB1-Normal4"/>
        <w:numPr>
          <w:ilvl w:val="0"/>
          <w:numId w:val="39"/>
        </w:numPr>
        <w:spacing w:before="120" w:after="0" w:line="240" w:lineRule="auto"/>
        <w:jc w:val="both"/>
        <w:rPr>
          <w:rFonts w:cs="Times New Roman"/>
          <w:noProof/>
        </w:rPr>
      </w:pPr>
      <w:r>
        <w:rPr>
          <w:noProof/>
        </w:rPr>
        <w:t>Veselības digitālā pārveide (ID: 16752)</w:t>
      </w:r>
    </w:p>
    <w:p w14:paraId="2C5A81F6" w14:textId="10B7059B" w:rsidR="00CB0FCB" w:rsidRDefault="009D2B11">
      <w:pPr>
        <w:pStyle w:val="P68B1DB1-Normal4"/>
        <w:numPr>
          <w:ilvl w:val="0"/>
          <w:numId w:val="39"/>
        </w:numPr>
        <w:spacing w:before="120" w:after="0" w:line="240" w:lineRule="auto"/>
        <w:jc w:val="both"/>
        <w:rPr>
          <w:rFonts w:cs="Times New Roman"/>
          <w:noProof/>
        </w:rPr>
      </w:pPr>
      <w:r>
        <w:rPr>
          <w:noProof/>
          <w:szCs w:val="24"/>
        </w:rPr>
        <w:t>Veselības infrastruktūra</w:t>
      </w:r>
      <w:r>
        <w:rPr>
          <w:noProof/>
        </w:rPr>
        <w:t xml:space="preserve"> (ID: 16795)</w:t>
      </w:r>
    </w:p>
    <w:p w14:paraId="27388021" w14:textId="77777777" w:rsidR="00CB0FCB" w:rsidRDefault="009D2B11">
      <w:pPr>
        <w:pStyle w:val="P68B1DB1-Normal4"/>
        <w:numPr>
          <w:ilvl w:val="0"/>
          <w:numId w:val="39"/>
        </w:numPr>
        <w:spacing w:before="120" w:after="0" w:line="240" w:lineRule="auto"/>
        <w:jc w:val="both"/>
        <w:rPr>
          <w:rFonts w:cs="Times New Roman"/>
          <w:noProof/>
        </w:rPr>
      </w:pPr>
      <w:r>
        <w:rPr>
          <w:noProof/>
        </w:rPr>
        <w:t>Radioterapijas centra izveide Sotiria Thoracic Diseases Hospital of Athens (ID: 16757)</w:t>
      </w:r>
    </w:p>
    <w:p w14:paraId="3D982996" w14:textId="77777777" w:rsidR="00CB0FCB" w:rsidRDefault="009D2B11">
      <w:pPr>
        <w:pStyle w:val="P68B1DB1-Normal4"/>
        <w:numPr>
          <w:ilvl w:val="0"/>
          <w:numId w:val="39"/>
        </w:numPr>
        <w:spacing w:before="120" w:after="0" w:line="240" w:lineRule="auto"/>
        <w:jc w:val="both"/>
        <w:rPr>
          <w:rFonts w:cs="Times New Roman"/>
          <w:noProof/>
        </w:rPr>
      </w:pPr>
      <w:r>
        <w:rPr>
          <w:noProof/>
        </w:rPr>
        <w:t>Projekts ēkas būvniecībai “Cellular &amp; Generapies Hematology Clinic Laboratories” Saloniku Galvenajā slimnīcā “Papanikolaou” (ID: 16793)</w:t>
      </w:r>
    </w:p>
    <w:p w14:paraId="118030CB" w14:textId="77777777" w:rsidR="00CB0FCB" w:rsidRDefault="009D2B11">
      <w:pPr>
        <w:pStyle w:val="P68B1DB1-Normal4"/>
        <w:numPr>
          <w:ilvl w:val="0"/>
          <w:numId w:val="39"/>
        </w:numPr>
        <w:spacing w:before="120" w:after="120" w:line="240" w:lineRule="auto"/>
        <w:jc w:val="both"/>
        <w:rPr>
          <w:rFonts w:cs="Times New Roman"/>
          <w:noProof/>
        </w:rPr>
      </w:pPr>
      <w:r>
        <w:rPr>
          <w:noProof/>
        </w:rPr>
        <w:t>Mājas veselības aprūpes un slimnīcas izveide mājas veselības aprūpes sistēmās (ID: 16753)</w:t>
      </w:r>
    </w:p>
    <w:tbl>
      <w:tblPr>
        <w:tblW w:w="15893" w:type="dxa"/>
        <w:jc w:val="center"/>
        <w:tblLayout w:type="fixed"/>
        <w:tblLook w:val="04A0" w:firstRow="1" w:lastRow="0" w:firstColumn="1" w:lastColumn="0" w:noHBand="0" w:noVBand="1"/>
      </w:tblPr>
      <w:tblGrid>
        <w:gridCol w:w="1028"/>
        <w:gridCol w:w="1797"/>
        <w:gridCol w:w="1424"/>
        <w:gridCol w:w="1419"/>
        <w:gridCol w:w="1553"/>
        <w:gridCol w:w="866"/>
        <w:gridCol w:w="857"/>
        <w:gridCol w:w="659"/>
        <w:gridCol w:w="850"/>
        <w:gridCol w:w="709"/>
        <w:gridCol w:w="4731"/>
      </w:tblGrid>
      <w:tr w:rsidR="00CB0FCB" w14:paraId="425F7D23" w14:textId="77777777">
        <w:trPr>
          <w:trHeight w:val="853"/>
          <w:tblHeader/>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DC924A"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E52A14"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8C0B39"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9747E5"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AE1340"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3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9257024"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3C4BF284"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7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A378D6"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67D25494" w14:textId="77777777">
        <w:trPr>
          <w:trHeight w:val="626"/>
          <w:tblHeade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14:paraId="645087EC" w14:textId="77777777" w:rsidR="00CB0FCB" w:rsidRDefault="00CB0FCB">
            <w:pPr>
              <w:spacing w:after="0" w:line="240" w:lineRule="auto"/>
              <w:rPr>
                <w:rFonts w:ascii="Times New Roman" w:eastAsia="Times New Roman" w:hAnsi="Times New Roman" w:cs="Times New Roman"/>
                <w:b/>
                <w:bCs/>
                <w:noProof/>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007B4B45" w14:textId="77777777" w:rsidR="00CB0FCB" w:rsidRDefault="00CB0FCB">
            <w:pPr>
              <w:spacing w:after="0" w:line="240" w:lineRule="auto"/>
              <w:rPr>
                <w:rFonts w:ascii="Times New Roman" w:eastAsia="Times New Roman" w:hAnsi="Times New Roman" w:cs="Times New Roman"/>
                <w:b/>
                <w:bCs/>
                <w:noProof/>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15034413" w14:textId="77777777" w:rsidR="00CB0FCB" w:rsidRDefault="00CB0FCB">
            <w:pPr>
              <w:spacing w:after="0" w:line="240" w:lineRule="auto"/>
              <w:rPr>
                <w:rFonts w:ascii="Times New Roman" w:eastAsia="Times New Roman" w:hAnsi="Times New Roman" w:cs="Times New Roman"/>
                <w:b/>
                <w:bCs/>
                <w:noProof/>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57549C" w14:textId="77777777" w:rsidR="00CB0FCB" w:rsidRDefault="00CB0FCB">
            <w:pPr>
              <w:spacing w:after="0" w:line="240" w:lineRule="auto"/>
              <w:rPr>
                <w:rFonts w:ascii="Times New Roman" w:eastAsia="Times New Roman" w:hAnsi="Times New Roman" w:cs="Times New Roman"/>
                <w:b/>
                <w:bCs/>
                <w:noProof/>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655C37E" w14:textId="77777777" w:rsidR="00CB0FCB" w:rsidRDefault="00CB0FCB">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339A0A1"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nil"/>
              <w:left w:val="nil"/>
              <w:bottom w:val="single" w:sz="4" w:space="0" w:color="auto"/>
              <w:right w:val="single" w:sz="4" w:space="0" w:color="auto"/>
            </w:tcBorders>
            <w:shd w:val="clear" w:color="auto" w:fill="BDD7EE"/>
            <w:vAlign w:val="center"/>
            <w:hideMark/>
          </w:tcPr>
          <w:p w14:paraId="54D3EA86"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659" w:type="dxa"/>
            <w:tcBorders>
              <w:top w:val="nil"/>
              <w:left w:val="nil"/>
              <w:bottom w:val="single" w:sz="4" w:space="0" w:color="auto"/>
              <w:right w:val="single" w:sz="4" w:space="0" w:color="auto"/>
            </w:tcBorders>
            <w:shd w:val="clear" w:color="auto" w:fill="BDD7EE"/>
            <w:vAlign w:val="center"/>
            <w:hideMark/>
          </w:tcPr>
          <w:p w14:paraId="60D8ECB3"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50" w:type="dxa"/>
            <w:tcBorders>
              <w:top w:val="nil"/>
              <w:left w:val="nil"/>
              <w:bottom w:val="single" w:sz="4" w:space="0" w:color="auto"/>
              <w:right w:val="single" w:sz="4" w:space="0" w:color="auto"/>
            </w:tcBorders>
            <w:shd w:val="clear" w:color="auto" w:fill="BDD7EE"/>
            <w:vAlign w:val="center"/>
            <w:hideMark/>
          </w:tcPr>
          <w:p w14:paraId="7CFD6D95"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9" w:type="dxa"/>
            <w:tcBorders>
              <w:top w:val="nil"/>
              <w:left w:val="nil"/>
              <w:bottom w:val="single" w:sz="4" w:space="0" w:color="auto"/>
              <w:right w:val="single" w:sz="4" w:space="0" w:color="auto"/>
            </w:tcBorders>
            <w:shd w:val="clear" w:color="auto" w:fill="BDD7EE"/>
            <w:vAlign w:val="center"/>
            <w:hideMark/>
          </w:tcPr>
          <w:p w14:paraId="2161F62D"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731" w:type="dxa"/>
            <w:vMerge/>
            <w:tcBorders>
              <w:top w:val="single" w:sz="4" w:space="0" w:color="auto"/>
              <w:bottom w:val="single" w:sz="4" w:space="0" w:color="auto"/>
              <w:right w:val="single" w:sz="4" w:space="0" w:color="auto"/>
            </w:tcBorders>
            <w:vAlign w:val="center"/>
            <w:hideMark/>
          </w:tcPr>
          <w:p w14:paraId="462DD85D"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C0F9D7B" w14:textId="77777777">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0B03A815" w14:textId="77777777" w:rsidR="00CB0FCB" w:rsidRDefault="009D2B11">
            <w:pPr>
              <w:pStyle w:val="P68B1DB1-Normal9"/>
              <w:spacing w:after="0" w:line="240" w:lineRule="auto"/>
              <w:rPr>
                <w:rFonts w:eastAsia="Times New Roman" w:cs="Calibri"/>
                <w:noProof/>
                <w:szCs w:val="18"/>
              </w:rPr>
            </w:pPr>
            <w:r>
              <w:rPr>
                <w:noProof/>
              </w:rPr>
              <w:t>167</w:t>
            </w:r>
          </w:p>
          <w:p w14:paraId="2653D9D7" w14:textId="77777777" w:rsidR="00CB0FCB" w:rsidRDefault="00CB0FCB">
            <w:pPr>
              <w:spacing w:after="0" w:line="240" w:lineRule="auto"/>
              <w:rPr>
                <w:rFonts w:eastAsia="Times New Roman" w:cs="Calibri"/>
                <w:noProof/>
                <w:color w:val="006100"/>
                <w:sz w:val="18"/>
                <w:szCs w:val="18"/>
              </w:rPr>
            </w:pPr>
          </w:p>
        </w:tc>
        <w:tc>
          <w:tcPr>
            <w:tcW w:w="1797" w:type="dxa"/>
            <w:tcBorders>
              <w:top w:val="single" w:sz="4" w:space="0" w:color="auto"/>
              <w:left w:val="nil"/>
              <w:bottom w:val="single" w:sz="4" w:space="0" w:color="auto"/>
              <w:right w:val="single" w:sz="4" w:space="0" w:color="auto"/>
            </w:tcBorders>
            <w:shd w:val="clear" w:color="auto" w:fill="C6EFCE"/>
            <w:noWrap/>
          </w:tcPr>
          <w:p w14:paraId="79D8C706"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16752_Veselības digitālā pārveide (DigHealth)</w:t>
            </w:r>
          </w:p>
        </w:tc>
        <w:tc>
          <w:tcPr>
            <w:tcW w:w="1424" w:type="dxa"/>
            <w:tcBorders>
              <w:top w:val="single" w:sz="4" w:space="0" w:color="auto"/>
              <w:left w:val="nil"/>
              <w:bottom w:val="single" w:sz="4" w:space="0" w:color="auto"/>
              <w:right w:val="single" w:sz="4" w:space="0" w:color="auto"/>
            </w:tcBorders>
            <w:shd w:val="clear" w:color="auto" w:fill="C6EFCE"/>
            <w:noWrap/>
          </w:tcPr>
          <w:p w14:paraId="0C581AA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9" w:type="dxa"/>
            <w:tcBorders>
              <w:top w:val="single" w:sz="4" w:space="0" w:color="auto"/>
              <w:left w:val="nil"/>
              <w:bottom w:val="single" w:sz="4" w:space="0" w:color="auto"/>
              <w:right w:val="single" w:sz="4" w:space="0" w:color="auto"/>
            </w:tcBorders>
            <w:shd w:val="clear" w:color="auto" w:fill="C6EFCE"/>
            <w:noWrap/>
          </w:tcPr>
          <w:p w14:paraId="2B045576" w14:textId="77777777" w:rsidR="00CB0FCB" w:rsidRDefault="009D2B11">
            <w:pPr>
              <w:pStyle w:val="P68B1DB1-Normal9"/>
              <w:spacing w:after="0" w:line="240" w:lineRule="auto"/>
              <w:rPr>
                <w:rFonts w:eastAsia="Times New Roman" w:cs="Calibri"/>
                <w:noProof/>
                <w:szCs w:val="18"/>
              </w:rPr>
            </w:pPr>
            <w:r>
              <w:rPr>
                <w:noProof/>
              </w:rPr>
              <w:t>Veselības aprūpes digitālā pārveide — Valsts digitālā veselības karte (1. apakšprojekts)</w:t>
            </w:r>
          </w:p>
        </w:tc>
        <w:tc>
          <w:tcPr>
            <w:tcW w:w="1553" w:type="dxa"/>
            <w:tcBorders>
              <w:top w:val="single" w:sz="4" w:space="0" w:color="auto"/>
              <w:left w:val="nil"/>
              <w:bottom w:val="single" w:sz="4" w:space="0" w:color="auto"/>
              <w:right w:val="single" w:sz="4" w:space="0" w:color="auto"/>
            </w:tcBorders>
            <w:shd w:val="clear" w:color="auto" w:fill="C6EFCE"/>
            <w:noWrap/>
          </w:tcPr>
          <w:p w14:paraId="604F57F2" w14:textId="77777777" w:rsidR="00CB0FCB" w:rsidRDefault="009D2B11">
            <w:pPr>
              <w:pStyle w:val="P68B1DB1-Normal9"/>
              <w:spacing w:after="0" w:line="240" w:lineRule="auto"/>
              <w:rPr>
                <w:rFonts w:eastAsia="Times New Roman" w:cs="Calibri"/>
                <w:noProof/>
                <w:szCs w:val="18"/>
              </w:rPr>
            </w:pPr>
            <w:r>
              <w:rPr>
                <w:noProof/>
              </w:rPr>
              <w:t>Ziņojums, kas apliecina visu 1. apakšprojekta (Digitālā veselības karte — sk. aprakstu) visu galveno elementu pabeigšanu</w:t>
            </w:r>
          </w:p>
        </w:tc>
        <w:tc>
          <w:tcPr>
            <w:tcW w:w="866" w:type="dxa"/>
            <w:tcBorders>
              <w:top w:val="single" w:sz="4" w:space="0" w:color="auto"/>
              <w:left w:val="nil"/>
              <w:bottom w:val="single" w:sz="4" w:space="0" w:color="auto"/>
              <w:right w:val="single" w:sz="4" w:space="0" w:color="auto"/>
            </w:tcBorders>
            <w:shd w:val="clear" w:color="auto" w:fill="C6EFCE"/>
            <w:noWrap/>
          </w:tcPr>
          <w:p w14:paraId="5EEDD513"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51424E6" w14:textId="77777777" w:rsidR="00CB0FCB" w:rsidRDefault="00CB0FCB">
            <w:pPr>
              <w:spacing w:after="0" w:line="240" w:lineRule="auto"/>
              <w:rPr>
                <w:rFonts w:eastAsia="Times New Roman" w:cs="Calibri"/>
                <w:noProof/>
                <w:color w:val="006100"/>
                <w:sz w:val="18"/>
                <w:szCs w:val="18"/>
              </w:rPr>
            </w:pPr>
          </w:p>
        </w:tc>
        <w:tc>
          <w:tcPr>
            <w:tcW w:w="659" w:type="dxa"/>
            <w:tcBorders>
              <w:top w:val="nil"/>
              <w:left w:val="nil"/>
              <w:bottom w:val="single" w:sz="4" w:space="0" w:color="auto"/>
              <w:right w:val="single" w:sz="4" w:space="0" w:color="auto"/>
            </w:tcBorders>
            <w:shd w:val="clear" w:color="auto" w:fill="C6EFCE"/>
            <w:noWrap/>
          </w:tcPr>
          <w:p w14:paraId="50D87414"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1AEA0C05" w14:textId="77777777" w:rsidR="00CB0FCB" w:rsidRDefault="009D2B11">
            <w:pPr>
              <w:pStyle w:val="P68B1DB1-Normal9"/>
              <w:spacing w:after="0" w:line="240" w:lineRule="auto"/>
              <w:rPr>
                <w:rFonts w:eastAsia="Times New Roman" w:cs="Calibri"/>
                <w:noProof/>
                <w:szCs w:val="18"/>
              </w:rPr>
            </w:pPr>
            <w:r>
              <w:rPr>
                <w:noProof/>
              </w:rPr>
              <w:t>2. CET.</w:t>
            </w:r>
          </w:p>
        </w:tc>
        <w:tc>
          <w:tcPr>
            <w:tcW w:w="709" w:type="dxa"/>
            <w:tcBorders>
              <w:top w:val="nil"/>
              <w:left w:val="nil"/>
              <w:bottom w:val="single" w:sz="4" w:space="0" w:color="auto"/>
              <w:right w:val="single" w:sz="4" w:space="0" w:color="auto"/>
            </w:tcBorders>
            <w:shd w:val="clear" w:color="auto" w:fill="C6EFCE"/>
            <w:noWrap/>
          </w:tcPr>
          <w:p w14:paraId="1FDBCCBF" w14:textId="77777777" w:rsidR="00CB0FCB" w:rsidRDefault="009D2B11">
            <w:pPr>
              <w:pStyle w:val="P68B1DB1-Normal9"/>
              <w:spacing w:after="0" w:line="240" w:lineRule="auto"/>
              <w:rPr>
                <w:rFonts w:eastAsia="Times New Roman" w:cs="Calibri"/>
                <w:noProof/>
                <w:szCs w:val="18"/>
              </w:rPr>
            </w:pPr>
            <w:r>
              <w:rPr>
                <w:noProof/>
              </w:rPr>
              <w:t>2024</w:t>
            </w:r>
          </w:p>
        </w:tc>
        <w:tc>
          <w:tcPr>
            <w:tcW w:w="4731" w:type="dxa"/>
            <w:tcBorders>
              <w:top w:val="single" w:sz="4" w:space="0" w:color="auto"/>
              <w:left w:val="nil"/>
              <w:bottom w:val="single" w:sz="4" w:space="0" w:color="auto"/>
              <w:right w:val="single" w:sz="4" w:space="0" w:color="auto"/>
            </w:tcBorders>
            <w:shd w:val="clear" w:color="auto" w:fill="C6EFCE"/>
            <w:noWrap/>
          </w:tcPr>
          <w:p w14:paraId="4E4A8651" w14:textId="66BBDED1" w:rsidR="00CB0FCB" w:rsidRDefault="009D2B11">
            <w:pPr>
              <w:pStyle w:val="P68B1DB1-Normal10"/>
              <w:spacing w:after="0" w:line="240" w:lineRule="auto"/>
              <w:rPr>
                <w:rFonts w:eastAsia="Times New Roman" w:cs="Calibri"/>
                <w:noProof/>
              </w:rPr>
            </w:pPr>
            <w:r>
              <w:rPr>
                <w:rFonts w:asciiTheme="minorHAnsi" w:eastAsiaTheme="minorEastAsia" w:hAnsiTheme="minorHAnsi" w:cstheme="minorBidi"/>
                <w:noProof/>
              </w:rPr>
              <w:t xml:space="preserve">Pabeigt un nodot ekspluatācijā </w:t>
            </w:r>
            <w:r>
              <w:rPr>
                <w:noProof/>
              </w:rPr>
              <w:t>vismaz visus turpmāk minētos 1. apakšprojekta elementus, kas atbalsta veselības aprūpes sistēmas digitālo pārveidi, nodrošinot valsts digitālās veselības kartes darbību: Klīniskie dokumenti, 2) terminoloģijas pakalpojumi, 3) valsts e-veselības sadarbspējas satvars, 4) visu laboratorijas rezultātu apkopošana e-veselības reģistrā, 5) izpildes vēstuļu vākšana.</w:t>
            </w:r>
          </w:p>
        </w:tc>
      </w:tr>
      <w:tr w:rsidR="00CB0FCB" w14:paraId="7FD0DEB5" w14:textId="77777777">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1E19392C" w14:textId="77777777" w:rsidR="00CB0FCB" w:rsidRDefault="009D2B11">
            <w:pPr>
              <w:pStyle w:val="P68B1DB1-Normal9"/>
              <w:spacing w:after="0" w:line="240" w:lineRule="auto"/>
              <w:rPr>
                <w:rFonts w:eastAsia="Times New Roman" w:cs="Calibri"/>
                <w:noProof/>
                <w:szCs w:val="18"/>
              </w:rPr>
            </w:pPr>
            <w:r>
              <w:rPr>
                <w:noProof/>
              </w:rPr>
              <w:t>168</w:t>
            </w:r>
          </w:p>
        </w:tc>
        <w:tc>
          <w:tcPr>
            <w:tcW w:w="1797" w:type="dxa"/>
            <w:tcBorders>
              <w:top w:val="nil"/>
              <w:left w:val="nil"/>
              <w:bottom w:val="single" w:sz="4" w:space="0" w:color="auto"/>
              <w:right w:val="single" w:sz="4" w:space="0" w:color="auto"/>
            </w:tcBorders>
            <w:shd w:val="clear" w:color="auto" w:fill="C6EFCE"/>
            <w:noWrap/>
          </w:tcPr>
          <w:p w14:paraId="48B31D62"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16752_Veselības digitālā pārveide (DigHealth)</w:t>
            </w:r>
          </w:p>
        </w:tc>
        <w:tc>
          <w:tcPr>
            <w:tcW w:w="1424" w:type="dxa"/>
            <w:tcBorders>
              <w:top w:val="nil"/>
              <w:left w:val="nil"/>
              <w:bottom w:val="single" w:sz="4" w:space="0" w:color="auto"/>
              <w:right w:val="single" w:sz="4" w:space="0" w:color="auto"/>
            </w:tcBorders>
            <w:shd w:val="clear" w:color="auto" w:fill="C6EFCE"/>
            <w:noWrap/>
          </w:tcPr>
          <w:p w14:paraId="1A7B0E9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9" w:type="dxa"/>
            <w:tcBorders>
              <w:top w:val="nil"/>
              <w:left w:val="nil"/>
              <w:bottom w:val="single" w:sz="4" w:space="0" w:color="auto"/>
              <w:right w:val="single" w:sz="4" w:space="0" w:color="auto"/>
            </w:tcBorders>
            <w:shd w:val="clear" w:color="auto" w:fill="C6EFCE"/>
            <w:noWrap/>
          </w:tcPr>
          <w:p w14:paraId="7DECB151" w14:textId="505FD49D" w:rsidR="00CB0FCB" w:rsidRDefault="009D2B11">
            <w:pPr>
              <w:spacing w:after="0" w:line="240" w:lineRule="auto"/>
              <w:rPr>
                <w:rFonts w:cs="Calibri"/>
                <w:noProof/>
                <w:sz w:val="18"/>
                <w:szCs w:val="18"/>
              </w:rPr>
            </w:pPr>
            <w:r>
              <w:rPr>
                <w:noProof/>
                <w:color w:val="006100"/>
                <w:sz w:val="18"/>
                <w:szCs w:val="18"/>
              </w:rPr>
              <w:t>Digitālā pārveide</w:t>
            </w:r>
            <w:r>
              <w:rPr>
                <w:rFonts w:cs="Calibri"/>
                <w:noProof/>
                <w:sz w:val="20"/>
                <w:szCs w:val="20"/>
              </w:rPr>
              <w:t xml:space="preserve"> </w:t>
            </w:r>
            <w:r>
              <w:rPr>
                <w:rFonts w:asciiTheme="minorHAnsi" w:eastAsiaTheme="minorEastAsia" w:hAnsiTheme="minorHAnsi" w:cstheme="minorBidi"/>
                <w:noProof/>
                <w:color w:val="006100"/>
                <w:sz w:val="18"/>
                <w:szCs w:val="18"/>
              </w:rPr>
              <w:t>— ir ieviesti pakalpojumi iecelšanas paplašināšanai, elektroniskās recepšu sistēmas infrastruktūras modernizācijai un IDIKA SA informācijas sistēmu darbības pakalpojumiem</w:t>
            </w:r>
          </w:p>
        </w:tc>
        <w:tc>
          <w:tcPr>
            <w:tcW w:w="1553" w:type="dxa"/>
            <w:tcBorders>
              <w:top w:val="nil"/>
              <w:left w:val="nil"/>
              <w:bottom w:val="single" w:sz="4" w:space="0" w:color="auto"/>
              <w:right w:val="single" w:sz="4" w:space="0" w:color="auto"/>
            </w:tcBorders>
            <w:shd w:val="clear" w:color="auto" w:fill="C6EFCE"/>
            <w:noWrap/>
          </w:tcPr>
          <w:p w14:paraId="7C5B5C2B" w14:textId="55CD5C22" w:rsidR="00CB0FCB" w:rsidRDefault="009D2B11">
            <w:pPr>
              <w:pStyle w:val="P68B1DB1-Normal10"/>
              <w:spacing w:after="0" w:line="240" w:lineRule="auto"/>
              <w:rPr>
                <w:rFonts w:eastAsia="Times New Roman" w:cs="Calibri"/>
                <w:noProof/>
              </w:rPr>
            </w:pPr>
            <w:r>
              <w:rPr>
                <w:noProof/>
              </w:rPr>
              <w:t>Apliecinājums par aizpildīšanu, kas izsniegts saskaņā ar valsts tiesību aktiem</w:t>
            </w:r>
          </w:p>
        </w:tc>
        <w:tc>
          <w:tcPr>
            <w:tcW w:w="866" w:type="dxa"/>
            <w:tcBorders>
              <w:top w:val="nil"/>
              <w:left w:val="nil"/>
              <w:bottom w:val="single" w:sz="4" w:space="0" w:color="auto"/>
              <w:right w:val="single" w:sz="4" w:space="0" w:color="auto"/>
            </w:tcBorders>
            <w:shd w:val="clear" w:color="auto" w:fill="C6EFCE"/>
            <w:noWrap/>
          </w:tcPr>
          <w:p w14:paraId="57EBE59D"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FD4ABF4" w14:textId="77777777" w:rsidR="00CB0FCB" w:rsidRDefault="00CB0FCB">
            <w:pPr>
              <w:spacing w:after="0" w:line="240" w:lineRule="auto"/>
              <w:rPr>
                <w:rFonts w:eastAsia="Times New Roman" w:cs="Calibri"/>
                <w:noProof/>
                <w:color w:val="006100"/>
                <w:sz w:val="18"/>
                <w:szCs w:val="18"/>
              </w:rPr>
            </w:pPr>
          </w:p>
        </w:tc>
        <w:tc>
          <w:tcPr>
            <w:tcW w:w="659" w:type="dxa"/>
            <w:tcBorders>
              <w:top w:val="nil"/>
              <w:left w:val="nil"/>
              <w:bottom w:val="single" w:sz="4" w:space="0" w:color="auto"/>
              <w:right w:val="single" w:sz="4" w:space="0" w:color="auto"/>
            </w:tcBorders>
            <w:shd w:val="clear" w:color="auto" w:fill="C6EFCE"/>
            <w:noWrap/>
          </w:tcPr>
          <w:p w14:paraId="6CD5630A"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514567B3" w14:textId="77777777" w:rsidR="00CB0FCB" w:rsidRDefault="009D2B11">
            <w:pPr>
              <w:pStyle w:val="P68B1DB1-Normal9"/>
              <w:spacing w:after="0" w:line="240" w:lineRule="auto"/>
              <w:rPr>
                <w:rFonts w:eastAsia="Times New Roman" w:cs="Calibri"/>
                <w:noProof/>
                <w:szCs w:val="18"/>
              </w:rPr>
            </w:pPr>
            <w:r>
              <w:rPr>
                <w:noProof/>
              </w:rPr>
              <w:t>2. CET.</w:t>
            </w:r>
          </w:p>
        </w:tc>
        <w:tc>
          <w:tcPr>
            <w:tcW w:w="709" w:type="dxa"/>
            <w:tcBorders>
              <w:top w:val="nil"/>
              <w:left w:val="nil"/>
              <w:bottom w:val="single" w:sz="4" w:space="0" w:color="auto"/>
              <w:right w:val="single" w:sz="4" w:space="0" w:color="auto"/>
            </w:tcBorders>
            <w:shd w:val="clear" w:color="auto" w:fill="C6EFCE"/>
            <w:noWrap/>
          </w:tcPr>
          <w:p w14:paraId="6EA81B9C" w14:textId="77777777" w:rsidR="00CB0FCB" w:rsidRDefault="009D2B11">
            <w:pPr>
              <w:pStyle w:val="P68B1DB1-Normal9"/>
              <w:spacing w:after="0" w:line="240" w:lineRule="auto"/>
              <w:rPr>
                <w:rFonts w:eastAsia="Times New Roman" w:cs="Calibri"/>
                <w:noProof/>
                <w:szCs w:val="18"/>
              </w:rPr>
            </w:pPr>
            <w:r>
              <w:rPr>
                <w:noProof/>
              </w:rPr>
              <w:t>2025</w:t>
            </w:r>
          </w:p>
        </w:tc>
        <w:tc>
          <w:tcPr>
            <w:tcW w:w="4731" w:type="dxa"/>
            <w:tcBorders>
              <w:top w:val="nil"/>
              <w:left w:val="nil"/>
              <w:bottom w:val="single" w:sz="4" w:space="0" w:color="auto"/>
              <w:right w:val="single" w:sz="4" w:space="0" w:color="auto"/>
            </w:tcBorders>
            <w:shd w:val="clear" w:color="auto" w:fill="C6EFCE"/>
            <w:noWrap/>
          </w:tcPr>
          <w:p w14:paraId="004F4450" w14:textId="4F864A41" w:rsidR="00CB0FCB" w:rsidRDefault="00CB0FCB">
            <w:pPr>
              <w:spacing w:after="0" w:line="240" w:lineRule="auto"/>
              <w:rPr>
                <w:noProof/>
                <w:color w:val="006100"/>
                <w:sz w:val="18"/>
                <w:szCs w:val="18"/>
              </w:rPr>
            </w:pPr>
          </w:p>
          <w:p w14:paraId="43C1AF0C" w14:textId="6A2B8227" w:rsidR="00CB0FCB" w:rsidRDefault="009D2B11">
            <w:pPr>
              <w:pStyle w:val="P68B1DB1-Normal10"/>
              <w:spacing w:after="0" w:line="240" w:lineRule="auto"/>
              <w:rPr>
                <w:rFonts w:asciiTheme="minorHAnsi" w:eastAsiaTheme="minorEastAsia" w:hAnsiTheme="minorHAnsi" w:cstheme="minorBidi"/>
                <w:noProof/>
              </w:rPr>
            </w:pPr>
            <w:r>
              <w:rPr>
                <w:noProof/>
              </w:rPr>
              <w:t xml:space="preserve">Jāaizpilda šādi dokumenti: </w:t>
            </w:r>
          </w:p>
          <w:p w14:paraId="5FD58A17" w14:textId="6112BBE2" w:rsidR="00CB0FCB" w:rsidRDefault="009D2B11">
            <w:pPr>
              <w:pStyle w:val="P68B1DB1-Normal30"/>
              <w:spacing w:after="0" w:line="240" w:lineRule="auto"/>
              <w:rPr>
                <w:noProof/>
              </w:rPr>
            </w:pPr>
            <w:r>
              <w:rPr>
                <w:noProof/>
              </w:rPr>
              <w:t>1. Pakalpojumi iecelšanas un pārvaldības sistēmas paplašināšanai Valsts vakcinācijas programmas pret Covid-19 ietvaros</w:t>
            </w:r>
          </w:p>
          <w:p w14:paraId="24CD87C2" w14:textId="3705F1B8" w:rsidR="00CB0FCB" w:rsidRDefault="009D2B11">
            <w:pPr>
              <w:pStyle w:val="P68B1DB1-Normal30"/>
              <w:spacing w:after="0" w:line="240" w:lineRule="auto"/>
              <w:rPr>
                <w:noProof/>
              </w:rPr>
            </w:pPr>
            <w:r>
              <w:rPr>
                <w:noProof/>
              </w:rPr>
              <w:t xml:space="preserve">2. Elektroniskās recepšu sistēmas infrastruktūras modernizācija </w:t>
            </w:r>
          </w:p>
          <w:p w14:paraId="28956B9D" w14:textId="486B0790" w:rsidR="00CB0FCB" w:rsidRDefault="009D2B11">
            <w:pPr>
              <w:pStyle w:val="P68B1DB1-Normal30"/>
              <w:spacing w:after="0" w:line="240" w:lineRule="auto"/>
              <w:rPr>
                <w:noProof/>
              </w:rPr>
            </w:pPr>
            <w:r>
              <w:rPr>
                <w:noProof/>
              </w:rPr>
              <w:t>3. IDIKA SA informācijas sistēmu izstrādes un ražošanas pakalpojumi</w:t>
            </w:r>
          </w:p>
          <w:p w14:paraId="42382ADB" w14:textId="75F9AB8D" w:rsidR="00CB0FCB" w:rsidRDefault="00CB0FCB">
            <w:pPr>
              <w:spacing w:after="0" w:line="240" w:lineRule="auto"/>
              <w:rPr>
                <w:noProof/>
                <w:color w:val="006100"/>
                <w:sz w:val="18"/>
                <w:szCs w:val="18"/>
              </w:rPr>
            </w:pPr>
          </w:p>
        </w:tc>
      </w:tr>
      <w:tr w:rsidR="00CB0FCB" w14:paraId="5026A36E" w14:textId="77777777">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0AFCCD14" w14:textId="77777777" w:rsidR="00CB0FCB" w:rsidRDefault="009D2B11">
            <w:pPr>
              <w:pStyle w:val="P68B1DB1-Normal9"/>
              <w:spacing w:after="0" w:line="240" w:lineRule="auto"/>
              <w:rPr>
                <w:rFonts w:eastAsia="Times New Roman" w:cs="Calibri"/>
                <w:noProof/>
                <w:szCs w:val="18"/>
              </w:rPr>
            </w:pPr>
            <w:r>
              <w:rPr>
                <w:noProof/>
              </w:rPr>
              <w:t>169</w:t>
            </w:r>
          </w:p>
        </w:tc>
        <w:tc>
          <w:tcPr>
            <w:tcW w:w="1797" w:type="dxa"/>
            <w:tcBorders>
              <w:top w:val="nil"/>
              <w:left w:val="nil"/>
              <w:bottom w:val="single" w:sz="4" w:space="0" w:color="auto"/>
              <w:right w:val="single" w:sz="4" w:space="0" w:color="auto"/>
            </w:tcBorders>
            <w:shd w:val="clear" w:color="auto" w:fill="C6EFCE"/>
            <w:noWrap/>
          </w:tcPr>
          <w:p w14:paraId="1F542D8B"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16753_Mājas veselības aprūpes un slimnīcas izveide mājās</w:t>
            </w:r>
          </w:p>
        </w:tc>
        <w:tc>
          <w:tcPr>
            <w:tcW w:w="1424" w:type="dxa"/>
            <w:tcBorders>
              <w:top w:val="nil"/>
              <w:left w:val="nil"/>
              <w:bottom w:val="single" w:sz="4" w:space="0" w:color="auto"/>
              <w:right w:val="single" w:sz="4" w:space="0" w:color="auto"/>
            </w:tcBorders>
            <w:shd w:val="clear" w:color="auto" w:fill="C6EFCE"/>
            <w:noWrap/>
          </w:tcPr>
          <w:p w14:paraId="7B63E69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9" w:type="dxa"/>
            <w:tcBorders>
              <w:top w:val="nil"/>
              <w:left w:val="nil"/>
              <w:bottom w:val="single" w:sz="4" w:space="0" w:color="auto"/>
              <w:right w:val="single" w:sz="4" w:space="0" w:color="auto"/>
            </w:tcBorders>
            <w:shd w:val="clear" w:color="auto" w:fill="C6EFCE"/>
            <w:noWrap/>
          </w:tcPr>
          <w:p w14:paraId="4292186E" w14:textId="77777777" w:rsidR="00CB0FCB" w:rsidRDefault="009D2B11">
            <w:pPr>
              <w:pStyle w:val="P68B1DB1-Normal9"/>
              <w:spacing w:after="0" w:line="240" w:lineRule="auto"/>
              <w:rPr>
                <w:rFonts w:eastAsia="Times New Roman" w:cs="Calibri"/>
                <w:noProof/>
                <w:szCs w:val="18"/>
              </w:rPr>
            </w:pPr>
            <w:r>
              <w:rPr>
                <w:noProof/>
              </w:rPr>
              <w:t>Aprūpe mājās — vienību atvēršana</w:t>
            </w:r>
          </w:p>
        </w:tc>
        <w:tc>
          <w:tcPr>
            <w:tcW w:w="1553" w:type="dxa"/>
            <w:tcBorders>
              <w:top w:val="nil"/>
              <w:left w:val="nil"/>
              <w:bottom w:val="single" w:sz="4" w:space="0" w:color="auto"/>
              <w:right w:val="single" w:sz="4" w:space="0" w:color="auto"/>
            </w:tcBorders>
            <w:shd w:val="clear" w:color="auto" w:fill="C6EFCE"/>
            <w:noWrap/>
          </w:tcPr>
          <w:p w14:paraId="79C00B40" w14:textId="77777777" w:rsidR="00CB0FCB" w:rsidRDefault="009D2B11">
            <w:pPr>
              <w:pStyle w:val="P68B1DB1-Normal9"/>
              <w:spacing w:after="0" w:line="240" w:lineRule="auto"/>
              <w:rPr>
                <w:rFonts w:eastAsia="Times New Roman" w:cs="Calibri"/>
                <w:noProof/>
                <w:szCs w:val="18"/>
              </w:rPr>
            </w:pPr>
            <w:r>
              <w:rPr>
                <w:noProof/>
              </w:rPr>
              <w:t>Ziņojumi, kas apliecina to 8 operatīvo vienību atvēršanu, kuras sniedz aprūpi mājās, un visu attiecīgo apakšprojektu pabeigšanu</w:t>
            </w:r>
          </w:p>
        </w:tc>
        <w:tc>
          <w:tcPr>
            <w:tcW w:w="866" w:type="dxa"/>
            <w:tcBorders>
              <w:top w:val="nil"/>
              <w:left w:val="nil"/>
              <w:bottom w:val="single" w:sz="4" w:space="0" w:color="auto"/>
              <w:right w:val="single" w:sz="4" w:space="0" w:color="auto"/>
            </w:tcBorders>
            <w:shd w:val="clear" w:color="auto" w:fill="C6EFCE"/>
            <w:noWrap/>
          </w:tcPr>
          <w:p w14:paraId="577C878A"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F68AB8C" w14:textId="77777777" w:rsidR="00CB0FCB" w:rsidRDefault="00CB0FCB">
            <w:pPr>
              <w:spacing w:after="0" w:line="240" w:lineRule="auto"/>
              <w:rPr>
                <w:rFonts w:eastAsia="Times New Roman" w:cs="Calibri"/>
                <w:noProof/>
                <w:color w:val="006100"/>
                <w:sz w:val="18"/>
                <w:szCs w:val="18"/>
              </w:rPr>
            </w:pPr>
          </w:p>
        </w:tc>
        <w:tc>
          <w:tcPr>
            <w:tcW w:w="659" w:type="dxa"/>
            <w:tcBorders>
              <w:top w:val="nil"/>
              <w:left w:val="nil"/>
              <w:bottom w:val="single" w:sz="4" w:space="0" w:color="auto"/>
              <w:right w:val="single" w:sz="4" w:space="0" w:color="auto"/>
            </w:tcBorders>
            <w:shd w:val="clear" w:color="auto" w:fill="C6EFCE"/>
            <w:noWrap/>
          </w:tcPr>
          <w:p w14:paraId="4D8A01B6"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42707384" w14:textId="77777777" w:rsidR="00CB0FCB" w:rsidRDefault="009D2B11">
            <w:pPr>
              <w:pStyle w:val="P68B1DB1-Normal9"/>
              <w:spacing w:after="0" w:line="240" w:lineRule="auto"/>
              <w:rPr>
                <w:rFonts w:eastAsia="Times New Roman" w:cs="Calibri"/>
                <w:noProof/>
                <w:szCs w:val="18"/>
              </w:rPr>
            </w:pPr>
            <w:r>
              <w:rPr>
                <w:noProof/>
              </w:rPr>
              <w:t>2. CET.</w:t>
            </w:r>
          </w:p>
        </w:tc>
        <w:tc>
          <w:tcPr>
            <w:tcW w:w="709" w:type="dxa"/>
            <w:tcBorders>
              <w:top w:val="nil"/>
              <w:left w:val="nil"/>
              <w:bottom w:val="single" w:sz="4" w:space="0" w:color="auto"/>
              <w:right w:val="single" w:sz="4" w:space="0" w:color="auto"/>
            </w:tcBorders>
            <w:shd w:val="clear" w:color="auto" w:fill="C6EFCE"/>
            <w:noWrap/>
          </w:tcPr>
          <w:p w14:paraId="6F0C64F8" w14:textId="77777777" w:rsidR="00CB0FCB" w:rsidRDefault="009D2B11">
            <w:pPr>
              <w:pStyle w:val="P68B1DB1-Normal9"/>
              <w:spacing w:after="0" w:line="240" w:lineRule="auto"/>
              <w:rPr>
                <w:rFonts w:eastAsia="Times New Roman" w:cs="Calibri"/>
                <w:noProof/>
                <w:szCs w:val="18"/>
              </w:rPr>
            </w:pPr>
            <w:r>
              <w:rPr>
                <w:noProof/>
              </w:rPr>
              <w:t>2025</w:t>
            </w:r>
          </w:p>
        </w:tc>
        <w:tc>
          <w:tcPr>
            <w:tcW w:w="4731" w:type="dxa"/>
            <w:tcBorders>
              <w:top w:val="nil"/>
              <w:left w:val="nil"/>
              <w:bottom w:val="single" w:sz="4" w:space="0" w:color="auto"/>
              <w:right w:val="single" w:sz="4" w:space="0" w:color="auto"/>
            </w:tcBorders>
            <w:shd w:val="clear" w:color="auto" w:fill="C6EFCE"/>
            <w:noWrap/>
          </w:tcPr>
          <w:p w14:paraId="498A6C03" w14:textId="77777777" w:rsidR="00CB0FCB" w:rsidRDefault="009D2B11">
            <w:pPr>
              <w:pStyle w:val="P68B1DB1-Normal9"/>
              <w:spacing w:after="0" w:line="240" w:lineRule="auto"/>
              <w:rPr>
                <w:rFonts w:eastAsia="Times New Roman" w:cs="Calibri"/>
                <w:noProof/>
                <w:szCs w:val="18"/>
              </w:rPr>
            </w:pPr>
            <w:r>
              <w:rPr>
                <w:noProof/>
              </w:rPr>
              <w:t>8 personāla un operatīvas vienības, kas nodrošina aprūpi mājās (2 Atēnās, 1 Salonikos, 1 Aleksandroupolē, 1 Patrā, 1 Joanninā, 1 Irakljonā un 1 Larisā), un šādu apakšprojektu pabeigšana:</w:t>
            </w:r>
          </w:p>
          <w:p w14:paraId="5E5E9AE9" w14:textId="77777777" w:rsidR="00CB0FCB" w:rsidRDefault="009D2B11">
            <w:pPr>
              <w:pStyle w:val="P68B1DB1-Normal9"/>
              <w:spacing w:after="0" w:line="240" w:lineRule="auto"/>
              <w:rPr>
                <w:rFonts w:eastAsia="Times New Roman" w:cs="Calibri"/>
                <w:noProof/>
                <w:szCs w:val="18"/>
              </w:rPr>
            </w:pPr>
            <w:r>
              <w:rPr>
                <w:noProof/>
              </w:rPr>
              <w:t xml:space="preserve">a) aptauja “pašreizējās situācijas un vajadzību novērtējums” (1. apakšprojekts) </w:t>
            </w:r>
          </w:p>
          <w:p w14:paraId="6E69C518" w14:textId="77777777" w:rsidR="00CB0FCB" w:rsidRDefault="009D2B11">
            <w:pPr>
              <w:pStyle w:val="P68B1DB1-Normal9"/>
              <w:spacing w:after="0" w:line="240" w:lineRule="auto"/>
              <w:rPr>
                <w:rFonts w:eastAsia="Times New Roman" w:cs="Calibri"/>
                <w:noProof/>
                <w:szCs w:val="18"/>
              </w:rPr>
            </w:pPr>
            <w:r>
              <w:rPr>
                <w:noProof/>
              </w:rPr>
              <w:t>telemedicīnas lietojumprogramma: ierīces un aprīkojums izmēģinājuma mājas aprūpes centram, kas jāuzstāda un jāekspluatē, tostarp apmācība (2. apakšprojekts)</w:t>
            </w:r>
          </w:p>
          <w:p w14:paraId="6ABB0B7F" w14:textId="77777777" w:rsidR="00CB0FCB" w:rsidRDefault="009D2B11">
            <w:pPr>
              <w:pStyle w:val="P68B1DB1-Normal9"/>
              <w:spacing w:after="0" w:line="240" w:lineRule="auto"/>
              <w:rPr>
                <w:rFonts w:eastAsia="Times New Roman" w:cs="Calibri"/>
                <w:noProof/>
                <w:szCs w:val="18"/>
              </w:rPr>
            </w:pPr>
            <w:r>
              <w:rPr>
                <w:noProof/>
              </w:rPr>
              <w:t>C) Valsts reģistrs pacientiem, kurus ārstē mājās (3. apakšprojekts)</w:t>
            </w:r>
          </w:p>
          <w:p w14:paraId="24B508FD" w14:textId="77777777" w:rsidR="00CB0FCB" w:rsidRDefault="009D2B11">
            <w:pPr>
              <w:pStyle w:val="P68B1DB1-Normal9"/>
              <w:spacing w:after="0" w:line="240" w:lineRule="auto"/>
              <w:rPr>
                <w:rFonts w:eastAsia="Times New Roman" w:cs="Calibri"/>
                <w:noProof/>
                <w:szCs w:val="18"/>
              </w:rPr>
            </w:pPr>
            <w:r>
              <w:rPr>
                <w:noProof/>
              </w:rPr>
              <w:t>standartizēto terapeitisko protokolu, kā arī kvalitātes un drošības standartu noteikšana (4. apakšprojekts)</w:t>
            </w:r>
          </w:p>
        </w:tc>
      </w:tr>
      <w:tr w:rsidR="00CB0FCB" w14:paraId="6503DCC0" w14:textId="77777777">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7558A4C6" w14:textId="77777777" w:rsidR="00CB0FCB" w:rsidRDefault="009D2B11">
            <w:pPr>
              <w:pStyle w:val="P68B1DB1-Normal9"/>
              <w:spacing w:after="0" w:line="240" w:lineRule="auto"/>
              <w:rPr>
                <w:rFonts w:eastAsia="Times New Roman" w:cs="Calibri"/>
                <w:noProof/>
                <w:szCs w:val="18"/>
              </w:rPr>
            </w:pPr>
            <w:r>
              <w:rPr>
                <w:noProof/>
              </w:rPr>
              <w:t>170</w:t>
            </w:r>
          </w:p>
        </w:tc>
        <w:tc>
          <w:tcPr>
            <w:tcW w:w="1797" w:type="dxa"/>
            <w:tcBorders>
              <w:top w:val="nil"/>
              <w:left w:val="nil"/>
              <w:bottom w:val="single" w:sz="4" w:space="0" w:color="auto"/>
              <w:right w:val="single" w:sz="4" w:space="0" w:color="auto"/>
            </w:tcBorders>
            <w:shd w:val="clear" w:color="auto" w:fill="C6EFCE"/>
            <w:noWrap/>
          </w:tcPr>
          <w:p w14:paraId="64B63CC2" w14:textId="1A392D03" w:rsidR="00CB0FCB" w:rsidRDefault="009D2B11">
            <w:pPr>
              <w:pStyle w:val="P68B1DB1-Normal10"/>
              <w:spacing w:after="0" w:line="240" w:lineRule="auto"/>
              <w:rPr>
                <w:rFonts w:eastAsia="Times New Roman" w:cs="Calibri"/>
                <w:noProof/>
              </w:rPr>
            </w:pPr>
            <w:r>
              <w:rPr>
                <w:noProof/>
              </w:rPr>
              <w:t>10–3.3. Uzlabot veselības aprūpes noturību, pieejamību un ilgtspēju — 16795_ Veselības infrastruktūra</w:t>
            </w:r>
          </w:p>
        </w:tc>
        <w:tc>
          <w:tcPr>
            <w:tcW w:w="1424" w:type="dxa"/>
            <w:tcBorders>
              <w:top w:val="nil"/>
              <w:left w:val="nil"/>
              <w:bottom w:val="single" w:sz="4" w:space="0" w:color="auto"/>
              <w:right w:val="single" w:sz="4" w:space="0" w:color="auto"/>
            </w:tcBorders>
            <w:shd w:val="clear" w:color="auto" w:fill="C6EFCE"/>
            <w:noWrap/>
          </w:tcPr>
          <w:p w14:paraId="3E45CFF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9" w:type="dxa"/>
            <w:tcBorders>
              <w:top w:val="nil"/>
              <w:left w:val="nil"/>
              <w:bottom w:val="single" w:sz="4" w:space="0" w:color="auto"/>
              <w:right w:val="single" w:sz="4" w:space="0" w:color="auto"/>
            </w:tcBorders>
            <w:shd w:val="clear" w:color="auto" w:fill="C6EFCE"/>
            <w:noWrap/>
          </w:tcPr>
          <w:p w14:paraId="1749243C" w14:textId="77777777" w:rsidR="00CB0FCB" w:rsidRDefault="009D2B11">
            <w:pPr>
              <w:pStyle w:val="P68B1DB1-Normal9"/>
              <w:spacing w:after="0" w:line="240" w:lineRule="auto"/>
              <w:rPr>
                <w:rFonts w:eastAsia="Times New Roman" w:cs="Calibri"/>
                <w:noProof/>
                <w:szCs w:val="18"/>
              </w:rPr>
            </w:pPr>
            <w:r>
              <w:rPr>
                <w:noProof/>
              </w:rPr>
              <w:t>NHS infrastruktūras modernizācijas pabeigšana</w:t>
            </w:r>
          </w:p>
        </w:tc>
        <w:tc>
          <w:tcPr>
            <w:tcW w:w="1553" w:type="dxa"/>
            <w:tcBorders>
              <w:top w:val="nil"/>
              <w:left w:val="nil"/>
              <w:bottom w:val="single" w:sz="4" w:space="0" w:color="auto"/>
              <w:right w:val="single" w:sz="4" w:space="0" w:color="auto"/>
            </w:tcBorders>
            <w:shd w:val="clear" w:color="auto" w:fill="C6EFCE"/>
            <w:noWrap/>
          </w:tcPr>
          <w:p w14:paraId="6BFFC6EB" w14:textId="77777777" w:rsidR="00CB0FCB" w:rsidRDefault="009D2B11">
            <w:pPr>
              <w:pStyle w:val="P68B1DB1-Normal9"/>
              <w:spacing w:after="0" w:line="240" w:lineRule="auto"/>
              <w:rPr>
                <w:rFonts w:eastAsia="Times New Roman" w:cs="Calibri"/>
                <w:noProof/>
                <w:szCs w:val="18"/>
              </w:rPr>
            </w:pPr>
            <w:r>
              <w:rPr>
                <w:noProof/>
              </w:rPr>
              <w:t>Ziņojums, kas apliecina NHS slimnīcas renovācijas un infrastruktūras modernizācijas infrastruktūras darbu pabeigšanu.</w:t>
            </w:r>
          </w:p>
        </w:tc>
        <w:tc>
          <w:tcPr>
            <w:tcW w:w="866" w:type="dxa"/>
            <w:tcBorders>
              <w:top w:val="nil"/>
              <w:left w:val="nil"/>
              <w:bottom w:val="single" w:sz="4" w:space="0" w:color="auto"/>
              <w:right w:val="single" w:sz="4" w:space="0" w:color="auto"/>
            </w:tcBorders>
            <w:shd w:val="clear" w:color="auto" w:fill="C6EFCE"/>
            <w:noWrap/>
          </w:tcPr>
          <w:p w14:paraId="4E7F1D41"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D92386D" w14:textId="77777777" w:rsidR="00CB0FCB" w:rsidRDefault="00CB0FCB">
            <w:pPr>
              <w:spacing w:after="0" w:line="240" w:lineRule="auto"/>
              <w:rPr>
                <w:rFonts w:eastAsia="Times New Roman" w:cs="Calibri"/>
                <w:noProof/>
                <w:color w:val="006100"/>
                <w:sz w:val="18"/>
                <w:szCs w:val="18"/>
              </w:rPr>
            </w:pPr>
          </w:p>
        </w:tc>
        <w:tc>
          <w:tcPr>
            <w:tcW w:w="659" w:type="dxa"/>
            <w:tcBorders>
              <w:top w:val="nil"/>
              <w:left w:val="nil"/>
              <w:bottom w:val="single" w:sz="4" w:space="0" w:color="auto"/>
              <w:right w:val="single" w:sz="4" w:space="0" w:color="auto"/>
            </w:tcBorders>
            <w:shd w:val="clear" w:color="auto" w:fill="C6EFCE"/>
            <w:noWrap/>
          </w:tcPr>
          <w:p w14:paraId="6D8BAA6D"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2216091E"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tcPr>
          <w:p w14:paraId="42687E91" w14:textId="77777777" w:rsidR="00CB0FCB" w:rsidRDefault="009D2B11">
            <w:pPr>
              <w:pStyle w:val="P68B1DB1-Normal9"/>
              <w:spacing w:after="0" w:line="240" w:lineRule="auto"/>
              <w:rPr>
                <w:rFonts w:eastAsia="Times New Roman" w:cs="Calibri"/>
                <w:noProof/>
                <w:szCs w:val="18"/>
              </w:rPr>
            </w:pPr>
            <w:r>
              <w:rPr>
                <w:noProof/>
              </w:rPr>
              <w:t>2025</w:t>
            </w:r>
          </w:p>
        </w:tc>
        <w:tc>
          <w:tcPr>
            <w:tcW w:w="4731" w:type="dxa"/>
            <w:tcBorders>
              <w:top w:val="nil"/>
              <w:left w:val="nil"/>
              <w:bottom w:val="single" w:sz="4" w:space="0" w:color="auto"/>
              <w:right w:val="single" w:sz="4" w:space="0" w:color="auto"/>
            </w:tcBorders>
            <w:shd w:val="clear" w:color="auto" w:fill="C6EFCE"/>
            <w:noWrap/>
          </w:tcPr>
          <w:p w14:paraId="3DCC6322" w14:textId="77777777" w:rsidR="00CB0FCB" w:rsidRDefault="009D2B11">
            <w:pPr>
              <w:pStyle w:val="P68B1DB1-Normal9"/>
              <w:spacing w:after="0" w:line="240" w:lineRule="auto"/>
              <w:rPr>
                <w:rFonts w:eastAsia="Times New Roman" w:cs="Calibri"/>
                <w:noProof/>
                <w:szCs w:val="18"/>
              </w:rPr>
            </w:pPr>
            <w:r>
              <w:rPr>
                <w:noProof/>
              </w:rPr>
              <w:t xml:space="preserve">Būvniecības un infrastruktūras modernizācijas pabeigšana, tostarp elektromehāniskās un elektrotehniskās infrastruktūras, izmitināšanas iekārtu un infrastruktūras ar ērtībām, medicīniskām iekārtām un ierīcēm pabeigšana un līgumu slēgšana par pakalpojumu līmeņa līgumiem (PLL) un telpu apsaimniekošanu visām 80 skartajām slimnīcām visos septiņos reģionos. </w:t>
            </w:r>
          </w:p>
        </w:tc>
      </w:tr>
      <w:tr w:rsidR="00CB0FCB" w14:paraId="6336E803" w14:textId="77777777">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6038A3F0" w14:textId="77777777" w:rsidR="00CB0FCB" w:rsidRDefault="009D2B11">
            <w:pPr>
              <w:pStyle w:val="P68B1DB1-Normal9"/>
              <w:spacing w:after="0" w:line="240" w:lineRule="auto"/>
              <w:rPr>
                <w:rFonts w:eastAsia="Times New Roman" w:cs="Calibri"/>
                <w:noProof/>
                <w:szCs w:val="18"/>
              </w:rPr>
            </w:pPr>
            <w:r>
              <w:rPr>
                <w:noProof/>
              </w:rPr>
              <w:t>171</w:t>
            </w:r>
          </w:p>
        </w:tc>
        <w:tc>
          <w:tcPr>
            <w:tcW w:w="1797" w:type="dxa"/>
            <w:tcBorders>
              <w:top w:val="single" w:sz="4" w:space="0" w:color="auto"/>
              <w:left w:val="nil"/>
              <w:bottom w:val="single" w:sz="4" w:space="0" w:color="auto"/>
              <w:right w:val="single" w:sz="4" w:space="0" w:color="auto"/>
            </w:tcBorders>
            <w:shd w:val="clear" w:color="auto" w:fill="C6EFCE"/>
            <w:noWrap/>
          </w:tcPr>
          <w:p w14:paraId="77F6277E"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16757_ Radioterapijas centra izveide “Sotiria” torakikā</w:t>
            </w:r>
          </w:p>
          <w:p w14:paraId="39560FE6" w14:textId="77777777" w:rsidR="00CB0FCB" w:rsidRDefault="009D2B11">
            <w:pPr>
              <w:pStyle w:val="P68B1DB1-Normal9"/>
              <w:spacing w:after="0" w:line="240" w:lineRule="auto"/>
              <w:rPr>
                <w:rFonts w:eastAsia="Times New Roman" w:cs="Calibri"/>
                <w:noProof/>
                <w:szCs w:val="18"/>
              </w:rPr>
            </w:pPr>
            <w:r>
              <w:rPr>
                <w:noProof/>
              </w:rPr>
              <w:t>Atēnu slimnīca</w:t>
            </w:r>
          </w:p>
        </w:tc>
        <w:tc>
          <w:tcPr>
            <w:tcW w:w="1424" w:type="dxa"/>
            <w:tcBorders>
              <w:top w:val="single" w:sz="4" w:space="0" w:color="auto"/>
              <w:left w:val="nil"/>
              <w:bottom w:val="single" w:sz="4" w:space="0" w:color="auto"/>
              <w:right w:val="single" w:sz="4" w:space="0" w:color="auto"/>
            </w:tcBorders>
            <w:shd w:val="clear" w:color="auto" w:fill="C6EFCE"/>
            <w:noWrap/>
          </w:tcPr>
          <w:p w14:paraId="35ACBF9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9" w:type="dxa"/>
            <w:tcBorders>
              <w:top w:val="single" w:sz="4" w:space="0" w:color="auto"/>
              <w:left w:val="nil"/>
              <w:bottom w:val="single" w:sz="4" w:space="0" w:color="auto"/>
              <w:right w:val="single" w:sz="4" w:space="0" w:color="auto"/>
            </w:tcBorders>
            <w:shd w:val="clear" w:color="auto" w:fill="C6EFCE"/>
            <w:noWrap/>
          </w:tcPr>
          <w:p w14:paraId="3F3F30A4" w14:textId="77777777" w:rsidR="00CB0FCB" w:rsidRDefault="009D2B11">
            <w:pPr>
              <w:pStyle w:val="P68B1DB1-Normal9"/>
              <w:spacing w:after="0" w:line="240" w:lineRule="auto"/>
              <w:rPr>
                <w:rFonts w:eastAsia="Times New Roman" w:cs="Calibri"/>
                <w:noProof/>
                <w:szCs w:val="18"/>
              </w:rPr>
            </w:pPr>
            <w:r>
              <w:rPr>
                <w:noProof/>
              </w:rPr>
              <w:t>Sotiria Radioterapijas centrs</w:t>
            </w:r>
          </w:p>
          <w:p w14:paraId="7639D82B" w14:textId="77777777" w:rsidR="00CB0FCB" w:rsidRDefault="009D2B11">
            <w:pPr>
              <w:pStyle w:val="P68B1DB1-Normal9"/>
              <w:spacing w:after="0" w:line="240" w:lineRule="auto"/>
              <w:rPr>
                <w:rFonts w:eastAsia="Times New Roman" w:cs="Calibri"/>
                <w:noProof/>
                <w:szCs w:val="18"/>
              </w:rPr>
            </w:pPr>
            <w:r>
              <w:rPr>
                <w:noProof/>
              </w:rPr>
              <w:t>pabeigšana</w:t>
            </w:r>
          </w:p>
        </w:tc>
        <w:tc>
          <w:tcPr>
            <w:tcW w:w="1553" w:type="dxa"/>
            <w:tcBorders>
              <w:top w:val="single" w:sz="4" w:space="0" w:color="auto"/>
              <w:left w:val="nil"/>
              <w:bottom w:val="single" w:sz="4" w:space="0" w:color="auto"/>
              <w:right w:val="single" w:sz="4" w:space="0" w:color="auto"/>
            </w:tcBorders>
            <w:shd w:val="clear" w:color="auto" w:fill="C6EFCE"/>
            <w:noWrap/>
          </w:tcPr>
          <w:p w14:paraId="2426EC99" w14:textId="77777777" w:rsidR="00CB0FCB" w:rsidRDefault="009D2B11">
            <w:pPr>
              <w:pStyle w:val="P68B1DB1-Normal9"/>
              <w:spacing w:after="0" w:line="240" w:lineRule="auto"/>
              <w:rPr>
                <w:rFonts w:eastAsia="Times New Roman" w:cs="Calibri"/>
                <w:noProof/>
                <w:szCs w:val="18"/>
              </w:rPr>
            </w:pPr>
            <w:r>
              <w:rPr>
                <w:noProof/>
              </w:rPr>
              <w:t>Ziņojums, kas apliecina infrastruktūras darbu pabeigšanu radioterapijas centra izveidei “Sotiria” torakālā</w:t>
            </w:r>
          </w:p>
          <w:p w14:paraId="044F708B" w14:textId="77777777" w:rsidR="00CB0FCB" w:rsidRDefault="009D2B11">
            <w:pPr>
              <w:pStyle w:val="P68B1DB1-Normal9"/>
              <w:spacing w:after="0" w:line="240" w:lineRule="auto"/>
              <w:rPr>
                <w:rFonts w:eastAsia="Times New Roman" w:cs="Calibri"/>
                <w:noProof/>
                <w:szCs w:val="18"/>
              </w:rPr>
            </w:pPr>
            <w:r>
              <w:rPr>
                <w:noProof/>
              </w:rPr>
              <w:t>Atēnu slimnīca.</w:t>
            </w:r>
          </w:p>
        </w:tc>
        <w:tc>
          <w:tcPr>
            <w:tcW w:w="866" w:type="dxa"/>
            <w:tcBorders>
              <w:top w:val="single" w:sz="4" w:space="0" w:color="auto"/>
              <w:left w:val="nil"/>
              <w:bottom w:val="single" w:sz="4" w:space="0" w:color="auto"/>
              <w:right w:val="single" w:sz="4" w:space="0" w:color="auto"/>
            </w:tcBorders>
            <w:shd w:val="clear" w:color="auto" w:fill="C6EFCE"/>
            <w:noWrap/>
          </w:tcPr>
          <w:p w14:paraId="769D387E"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88D3C3A" w14:textId="77777777" w:rsidR="00CB0FCB" w:rsidRDefault="00CB0FCB">
            <w:pPr>
              <w:spacing w:after="0" w:line="240" w:lineRule="auto"/>
              <w:rPr>
                <w:rFonts w:eastAsia="Times New Roman" w:cs="Calibri"/>
                <w:noProof/>
                <w:color w:val="006100"/>
                <w:sz w:val="18"/>
                <w:szCs w:val="18"/>
              </w:rPr>
            </w:pPr>
          </w:p>
        </w:tc>
        <w:tc>
          <w:tcPr>
            <w:tcW w:w="659" w:type="dxa"/>
            <w:tcBorders>
              <w:top w:val="single" w:sz="4" w:space="0" w:color="auto"/>
              <w:left w:val="nil"/>
              <w:bottom w:val="single" w:sz="4" w:space="0" w:color="auto"/>
              <w:right w:val="single" w:sz="4" w:space="0" w:color="auto"/>
            </w:tcBorders>
            <w:shd w:val="clear" w:color="auto" w:fill="C6EFCE"/>
            <w:noWrap/>
          </w:tcPr>
          <w:p w14:paraId="2D4C39B0"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604DECC0"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28807D75" w14:textId="77777777" w:rsidR="00CB0FCB" w:rsidRDefault="009D2B11">
            <w:pPr>
              <w:pStyle w:val="P68B1DB1-Normal9"/>
              <w:spacing w:after="0" w:line="240" w:lineRule="auto"/>
              <w:rPr>
                <w:rFonts w:eastAsia="Times New Roman" w:cs="Calibri"/>
                <w:noProof/>
                <w:szCs w:val="18"/>
              </w:rPr>
            </w:pPr>
            <w:r>
              <w:rPr>
                <w:noProof/>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6459C712" w14:textId="27425D27" w:rsidR="00CB0FCB" w:rsidRDefault="009D2B11">
            <w:pPr>
              <w:pStyle w:val="P68B1DB1-Normal10"/>
              <w:spacing w:after="0" w:line="240" w:lineRule="auto"/>
              <w:rPr>
                <w:rFonts w:eastAsia="Times New Roman" w:cs="Calibri"/>
                <w:noProof/>
              </w:rPr>
            </w:pPr>
            <w:r>
              <w:rPr>
                <w:rFonts w:asciiTheme="minorHAnsi" w:eastAsiaTheme="minorEastAsia" w:hAnsiTheme="minorHAnsi" w:cstheme="minorBidi"/>
                <w:noProof/>
              </w:rPr>
              <w:t xml:space="preserve">Sotiria slimnīcas jaunā radioterapijas departamenta izveide un jauna būvniecības infrastruktūra; infrastruktūras modernizācija;  tilts, kas savieno “300 Andron (Men)” ēku un esošo tiltu tīklu ar daudzfunkcionālu ICU, “MEGA. Laikon un ķirurģijas departaments; klīniku un jauna laboratorijas departamenta atjaunošana. </w:t>
            </w:r>
          </w:p>
        </w:tc>
      </w:tr>
      <w:tr w:rsidR="00CB0FCB" w14:paraId="19E54A6F" w14:textId="77777777">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4C6F9933" w14:textId="77777777" w:rsidR="00CB0FCB" w:rsidRDefault="009D2B11">
            <w:pPr>
              <w:pStyle w:val="P68B1DB1-Normal9"/>
              <w:spacing w:after="0" w:line="240" w:lineRule="auto"/>
              <w:rPr>
                <w:rFonts w:eastAsia="Times New Roman" w:cs="Calibri"/>
                <w:noProof/>
                <w:szCs w:val="18"/>
              </w:rPr>
            </w:pPr>
            <w:r>
              <w:rPr>
                <w:noProof/>
              </w:rPr>
              <w:t>172</w:t>
            </w:r>
          </w:p>
        </w:tc>
        <w:tc>
          <w:tcPr>
            <w:tcW w:w="1797" w:type="dxa"/>
            <w:tcBorders>
              <w:top w:val="single" w:sz="4" w:space="0" w:color="auto"/>
              <w:left w:val="nil"/>
              <w:bottom w:val="single" w:sz="4" w:space="0" w:color="auto"/>
              <w:right w:val="single" w:sz="4" w:space="0" w:color="auto"/>
            </w:tcBorders>
            <w:shd w:val="clear" w:color="auto" w:fill="C6EFCE"/>
            <w:noWrap/>
          </w:tcPr>
          <w:p w14:paraId="705518C2"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16793_Projekts ēkas būvniecībai, kas paredzēta šūnu un gēnu terapijām un hematoloģijas klīniskajām laboratorijām Saloniku Galvenajā slimnīcā “Papanikolaou”</w:t>
            </w:r>
          </w:p>
        </w:tc>
        <w:tc>
          <w:tcPr>
            <w:tcW w:w="1424" w:type="dxa"/>
            <w:tcBorders>
              <w:top w:val="single" w:sz="4" w:space="0" w:color="auto"/>
              <w:left w:val="nil"/>
              <w:bottom w:val="single" w:sz="4" w:space="0" w:color="auto"/>
              <w:right w:val="single" w:sz="4" w:space="0" w:color="auto"/>
            </w:tcBorders>
            <w:shd w:val="clear" w:color="auto" w:fill="C6EFCE"/>
            <w:noWrap/>
          </w:tcPr>
          <w:p w14:paraId="0BA3C58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9" w:type="dxa"/>
            <w:tcBorders>
              <w:top w:val="single" w:sz="4" w:space="0" w:color="auto"/>
              <w:left w:val="nil"/>
              <w:bottom w:val="single" w:sz="4" w:space="0" w:color="auto"/>
              <w:right w:val="single" w:sz="4" w:space="0" w:color="auto"/>
            </w:tcBorders>
            <w:shd w:val="clear" w:color="auto" w:fill="C6EFCE"/>
            <w:noWrap/>
          </w:tcPr>
          <w:p w14:paraId="24DCEFF5" w14:textId="77777777" w:rsidR="00CB0FCB" w:rsidRDefault="009D2B11">
            <w:pPr>
              <w:pStyle w:val="P68B1DB1-Normal9"/>
              <w:spacing w:after="0" w:line="240" w:lineRule="auto"/>
              <w:rPr>
                <w:rFonts w:eastAsia="Times New Roman" w:cs="Calibri"/>
                <w:noProof/>
                <w:szCs w:val="18"/>
              </w:rPr>
            </w:pPr>
            <w:r>
              <w:rPr>
                <w:noProof/>
              </w:rPr>
              <w:t>Papanikolau slimnīcas pabeigšana</w:t>
            </w:r>
          </w:p>
        </w:tc>
        <w:tc>
          <w:tcPr>
            <w:tcW w:w="1553" w:type="dxa"/>
            <w:tcBorders>
              <w:top w:val="single" w:sz="4" w:space="0" w:color="auto"/>
              <w:left w:val="nil"/>
              <w:bottom w:val="single" w:sz="4" w:space="0" w:color="auto"/>
              <w:right w:val="single" w:sz="4" w:space="0" w:color="auto"/>
            </w:tcBorders>
            <w:shd w:val="clear" w:color="auto" w:fill="C6EFCE"/>
            <w:noWrap/>
          </w:tcPr>
          <w:p w14:paraId="4AEE5AC7" w14:textId="77777777" w:rsidR="00CB0FCB" w:rsidRDefault="009D2B11">
            <w:pPr>
              <w:pStyle w:val="P68B1DB1-Normal9"/>
              <w:spacing w:after="0" w:line="240" w:lineRule="auto"/>
              <w:rPr>
                <w:rFonts w:eastAsia="Times New Roman" w:cs="Calibri"/>
                <w:noProof/>
                <w:szCs w:val="18"/>
              </w:rPr>
            </w:pPr>
            <w:r>
              <w:rPr>
                <w:noProof/>
              </w:rPr>
              <w:t xml:space="preserve">Ziņojums, kas apliecina infrastruktūras būvdarbu pabeigšanu, lai būvētu ēku, kas paredzēta šūnu un gēnu terapijām un hematoloģijas klīnikām Saloniku Galvenajā slimnīcā “Papanikolaou”. </w:t>
            </w:r>
          </w:p>
        </w:tc>
        <w:tc>
          <w:tcPr>
            <w:tcW w:w="866" w:type="dxa"/>
            <w:tcBorders>
              <w:top w:val="single" w:sz="4" w:space="0" w:color="auto"/>
              <w:left w:val="nil"/>
              <w:bottom w:val="single" w:sz="4" w:space="0" w:color="auto"/>
              <w:right w:val="single" w:sz="4" w:space="0" w:color="auto"/>
            </w:tcBorders>
            <w:shd w:val="clear" w:color="auto" w:fill="C6EFCE"/>
            <w:noWrap/>
          </w:tcPr>
          <w:p w14:paraId="351D56CA"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1975CB3" w14:textId="77777777" w:rsidR="00CB0FCB" w:rsidRDefault="00CB0FCB">
            <w:pPr>
              <w:spacing w:after="0" w:line="240" w:lineRule="auto"/>
              <w:rPr>
                <w:rFonts w:eastAsia="Times New Roman" w:cs="Calibri"/>
                <w:noProof/>
                <w:color w:val="006100"/>
                <w:sz w:val="18"/>
                <w:szCs w:val="18"/>
              </w:rPr>
            </w:pPr>
          </w:p>
        </w:tc>
        <w:tc>
          <w:tcPr>
            <w:tcW w:w="659" w:type="dxa"/>
            <w:tcBorders>
              <w:top w:val="single" w:sz="4" w:space="0" w:color="auto"/>
              <w:left w:val="nil"/>
              <w:bottom w:val="single" w:sz="4" w:space="0" w:color="auto"/>
              <w:right w:val="single" w:sz="4" w:space="0" w:color="auto"/>
            </w:tcBorders>
            <w:shd w:val="clear" w:color="auto" w:fill="C6EFCE"/>
            <w:noWrap/>
          </w:tcPr>
          <w:p w14:paraId="66CC0648"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3C19EE65"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49DB644B" w14:textId="77777777" w:rsidR="00CB0FCB" w:rsidRDefault="009D2B11">
            <w:pPr>
              <w:pStyle w:val="P68B1DB1-Normal9"/>
              <w:spacing w:after="0" w:line="240" w:lineRule="auto"/>
              <w:rPr>
                <w:rFonts w:eastAsia="Times New Roman" w:cs="Calibri"/>
                <w:noProof/>
                <w:szCs w:val="18"/>
              </w:rPr>
            </w:pPr>
            <w:r>
              <w:rPr>
                <w:noProof/>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00A375A7" w14:textId="77777777" w:rsidR="00CB0FCB" w:rsidRDefault="009D2B11">
            <w:pPr>
              <w:pStyle w:val="P68B1DB1-Normal9"/>
              <w:spacing w:after="0" w:line="240" w:lineRule="auto"/>
              <w:rPr>
                <w:rFonts w:eastAsia="Times New Roman" w:cs="Calibri"/>
                <w:noProof/>
                <w:szCs w:val="18"/>
              </w:rPr>
            </w:pPr>
            <w:r>
              <w:rPr>
                <w:noProof/>
              </w:rPr>
              <w:t>Jaunas trīs stāstu ēkas pabeigšana, lai izvietotu visas specializētās laboratorijas un īpašās aprūpes vienības; esošās ēkas pirmā stāva pārstrukturēšana, lai tajā būtu pietiekami daudz vietas ambulatorajām klīnikām un dienas aprūpei Papanikolaou slimnīcā un sasniegtu primārās enerģijas pieprasījumu (PED), kas ir vismaz par 20 % zemāks nekā GNEĒ prasība (gandrīz nulles enerģijas ēka, valstu direktīvas).</w:t>
            </w:r>
          </w:p>
        </w:tc>
      </w:tr>
      <w:tr w:rsidR="00CB0FCB" w14:paraId="40919628" w14:textId="77777777">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0C6531BC" w14:textId="77777777" w:rsidR="00CB0FCB" w:rsidRDefault="009D2B11">
            <w:pPr>
              <w:pStyle w:val="P68B1DB1-Normal9"/>
              <w:spacing w:after="0" w:line="240" w:lineRule="auto"/>
              <w:rPr>
                <w:rFonts w:eastAsia="Times New Roman" w:cs="Calibri"/>
                <w:noProof/>
                <w:szCs w:val="18"/>
              </w:rPr>
            </w:pPr>
            <w:r>
              <w:rPr>
                <w:noProof/>
              </w:rPr>
              <w:t>173</w:t>
            </w:r>
          </w:p>
        </w:tc>
        <w:tc>
          <w:tcPr>
            <w:tcW w:w="1797" w:type="dxa"/>
            <w:tcBorders>
              <w:top w:val="single" w:sz="4" w:space="0" w:color="auto"/>
              <w:left w:val="nil"/>
              <w:bottom w:val="single" w:sz="4" w:space="0" w:color="auto"/>
              <w:right w:val="single" w:sz="4" w:space="0" w:color="auto"/>
            </w:tcBorders>
            <w:shd w:val="clear" w:color="auto" w:fill="C6EFCE"/>
            <w:noWrap/>
          </w:tcPr>
          <w:p w14:paraId="2131BB20" w14:textId="77777777" w:rsidR="00CB0FCB" w:rsidRDefault="009D2B11">
            <w:pPr>
              <w:pStyle w:val="P68B1DB1-Normal9"/>
              <w:spacing w:after="0" w:line="240" w:lineRule="auto"/>
              <w:rPr>
                <w:rFonts w:eastAsia="Times New Roman" w:cs="Calibri"/>
                <w:noProof/>
                <w:szCs w:val="18"/>
              </w:rPr>
            </w:pPr>
            <w:r>
              <w:rPr>
                <w:noProof/>
              </w:rPr>
              <w:t>10–3.3. Uzlabot veselības aprūpes noturību, pieejamību un ilgtspēju — 16752_Veselības digitālā pārveide (DigHealth)</w:t>
            </w:r>
          </w:p>
          <w:p w14:paraId="0BE470D7" w14:textId="77777777" w:rsidR="00CB0FCB" w:rsidRDefault="00CB0FCB">
            <w:pPr>
              <w:spacing w:before="120" w:after="120" w:line="240" w:lineRule="auto"/>
              <w:jc w:val="center"/>
              <w:rPr>
                <w:rFonts w:eastAsia="Times New Roman" w:cs="Calibri"/>
                <w:noProof/>
                <w:sz w:val="18"/>
                <w:szCs w:val="18"/>
              </w:rPr>
            </w:pPr>
          </w:p>
        </w:tc>
        <w:tc>
          <w:tcPr>
            <w:tcW w:w="1424" w:type="dxa"/>
            <w:tcBorders>
              <w:top w:val="single" w:sz="4" w:space="0" w:color="auto"/>
              <w:left w:val="nil"/>
              <w:bottom w:val="single" w:sz="4" w:space="0" w:color="auto"/>
              <w:right w:val="single" w:sz="4" w:space="0" w:color="auto"/>
            </w:tcBorders>
            <w:shd w:val="clear" w:color="auto" w:fill="C6EFCE"/>
            <w:noWrap/>
          </w:tcPr>
          <w:p w14:paraId="55C9986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419" w:type="dxa"/>
            <w:tcBorders>
              <w:top w:val="single" w:sz="4" w:space="0" w:color="auto"/>
              <w:left w:val="nil"/>
              <w:bottom w:val="single" w:sz="4" w:space="0" w:color="auto"/>
              <w:right w:val="single" w:sz="4" w:space="0" w:color="auto"/>
            </w:tcBorders>
            <w:shd w:val="clear" w:color="auto" w:fill="C6EFCE"/>
            <w:noWrap/>
          </w:tcPr>
          <w:p w14:paraId="31E84A4C" w14:textId="77777777" w:rsidR="00CB0FCB" w:rsidRDefault="009D2B11">
            <w:pPr>
              <w:pStyle w:val="P68B1DB1-Normal9"/>
              <w:spacing w:after="0" w:line="240" w:lineRule="auto"/>
              <w:rPr>
                <w:rFonts w:eastAsia="Times New Roman" w:cs="Calibri"/>
                <w:noProof/>
                <w:szCs w:val="18"/>
              </w:rPr>
            </w:pPr>
            <w:r>
              <w:rPr>
                <w:noProof/>
              </w:rPr>
              <w:t>Digitālā pārveide — pabeigti visi apakšprojekti</w:t>
            </w:r>
          </w:p>
        </w:tc>
        <w:tc>
          <w:tcPr>
            <w:tcW w:w="1553" w:type="dxa"/>
            <w:tcBorders>
              <w:top w:val="single" w:sz="4" w:space="0" w:color="auto"/>
              <w:left w:val="nil"/>
              <w:bottom w:val="single" w:sz="4" w:space="0" w:color="auto"/>
              <w:right w:val="single" w:sz="4" w:space="0" w:color="auto"/>
            </w:tcBorders>
            <w:shd w:val="clear" w:color="auto" w:fill="C6EFCE"/>
            <w:noWrap/>
          </w:tcPr>
          <w:p w14:paraId="37772179" w14:textId="69F9C510" w:rsidR="00CB0FCB" w:rsidRDefault="009D2B11">
            <w:pPr>
              <w:pStyle w:val="P68B1DB1-Normal10"/>
              <w:spacing w:after="0" w:line="240" w:lineRule="auto"/>
              <w:rPr>
                <w:rFonts w:eastAsia="Times New Roman" w:cs="Calibri"/>
                <w:noProof/>
              </w:rPr>
            </w:pPr>
            <w:r>
              <w:rPr>
                <w:noProof/>
              </w:rPr>
              <w:t>Apliecinājums par aizpildīšanu, kas izsniegts saskaņā ar valsts tiesību aktiem</w:t>
            </w:r>
          </w:p>
          <w:p w14:paraId="704BECF4" w14:textId="77777777" w:rsidR="00CB0FCB" w:rsidRDefault="00CB0FCB">
            <w:pPr>
              <w:spacing w:after="0" w:line="240" w:lineRule="auto"/>
              <w:rPr>
                <w:rFonts w:eastAsia="Times New Roman" w:cs="Calibri"/>
                <w:noProof/>
                <w:color w:val="006100"/>
                <w:sz w:val="18"/>
                <w:szCs w:val="18"/>
              </w:rPr>
            </w:pPr>
          </w:p>
        </w:tc>
        <w:tc>
          <w:tcPr>
            <w:tcW w:w="866" w:type="dxa"/>
            <w:tcBorders>
              <w:top w:val="single" w:sz="4" w:space="0" w:color="auto"/>
              <w:left w:val="nil"/>
              <w:bottom w:val="single" w:sz="4" w:space="0" w:color="auto"/>
              <w:right w:val="single" w:sz="4" w:space="0" w:color="auto"/>
            </w:tcBorders>
            <w:shd w:val="clear" w:color="auto" w:fill="C6EFCE"/>
            <w:noWrap/>
          </w:tcPr>
          <w:p w14:paraId="2BCE5037"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4E82653" w14:textId="77777777" w:rsidR="00CB0FCB" w:rsidRDefault="00CB0FCB">
            <w:pPr>
              <w:spacing w:after="0" w:line="240" w:lineRule="auto"/>
              <w:rPr>
                <w:rFonts w:eastAsia="Times New Roman" w:cs="Calibri"/>
                <w:noProof/>
                <w:color w:val="006100"/>
                <w:sz w:val="18"/>
                <w:szCs w:val="18"/>
              </w:rPr>
            </w:pPr>
          </w:p>
        </w:tc>
        <w:tc>
          <w:tcPr>
            <w:tcW w:w="659" w:type="dxa"/>
            <w:tcBorders>
              <w:top w:val="single" w:sz="4" w:space="0" w:color="auto"/>
              <w:left w:val="nil"/>
              <w:bottom w:val="single" w:sz="4" w:space="0" w:color="auto"/>
              <w:right w:val="single" w:sz="4" w:space="0" w:color="auto"/>
            </w:tcBorders>
            <w:shd w:val="clear" w:color="auto" w:fill="C6EFCE"/>
            <w:noWrap/>
          </w:tcPr>
          <w:p w14:paraId="7912F78B"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67AF94F1"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55F1CEB8" w14:textId="77777777" w:rsidR="00CB0FCB" w:rsidRDefault="009D2B11">
            <w:pPr>
              <w:pStyle w:val="P68B1DB1-Normal9"/>
              <w:spacing w:after="0" w:line="240" w:lineRule="auto"/>
              <w:rPr>
                <w:rFonts w:eastAsia="Times New Roman" w:cs="Calibri"/>
                <w:noProof/>
                <w:szCs w:val="18"/>
              </w:rPr>
            </w:pPr>
            <w:r>
              <w:rPr>
                <w:noProof/>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38945BA2" w14:textId="4D4DDD88" w:rsidR="00CB0FCB" w:rsidRDefault="009D2B11">
            <w:pPr>
              <w:pStyle w:val="P68B1DB1-Normal10"/>
              <w:spacing w:after="0" w:line="240" w:lineRule="auto"/>
              <w:rPr>
                <w:rFonts w:eastAsia="Times New Roman" w:cs="Calibri"/>
                <w:noProof/>
              </w:rPr>
            </w:pPr>
            <w:r>
              <w:rPr>
                <w:noProof/>
              </w:rPr>
              <w:t>Pabeigšana:</w:t>
            </w:r>
          </w:p>
          <w:p w14:paraId="7EC16AC0" w14:textId="78B179F9" w:rsidR="00CB0FCB" w:rsidRDefault="009D2B11">
            <w:pPr>
              <w:pStyle w:val="P68B1DB1-Normal10"/>
              <w:spacing w:after="0" w:line="240" w:lineRule="auto"/>
              <w:rPr>
                <w:rFonts w:ascii="Times New Roman" w:eastAsia="Times New Roman" w:hAnsi="Times New Roman" w:cs="Times New Roman"/>
                <w:noProof/>
                <w:sz w:val="20"/>
                <w:szCs w:val="20"/>
              </w:rPr>
            </w:pPr>
            <w:r>
              <w:rPr>
                <w:noProof/>
              </w:rPr>
              <w:t xml:space="preserve">a) valsts digitālā pacienta veselības karte, </w:t>
            </w:r>
            <w:r>
              <w:rPr>
                <w:rFonts w:asciiTheme="minorHAnsi" w:eastAsiaTheme="minorEastAsia" w:hAnsiTheme="minorHAnsi" w:cstheme="minorBidi"/>
                <w:noProof/>
              </w:rPr>
              <w:t xml:space="preserve"> tostarp: Pacientu reģistrācijas pamatplatforma, lietotāju identifikācijas un autentifikācijas apakšsistēma, sistēmas interneta portāls, lietotāja saskarnes UI savstarpējas izmantojamības apakšsistēma, primārās veselības aprūpes medicīnisko datu integrācija, pacienta piekrišanas piemērošana, BI apakšsistēma </w:t>
            </w:r>
          </w:p>
          <w:p w14:paraId="2E8C3A2F" w14:textId="010C3A51" w:rsidR="00CB0FCB" w:rsidRDefault="00CB0FCB">
            <w:pPr>
              <w:spacing w:after="0" w:line="240" w:lineRule="auto"/>
              <w:rPr>
                <w:noProof/>
                <w:color w:val="006100"/>
                <w:sz w:val="18"/>
                <w:szCs w:val="18"/>
              </w:rPr>
            </w:pPr>
          </w:p>
          <w:p w14:paraId="6390D0C0" w14:textId="24733D70" w:rsidR="00CB0FCB" w:rsidRDefault="009D2B11">
            <w:pPr>
              <w:pStyle w:val="P68B1DB1-Normal10"/>
              <w:spacing w:after="0" w:line="240" w:lineRule="auto"/>
              <w:rPr>
                <w:noProof/>
              </w:rPr>
            </w:pPr>
            <w:r>
              <w:rPr>
                <w:noProof/>
              </w:rPr>
              <w:t>b) vēža ārstēšanas digitālās pārveides programma, tostarp: pacientu reģistri, Vēža ārstēšanas informācijas sistēma (tostarp terapeitiskie protokoli ķīmijterapijai, no kuriem 36 jau tiek izstrādāti un uzstādīti vismaz 8 slimnīcās), valsts vēža reģistra ieviešana/izveidošana,</w:t>
            </w:r>
          </w:p>
          <w:p w14:paraId="39AC948A" w14:textId="1AF8F0F2" w:rsidR="00CB0FCB" w:rsidRDefault="00CB0FCB">
            <w:pPr>
              <w:spacing w:after="0" w:line="240" w:lineRule="auto"/>
              <w:rPr>
                <w:noProof/>
                <w:color w:val="006100"/>
                <w:sz w:val="18"/>
                <w:szCs w:val="18"/>
              </w:rPr>
            </w:pPr>
          </w:p>
          <w:p w14:paraId="2CCB4E72" w14:textId="0AAC6E52" w:rsidR="00CB0FCB" w:rsidRDefault="009D2B11">
            <w:pPr>
              <w:pStyle w:val="P68B1DB1-Normal10"/>
              <w:spacing w:after="0" w:line="240" w:lineRule="auto"/>
              <w:rPr>
                <w:rFonts w:eastAsia="Times New Roman" w:cs="Calibri"/>
                <w:noProof/>
              </w:rPr>
            </w:pPr>
            <w:r>
              <w:rPr>
                <w:noProof/>
              </w:rPr>
              <w:t xml:space="preserve">C) Valsts telemedicīnas tīkla jaudas palielināšana, tostarp telemedicīnas staciju, jaunas infrastruktūras, rīku, </w:t>
            </w:r>
          </w:p>
          <w:p w14:paraId="0F6A0647" w14:textId="1653BB3A" w:rsidR="00CB0FCB" w:rsidRDefault="00CB0FCB">
            <w:pPr>
              <w:spacing w:after="0" w:line="240" w:lineRule="auto"/>
              <w:rPr>
                <w:noProof/>
                <w:color w:val="006100"/>
                <w:sz w:val="18"/>
                <w:szCs w:val="18"/>
              </w:rPr>
            </w:pPr>
          </w:p>
          <w:p w14:paraId="0E8D3CDD" w14:textId="69BA72CD" w:rsidR="00CB0FCB" w:rsidRDefault="009D2B11">
            <w:pPr>
              <w:pStyle w:val="P68B1DB1-Normal10"/>
              <w:spacing w:after="0" w:line="240" w:lineRule="auto"/>
              <w:rPr>
                <w:rFonts w:eastAsia="Times New Roman" w:cs="Calibri"/>
                <w:noProof/>
              </w:rPr>
            </w:pPr>
            <w:r>
              <w:rPr>
                <w:noProof/>
              </w:rPr>
              <w:t xml:space="preserve">slimnīcu digitālā gatavība, tostarp: izveidot elektronisko medicīnisko karšu sistēmas, medicīnisko iekārtu inventarizāciju, DRG sadarbspēju, e-pasūtījumus stacionāriem pacientiem, lai tos piemērotu esošajos terapeitiskajos protokolos slimnīcu vidē, sadarbspējas īstenošanu ar valsts e-iecelšanas sistēmu, valsts neatliekamās palīdzības centra (EKAB) un zāļu aģentūras (EOF) digitālo modernizāciju, </w:t>
            </w:r>
          </w:p>
          <w:p w14:paraId="0A4C3C70" w14:textId="4C8863DE" w:rsidR="00CB0FCB" w:rsidRDefault="00CB0FCB">
            <w:pPr>
              <w:spacing w:after="0" w:line="240" w:lineRule="auto"/>
              <w:rPr>
                <w:noProof/>
                <w:color w:val="006100"/>
                <w:sz w:val="18"/>
                <w:szCs w:val="18"/>
              </w:rPr>
            </w:pPr>
          </w:p>
          <w:p w14:paraId="5B64AEC5" w14:textId="78E780E3" w:rsidR="00CB0FCB" w:rsidRDefault="009D2B11">
            <w:pPr>
              <w:pStyle w:val="P68B1DB1-Normal10"/>
              <w:spacing w:after="0" w:line="240" w:lineRule="auto"/>
              <w:rPr>
                <w:rFonts w:eastAsia="Times New Roman" w:cs="Calibri"/>
                <w:noProof/>
              </w:rPr>
            </w:pPr>
            <w:r>
              <w:rPr>
                <w:noProof/>
              </w:rPr>
              <w:t>e) integrētā EOPYY (Valsts veselības pakalpojumu sniegšanas organizācija) informācijas sistēma, izdevumu pārvaldība un uzraudzība, digitālie pakalpojumi veselības aprūpes sniedzējiem un iedzīvotājiem, datu pārvaldība, analītika un 250 uzņēmumu resursu plānošanas (ERP) licenču sadarbspēja un iegāde finanšu pārvaldības sistēmai un tīrvērtei;</w:t>
            </w:r>
          </w:p>
        </w:tc>
      </w:tr>
    </w:tbl>
    <w:p w14:paraId="5C6054FB" w14:textId="77777777" w:rsidR="00CB0FCB" w:rsidRDefault="00CB0FCB">
      <w:pPr>
        <w:spacing w:before="120" w:after="120" w:line="240" w:lineRule="auto"/>
        <w:jc w:val="both"/>
        <w:rPr>
          <w:rFonts w:ascii="Times New Roman" w:hAnsi="Times New Roman" w:cs="Times New Roman"/>
          <w:noProof/>
          <w:sz w:val="24"/>
        </w:rPr>
        <w:sectPr w:rsidR="00CB0FCB" w:rsidSect="00271D33">
          <w:headerReference w:type="even" r:id="rId181"/>
          <w:headerReference w:type="default" r:id="rId182"/>
          <w:footerReference w:type="even" r:id="rId183"/>
          <w:footerReference w:type="default" r:id="rId184"/>
          <w:headerReference w:type="first" r:id="rId185"/>
          <w:footerReference w:type="first" r:id="rId186"/>
          <w:pgSz w:w="16839" w:h="11907" w:orient="landscape"/>
          <w:pgMar w:top="720" w:right="720" w:bottom="720" w:left="720" w:header="709" w:footer="217" w:gutter="0"/>
          <w:cols w:space="720"/>
          <w:docGrid w:linePitch="360"/>
        </w:sectPr>
      </w:pPr>
    </w:p>
    <w:p w14:paraId="76A8F673" w14:textId="77777777" w:rsidR="00CB0FCB" w:rsidRDefault="009D2B11">
      <w:pPr>
        <w:pStyle w:val="P68B1DB1-Normal2"/>
        <w:spacing w:before="120" w:after="120" w:line="240" w:lineRule="auto"/>
        <w:ind w:firstLine="6"/>
        <w:jc w:val="both"/>
        <w:outlineLvl w:val="3"/>
        <w:rPr>
          <w:rFonts w:cs="Times New Roman"/>
          <w:noProof/>
          <w:szCs w:val="24"/>
        </w:rPr>
      </w:pPr>
      <w:r>
        <w:rPr>
          <w:noProof/>
        </w:rPr>
        <w:t>K. 3.4. KOMPONENTS: PIEKĻUVES PALIELINĀŠANA EFEKTĪVAI UN IEKĻAUJOŠAI SOCIĀLAJAI POLITIKAI</w:t>
      </w:r>
    </w:p>
    <w:p w14:paraId="4B038EBD" w14:textId="77777777" w:rsidR="00CB0FCB" w:rsidRDefault="009D2B11">
      <w:pPr>
        <w:pStyle w:val="P68B1DB1-Normal4"/>
        <w:spacing w:before="120" w:after="120" w:line="240" w:lineRule="auto"/>
        <w:jc w:val="both"/>
        <w:rPr>
          <w:rFonts w:cs="Times New Roman"/>
          <w:noProof/>
          <w:szCs w:val="24"/>
        </w:rPr>
      </w:pPr>
      <w:r>
        <w:rPr>
          <w:noProof/>
        </w:rPr>
        <w:t>Šā Grieķijas atveseļošanas un noregulējuma plāna komponenta mērķis ir veicināt sociālo iekļaušanu, īpašu uzmanību pievēršot neaizsargātām grupām, vienlaikus atbalstot sieviešu līdzdalību darba tirgū. Liela daļa komponenta ir veltīta agrīnajai pirmsskolas izglītībai un aprūpei, jo īpaši subsīdiju veidā 1000 jaunu bērnu aprūpes vienību izveidei pašvaldībās. Plāns arī ļauj veikt darba tirgus aktivizēšanas pasākumus neaizsargātām grupām, tostarp garantēto minimālo ienākumu saņēmējiem, bēgļiem, bezpajumtniekiem, romiem un cilvēkiem, kas cieš no autisma spektra traucējumiem. Plāna galvenie elementi ir arī plaša mēroga apmācības programma mazajiem uzņēmumiem par daudzveidības apzināšanos un vairāki nelieli izmēģinājuma projekti, piemēram, par bērnu deinstitucionalizāciju, atbalstu personām ar invaliditāti un sociālajiem mājokļiem.</w:t>
      </w:r>
      <w:r>
        <w:rPr>
          <w:noProof/>
          <w:color w:val="000000"/>
          <w:shd w:val="clear" w:color="auto" w:fill="FFFFFF"/>
        </w:rPr>
        <w:t xml:space="preserve"> Komponents atbilst konkrētai valstij adresētajiem ieteikumiem par darba tirgu un sociālo politiku (2020. gada konkrētai valstij adresētie ieteikumi Nr. 2 un 2019. gada 1. ieteikumu) un par investīcijām (2020. gada konkrētai valstij adresētie ieteikumi Nr. 3 un 2019. gada 2. ieteikums). </w:t>
      </w:r>
      <w:r>
        <w:rPr>
          <w:noProof/>
        </w:rPr>
        <w:t>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6287D754" w14:textId="77777777" w:rsidR="00CB0FCB" w:rsidRDefault="009D2B11">
      <w:pPr>
        <w:spacing w:before="120" w:after="120" w:line="240" w:lineRule="auto"/>
        <w:jc w:val="both"/>
        <w:rPr>
          <w:rFonts w:ascii="Times New Roman" w:hAnsi="Times New Roman" w:cs="Times New Roman"/>
          <w:b/>
          <w:i/>
          <w:noProof/>
          <w:color w:val="4F81BD"/>
          <w:sz w:val="24"/>
          <w:szCs w:val="24"/>
        </w:rPr>
      </w:pPr>
      <w:r>
        <w:rPr>
          <w:rFonts w:ascii="Times New Roman" w:hAnsi="Times New Roman"/>
          <w:b/>
          <w:noProof/>
          <w:sz w:val="24"/>
          <w:u w:val="single"/>
        </w:rPr>
        <w:t xml:space="preserve">K.1. </w:t>
      </w:r>
      <w:r>
        <w:rPr>
          <w:noProof/>
        </w:rPr>
        <w:t xml:space="preserve"> </w:t>
      </w:r>
      <w:r>
        <w:rPr>
          <w:rFonts w:ascii="Times New Roman" w:hAnsi="Times New Roman"/>
          <w:b/>
          <w:noProof/>
          <w:sz w:val="24"/>
          <w:u w:val="single"/>
        </w:rPr>
        <w:t>Reformu un investīciju apraksts neatmaksājamam finansiālajam atbalstam</w:t>
      </w:r>
    </w:p>
    <w:p w14:paraId="105C9639" w14:textId="77777777" w:rsidR="00CB0FCB" w:rsidRDefault="009D2B11">
      <w:pPr>
        <w:pStyle w:val="P68B1DB1-Normal4"/>
        <w:spacing w:before="120" w:after="120" w:line="240" w:lineRule="auto"/>
        <w:jc w:val="both"/>
        <w:rPr>
          <w:rFonts w:cs="Times New Roman"/>
          <w:noProof/>
          <w:szCs w:val="24"/>
        </w:rPr>
      </w:pPr>
      <w:r>
        <w:rPr>
          <w:b/>
          <w:noProof/>
        </w:rPr>
        <w:t xml:space="preserve">Reforma: </w:t>
      </w:r>
      <w:r>
        <w:rPr>
          <w:noProof/>
        </w:rPr>
        <w:t>Bērnu aizsardzība (pasākuma ID: 16919)</w:t>
      </w:r>
    </w:p>
    <w:p w14:paraId="4AFBC0FA" w14:textId="15BDF6C8" w:rsidR="00CB0FCB" w:rsidRDefault="009D2B11">
      <w:pPr>
        <w:pStyle w:val="P68B1DB1-Normal4"/>
        <w:spacing w:before="120" w:after="120" w:line="240" w:lineRule="auto"/>
        <w:jc w:val="both"/>
        <w:rPr>
          <w:rFonts w:cs="Times New Roman"/>
          <w:noProof/>
          <w:szCs w:val="24"/>
        </w:rPr>
      </w:pPr>
      <w:r>
        <w:rPr>
          <w:noProof/>
        </w:rPr>
        <w:t>Pasākums ietver investīcijas, kas ļauj a) līdz 26 gadiem vecus jauniešus pārcelt no bērnu aizsardzības vienībām (CPU) uz atbalstītiem neatkarīgiem dzīvokļiem ar mērķi deinstitucionalizēt, veidot prasmes un uzlabot nodarbināmību; un b) zinātnes, tehnoloģiju, inženierzinātņu un matemātikas (STEM) radošo darbību centru izveide bērniem vecumā no 12 līdz 15 gadiem. Reformas un investīciju īstenošanu pabeidz līdz 2025. gada 31. decembrim.</w:t>
      </w:r>
    </w:p>
    <w:p w14:paraId="3727207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Invaliditāte (pasākuma ID: 16904)</w:t>
      </w:r>
    </w:p>
    <w:p w14:paraId="731579C7" w14:textId="33B101BE" w:rsidR="00CB0FCB" w:rsidRDefault="009D2B11">
      <w:pPr>
        <w:pStyle w:val="P68B1DB1-Normal4"/>
        <w:spacing w:before="120" w:after="120" w:line="240" w:lineRule="auto"/>
        <w:jc w:val="both"/>
        <w:rPr>
          <w:rFonts w:cs="Times New Roman"/>
          <w:noProof/>
        </w:rPr>
      </w:pPr>
      <w:r>
        <w:rPr>
          <w:noProof/>
        </w:rPr>
        <w:t>Reforma sastāv no diviem apakšprojektiem, kuru mērķis ir uzlabot sociālo iekļaušanu, neatkarīgu dzīvi, nodarbināmību un agrīno pirmsskolas intervenci personām ar invaliditāti. Šie apakšprojekti jo īpaši attiecas uz a) neatkarīgas dzīves uzlabošanu personām ar invaliditāti, piekļūstamību un atbalsta infrastruktūru personām ar mobilitātes traucējumiem un maņu orgānu traucējumiem, neatkarīgu dzīves palīdzību personām ar invaliditāti, tostarp atbilstības novērtēšanas procesu, kura pamatā ir gan medicīnisks, gan funkcionāls invaliditātes novērtējums, ko veic daudzdisciplīnu izvērtēšanas komiteja: sākotnējā izmēģinājuma programma un tai sekojošā valsts mēroga izvēršana; b) atbalsts agrīnās bērnības intervencēm (izmēģinājuma programma). Reformas īstenošanu pabeidz līdz 2025. gada 31. decembrim.</w:t>
      </w:r>
    </w:p>
    <w:p w14:paraId="7E018482" w14:textId="77777777" w:rsidR="00CB0FCB" w:rsidRDefault="009D2B11">
      <w:pPr>
        <w:pStyle w:val="P68B1DB1-Normal4"/>
        <w:rPr>
          <w:b/>
          <w:noProof/>
        </w:rPr>
      </w:pPr>
      <w:r>
        <w:rPr>
          <w:noProof/>
        </w:rPr>
        <w:br w:type="page"/>
      </w:r>
    </w:p>
    <w:p w14:paraId="19EDAD7F" w14:textId="4F7CB390" w:rsidR="00CB0FCB" w:rsidRDefault="009D2B11">
      <w:pPr>
        <w:pStyle w:val="P68B1DB1-Normal4"/>
        <w:spacing w:before="120" w:after="120" w:line="240" w:lineRule="auto"/>
        <w:jc w:val="both"/>
        <w:rPr>
          <w:rFonts w:cs="Times New Roman"/>
          <w:noProof/>
        </w:rPr>
      </w:pPr>
      <w:r>
        <w:rPr>
          <w:b/>
          <w:noProof/>
        </w:rPr>
        <w:t>Ieguldījums:</w:t>
      </w:r>
      <w:r>
        <w:rPr>
          <w:noProof/>
        </w:rPr>
        <w:t xml:space="preserve"> Sociālā integrācija (pasākuma ID: 16922)</w:t>
      </w:r>
    </w:p>
    <w:p w14:paraId="4E25B1AF" w14:textId="77777777" w:rsidR="00CB0FCB" w:rsidRDefault="009D2B11">
      <w:pPr>
        <w:pStyle w:val="P68B1DB1-Normal4"/>
        <w:spacing w:before="120" w:after="120" w:line="240" w:lineRule="auto"/>
        <w:jc w:val="both"/>
        <w:rPr>
          <w:rFonts w:cs="Times New Roman"/>
          <w:noProof/>
        </w:rPr>
      </w:pPr>
      <w:r>
        <w:rPr>
          <w:noProof/>
        </w:rPr>
        <w:t>Šo ieguldījumu veido trīs apakšprojekti:</w:t>
      </w:r>
    </w:p>
    <w:p w14:paraId="171E6A88" w14:textId="1AE047D1" w:rsidR="00CB0FCB" w:rsidRDefault="009D2B11">
      <w:pPr>
        <w:pStyle w:val="P68B1DB1-Normal4"/>
        <w:numPr>
          <w:ilvl w:val="0"/>
          <w:numId w:val="66"/>
        </w:numPr>
        <w:spacing w:before="120" w:after="120" w:line="240" w:lineRule="auto"/>
        <w:ind w:left="426" w:hanging="426"/>
        <w:jc w:val="both"/>
        <w:rPr>
          <w:rFonts w:cs="Times New Roman"/>
          <w:noProof/>
        </w:rPr>
      </w:pPr>
      <w:r>
        <w:rPr>
          <w:noProof/>
        </w:rPr>
        <w:t>Visneaizsargātāko grupu sociālā reintegrācija ir vērsta uz visneaizsargātāko grupu (garantētu minimālo ienākumu saņēmēju un bezpajumtnieku) atbalstu, lai panāktu viņu (re)integrāciju darba tirgū.</w:t>
      </w:r>
    </w:p>
    <w:p w14:paraId="04E9A2B9" w14:textId="77777777" w:rsidR="00CB0FCB" w:rsidRDefault="009D2B11">
      <w:pPr>
        <w:pStyle w:val="P68B1DB1-Normal4"/>
        <w:numPr>
          <w:ilvl w:val="0"/>
          <w:numId w:val="66"/>
        </w:numPr>
        <w:spacing w:before="120" w:after="120" w:line="240" w:lineRule="auto"/>
        <w:ind w:left="426" w:hanging="426"/>
        <w:jc w:val="both"/>
        <w:rPr>
          <w:rFonts w:cs="Times New Roman"/>
          <w:noProof/>
        </w:rPr>
      </w:pPr>
      <w:r>
        <w:rPr>
          <w:noProof/>
        </w:rPr>
        <w:t xml:space="preserve">Vecāka gadagājuma cilvēku un personu ar invaliditāti digitālā apmācība ietver vecāka gadagājuma cilvēku un personu ar invaliditāti paziņas, iepazīšanas un izglītošanas programmas jauno tehnoloģiju jomā, galvenokārt digitālās informācijas, komunikācijas un interneta un sociālo mediju prasmju ziņā (piemēram, veikt elektroniskus maksājumus, iesniegt pieteikumus, izmantojot digitālās platformas, izmantot sociālos plašsaziņas līdzekļus). </w:t>
      </w:r>
    </w:p>
    <w:p w14:paraId="12145958" w14:textId="77777777" w:rsidR="00CB0FCB" w:rsidRDefault="009D2B11">
      <w:pPr>
        <w:pStyle w:val="P68B1DB1-Normal4"/>
        <w:numPr>
          <w:ilvl w:val="0"/>
          <w:numId w:val="66"/>
        </w:numPr>
        <w:spacing w:before="120" w:after="120" w:line="240" w:lineRule="auto"/>
        <w:ind w:left="426" w:hanging="426"/>
        <w:jc w:val="both"/>
        <w:rPr>
          <w:rFonts w:cs="Times New Roman"/>
          <w:noProof/>
        </w:rPr>
      </w:pPr>
      <w:r>
        <w:rPr>
          <w:noProof/>
        </w:rPr>
        <w:t>Sociālie mājokļi ir vērsti uz mājokļa atbalsta sniegšanu visneaizsargātākajām grupām, kurām draud bezpajumtniecība vai kuras saskaras ar bezpajumtniecību.</w:t>
      </w:r>
    </w:p>
    <w:p w14:paraId="31B4390C" w14:textId="77777777" w:rsidR="00CB0FCB" w:rsidRDefault="009D2B11">
      <w:pPr>
        <w:pStyle w:val="P68B1DB1-Normal4"/>
        <w:spacing w:before="120" w:after="120" w:line="240" w:lineRule="auto"/>
        <w:jc w:val="both"/>
        <w:rPr>
          <w:rFonts w:cs="Times New Roman"/>
          <w:noProof/>
        </w:rPr>
      </w:pPr>
      <w:r>
        <w:rPr>
          <w:noProof/>
        </w:rPr>
        <w:t>Reformas īstenošanu pabeidz līdz 2025. gada 31. decembrim.</w:t>
      </w:r>
    </w:p>
    <w:p w14:paraId="69FD3E0D"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Sociālā atbalsta sistēmas digitālā pārveide (pasākuma ID: 16925)</w:t>
      </w:r>
    </w:p>
    <w:p w14:paraId="33425782" w14:textId="292FE78E" w:rsidR="00CB0FCB" w:rsidRDefault="009D2B11">
      <w:pPr>
        <w:pStyle w:val="P68B1DB1-Normal4"/>
        <w:spacing w:before="120" w:after="120" w:line="240" w:lineRule="auto"/>
        <w:jc w:val="both"/>
        <w:rPr>
          <w:rFonts w:cs="Times New Roman"/>
          <w:noProof/>
        </w:rPr>
      </w:pPr>
      <w:r>
        <w:rPr>
          <w:noProof/>
        </w:rPr>
        <w:t>Investīcija izstrādā digitālos rīkus, kas ļauj: 1) vienkāršot iedzīvotāju piekļuvi sociālās aprūpes pakalpojumiem un pabalstiem, īpašu uzmanību pievēršot personām ar invaliditāti, 2) labāk apzināt vajadzības, lai izvairītos no resursu izšķērdēšanas un pēc iespējas taisnīgāk sadalīt sociālās palīdzības budžetu, 3) efektīvāk uzraudzīt valsts un privātos sociālās aprūpes sniedzējus.</w:t>
      </w:r>
    </w:p>
    <w:p w14:paraId="1323E774" w14:textId="141208F6" w:rsidR="00CB0FCB" w:rsidRDefault="009D2B11">
      <w:pPr>
        <w:pStyle w:val="P68B1DB1-Normal4"/>
        <w:spacing w:before="120" w:after="120" w:line="240" w:lineRule="auto"/>
        <w:jc w:val="both"/>
        <w:rPr>
          <w:rFonts w:cs="Times New Roman"/>
          <w:noProof/>
          <w:szCs w:val="24"/>
        </w:rPr>
      </w:pPr>
      <w:r>
        <w:rPr>
          <w:noProof/>
        </w:rPr>
        <w:t>Ieguldījumu veido šādi apakšprojekti: vienota digitālās piekļuves portāla sociālajai aizsardzībai izveide, integrējot esošās sociālās palīdzības naudas pabalstu elektroniskās pieteikuma veidlapas vienotā digitālā portālā; b) vienas pieturas aģentūras invaliditātes pabalstu valsts portāla izveide, kas ļautu saņēmējiem tiešsaistē piekļūt personas datiem un pabalstiem un izsniegt sertifikātus; C) personām ar invaliditāti paredzētas kartes izveide; vienotās labklājības pabalstu iestādes (OPEKA) digitālā pārveide; ar sociālās aizsardzības pakalpojumiem saistītā publiskā nekustamā īpašuma pilna saraksta izveide. Investīciju īstenošanu pabeidz līdz 2025. gada 31. decembrim.</w:t>
      </w:r>
    </w:p>
    <w:p w14:paraId="6372FCB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Sociālo pabalstu optimizācija (pasākuma ID: 16726)</w:t>
      </w:r>
    </w:p>
    <w:p w14:paraId="4D5605CB" w14:textId="77777777" w:rsidR="00CB0FCB" w:rsidRDefault="009D2B11">
      <w:pPr>
        <w:pStyle w:val="P68B1DB1-Normal4"/>
        <w:spacing w:before="120" w:after="120" w:line="240" w:lineRule="auto"/>
        <w:jc w:val="both"/>
        <w:rPr>
          <w:rFonts w:cs="Times New Roman"/>
          <w:noProof/>
        </w:rPr>
      </w:pPr>
      <w:r>
        <w:rPr>
          <w:noProof/>
        </w:rPr>
        <w:t xml:space="preserve">Reforma sastāv no šādiem elementiem: </w:t>
      </w:r>
    </w:p>
    <w:p w14:paraId="78292C9C" w14:textId="727BCF0E" w:rsidR="00CB0FCB" w:rsidRDefault="009D2B11">
      <w:pPr>
        <w:pStyle w:val="P68B1DB1-Normal4"/>
        <w:numPr>
          <w:ilvl w:val="0"/>
          <w:numId w:val="67"/>
        </w:numPr>
        <w:spacing w:before="120" w:after="120" w:line="240" w:lineRule="auto"/>
        <w:ind w:left="426" w:hanging="426"/>
        <w:jc w:val="both"/>
        <w:rPr>
          <w:rFonts w:cs="Times New Roman"/>
          <w:noProof/>
          <w:szCs w:val="24"/>
        </w:rPr>
      </w:pPr>
      <w:r>
        <w:rPr>
          <w:noProof/>
        </w:rPr>
        <w:t xml:space="preserve">Priekšapmaksas karšu ieviešana, lai izmaksātu lielāko daļu sociālo pabalstu, ko nodrošina Vienotā labklājības pabalstu maksājumu iestāde (OPEKA) un Valsts nodarbinātības dienests (DYPA) </w:t>
      </w:r>
    </w:p>
    <w:p w14:paraId="5EA16424" w14:textId="12EE9445" w:rsidR="00CB0FCB" w:rsidRDefault="009D2B11">
      <w:pPr>
        <w:pStyle w:val="P68B1DB1-Normal4"/>
        <w:numPr>
          <w:ilvl w:val="0"/>
          <w:numId w:val="67"/>
        </w:numPr>
        <w:spacing w:before="120" w:after="120" w:line="240" w:lineRule="auto"/>
        <w:ind w:left="426" w:hanging="426"/>
        <w:jc w:val="both"/>
        <w:rPr>
          <w:rFonts w:cs="Times New Roman"/>
          <w:noProof/>
        </w:rPr>
      </w:pPr>
      <w:r>
        <w:rPr>
          <w:noProof/>
        </w:rPr>
        <w:t xml:space="preserve">Stimulu nodrošināšana saņēmējiem izmantot priekšapmaksas kartes preču un pakalpojumu iegādei </w:t>
      </w:r>
    </w:p>
    <w:p w14:paraId="708BA280" w14:textId="77777777" w:rsidR="00CB0FCB" w:rsidRDefault="009D2B11">
      <w:pPr>
        <w:pStyle w:val="P68B1DB1-Normal4"/>
        <w:spacing w:before="120" w:after="120" w:line="240" w:lineRule="auto"/>
        <w:jc w:val="both"/>
        <w:rPr>
          <w:rFonts w:cs="Times New Roman"/>
          <w:noProof/>
        </w:rPr>
      </w:pPr>
      <w:r>
        <w:rPr>
          <w:noProof/>
        </w:rPr>
        <w:t>Reformas īstenošanu pabeidz līdz 2025. gada 31. decembrim.</w:t>
      </w:r>
    </w:p>
    <w:p w14:paraId="37E5F825"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Informētība par daudzveidību (pasākuma ID: 16685)</w:t>
      </w:r>
    </w:p>
    <w:p w14:paraId="331A8513" w14:textId="4C1C4A73" w:rsidR="00CB0FCB" w:rsidRDefault="009D2B11">
      <w:pPr>
        <w:pStyle w:val="P68B1DB1-Normal4"/>
        <w:spacing w:before="120" w:after="120" w:line="240" w:lineRule="auto"/>
        <w:jc w:val="both"/>
        <w:rPr>
          <w:noProof/>
        </w:rPr>
      </w:pPr>
      <w:r>
        <w:rPr>
          <w:noProof/>
        </w:rPr>
        <w:t xml:space="preserve">Ieguldījumu veido divi savstarpēji saistīti apakšprojekti, kuru mērķis ir palielināt informētību par daudzveidību: izstrādāt un īstenot dažādības apmācības programmas privātā sektora darbiniekiem, lai apkarotu diskrimināciju pret visām daudzveidības dimensijām darbavietā; un b) konkrēta mehānisma izstrāde, lai vāktu atbilstīgus statistikas datus par līdztiesību un diskrimināciju. </w:t>
      </w:r>
    </w:p>
    <w:p w14:paraId="6D2239AC" w14:textId="4897C818" w:rsidR="00CB0FCB" w:rsidRDefault="009D2B11">
      <w:pPr>
        <w:pStyle w:val="P68B1DB1-Normal4"/>
        <w:spacing w:before="120" w:after="120" w:line="240" w:lineRule="auto"/>
        <w:jc w:val="both"/>
        <w:rPr>
          <w:b/>
          <w:noProof/>
        </w:rPr>
      </w:pPr>
      <w:r>
        <w:rPr>
          <w:noProof/>
        </w:rPr>
        <w:t>Ir jāpalielina Līdztiesības novērošanas centra — Darba un sociālo lietu ministrijas struktūrvienības — loma, lai sagatavotu visaptverošus ziņojumus, kuros novērtēts pašreizējais stāvoklis vienlīdzīgu iespēju jomā. Turklāt jāizstrādā sertifikācijas mehānisms un piešķiršanas sistēma uzņēmumiem/organizācijām, kas veicina labu daudzveidības un iekļaušanas praksi. Reformas un investīciju īstenošanu pabeidz līdz 2025. gada 31. martam.</w:t>
      </w:r>
    </w:p>
    <w:p w14:paraId="48DDA5A2"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Veicināt bēgļu integrāciju darba tirgū (pasākums ID: 16688)</w:t>
      </w:r>
    </w:p>
    <w:p w14:paraId="7A28241F" w14:textId="417A62E0" w:rsidR="00CB0FCB" w:rsidRDefault="009D2B11">
      <w:pPr>
        <w:pStyle w:val="P68B1DB1-Normal4"/>
        <w:spacing w:before="120" w:after="0" w:line="240" w:lineRule="auto"/>
        <w:jc w:val="both"/>
        <w:rPr>
          <w:rFonts w:cs="Times New Roman"/>
          <w:noProof/>
          <w:szCs w:val="24"/>
        </w:rPr>
      </w:pPr>
      <w:r>
        <w:rPr>
          <w:noProof/>
        </w:rPr>
        <w:t>Ieguldījuma mērķis ir veicināt bēgļu integrāciju darba tirgū. To panāk, īstenojot profesionālo apmācību un stažēšanos, kas palīdz bēgļiem, konkrētiem bēgļiem, tostarp atzītiem bēgļiem (starptautiskās aizsardzības saņēmējiem), kuri uzturas vai nu Migrācijas un patvēruma ministrijas izmitināšanas vietās, vai pilsētas teritorijā, pagaidu aizsardzības saņēmējiem un tādējādi arī ukraiņiem, likumīgajiem iedzīvotājiem (likumīgajiem migrantiem) un patvēruma meklētājiem pirmsintegrācijas kontekstā integrēties darba tirgū. Investīciju īstenošanu pabeidz līdz 2025. gada 31. decembrim.</w:t>
      </w:r>
    </w:p>
    <w:p w14:paraId="70FEA528"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Imigrācijas un patvēruma sistēmas digitālā pārveide (pasākuma ID: 16763)</w:t>
      </w:r>
    </w:p>
    <w:p w14:paraId="7412DEF2" w14:textId="77777777" w:rsidR="00CB0FCB" w:rsidRDefault="009D2B11">
      <w:pPr>
        <w:pStyle w:val="P68B1DB1-Normal4"/>
        <w:spacing w:before="120" w:after="120" w:line="240" w:lineRule="auto"/>
        <w:jc w:val="both"/>
        <w:rPr>
          <w:rFonts w:cs="Times New Roman"/>
          <w:noProof/>
        </w:rPr>
      </w:pPr>
      <w:r>
        <w:rPr>
          <w:noProof/>
        </w:rPr>
        <w:t>Ieguldījumu īstenošana nodrošina ievērojami labāku pakalpojumu kvalitāti attiecīgajiem saņēmējiem. Ar migrācijas un patvēruma sistēmas digitalizāciju risina šādus būtiskus jautājumus:</w:t>
      </w:r>
    </w:p>
    <w:p w14:paraId="12FFEE04" w14:textId="77777777" w:rsidR="00CB0FCB" w:rsidRDefault="009D2B11">
      <w:pPr>
        <w:pStyle w:val="P68B1DB1-Normal4"/>
        <w:numPr>
          <w:ilvl w:val="0"/>
          <w:numId w:val="68"/>
        </w:numPr>
        <w:spacing w:before="120" w:after="120" w:line="240" w:lineRule="auto"/>
        <w:ind w:left="426" w:hanging="426"/>
        <w:jc w:val="both"/>
        <w:rPr>
          <w:rFonts w:cs="Times New Roman"/>
          <w:noProof/>
        </w:rPr>
      </w:pPr>
      <w:r>
        <w:rPr>
          <w:noProof/>
        </w:rPr>
        <w:t>Ar bēgļu plūsmām saistīto procedūru visa dzīves cikla vienota pārvaldība no pirmās uzņemšanas līdz patvēruma lietas izskatīšanas pabeigšanai,</w:t>
      </w:r>
    </w:p>
    <w:p w14:paraId="7F5ACBEB" w14:textId="77777777" w:rsidR="00CB0FCB" w:rsidRDefault="009D2B11">
      <w:pPr>
        <w:pStyle w:val="P68B1DB1-Normal4"/>
        <w:numPr>
          <w:ilvl w:val="0"/>
          <w:numId w:val="68"/>
        </w:numPr>
        <w:spacing w:before="120" w:after="120" w:line="240" w:lineRule="auto"/>
        <w:ind w:left="426" w:hanging="426"/>
        <w:jc w:val="both"/>
        <w:rPr>
          <w:rFonts w:cs="Times New Roman"/>
          <w:noProof/>
        </w:rPr>
      </w:pPr>
      <w:r>
        <w:rPr>
          <w:noProof/>
        </w:rPr>
        <w:t>Integrēta informācijas vākšana reāllaikā, ko veic visas iesaistītās iestādes,</w:t>
      </w:r>
    </w:p>
    <w:p w14:paraId="594DE69D" w14:textId="0F2FF57B" w:rsidR="00CB0FCB" w:rsidRDefault="009D2B11">
      <w:pPr>
        <w:pStyle w:val="P68B1DB1-Normal4"/>
        <w:numPr>
          <w:ilvl w:val="0"/>
          <w:numId w:val="68"/>
        </w:numPr>
        <w:spacing w:before="120" w:after="120" w:line="240" w:lineRule="auto"/>
        <w:ind w:left="426" w:hanging="426"/>
        <w:jc w:val="both"/>
        <w:rPr>
          <w:rFonts w:cs="Times New Roman"/>
          <w:noProof/>
        </w:rPr>
      </w:pPr>
      <w:r>
        <w:rPr>
          <w:noProof/>
        </w:rPr>
        <w:t xml:space="preserve">Droša un derīga to personu identifikācija, kuras ieceļo valstī, izmantojot procedūras, kas ietver biometrisko datu saņemšanu un viedas personas apliecības izsniegšanu, </w:t>
      </w:r>
    </w:p>
    <w:p w14:paraId="3BF65184" w14:textId="3DE93BD0" w:rsidR="00CB0FCB" w:rsidRDefault="009D2B11">
      <w:pPr>
        <w:pStyle w:val="P68B1DB1-Normal4"/>
        <w:numPr>
          <w:ilvl w:val="0"/>
          <w:numId w:val="68"/>
        </w:numPr>
        <w:spacing w:before="120" w:after="120" w:line="240" w:lineRule="auto"/>
        <w:ind w:left="426" w:hanging="426"/>
        <w:jc w:val="both"/>
        <w:rPr>
          <w:rFonts w:cs="Times New Roman"/>
          <w:noProof/>
        </w:rPr>
      </w:pPr>
      <w:r>
        <w:rPr>
          <w:noProof/>
        </w:rPr>
        <w:t xml:space="preserve">Tīmekļa un mobilā lietotne saziņai un saziņai ar bēgļiem, un </w:t>
      </w:r>
    </w:p>
    <w:p w14:paraId="1E49ED8C" w14:textId="4A7D7911" w:rsidR="00CB0FCB" w:rsidRDefault="009D2B11">
      <w:pPr>
        <w:pStyle w:val="P68B1DB1-Normal4"/>
        <w:numPr>
          <w:ilvl w:val="0"/>
          <w:numId w:val="68"/>
        </w:numPr>
        <w:spacing w:before="120" w:after="120" w:line="240" w:lineRule="auto"/>
        <w:ind w:left="426" w:hanging="426"/>
        <w:jc w:val="both"/>
        <w:rPr>
          <w:rFonts w:cs="Times New Roman"/>
          <w:noProof/>
        </w:rPr>
      </w:pPr>
      <w:r>
        <w:rPr>
          <w:noProof/>
        </w:rPr>
        <w:t xml:space="preserve"> Migrācijas un patvēruma ministrijas kiberdrošības infrastruktūras pakalpojumi informācijas infrastruktūru aizsardzībai</w:t>
      </w:r>
    </w:p>
    <w:p w14:paraId="19325253" w14:textId="77777777" w:rsidR="00CB0FCB" w:rsidRDefault="009D2B11">
      <w:pPr>
        <w:pStyle w:val="P68B1DB1-Normal4"/>
        <w:jc w:val="both"/>
        <w:rPr>
          <w:rFonts w:cs="Times New Roman"/>
          <w:noProof/>
          <w:szCs w:val="24"/>
        </w:rPr>
      </w:pPr>
      <w:r>
        <w:rPr>
          <w:noProof/>
        </w:rPr>
        <w:t xml:space="preserve">Investīcija arī ļauj izveidot integrētu ugunsgrēka atklāšanas un agrīnās brīdināšanas sistēmu Vastrijas meža teritorijā Lesbā, kurā atrodas bēgļu nometne. </w:t>
      </w:r>
    </w:p>
    <w:p w14:paraId="3A8CFD10" w14:textId="77777777" w:rsidR="00CB0FCB" w:rsidRDefault="009D2B11">
      <w:pPr>
        <w:pStyle w:val="P68B1DB1-Normal4"/>
        <w:spacing w:before="120" w:after="120" w:line="240" w:lineRule="auto"/>
        <w:jc w:val="both"/>
        <w:rPr>
          <w:noProof/>
        </w:rPr>
      </w:pPr>
      <w:r>
        <w:rPr>
          <w:noProof/>
        </w:rPr>
        <w:t>Investīciju īstenošanu pabeidz līdz 2024. gada 31. decembrim.</w:t>
      </w:r>
    </w:p>
    <w:p w14:paraId="4DD53085" w14:textId="77777777" w:rsidR="00CB0FCB" w:rsidRDefault="00CB0FCB">
      <w:pPr>
        <w:spacing w:before="120" w:after="120" w:line="240" w:lineRule="auto"/>
        <w:jc w:val="both"/>
        <w:rPr>
          <w:rFonts w:ascii="Times New Roman" w:hAnsi="Times New Roman"/>
          <w:noProof/>
          <w:sz w:val="24"/>
        </w:rPr>
      </w:pPr>
    </w:p>
    <w:p w14:paraId="06B332C4" w14:textId="77777777" w:rsidR="00CB0FCB" w:rsidRDefault="009D2B11">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Reforma:</w:t>
      </w:r>
      <w:r>
        <w:rPr>
          <w:rFonts w:ascii="Times New Roman" w:hAnsi="Times New Roman" w:cs="Times New Roman"/>
          <w:noProof/>
          <w:color w:val="000000" w:themeColor="text1"/>
          <w:sz w:val="24"/>
          <w:szCs w:val="24"/>
        </w:rPr>
        <w:t xml:space="preserve"> </w:t>
      </w:r>
      <w:r>
        <w:rPr>
          <w:rStyle w:val="normaltextrun"/>
          <w:rFonts w:ascii="Times New Roman" w:eastAsiaTheme="minorHAnsi" w:hAnsi="Times New Roman" w:cs="Times New Roman"/>
          <w:noProof/>
          <w:color w:val="000000" w:themeColor="text1"/>
          <w:sz w:val="24"/>
          <w:szCs w:val="24"/>
          <w:bdr w:val="none" w:sz="0" w:space="0" w:color="auto" w:frame="1"/>
        </w:rPr>
        <w:t>Sociālie</w:t>
      </w:r>
      <w:r>
        <w:rPr>
          <w:rFonts w:ascii="Times New Roman" w:hAnsi="Times New Roman" w:cs="Times New Roman"/>
          <w:noProof/>
          <w:color w:val="000000" w:themeColor="text1"/>
          <w:sz w:val="24"/>
          <w:szCs w:val="24"/>
        </w:rPr>
        <w:t xml:space="preserve"> mājokļi un cenas ziņā pieejami mājokļi (pasākuma ID: 16402)</w:t>
      </w:r>
    </w:p>
    <w:p w14:paraId="23AF3184" w14:textId="77777777" w:rsidR="00CB0FCB" w:rsidRDefault="009D2B11">
      <w:pPr>
        <w:pStyle w:val="paragraph"/>
        <w:jc w:val="both"/>
        <w:textAlignment w:val="baseline"/>
        <w:rPr>
          <w:noProof/>
        </w:rPr>
      </w:pPr>
      <w:r>
        <w:rPr>
          <w:noProof/>
        </w:rPr>
        <w:t xml:space="preserve">Reformas mērķis ir palielināt mājsaimniecību ar zemiem ienākumiem piekļuvi cenas ziņā pieejamiem un kvalitatīviem mājokļiem un palielināt sociālo mājokļu pieejamību neaizsargātām grupām. Reformu veido divi elementi: i) valsts mājokļu stratēģijas pieņemšana un ii) tiesību aktu grozījumi Likumā 5006/2022. </w:t>
      </w:r>
    </w:p>
    <w:p w14:paraId="130B6428" w14:textId="37A86305" w:rsidR="00CB0FCB" w:rsidRDefault="009D2B11">
      <w:pPr>
        <w:pStyle w:val="paragraph"/>
        <w:jc w:val="both"/>
        <w:textAlignment w:val="baseline"/>
        <w:rPr>
          <w:noProof/>
        </w:rPr>
      </w:pPr>
      <w:r>
        <w:rPr>
          <w:noProof/>
        </w:rPr>
        <w:t xml:space="preserve">Pirmais elements ir valsts mājokļu stratēģijas pieņemšana, kas ietver mājokļu tirgus darbības analīzi un detalizētu mājokļu vajadzību apzināšanu pa iedzīvotāju segmentiem (t. i., iedzīvotāju grupām ar atšķirīgu kokvalitāti, piemēram, vecumu, izmantojamo ienākumu, ģimenes sastāvu reģionālā līmenī, lauku vai pilsētu teritorijās, mazās pilsētās vai lielās pilsētās), tostarp jauniešiem un ģimenēm ar bērniem. Stratēģiju pieņem pēc sabiedriskās apspriešanas. </w:t>
      </w:r>
    </w:p>
    <w:p w14:paraId="370E05C8" w14:textId="77777777" w:rsidR="00CB0FCB" w:rsidRDefault="009D2B11">
      <w:pPr>
        <w:pStyle w:val="P68B1DB1-PlainText31"/>
        <w:jc w:val="both"/>
        <w:rPr>
          <w:noProof/>
          <w14:ligatures w14:val="none"/>
        </w:rPr>
      </w:pPr>
      <w:r>
        <w:rPr>
          <w:noProof/>
        </w:rPr>
        <w:t xml:space="preserve">Otrais elements ir Likuma 5006/2022 grozīšana. Tiesību aktu grozījumu mērķis ir racionalizēt publiskā īpašuma savstarpējās apmaiņas programmu (“Kinoniki antiparochi”) un stimulēt privātā sektora nekustamā īpašuma attīstītājus ieguldīt sociālos un cenas ziņā pieejamos mājokļos. Privātā nekustamā īpašuma attīstītājus pārredzamā un konkurenciālā procesā uzaicina veikt valstij piederošu nekustamā īpašuma aktīvu izstrādi vai renovāciju. </w:t>
      </w:r>
    </w:p>
    <w:p w14:paraId="3000ACCA" w14:textId="77777777" w:rsidR="00CB0FCB" w:rsidRDefault="00CB0FCB">
      <w:pPr>
        <w:pStyle w:val="PlainText"/>
        <w:jc w:val="both"/>
        <w:rPr>
          <w:rFonts w:ascii="Times New Roman" w:eastAsia="Times New Roman" w:hAnsi="Times New Roman" w:cs="Times New Roman"/>
          <w:noProof/>
          <w:sz w:val="24"/>
          <w:szCs w:val="24"/>
          <w14:ligatures w14:val="none"/>
        </w:rPr>
      </w:pPr>
    </w:p>
    <w:p w14:paraId="24F180C6" w14:textId="77777777" w:rsidR="00CB0FCB" w:rsidRDefault="009D2B11">
      <w:pPr>
        <w:pStyle w:val="P68B1DB1-PlainText31"/>
        <w:jc w:val="both"/>
        <w:rPr>
          <w:noProof/>
        </w:rPr>
      </w:pPr>
      <w:r>
        <w:rPr>
          <w:noProof/>
        </w:rPr>
        <w:t>Reforma nodrošina stimulus privātā sektora nekustamā īpašuma attīstītājiem ieguldīt valsts īpašumā esošu nekustamā īpašuma aktīvu jaunā būvniecībā vai renovācijā, nododot īpašumtiesības uz daļu no izbūvējamajiem īpašumiem un ļaujot tos izmantot, tostarp komerciāliem mērķiem, vienlaikus daļu īpašumu pārvēršot sociālajos un cenas ziņā pieejamos mājokļos. Reformas īstenošanu pabeidz līdz 2026. gada 31. martam.</w:t>
      </w:r>
    </w:p>
    <w:p w14:paraId="5FE5F907" w14:textId="77777777" w:rsidR="00CB0FCB" w:rsidRDefault="00CB0FCB">
      <w:pPr>
        <w:spacing w:after="0" w:line="240" w:lineRule="auto"/>
        <w:rPr>
          <w:rFonts w:ascii="Times New Roman" w:eastAsiaTheme="minorHAnsi" w:hAnsi="Times New Roman" w:cs="Times New Roman"/>
          <w:noProof/>
          <w:sz w:val="24"/>
          <w:szCs w:val="24"/>
        </w:rPr>
        <w:sectPr w:rsidR="00CB0FCB" w:rsidSect="00FD006B">
          <w:headerReference w:type="even" r:id="rId187"/>
          <w:headerReference w:type="default" r:id="rId188"/>
          <w:footerReference w:type="even" r:id="rId189"/>
          <w:footerReference w:type="default" r:id="rId190"/>
          <w:headerReference w:type="first" r:id="rId191"/>
          <w:footerReference w:type="first" r:id="rId192"/>
          <w:pgSz w:w="11906" w:h="16838"/>
          <w:pgMar w:top="1417" w:right="1417" w:bottom="1417" w:left="1417" w:header="708" w:footer="708" w:gutter="0"/>
          <w:cols w:space="720"/>
        </w:sectPr>
      </w:pPr>
    </w:p>
    <w:p w14:paraId="6E898A49" w14:textId="77777777" w:rsidR="00CB0FCB" w:rsidRDefault="009D2B11">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K.2.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2D8B0E3A" w14:textId="77777777" w:rsidR="00CB0FCB" w:rsidRDefault="009D2B11">
      <w:pPr>
        <w:pStyle w:val="P68B1DB1-Normal6"/>
        <w:keepNext/>
        <w:keepLines/>
        <w:spacing w:before="120" w:after="0" w:line="240" w:lineRule="auto"/>
        <w:jc w:val="both"/>
        <w:outlineLvl w:val="4"/>
        <w:rPr>
          <w:rFonts w:eastAsia="Times New Roman"/>
          <w:noProof/>
        </w:rPr>
      </w:pPr>
      <w:r>
        <w:rPr>
          <w:noProof/>
        </w:rPr>
        <w:t>Grupa: Piekļuves palielināšana efektīvai un iekļaujošai sociālajai politikai</w:t>
      </w:r>
    </w:p>
    <w:p w14:paraId="4AAD9CB7" w14:textId="77777777" w:rsidR="00CB0FCB" w:rsidRDefault="009D2B11">
      <w:pPr>
        <w:pStyle w:val="P68B1DB1-Normal4"/>
        <w:numPr>
          <w:ilvl w:val="0"/>
          <w:numId w:val="40"/>
        </w:numPr>
        <w:spacing w:before="120" w:after="0" w:line="240" w:lineRule="auto"/>
        <w:ind w:left="0"/>
        <w:jc w:val="both"/>
        <w:rPr>
          <w:rFonts w:cs="Times New Roman"/>
          <w:noProof/>
        </w:rPr>
      </w:pPr>
      <w:r>
        <w:rPr>
          <w:noProof/>
        </w:rPr>
        <w:t>Bērnu aizsardzība (ID: 16919)</w:t>
      </w:r>
    </w:p>
    <w:p w14:paraId="0161E390" w14:textId="77777777" w:rsidR="00CB0FCB" w:rsidRDefault="009D2B11">
      <w:pPr>
        <w:pStyle w:val="P68B1DB1-Normal4"/>
        <w:numPr>
          <w:ilvl w:val="0"/>
          <w:numId w:val="40"/>
        </w:numPr>
        <w:spacing w:before="120" w:after="0" w:line="240" w:lineRule="auto"/>
        <w:ind w:left="0" w:hanging="357"/>
        <w:jc w:val="both"/>
        <w:rPr>
          <w:rFonts w:cs="Times New Roman"/>
          <w:noProof/>
        </w:rPr>
      </w:pPr>
      <w:r>
        <w:rPr>
          <w:noProof/>
        </w:rPr>
        <w:t>Invaliditāte (ID: 16904)</w:t>
      </w:r>
    </w:p>
    <w:p w14:paraId="2363BEF1" w14:textId="77777777" w:rsidR="00CB0FCB" w:rsidRDefault="009D2B11">
      <w:pPr>
        <w:pStyle w:val="P68B1DB1-Normal4"/>
        <w:numPr>
          <w:ilvl w:val="0"/>
          <w:numId w:val="40"/>
        </w:numPr>
        <w:spacing w:before="120" w:after="0" w:line="240" w:lineRule="auto"/>
        <w:ind w:left="0" w:hanging="357"/>
        <w:jc w:val="both"/>
        <w:rPr>
          <w:rFonts w:cs="Times New Roman"/>
          <w:noProof/>
        </w:rPr>
      </w:pPr>
      <w:r>
        <w:rPr>
          <w:noProof/>
        </w:rPr>
        <w:t>Sociālo pabalstu optimizācija (16726)</w:t>
      </w:r>
    </w:p>
    <w:p w14:paraId="44A0DCCC" w14:textId="77777777" w:rsidR="00CB0FCB" w:rsidRDefault="009D2B11">
      <w:pPr>
        <w:pStyle w:val="P68B1DB1-Normal32"/>
        <w:numPr>
          <w:ilvl w:val="0"/>
          <w:numId w:val="40"/>
        </w:numPr>
        <w:spacing w:before="120" w:after="0" w:line="240" w:lineRule="auto"/>
        <w:ind w:left="0" w:hanging="357"/>
        <w:jc w:val="both"/>
        <w:rPr>
          <w:rFonts w:cs="Times New Roman"/>
          <w:noProof/>
        </w:rPr>
      </w:pPr>
      <w:r>
        <w:rPr>
          <w:noProof/>
        </w:rPr>
        <w:t>Sociālie mājokļi un cenas ziņā pieejami mājokļi (16402)</w:t>
      </w:r>
    </w:p>
    <w:p w14:paraId="6A435AC2" w14:textId="77777777" w:rsidR="00CB0FCB" w:rsidRDefault="00CB0FCB">
      <w:pPr>
        <w:spacing w:before="120" w:after="0" w:line="240" w:lineRule="auto"/>
        <w:jc w:val="both"/>
        <w:rPr>
          <w:rFonts w:ascii="Times New Roman" w:hAnsi="Times New Roman" w:cs="Times New Roman"/>
          <w:noProof/>
          <w:sz w:val="24"/>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992"/>
        <w:gridCol w:w="1273"/>
        <w:gridCol w:w="1680"/>
        <w:gridCol w:w="1080"/>
        <w:gridCol w:w="960"/>
        <w:gridCol w:w="971"/>
        <w:gridCol w:w="1417"/>
        <w:gridCol w:w="709"/>
        <w:gridCol w:w="4384"/>
      </w:tblGrid>
      <w:tr w:rsidR="00CB0FCB" w14:paraId="6C377CB6" w14:textId="77777777">
        <w:trPr>
          <w:trHeight w:val="616"/>
          <w:tblHeader/>
          <w:jc w:val="center"/>
        </w:trPr>
        <w:tc>
          <w:tcPr>
            <w:tcW w:w="1134" w:type="dxa"/>
            <w:vMerge w:val="restart"/>
            <w:shd w:val="clear" w:color="auto" w:fill="BDD7EE"/>
            <w:vAlign w:val="center"/>
            <w:hideMark/>
          </w:tcPr>
          <w:p w14:paraId="34FDA223" w14:textId="77777777" w:rsidR="00CB0FCB" w:rsidRDefault="009D2B11">
            <w:pPr>
              <w:pStyle w:val="P68B1DB1-Normal7"/>
              <w:spacing w:before="120" w:after="0" w:line="240" w:lineRule="auto"/>
              <w:jc w:val="center"/>
              <w:rPr>
                <w:rFonts w:eastAsia="Times New Roman" w:cs="Times New Roman"/>
                <w:bCs/>
                <w:noProof/>
                <w:szCs w:val="18"/>
              </w:rPr>
            </w:pPr>
            <w:r>
              <w:rPr>
                <w:noProof/>
              </w:rPr>
              <w:t>Kārtas numurs</w:t>
            </w:r>
          </w:p>
        </w:tc>
        <w:tc>
          <w:tcPr>
            <w:tcW w:w="1276" w:type="dxa"/>
            <w:vMerge w:val="restart"/>
            <w:shd w:val="clear" w:color="auto" w:fill="BDD7EE"/>
            <w:vAlign w:val="center"/>
            <w:hideMark/>
          </w:tcPr>
          <w:p w14:paraId="0141F482" w14:textId="77777777" w:rsidR="00CB0FCB" w:rsidRDefault="009D2B11">
            <w:pPr>
              <w:pStyle w:val="P68B1DB1-Normal7"/>
              <w:spacing w:before="120" w:after="0" w:line="240" w:lineRule="auto"/>
              <w:jc w:val="center"/>
              <w:rPr>
                <w:rFonts w:eastAsia="Times New Roman" w:cs="Times New Roman"/>
                <w:bCs/>
                <w:noProof/>
                <w:szCs w:val="18"/>
              </w:rPr>
            </w:pPr>
            <w:r>
              <w:rPr>
                <w:noProof/>
              </w:rPr>
              <w:t>Saistītais pasākums (reforma vai ieguldījums)</w:t>
            </w:r>
          </w:p>
        </w:tc>
        <w:tc>
          <w:tcPr>
            <w:tcW w:w="992" w:type="dxa"/>
            <w:vMerge w:val="restart"/>
            <w:shd w:val="clear" w:color="auto" w:fill="BDD7EE"/>
            <w:vAlign w:val="center"/>
            <w:hideMark/>
          </w:tcPr>
          <w:p w14:paraId="5A4DBFE5" w14:textId="77777777" w:rsidR="00CB0FCB" w:rsidRDefault="009D2B11">
            <w:pPr>
              <w:pStyle w:val="P68B1DB1-Normal7"/>
              <w:spacing w:before="120" w:after="0" w:line="240" w:lineRule="auto"/>
              <w:jc w:val="center"/>
              <w:rPr>
                <w:rFonts w:eastAsia="Times New Roman" w:cs="Times New Roman"/>
                <w:bCs/>
                <w:noProof/>
                <w:szCs w:val="18"/>
              </w:rPr>
            </w:pPr>
            <w:r>
              <w:rPr>
                <w:noProof/>
              </w:rPr>
              <w:t>Atskaites punkts/mērķrādītājs</w:t>
            </w:r>
          </w:p>
        </w:tc>
        <w:tc>
          <w:tcPr>
            <w:tcW w:w="1273" w:type="dxa"/>
            <w:vMerge w:val="restart"/>
            <w:shd w:val="clear" w:color="auto" w:fill="BDD7EE"/>
            <w:vAlign w:val="center"/>
            <w:hideMark/>
          </w:tcPr>
          <w:p w14:paraId="73C79586" w14:textId="77777777" w:rsidR="00CB0FCB" w:rsidRDefault="009D2B11">
            <w:pPr>
              <w:pStyle w:val="P68B1DB1-Normal7"/>
              <w:spacing w:before="120" w:after="0" w:line="240" w:lineRule="auto"/>
              <w:jc w:val="center"/>
              <w:rPr>
                <w:rFonts w:eastAsia="Times New Roman" w:cs="Times New Roman"/>
                <w:bCs/>
                <w:noProof/>
                <w:szCs w:val="18"/>
              </w:rPr>
            </w:pPr>
            <w:r>
              <w:rPr>
                <w:noProof/>
              </w:rPr>
              <w:t>Nosaukums</w:t>
            </w:r>
          </w:p>
        </w:tc>
        <w:tc>
          <w:tcPr>
            <w:tcW w:w="1680" w:type="dxa"/>
            <w:vMerge w:val="restart"/>
            <w:shd w:val="clear" w:color="auto" w:fill="BDD7EE"/>
            <w:vAlign w:val="center"/>
            <w:hideMark/>
          </w:tcPr>
          <w:p w14:paraId="4AC0191C" w14:textId="77777777" w:rsidR="00CB0FCB" w:rsidRDefault="009D2B11">
            <w:pPr>
              <w:pStyle w:val="P68B1DB1-Normal7"/>
              <w:spacing w:before="120" w:after="0" w:line="240" w:lineRule="auto"/>
              <w:jc w:val="center"/>
              <w:rPr>
                <w:rFonts w:eastAsia="Times New Roman" w:cs="Times New Roman"/>
                <w:bCs/>
                <w:noProof/>
                <w:szCs w:val="18"/>
              </w:rPr>
            </w:pPr>
            <w:r>
              <w:rPr>
                <w:noProof/>
              </w:rPr>
              <w:t>Kvalitatīvie rādītāji (atskaites punktiem)</w:t>
            </w:r>
          </w:p>
        </w:tc>
        <w:tc>
          <w:tcPr>
            <w:tcW w:w="3011" w:type="dxa"/>
            <w:gridSpan w:val="3"/>
            <w:shd w:val="clear" w:color="auto" w:fill="BDD7EE"/>
            <w:vAlign w:val="center"/>
            <w:hideMark/>
          </w:tcPr>
          <w:p w14:paraId="46902282" w14:textId="77777777" w:rsidR="00CB0FCB" w:rsidRDefault="009D2B11">
            <w:pPr>
              <w:pStyle w:val="P68B1DB1-Normal7"/>
              <w:spacing w:before="120" w:after="0" w:line="240" w:lineRule="auto"/>
              <w:jc w:val="center"/>
              <w:rPr>
                <w:rFonts w:eastAsia="Times New Roman" w:cs="Times New Roman"/>
                <w:bCs/>
                <w:noProof/>
                <w:szCs w:val="18"/>
              </w:rPr>
            </w:pPr>
            <w:r>
              <w:rPr>
                <w:noProof/>
              </w:rPr>
              <w:t>Kvantitatīvie rādītāji (mērķrādītājiem)</w:t>
            </w:r>
          </w:p>
        </w:tc>
        <w:tc>
          <w:tcPr>
            <w:tcW w:w="2126" w:type="dxa"/>
            <w:gridSpan w:val="2"/>
            <w:shd w:val="clear" w:color="auto" w:fill="BDD7EE"/>
            <w:vAlign w:val="center"/>
            <w:hideMark/>
          </w:tcPr>
          <w:p w14:paraId="2288BF2D" w14:textId="77777777" w:rsidR="00CB0FCB" w:rsidRDefault="009D2B11">
            <w:pPr>
              <w:pStyle w:val="P68B1DB1-Normal7"/>
              <w:spacing w:before="120" w:after="0" w:line="240" w:lineRule="auto"/>
              <w:jc w:val="center"/>
              <w:rPr>
                <w:rFonts w:eastAsia="Times New Roman" w:cs="Times New Roman"/>
                <w:bCs/>
                <w:noProof/>
                <w:szCs w:val="18"/>
              </w:rPr>
            </w:pPr>
            <w:r>
              <w:rPr>
                <w:noProof/>
              </w:rPr>
              <w:t xml:space="preserve">Orientējošs pabeigšanas termiņš </w:t>
            </w:r>
          </w:p>
        </w:tc>
        <w:tc>
          <w:tcPr>
            <w:tcW w:w="4384" w:type="dxa"/>
            <w:vMerge w:val="restart"/>
            <w:shd w:val="clear" w:color="auto" w:fill="BDD7EE"/>
            <w:vAlign w:val="center"/>
            <w:hideMark/>
          </w:tcPr>
          <w:p w14:paraId="731AF50A" w14:textId="77777777" w:rsidR="00CB0FCB" w:rsidRDefault="009D2B11">
            <w:pPr>
              <w:pStyle w:val="P68B1DB1-Normal7"/>
              <w:spacing w:before="120" w:after="0" w:line="240" w:lineRule="auto"/>
              <w:jc w:val="center"/>
              <w:rPr>
                <w:rFonts w:eastAsia="Times New Roman" w:cs="Times New Roman"/>
                <w:bCs/>
                <w:noProof/>
                <w:szCs w:val="18"/>
              </w:rPr>
            </w:pPr>
            <w:r>
              <w:rPr>
                <w:noProof/>
              </w:rPr>
              <w:t>Apraksts par katru atskaites punktu un mērķrādītāju</w:t>
            </w:r>
          </w:p>
        </w:tc>
      </w:tr>
      <w:tr w:rsidR="00CB0FCB" w14:paraId="3C49FF37" w14:textId="77777777">
        <w:trPr>
          <w:trHeight w:val="658"/>
          <w:tblHeader/>
          <w:jc w:val="center"/>
        </w:trPr>
        <w:tc>
          <w:tcPr>
            <w:tcW w:w="1134" w:type="dxa"/>
            <w:vMerge/>
            <w:vAlign w:val="center"/>
            <w:hideMark/>
          </w:tcPr>
          <w:p w14:paraId="27B84A87" w14:textId="77777777" w:rsidR="00CB0FCB" w:rsidRDefault="00CB0FCB">
            <w:pPr>
              <w:spacing w:before="120" w:after="0" w:line="240" w:lineRule="auto"/>
              <w:rPr>
                <w:rFonts w:ascii="Times New Roman" w:eastAsia="Times New Roman" w:hAnsi="Times New Roman" w:cs="Times New Roman"/>
                <w:b/>
                <w:bCs/>
                <w:noProof/>
                <w:sz w:val="18"/>
                <w:szCs w:val="18"/>
              </w:rPr>
            </w:pPr>
          </w:p>
        </w:tc>
        <w:tc>
          <w:tcPr>
            <w:tcW w:w="1276" w:type="dxa"/>
            <w:vMerge/>
            <w:vAlign w:val="center"/>
            <w:hideMark/>
          </w:tcPr>
          <w:p w14:paraId="640FF2FC" w14:textId="77777777" w:rsidR="00CB0FCB" w:rsidRDefault="00CB0FCB">
            <w:pPr>
              <w:spacing w:before="120" w:after="0" w:line="240" w:lineRule="auto"/>
              <w:rPr>
                <w:rFonts w:ascii="Times New Roman" w:eastAsia="Times New Roman" w:hAnsi="Times New Roman" w:cs="Times New Roman"/>
                <w:b/>
                <w:bCs/>
                <w:noProof/>
                <w:sz w:val="18"/>
                <w:szCs w:val="18"/>
              </w:rPr>
            </w:pPr>
          </w:p>
        </w:tc>
        <w:tc>
          <w:tcPr>
            <w:tcW w:w="992" w:type="dxa"/>
            <w:vMerge/>
            <w:vAlign w:val="center"/>
            <w:hideMark/>
          </w:tcPr>
          <w:p w14:paraId="52E9947F" w14:textId="77777777" w:rsidR="00CB0FCB" w:rsidRDefault="00CB0FCB">
            <w:pPr>
              <w:spacing w:before="120" w:after="0" w:line="240" w:lineRule="auto"/>
              <w:rPr>
                <w:rFonts w:ascii="Times New Roman" w:eastAsia="Times New Roman" w:hAnsi="Times New Roman" w:cs="Times New Roman"/>
                <w:b/>
                <w:bCs/>
                <w:noProof/>
                <w:sz w:val="18"/>
                <w:szCs w:val="18"/>
              </w:rPr>
            </w:pPr>
          </w:p>
        </w:tc>
        <w:tc>
          <w:tcPr>
            <w:tcW w:w="1273" w:type="dxa"/>
            <w:vMerge/>
            <w:vAlign w:val="center"/>
            <w:hideMark/>
          </w:tcPr>
          <w:p w14:paraId="65F2BC01" w14:textId="77777777" w:rsidR="00CB0FCB" w:rsidRDefault="00CB0FCB">
            <w:pPr>
              <w:spacing w:before="120" w:after="0" w:line="240" w:lineRule="auto"/>
              <w:rPr>
                <w:rFonts w:ascii="Times New Roman" w:eastAsia="Times New Roman" w:hAnsi="Times New Roman" w:cs="Times New Roman"/>
                <w:b/>
                <w:bCs/>
                <w:noProof/>
                <w:sz w:val="18"/>
                <w:szCs w:val="18"/>
              </w:rPr>
            </w:pPr>
          </w:p>
        </w:tc>
        <w:tc>
          <w:tcPr>
            <w:tcW w:w="1680" w:type="dxa"/>
            <w:vMerge/>
            <w:vAlign w:val="center"/>
            <w:hideMark/>
          </w:tcPr>
          <w:p w14:paraId="2C235379" w14:textId="77777777" w:rsidR="00CB0FCB" w:rsidRDefault="00CB0FCB">
            <w:pPr>
              <w:spacing w:before="120" w:after="0" w:line="240" w:lineRule="auto"/>
              <w:rPr>
                <w:rFonts w:ascii="Times New Roman" w:eastAsia="Times New Roman" w:hAnsi="Times New Roman" w:cs="Times New Roman"/>
                <w:b/>
                <w:bCs/>
                <w:noProof/>
                <w:sz w:val="18"/>
                <w:szCs w:val="18"/>
              </w:rPr>
            </w:pPr>
          </w:p>
        </w:tc>
        <w:tc>
          <w:tcPr>
            <w:tcW w:w="1080" w:type="dxa"/>
            <w:shd w:val="clear" w:color="auto" w:fill="BDD7EE"/>
            <w:vAlign w:val="center"/>
            <w:hideMark/>
          </w:tcPr>
          <w:p w14:paraId="62460C04" w14:textId="77777777" w:rsidR="00CB0FCB" w:rsidRDefault="009D2B11">
            <w:pPr>
              <w:pStyle w:val="P68B1DB1-Normal7"/>
              <w:spacing w:before="120" w:after="0" w:line="240" w:lineRule="auto"/>
              <w:jc w:val="center"/>
              <w:rPr>
                <w:rFonts w:eastAsia="Times New Roman" w:cs="Times New Roman"/>
                <w:bCs/>
                <w:noProof/>
                <w:szCs w:val="18"/>
              </w:rPr>
            </w:pPr>
            <w:r>
              <w:rPr>
                <w:noProof/>
              </w:rPr>
              <w:t>Mēra vienība</w:t>
            </w:r>
          </w:p>
        </w:tc>
        <w:tc>
          <w:tcPr>
            <w:tcW w:w="960" w:type="dxa"/>
            <w:shd w:val="clear" w:color="auto" w:fill="BDD7EE"/>
            <w:vAlign w:val="center"/>
            <w:hideMark/>
          </w:tcPr>
          <w:p w14:paraId="3447E519" w14:textId="77777777" w:rsidR="00CB0FCB" w:rsidRDefault="009D2B11">
            <w:pPr>
              <w:pStyle w:val="P68B1DB1-Normal7"/>
              <w:spacing w:before="120" w:after="0" w:line="240" w:lineRule="auto"/>
              <w:jc w:val="center"/>
              <w:rPr>
                <w:rFonts w:eastAsia="Times New Roman" w:cs="Times New Roman"/>
                <w:bCs/>
                <w:noProof/>
                <w:szCs w:val="18"/>
              </w:rPr>
            </w:pPr>
            <w:r>
              <w:rPr>
                <w:noProof/>
              </w:rPr>
              <w:t xml:space="preserve">Pamatscenārijs </w:t>
            </w:r>
          </w:p>
        </w:tc>
        <w:tc>
          <w:tcPr>
            <w:tcW w:w="971" w:type="dxa"/>
            <w:shd w:val="clear" w:color="auto" w:fill="BDD7EE"/>
            <w:vAlign w:val="center"/>
            <w:hideMark/>
          </w:tcPr>
          <w:p w14:paraId="452CBC49" w14:textId="77777777" w:rsidR="00CB0FCB" w:rsidRDefault="009D2B11">
            <w:pPr>
              <w:pStyle w:val="P68B1DB1-Normal7"/>
              <w:spacing w:before="120" w:after="0" w:line="240" w:lineRule="auto"/>
              <w:jc w:val="center"/>
              <w:rPr>
                <w:rFonts w:eastAsia="Times New Roman" w:cs="Times New Roman"/>
                <w:bCs/>
                <w:noProof/>
                <w:szCs w:val="18"/>
              </w:rPr>
            </w:pPr>
            <w:r>
              <w:rPr>
                <w:noProof/>
              </w:rPr>
              <w:t xml:space="preserve">Mērķis </w:t>
            </w:r>
          </w:p>
        </w:tc>
        <w:tc>
          <w:tcPr>
            <w:tcW w:w="1417" w:type="dxa"/>
            <w:shd w:val="clear" w:color="auto" w:fill="BDD7EE"/>
            <w:vAlign w:val="center"/>
            <w:hideMark/>
          </w:tcPr>
          <w:p w14:paraId="60400BF1" w14:textId="77777777" w:rsidR="00CB0FCB" w:rsidRDefault="009D2B11">
            <w:pPr>
              <w:pStyle w:val="P68B1DB1-Normal7"/>
              <w:spacing w:before="120" w:after="0" w:line="240" w:lineRule="auto"/>
              <w:jc w:val="center"/>
              <w:rPr>
                <w:rFonts w:eastAsia="Times New Roman" w:cs="Times New Roman"/>
                <w:bCs/>
                <w:noProof/>
                <w:szCs w:val="18"/>
              </w:rPr>
            </w:pPr>
            <w:r>
              <w:rPr>
                <w:noProof/>
              </w:rPr>
              <w:t>Ceturkšņa laikā</w:t>
            </w:r>
          </w:p>
        </w:tc>
        <w:tc>
          <w:tcPr>
            <w:tcW w:w="709" w:type="dxa"/>
            <w:shd w:val="clear" w:color="auto" w:fill="BDD7EE"/>
            <w:vAlign w:val="center"/>
            <w:hideMark/>
          </w:tcPr>
          <w:p w14:paraId="14170B13" w14:textId="77777777" w:rsidR="00CB0FCB" w:rsidRDefault="009D2B11">
            <w:pPr>
              <w:pStyle w:val="P68B1DB1-Normal7"/>
              <w:spacing w:before="120" w:after="0" w:line="240" w:lineRule="auto"/>
              <w:jc w:val="center"/>
              <w:rPr>
                <w:rFonts w:eastAsia="Times New Roman" w:cs="Times New Roman"/>
                <w:bCs/>
                <w:noProof/>
                <w:szCs w:val="18"/>
              </w:rPr>
            </w:pPr>
            <w:r>
              <w:rPr>
                <w:noProof/>
              </w:rPr>
              <w:t>Gadu</w:t>
            </w:r>
          </w:p>
        </w:tc>
        <w:tc>
          <w:tcPr>
            <w:tcW w:w="4384" w:type="dxa"/>
            <w:vMerge/>
            <w:vAlign w:val="center"/>
            <w:hideMark/>
          </w:tcPr>
          <w:p w14:paraId="5310884E" w14:textId="77777777" w:rsidR="00CB0FCB" w:rsidRDefault="00CB0FCB">
            <w:pPr>
              <w:spacing w:before="120" w:after="0" w:line="240" w:lineRule="auto"/>
              <w:rPr>
                <w:rFonts w:ascii="Times New Roman" w:eastAsia="Times New Roman" w:hAnsi="Times New Roman" w:cs="Times New Roman"/>
                <w:b/>
                <w:bCs/>
                <w:noProof/>
                <w:sz w:val="18"/>
                <w:szCs w:val="18"/>
              </w:rPr>
            </w:pPr>
          </w:p>
        </w:tc>
      </w:tr>
      <w:tr w:rsidR="00CB0FCB" w14:paraId="0F7D73D3" w14:textId="77777777">
        <w:trPr>
          <w:trHeight w:val="313"/>
          <w:jc w:val="center"/>
        </w:trPr>
        <w:tc>
          <w:tcPr>
            <w:tcW w:w="1134" w:type="dxa"/>
            <w:shd w:val="clear" w:color="auto" w:fill="C6EFCE"/>
            <w:noWrap/>
          </w:tcPr>
          <w:p w14:paraId="7DD0A383" w14:textId="77777777" w:rsidR="00CB0FCB" w:rsidRDefault="009D2B11">
            <w:pPr>
              <w:pStyle w:val="P68B1DB1-Normal9"/>
              <w:spacing w:before="120" w:after="0" w:line="240" w:lineRule="auto"/>
              <w:rPr>
                <w:rFonts w:eastAsia="Times New Roman" w:cs="Calibri"/>
                <w:noProof/>
                <w:szCs w:val="18"/>
              </w:rPr>
            </w:pPr>
            <w:r>
              <w:rPr>
                <w:noProof/>
              </w:rPr>
              <w:t>174</w:t>
            </w:r>
          </w:p>
        </w:tc>
        <w:tc>
          <w:tcPr>
            <w:tcW w:w="1276" w:type="dxa"/>
            <w:shd w:val="clear" w:color="auto" w:fill="C6EFCE"/>
            <w:noWrap/>
          </w:tcPr>
          <w:p w14:paraId="481DE42E" w14:textId="61243941" w:rsidR="00CB0FCB" w:rsidRDefault="009D2B11">
            <w:pPr>
              <w:pStyle w:val="P68B1DB1-Normal9"/>
              <w:spacing w:before="120" w:after="0" w:line="240" w:lineRule="auto"/>
              <w:rPr>
                <w:rFonts w:eastAsia="Times New Roman" w:cs="Calibri"/>
                <w:noProof/>
                <w:szCs w:val="18"/>
              </w:rPr>
            </w:pPr>
            <w:r>
              <w:rPr>
                <w:noProof/>
              </w:rPr>
              <w:t>11–3.4. Palielināt piekļuvi efektīvai un iekļaujošai sociālajai politikai — 16904_disabi-lity</w:t>
            </w:r>
          </w:p>
        </w:tc>
        <w:tc>
          <w:tcPr>
            <w:tcW w:w="992" w:type="dxa"/>
            <w:shd w:val="clear" w:color="auto" w:fill="C6EFCE"/>
            <w:noWrap/>
          </w:tcPr>
          <w:p w14:paraId="3DC7A1D6"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1273" w:type="dxa"/>
            <w:shd w:val="clear" w:color="auto" w:fill="C6EFCE"/>
            <w:noWrap/>
          </w:tcPr>
          <w:p w14:paraId="2E986283" w14:textId="77777777" w:rsidR="00CB0FCB" w:rsidRDefault="009D2B11">
            <w:pPr>
              <w:pStyle w:val="P68B1DB1-Normal9"/>
              <w:spacing w:before="120" w:after="0" w:line="240" w:lineRule="auto"/>
              <w:rPr>
                <w:rFonts w:eastAsia="Times New Roman" w:cs="Calibri"/>
                <w:noProof/>
                <w:szCs w:val="18"/>
              </w:rPr>
            </w:pPr>
            <w:r>
              <w:rPr>
                <w:noProof/>
              </w:rPr>
              <w:t>Personiskās palīdzības tiesību akti invaliditātes jomā un pirmā posma izmēģinājuma shēmas ieviešana</w:t>
            </w:r>
          </w:p>
        </w:tc>
        <w:tc>
          <w:tcPr>
            <w:tcW w:w="1680" w:type="dxa"/>
            <w:shd w:val="clear" w:color="auto" w:fill="C6EFCE"/>
            <w:noWrap/>
          </w:tcPr>
          <w:p w14:paraId="27081847" w14:textId="77777777" w:rsidR="00CB0FCB" w:rsidRDefault="009D2B11">
            <w:pPr>
              <w:pStyle w:val="P68B1DB1-Normal9"/>
              <w:spacing w:before="120" w:after="0" w:line="240" w:lineRule="auto"/>
              <w:rPr>
                <w:rFonts w:eastAsia="Times New Roman" w:cs="Calibri"/>
                <w:noProof/>
                <w:szCs w:val="18"/>
              </w:rPr>
            </w:pPr>
            <w:r>
              <w:rPr>
                <w:noProof/>
              </w:rPr>
              <w:t>Stājas spēkā primārie un sekundārie tiesību akti (Oficiālā Vēstneša atsauce) un publicēts paziņojums par uzaicinājumu iesniegt pieteikumus personīgās palīdzības shēmai.</w:t>
            </w:r>
          </w:p>
        </w:tc>
        <w:tc>
          <w:tcPr>
            <w:tcW w:w="1080" w:type="dxa"/>
            <w:shd w:val="clear" w:color="auto" w:fill="C6EFCE"/>
            <w:noWrap/>
          </w:tcPr>
          <w:p w14:paraId="7C9829B7" w14:textId="77777777" w:rsidR="00CB0FCB" w:rsidRDefault="00CB0FCB">
            <w:pPr>
              <w:spacing w:before="120" w:after="0" w:line="240" w:lineRule="auto"/>
              <w:rPr>
                <w:rFonts w:eastAsia="Times New Roman" w:cs="Calibri"/>
                <w:noProof/>
                <w:color w:val="006100"/>
                <w:sz w:val="18"/>
                <w:szCs w:val="18"/>
              </w:rPr>
            </w:pPr>
          </w:p>
        </w:tc>
        <w:tc>
          <w:tcPr>
            <w:tcW w:w="960" w:type="dxa"/>
            <w:shd w:val="clear" w:color="auto" w:fill="C6EFCE"/>
            <w:noWrap/>
          </w:tcPr>
          <w:p w14:paraId="74854E15" w14:textId="77777777" w:rsidR="00CB0FCB" w:rsidRDefault="00CB0FCB">
            <w:pPr>
              <w:spacing w:before="120" w:after="0" w:line="240" w:lineRule="auto"/>
              <w:rPr>
                <w:rFonts w:eastAsia="Times New Roman" w:cs="Calibri"/>
                <w:noProof/>
                <w:color w:val="006100"/>
                <w:sz w:val="18"/>
                <w:szCs w:val="18"/>
              </w:rPr>
            </w:pPr>
          </w:p>
        </w:tc>
        <w:tc>
          <w:tcPr>
            <w:tcW w:w="971" w:type="dxa"/>
            <w:shd w:val="clear" w:color="auto" w:fill="C6EFCE"/>
            <w:noWrap/>
          </w:tcPr>
          <w:p w14:paraId="39117E88" w14:textId="77777777" w:rsidR="00CB0FCB" w:rsidRDefault="00CB0FCB">
            <w:pPr>
              <w:spacing w:before="120" w:after="0" w:line="240" w:lineRule="auto"/>
              <w:rPr>
                <w:rFonts w:eastAsia="Times New Roman" w:cs="Calibri"/>
                <w:noProof/>
                <w:color w:val="006100"/>
                <w:sz w:val="18"/>
                <w:szCs w:val="18"/>
              </w:rPr>
            </w:pPr>
          </w:p>
        </w:tc>
        <w:tc>
          <w:tcPr>
            <w:tcW w:w="1417" w:type="dxa"/>
            <w:shd w:val="clear" w:color="auto" w:fill="C6EFCE"/>
            <w:noWrap/>
          </w:tcPr>
          <w:p w14:paraId="6F2FE778" w14:textId="77777777" w:rsidR="00CB0FCB" w:rsidRDefault="009D2B11">
            <w:pPr>
              <w:pStyle w:val="P68B1DB1-Normal9"/>
              <w:spacing w:before="120" w:after="0" w:line="240" w:lineRule="auto"/>
              <w:rPr>
                <w:rFonts w:eastAsia="Times New Roman" w:cs="Calibri"/>
                <w:noProof/>
                <w:szCs w:val="18"/>
              </w:rPr>
            </w:pPr>
            <w:r>
              <w:rPr>
                <w:noProof/>
              </w:rPr>
              <w:t>Q1</w:t>
            </w:r>
          </w:p>
        </w:tc>
        <w:tc>
          <w:tcPr>
            <w:tcW w:w="709" w:type="dxa"/>
            <w:shd w:val="clear" w:color="auto" w:fill="C6EFCE"/>
            <w:noWrap/>
          </w:tcPr>
          <w:p w14:paraId="1BCFCC0D" w14:textId="77777777" w:rsidR="00CB0FCB" w:rsidRDefault="009D2B11">
            <w:pPr>
              <w:pStyle w:val="P68B1DB1-Normal9"/>
              <w:spacing w:before="120" w:after="0" w:line="240" w:lineRule="auto"/>
              <w:rPr>
                <w:rFonts w:eastAsia="Times New Roman" w:cs="Calibri"/>
                <w:noProof/>
                <w:szCs w:val="18"/>
              </w:rPr>
            </w:pPr>
            <w:r>
              <w:rPr>
                <w:noProof/>
              </w:rPr>
              <w:t>2022</w:t>
            </w:r>
          </w:p>
        </w:tc>
        <w:tc>
          <w:tcPr>
            <w:tcW w:w="4384" w:type="dxa"/>
            <w:shd w:val="clear" w:color="auto" w:fill="C6EFCE"/>
            <w:noWrap/>
          </w:tcPr>
          <w:p w14:paraId="0DD3C01B" w14:textId="77777777" w:rsidR="00CB0FCB" w:rsidRDefault="009D2B11">
            <w:pPr>
              <w:pStyle w:val="P68B1DB1-Normal9"/>
              <w:spacing w:before="120" w:after="0" w:line="240" w:lineRule="auto"/>
              <w:rPr>
                <w:rFonts w:eastAsia="Times New Roman" w:cs="Calibri"/>
                <w:noProof/>
                <w:szCs w:val="18"/>
              </w:rPr>
            </w:pPr>
            <w:r>
              <w:rPr>
                <w:noProof/>
              </w:rPr>
              <w:t>Personīgā palīdzība: Stājas spēkā tiesību akts, kas ļauj deinstitucionalizēt invaliditātes aprūpi, un aicinājums iesniegt pieteikumus dalībai pirmā posma izmēģinājuma projektā, kas ietver atbilstības procesu, kura pamatā ir gan medicīnisks, gan funkcionāls invaliditātes novērtējums, ko veic daudzdisciplīnu novērtēšanas komiteja</w:t>
            </w:r>
            <w:r>
              <w:rPr>
                <w:noProof/>
                <w:u w:val="single"/>
              </w:rPr>
              <w:t xml:space="preserve"> </w:t>
            </w:r>
            <w:r>
              <w:rPr>
                <w:noProof/>
              </w:rPr>
              <w:t xml:space="preserve"> </w:t>
            </w:r>
          </w:p>
        </w:tc>
      </w:tr>
      <w:tr w:rsidR="00CB0FCB" w14:paraId="38F6EE63" w14:textId="77777777">
        <w:trPr>
          <w:trHeight w:val="313"/>
          <w:jc w:val="center"/>
        </w:trPr>
        <w:tc>
          <w:tcPr>
            <w:tcW w:w="1134" w:type="dxa"/>
            <w:shd w:val="clear" w:color="auto" w:fill="C6EFCE"/>
            <w:noWrap/>
          </w:tcPr>
          <w:p w14:paraId="5AD118FA" w14:textId="77777777" w:rsidR="00CB0FCB" w:rsidRDefault="009D2B11">
            <w:pPr>
              <w:pStyle w:val="P68B1DB1-Normal9"/>
              <w:spacing w:before="120" w:after="0" w:line="240" w:lineRule="auto"/>
              <w:rPr>
                <w:rFonts w:eastAsia="Times New Roman" w:cs="Calibri"/>
                <w:noProof/>
                <w:szCs w:val="18"/>
              </w:rPr>
            </w:pPr>
            <w:r>
              <w:rPr>
                <w:noProof/>
              </w:rPr>
              <w:t>174.a</w:t>
            </w:r>
          </w:p>
        </w:tc>
        <w:tc>
          <w:tcPr>
            <w:tcW w:w="1276" w:type="dxa"/>
            <w:shd w:val="clear" w:color="auto" w:fill="C6EFCE"/>
            <w:noWrap/>
          </w:tcPr>
          <w:p w14:paraId="22B818EC" w14:textId="45B5567E" w:rsidR="00CB0FCB" w:rsidRDefault="009D2B11">
            <w:pPr>
              <w:pStyle w:val="P68B1DB1-Normal9"/>
              <w:spacing w:before="120" w:after="0" w:line="240" w:lineRule="auto"/>
              <w:rPr>
                <w:rFonts w:eastAsia="Times New Roman" w:cs="Calibri"/>
                <w:noProof/>
                <w:szCs w:val="18"/>
              </w:rPr>
            </w:pPr>
            <w:r>
              <w:rPr>
                <w:noProof/>
              </w:rPr>
              <w:t>11–3.4. Palielināt piekļuvi efektīvai un iekļaujošai sociālajai politikai — 16904_disabi-lity</w:t>
            </w:r>
          </w:p>
        </w:tc>
        <w:tc>
          <w:tcPr>
            <w:tcW w:w="992" w:type="dxa"/>
            <w:shd w:val="clear" w:color="auto" w:fill="C6EFCE"/>
            <w:noWrap/>
          </w:tcPr>
          <w:p w14:paraId="0BA0D102"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1273" w:type="dxa"/>
            <w:shd w:val="clear" w:color="auto" w:fill="C6EFCE"/>
            <w:noWrap/>
          </w:tcPr>
          <w:p w14:paraId="337EE0D7" w14:textId="5311061C" w:rsidR="00CB0FCB" w:rsidRDefault="009D2B11">
            <w:pPr>
              <w:pStyle w:val="P68B1DB1-Normal9"/>
              <w:spacing w:before="120" w:after="0" w:line="240" w:lineRule="auto"/>
              <w:rPr>
                <w:noProof/>
              </w:rPr>
            </w:pPr>
            <w:r>
              <w:rPr>
                <w:noProof/>
              </w:rPr>
              <w:t>Piekļūstamība un atbalsta infrastruktūra, agrīnās bērnības intervences, personīgās palīdzības invaliditātes shēmas ieviešana valsts līmenī</w:t>
            </w:r>
          </w:p>
        </w:tc>
        <w:tc>
          <w:tcPr>
            <w:tcW w:w="1680" w:type="dxa"/>
            <w:shd w:val="clear" w:color="auto" w:fill="C6EFCE"/>
            <w:noWrap/>
          </w:tcPr>
          <w:p w14:paraId="25846AE7" w14:textId="3E4D9A2E" w:rsidR="00CB0FCB" w:rsidRDefault="009D2B11">
            <w:pPr>
              <w:pStyle w:val="P68B1DB1-Normal9"/>
              <w:spacing w:before="120" w:after="0" w:line="240" w:lineRule="auto"/>
              <w:rPr>
                <w:rFonts w:eastAsia="Times New Roman" w:cs="Calibri"/>
                <w:noProof/>
                <w:szCs w:val="18"/>
              </w:rPr>
            </w:pPr>
            <w:r>
              <w:rPr>
                <w:noProof/>
              </w:rPr>
              <w:t>1. Sociālās kohēzijas un ģimenes lietu ministrijas ziņojums, kurā apstiprināta projektu a un b pabeigšana; 2. Publicēts uzaicinājums valsts mēroga izvēršanas atbalsta saņēmējiem (personiskās palīdzības invaliditātes shēma).</w:t>
            </w:r>
          </w:p>
        </w:tc>
        <w:tc>
          <w:tcPr>
            <w:tcW w:w="1080" w:type="dxa"/>
            <w:shd w:val="clear" w:color="auto" w:fill="C6EFCE"/>
            <w:noWrap/>
          </w:tcPr>
          <w:p w14:paraId="6405EEBE" w14:textId="77777777" w:rsidR="00CB0FCB" w:rsidRDefault="00CB0FCB">
            <w:pPr>
              <w:spacing w:before="120" w:after="0" w:line="240" w:lineRule="auto"/>
              <w:rPr>
                <w:rFonts w:eastAsia="Times New Roman" w:cs="Calibri"/>
                <w:noProof/>
                <w:color w:val="006100"/>
                <w:sz w:val="18"/>
                <w:szCs w:val="18"/>
              </w:rPr>
            </w:pPr>
          </w:p>
        </w:tc>
        <w:tc>
          <w:tcPr>
            <w:tcW w:w="960" w:type="dxa"/>
            <w:shd w:val="clear" w:color="auto" w:fill="C6EFCE"/>
            <w:noWrap/>
          </w:tcPr>
          <w:p w14:paraId="52A4CC29" w14:textId="77777777" w:rsidR="00CB0FCB" w:rsidRDefault="00CB0FCB">
            <w:pPr>
              <w:spacing w:before="120" w:after="0" w:line="240" w:lineRule="auto"/>
              <w:rPr>
                <w:rFonts w:eastAsia="Times New Roman" w:cs="Calibri"/>
                <w:noProof/>
                <w:color w:val="006100"/>
                <w:sz w:val="18"/>
                <w:szCs w:val="18"/>
              </w:rPr>
            </w:pPr>
          </w:p>
        </w:tc>
        <w:tc>
          <w:tcPr>
            <w:tcW w:w="971" w:type="dxa"/>
            <w:shd w:val="clear" w:color="auto" w:fill="C6EFCE"/>
            <w:noWrap/>
          </w:tcPr>
          <w:p w14:paraId="17391245" w14:textId="77777777" w:rsidR="00CB0FCB" w:rsidRDefault="00CB0FCB">
            <w:pPr>
              <w:spacing w:before="120" w:after="0" w:line="240" w:lineRule="auto"/>
              <w:rPr>
                <w:rFonts w:eastAsia="Times New Roman" w:cs="Calibri"/>
                <w:noProof/>
                <w:color w:val="006100"/>
                <w:sz w:val="18"/>
                <w:szCs w:val="18"/>
              </w:rPr>
            </w:pPr>
          </w:p>
        </w:tc>
        <w:tc>
          <w:tcPr>
            <w:tcW w:w="1417" w:type="dxa"/>
            <w:shd w:val="clear" w:color="auto" w:fill="C6EFCE"/>
            <w:noWrap/>
          </w:tcPr>
          <w:p w14:paraId="037E9E96"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09" w:type="dxa"/>
            <w:shd w:val="clear" w:color="auto" w:fill="C6EFCE"/>
            <w:noWrap/>
          </w:tcPr>
          <w:p w14:paraId="2B9698D7" w14:textId="77777777" w:rsidR="00CB0FCB" w:rsidRDefault="009D2B11">
            <w:pPr>
              <w:pStyle w:val="P68B1DB1-Normal9"/>
              <w:spacing w:before="120" w:after="0" w:line="240" w:lineRule="auto"/>
              <w:rPr>
                <w:rFonts w:eastAsia="Times New Roman" w:cs="Calibri"/>
                <w:noProof/>
                <w:szCs w:val="18"/>
              </w:rPr>
            </w:pPr>
            <w:r>
              <w:rPr>
                <w:noProof/>
              </w:rPr>
              <w:t>2025</w:t>
            </w:r>
          </w:p>
        </w:tc>
        <w:tc>
          <w:tcPr>
            <w:tcW w:w="4384" w:type="dxa"/>
            <w:shd w:val="clear" w:color="auto" w:fill="C6EFCE"/>
            <w:noWrap/>
          </w:tcPr>
          <w:p w14:paraId="4B723A5C" w14:textId="1DF88C3E" w:rsidR="00CB0FCB" w:rsidRDefault="009D2B11">
            <w:pPr>
              <w:pStyle w:val="P68B1DB1-Normal9"/>
              <w:spacing w:after="0" w:line="240" w:lineRule="auto"/>
              <w:textAlignment w:val="baseline"/>
              <w:rPr>
                <w:rFonts w:eastAsia="Times New Roman" w:cs="Calibri"/>
                <w:noProof/>
                <w:szCs w:val="18"/>
              </w:rPr>
            </w:pPr>
            <w:r>
              <w:rPr>
                <w:noProof/>
              </w:rPr>
              <w:t>1. Šādu projektu pabeigšana: </w:t>
            </w:r>
          </w:p>
          <w:p w14:paraId="7835B57C" w14:textId="77777777" w:rsidR="00CB0FCB" w:rsidRDefault="009D2B11">
            <w:pPr>
              <w:pStyle w:val="P68B1DB1-Normal9"/>
              <w:spacing w:after="0" w:line="240" w:lineRule="auto"/>
              <w:textAlignment w:val="baseline"/>
              <w:rPr>
                <w:rFonts w:eastAsia="Times New Roman" w:cs="Calibri"/>
                <w:noProof/>
                <w:szCs w:val="18"/>
              </w:rPr>
            </w:pPr>
            <w:r>
              <w:rPr>
                <w:noProof/>
              </w:rPr>
              <w:t xml:space="preserve">piekļuvi un atbalsta infrastruktūru privātmājās, darbavietās un sabiedriskajās ēkās, kas izvēlētas, izmantojot uzaicinājumu, lai atvieglotu piekļuvi cilvēkiem ar mobilitātes traucējumiem un maņu orgānu traucējumiem;  </w:t>
            </w:r>
          </w:p>
          <w:p w14:paraId="440EC295" w14:textId="7C8EF277" w:rsidR="00CB0FCB" w:rsidRDefault="009D2B11">
            <w:pPr>
              <w:spacing w:after="0" w:line="240" w:lineRule="auto"/>
              <w:textAlignment w:val="baseline"/>
              <w:rPr>
                <w:rFonts w:ascii="Arial" w:hAnsi="Arial"/>
                <w:noProof/>
                <w:sz w:val="20"/>
                <w:szCs w:val="20"/>
              </w:rPr>
            </w:pPr>
            <w:r>
              <w:rPr>
                <w:noProof/>
                <w:color w:val="006100"/>
                <w:sz w:val="18"/>
                <w:szCs w:val="18"/>
              </w:rPr>
              <w:t>agrās bērnības intervences (terapeitiskās/izglītības programmas) bērniem, kas tiks atlasītas, izmantojot uzaicinājumu. </w:t>
            </w:r>
          </w:p>
          <w:p w14:paraId="2F848804" w14:textId="77777777" w:rsidR="00CB0FCB" w:rsidRDefault="00CB0FCB">
            <w:pPr>
              <w:spacing w:after="0" w:line="240" w:lineRule="auto"/>
              <w:textAlignment w:val="baseline"/>
              <w:rPr>
                <w:noProof/>
                <w:color w:val="006100"/>
                <w:sz w:val="18"/>
              </w:rPr>
            </w:pPr>
          </w:p>
          <w:p w14:paraId="35A2933A" w14:textId="093C6F32" w:rsidR="00CB0FCB" w:rsidRDefault="009D2B11">
            <w:pPr>
              <w:pStyle w:val="P68B1DB1-Normal9"/>
              <w:spacing w:after="0" w:line="240" w:lineRule="auto"/>
              <w:textAlignment w:val="baseline"/>
              <w:rPr>
                <w:rFonts w:ascii="Arial" w:hAnsi="Arial"/>
                <w:noProof/>
                <w:sz w:val="20"/>
                <w:szCs w:val="20"/>
              </w:rPr>
            </w:pPr>
            <w:r>
              <w:rPr>
                <w:noProof/>
              </w:rPr>
              <w:t>2.Pieaicinājuma sniegšana personām, kas visā valstī īsteno personīgās palīdzības invaliditātes shēmu</w:t>
            </w:r>
          </w:p>
        </w:tc>
      </w:tr>
      <w:tr w:rsidR="00CB0FCB" w14:paraId="48E1F5AF" w14:textId="77777777">
        <w:trPr>
          <w:trHeight w:val="313"/>
          <w:jc w:val="center"/>
        </w:trPr>
        <w:tc>
          <w:tcPr>
            <w:tcW w:w="1134" w:type="dxa"/>
            <w:shd w:val="clear" w:color="auto" w:fill="C6EFCE"/>
            <w:noWrap/>
          </w:tcPr>
          <w:p w14:paraId="74242F64" w14:textId="77777777" w:rsidR="00CB0FCB" w:rsidRDefault="009D2B11">
            <w:pPr>
              <w:pStyle w:val="P68B1DB1-Normal9"/>
              <w:spacing w:before="120" w:after="0" w:line="240" w:lineRule="auto"/>
              <w:rPr>
                <w:rFonts w:eastAsia="Times New Roman" w:cs="Calibri"/>
                <w:noProof/>
                <w:szCs w:val="18"/>
              </w:rPr>
            </w:pPr>
            <w:r>
              <w:rPr>
                <w:noProof/>
              </w:rPr>
              <w:t>175</w:t>
            </w:r>
          </w:p>
        </w:tc>
        <w:tc>
          <w:tcPr>
            <w:tcW w:w="1276" w:type="dxa"/>
            <w:shd w:val="clear" w:color="auto" w:fill="C6EFCE"/>
            <w:noWrap/>
          </w:tcPr>
          <w:p w14:paraId="2B3B10F5"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16726 Sociālo pabalstu optimizācija</w:t>
            </w:r>
          </w:p>
        </w:tc>
        <w:tc>
          <w:tcPr>
            <w:tcW w:w="992" w:type="dxa"/>
            <w:shd w:val="clear" w:color="auto" w:fill="C6EFCE"/>
            <w:noWrap/>
          </w:tcPr>
          <w:p w14:paraId="140643C6"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1273" w:type="dxa"/>
            <w:shd w:val="clear" w:color="auto" w:fill="C6EFCE"/>
            <w:noWrap/>
          </w:tcPr>
          <w:p w14:paraId="4F62C252" w14:textId="77777777" w:rsidR="00CB0FCB" w:rsidRDefault="009D2B11">
            <w:pPr>
              <w:pStyle w:val="P68B1DB1-Normal9"/>
              <w:spacing w:before="120" w:after="0" w:line="240" w:lineRule="auto"/>
              <w:rPr>
                <w:rFonts w:eastAsia="Times New Roman" w:cs="Calibri"/>
                <w:noProof/>
                <w:szCs w:val="18"/>
              </w:rPr>
            </w:pPr>
            <w:r>
              <w:rPr>
                <w:noProof/>
              </w:rPr>
              <w:t>Sociālie pabalsti — priekšapmaksas karšu optimizācija</w:t>
            </w:r>
          </w:p>
        </w:tc>
        <w:tc>
          <w:tcPr>
            <w:tcW w:w="1680" w:type="dxa"/>
            <w:shd w:val="clear" w:color="auto" w:fill="C6EFCE"/>
            <w:noWrap/>
          </w:tcPr>
          <w:p w14:paraId="1AC590E5" w14:textId="77777777" w:rsidR="00CB0FCB" w:rsidRDefault="009D2B11">
            <w:pPr>
              <w:pStyle w:val="P68B1DB1-Normal9"/>
              <w:spacing w:before="120" w:after="0" w:line="240" w:lineRule="auto"/>
              <w:rPr>
                <w:rFonts w:eastAsia="Times New Roman" w:cs="Calibri"/>
                <w:noProof/>
                <w:szCs w:val="18"/>
              </w:rPr>
            </w:pPr>
            <w:r>
              <w:rPr>
                <w:noProof/>
              </w:rPr>
              <w:t>OPEKA un DYPA ziņojums, kas apliecina, ka ir pabeigta priekšapmaksas karšu ieviešana, lai izmaksātu sociālos pabalstus, ko nodrošina šie divi pakalpojumi</w:t>
            </w:r>
          </w:p>
        </w:tc>
        <w:tc>
          <w:tcPr>
            <w:tcW w:w="1080" w:type="dxa"/>
            <w:shd w:val="clear" w:color="auto" w:fill="C6EFCE"/>
            <w:noWrap/>
          </w:tcPr>
          <w:p w14:paraId="28545126" w14:textId="77777777" w:rsidR="00CB0FCB" w:rsidRDefault="00CB0FCB">
            <w:pPr>
              <w:spacing w:before="120" w:after="0" w:line="240" w:lineRule="auto"/>
              <w:rPr>
                <w:rFonts w:eastAsia="Times New Roman" w:cs="Calibri"/>
                <w:noProof/>
                <w:color w:val="006100"/>
                <w:sz w:val="18"/>
                <w:szCs w:val="18"/>
              </w:rPr>
            </w:pPr>
          </w:p>
        </w:tc>
        <w:tc>
          <w:tcPr>
            <w:tcW w:w="960" w:type="dxa"/>
            <w:shd w:val="clear" w:color="auto" w:fill="C6EFCE"/>
            <w:noWrap/>
          </w:tcPr>
          <w:p w14:paraId="45B9DBDF" w14:textId="77777777" w:rsidR="00CB0FCB" w:rsidRDefault="00CB0FCB">
            <w:pPr>
              <w:spacing w:before="120" w:after="0" w:line="240" w:lineRule="auto"/>
              <w:rPr>
                <w:rFonts w:eastAsia="Times New Roman" w:cs="Calibri"/>
                <w:noProof/>
                <w:color w:val="006100"/>
                <w:sz w:val="18"/>
                <w:szCs w:val="18"/>
              </w:rPr>
            </w:pPr>
          </w:p>
        </w:tc>
        <w:tc>
          <w:tcPr>
            <w:tcW w:w="971" w:type="dxa"/>
            <w:shd w:val="clear" w:color="auto" w:fill="C6EFCE"/>
            <w:noWrap/>
          </w:tcPr>
          <w:p w14:paraId="0634D547" w14:textId="77777777" w:rsidR="00CB0FCB" w:rsidRDefault="00CB0FCB">
            <w:pPr>
              <w:spacing w:before="120" w:after="0" w:line="240" w:lineRule="auto"/>
              <w:rPr>
                <w:rFonts w:eastAsia="Times New Roman" w:cs="Calibri"/>
                <w:noProof/>
                <w:color w:val="006100"/>
                <w:sz w:val="18"/>
                <w:szCs w:val="18"/>
              </w:rPr>
            </w:pPr>
          </w:p>
        </w:tc>
        <w:tc>
          <w:tcPr>
            <w:tcW w:w="1417" w:type="dxa"/>
            <w:shd w:val="clear" w:color="auto" w:fill="C6EFCE"/>
            <w:noWrap/>
          </w:tcPr>
          <w:p w14:paraId="33E6C169" w14:textId="12F8CCB3" w:rsidR="00CB0FCB" w:rsidRDefault="009D2B11">
            <w:pPr>
              <w:pStyle w:val="P68B1DB1-Normal10"/>
              <w:spacing w:before="120" w:after="0" w:line="240" w:lineRule="auto"/>
              <w:rPr>
                <w:rFonts w:eastAsia="Times New Roman" w:cs="Calibri"/>
                <w:noProof/>
              </w:rPr>
            </w:pPr>
            <w:r>
              <w:rPr>
                <w:noProof/>
              </w:rPr>
              <w:t>4. CET.</w:t>
            </w:r>
          </w:p>
        </w:tc>
        <w:tc>
          <w:tcPr>
            <w:tcW w:w="709" w:type="dxa"/>
            <w:shd w:val="clear" w:color="auto" w:fill="C6EFCE"/>
            <w:noWrap/>
          </w:tcPr>
          <w:p w14:paraId="3696B0F6" w14:textId="77777777" w:rsidR="00CB0FCB" w:rsidRDefault="009D2B11">
            <w:pPr>
              <w:pStyle w:val="P68B1DB1-Normal9"/>
              <w:spacing w:before="120" w:after="0" w:line="240" w:lineRule="auto"/>
              <w:rPr>
                <w:rFonts w:eastAsia="Times New Roman" w:cs="Calibri"/>
                <w:noProof/>
                <w:szCs w:val="18"/>
              </w:rPr>
            </w:pPr>
            <w:r>
              <w:rPr>
                <w:noProof/>
              </w:rPr>
              <w:t>2024</w:t>
            </w:r>
          </w:p>
        </w:tc>
        <w:tc>
          <w:tcPr>
            <w:tcW w:w="4384" w:type="dxa"/>
            <w:shd w:val="clear" w:color="auto" w:fill="C6EFCE"/>
            <w:noWrap/>
          </w:tcPr>
          <w:p w14:paraId="4E0FA2B6" w14:textId="3A83D544" w:rsidR="00CB0FCB" w:rsidRDefault="009D2B11">
            <w:pPr>
              <w:pStyle w:val="P68B1DB1-Normal9"/>
              <w:spacing w:before="120" w:after="0" w:line="240" w:lineRule="auto"/>
              <w:rPr>
                <w:rFonts w:eastAsia="Times New Roman" w:cs="Calibri"/>
                <w:noProof/>
                <w:szCs w:val="18"/>
              </w:rPr>
            </w:pPr>
            <w:r>
              <w:rPr>
                <w:noProof/>
              </w:rPr>
              <w:t>Priekšapmaksas karšu ieviešanas pabeigšana, lai izmaksātu lielāko daļu sociālo pabalstu, ko nodrošina Vienotā labklājības pabalstu maksājumu iestāde (OPEKA) un Valsts nodarbinātības dienests (DYPA)</w:t>
            </w:r>
          </w:p>
        </w:tc>
      </w:tr>
      <w:tr w:rsidR="00CB0FCB" w14:paraId="53EF82FA" w14:textId="77777777">
        <w:trPr>
          <w:trHeight w:val="313"/>
          <w:jc w:val="center"/>
        </w:trPr>
        <w:tc>
          <w:tcPr>
            <w:tcW w:w="1134" w:type="dxa"/>
            <w:shd w:val="clear" w:color="auto" w:fill="C6EFCE"/>
            <w:noWrap/>
          </w:tcPr>
          <w:p w14:paraId="1F9B250D" w14:textId="77777777" w:rsidR="00CB0FCB" w:rsidRDefault="009D2B11">
            <w:pPr>
              <w:pStyle w:val="P68B1DB1-Normal9"/>
              <w:spacing w:before="120" w:after="0" w:line="240" w:lineRule="auto"/>
              <w:rPr>
                <w:rFonts w:eastAsia="Times New Roman" w:cs="Calibri"/>
                <w:noProof/>
                <w:szCs w:val="18"/>
              </w:rPr>
            </w:pPr>
            <w:r>
              <w:rPr>
                <w:noProof/>
              </w:rPr>
              <w:t>175.a</w:t>
            </w:r>
          </w:p>
          <w:p w14:paraId="1DE91B79" w14:textId="77777777" w:rsidR="00CB0FCB" w:rsidRDefault="00CB0FCB">
            <w:pPr>
              <w:spacing w:before="120" w:after="0" w:line="240" w:lineRule="auto"/>
              <w:rPr>
                <w:rFonts w:eastAsia="Times New Roman" w:cs="Calibri"/>
                <w:noProof/>
                <w:color w:val="006100"/>
                <w:sz w:val="18"/>
                <w:szCs w:val="18"/>
                <w:highlight w:val="cyan"/>
              </w:rPr>
            </w:pPr>
          </w:p>
        </w:tc>
        <w:tc>
          <w:tcPr>
            <w:tcW w:w="1276" w:type="dxa"/>
            <w:shd w:val="clear" w:color="auto" w:fill="C6EFCE"/>
            <w:noWrap/>
          </w:tcPr>
          <w:p w14:paraId="12CFA9D5"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16726 Sociālo pabalstu optimizācija</w:t>
            </w:r>
          </w:p>
        </w:tc>
        <w:tc>
          <w:tcPr>
            <w:tcW w:w="992" w:type="dxa"/>
            <w:shd w:val="clear" w:color="auto" w:fill="C6EFCE"/>
            <w:noWrap/>
          </w:tcPr>
          <w:p w14:paraId="43B2FEAF"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1273" w:type="dxa"/>
            <w:shd w:val="clear" w:color="auto" w:fill="C6EFCE"/>
            <w:noWrap/>
          </w:tcPr>
          <w:p w14:paraId="44E16327" w14:textId="77777777" w:rsidR="00CB0FCB" w:rsidRDefault="009D2B11">
            <w:pPr>
              <w:pStyle w:val="P68B1DB1-Normal9"/>
              <w:spacing w:before="120" w:after="0" w:line="240" w:lineRule="auto"/>
              <w:rPr>
                <w:rFonts w:eastAsia="Times New Roman" w:cs="Calibri"/>
                <w:noProof/>
                <w:szCs w:val="18"/>
              </w:rPr>
            </w:pPr>
            <w:r>
              <w:rPr>
                <w:noProof/>
              </w:rPr>
              <w:t>Sociālie pabalsti — priekšapmaksas karšu optimizācija</w:t>
            </w:r>
          </w:p>
        </w:tc>
        <w:tc>
          <w:tcPr>
            <w:tcW w:w="1680" w:type="dxa"/>
            <w:shd w:val="clear" w:color="auto" w:fill="C6EFCE"/>
            <w:noWrap/>
          </w:tcPr>
          <w:p w14:paraId="15A5B85F" w14:textId="77777777" w:rsidR="00CB0FCB" w:rsidRDefault="009D2B11">
            <w:pPr>
              <w:pStyle w:val="P68B1DB1-Normal9"/>
              <w:spacing w:before="120" w:after="0" w:line="240" w:lineRule="auto"/>
              <w:rPr>
                <w:rFonts w:eastAsia="Times New Roman" w:cs="Calibri"/>
                <w:noProof/>
                <w:szCs w:val="18"/>
              </w:rPr>
            </w:pPr>
            <w:r>
              <w:rPr>
                <w:noProof/>
              </w:rPr>
              <w:t>Tiesību aktu stāšanās spēkā</w:t>
            </w:r>
          </w:p>
        </w:tc>
        <w:tc>
          <w:tcPr>
            <w:tcW w:w="1080" w:type="dxa"/>
            <w:shd w:val="clear" w:color="auto" w:fill="C6EFCE"/>
            <w:noWrap/>
          </w:tcPr>
          <w:p w14:paraId="119EC8E4" w14:textId="77777777" w:rsidR="00CB0FCB" w:rsidRDefault="00CB0FCB">
            <w:pPr>
              <w:spacing w:before="120" w:after="0" w:line="240" w:lineRule="auto"/>
              <w:rPr>
                <w:rFonts w:eastAsia="Times New Roman" w:cs="Calibri"/>
                <w:noProof/>
                <w:color w:val="006100"/>
                <w:sz w:val="18"/>
                <w:szCs w:val="18"/>
              </w:rPr>
            </w:pPr>
          </w:p>
        </w:tc>
        <w:tc>
          <w:tcPr>
            <w:tcW w:w="960" w:type="dxa"/>
            <w:shd w:val="clear" w:color="auto" w:fill="C6EFCE"/>
            <w:noWrap/>
          </w:tcPr>
          <w:p w14:paraId="138D8508" w14:textId="77777777" w:rsidR="00CB0FCB" w:rsidRDefault="00CB0FCB">
            <w:pPr>
              <w:spacing w:before="120" w:after="0" w:line="240" w:lineRule="auto"/>
              <w:rPr>
                <w:rFonts w:eastAsia="Times New Roman" w:cs="Calibri"/>
                <w:noProof/>
                <w:color w:val="006100"/>
                <w:sz w:val="18"/>
                <w:szCs w:val="18"/>
              </w:rPr>
            </w:pPr>
          </w:p>
        </w:tc>
        <w:tc>
          <w:tcPr>
            <w:tcW w:w="971" w:type="dxa"/>
            <w:shd w:val="clear" w:color="auto" w:fill="C6EFCE"/>
            <w:noWrap/>
          </w:tcPr>
          <w:p w14:paraId="37355235" w14:textId="77777777" w:rsidR="00CB0FCB" w:rsidRDefault="00CB0FCB">
            <w:pPr>
              <w:spacing w:before="120" w:after="0" w:line="240" w:lineRule="auto"/>
              <w:rPr>
                <w:rFonts w:eastAsia="Times New Roman" w:cs="Calibri"/>
                <w:noProof/>
                <w:color w:val="006100"/>
                <w:sz w:val="18"/>
                <w:szCs w:val="18"/>
              </w:rPr>
            </w:pPr>
          </w:p>
        </w:tc>
        <w:tc>
          <w:tcPr>
            <w:tcW w:w="1417" w:type="dxa"/>
            <w:shd w:val="clear" w:color="auto" w:fill="C6EFCE"/>
            <w:noWrap/>
          </w:tcPr>
          <w:p w14:paraId="139F8DFA" w14:textId="6DD1A01A" w:rsidR="00CB0FCB" w:rsidRDefault="009D2B11">
            <w:pPr>
              <w:pStyle w:val="P68B1DB1-Normal10"/>
              <w:spacing w:before="120" w:after="0" w:line="240" w:lineRule="auto"/>
              <w:rPr>
                <w:rFonts w:eastAsia="Times New Roman" w:cs="Calibri"/>
                <w:noProof/>
              </w:rPr>
            </w:pPr>
            <w:r>
              <w:rPr>
                <w:noProof/>
              </w:rPr>
              <w:t>2. CET.</w:t>
            </w:r>
          </w:p>
        </w:tc>
        <w:tc>
          <w:tcPr>
            <w:tcW w:w="709" w:type="dxa"/>
            <w:shd w:val="clear" w:color="auto" w:fill="C6EFCE"/>
            <w:noWrap/>
          </w:tcPr>
          <w:p w14:paraId="6B1677AD" w14:textId="77777777" w:rsidR="00CB0FCB" w:rsidRDefault="009D2B11">
            <w:pPr>
              <w:pStyle w:val="P68B1DB1-Normal9"/>
              <w:spacing w:before="120" w:after="0" w:line="240" w:lineRule="auto"/>
              <w:rPr>
                <w:rFonts w:eastAsia="Times New Roman" w:cs="Calibri"/>
                <w:noProof/>
                <w:szCs w:val="18"/>
              </w:rPr>
            </w:pPr>
            <w:r>
              <w:rPr>
                <w:noProof/>
              </w:rPr>
              <w:t>2024</w:t>
            </w:r>
          </w:p>
          <w:p w14:paraId="57FA091A" w14:textId="77777777" w:rsidR="00CB0FCB" w:rsidRDefault="00CB0FCB">
            <w:pPr>
              <w:spacing w:before="120" w:after="0" w:line="240" w:lineRule="auto"/>
              <w:rPr>
                <w:rFonts w:eastAsia="Times New Roman" w:cs="Calibri"/>
                <w:noProof/>
                <w:color w:val="006100"/>
                <w:sz w:val="18"/>
                <w:szCs w:val="18"/>
              </w:rPr>
            </w:pPr>
          </w:p>
        </w:tc>
        <w:tc>
          <w:tcPr>
            <w:tcW w:w="4384" w:type="dxa"/>
            <w:shd w:val="clear" w:color="auto" w:fill="C6EFCE"/>
            <w:noWrap/>
          </w:tcPr>
          <w:p w14:paraId="2E3C21F5" w14:textId="1DF804AD" w:rsidR="00CB0FCB" w:rsidRDefault="009D2B11">
            <w:pPr>
              <w:spacing w:before="120" w:after="0" w:line="240" w:lineRule="auto"/>
              <w:rPr>
                <w:rFonts w:eastAsia="Times New Roman" w:cs="Calibri"/>
                <w:noProof/>
                <w:color w:val="006100"/>
                <w:sz w:val="18"/>
                <w:szCs w:val="18"/>
              </w:rPr>
            </w:pPr>
            <w:r>
              <w:rPr>
                <w:noProof/>
                <w:color w:val="006100"/>
                <w:sz w:val="18"/>
              </w:rPr>
              <w:t>Stājas spēkā tiesību akti, kas stimulē saņēmējus izmantot priekšapmaksas kartes preču un pakalpojumu iegādei</w:t>
            </w:r>
            <w:r>
              <w:rPr>
                <w:rStyle w:val="eop"/>
                <w:noProof/>
                <w:color w:val="000000" w:themeColor="text1"/>
                <w:sz w:val="20"/>
              </w:rPr>
              <w:t>.</w:t>
            </w:r>
          </w:p>
        </w:tc>
      </w:tr>
      <w:tr w:rsidR="00CB0FCB" w14:paraId="2E19218F" w14:textId="77777777">
        <w:trPr>
          <w:trHeight w:val="313"/>
          <w:jc w:val="center"/>
        </w:trPr>
        <w:tc>
          <w:tcPr>
            <w:tcW w:w="1134" w:type="dxa"/>
            <w:shd w:val="clear" w:color="auto" w:fill="C6EFCE"/>
            <w:noWrap/>
          </w:tcPr>
          <w:p w14:paraId="26809BE5" w14:textId="77777777" w:rsidR="00CB0FCB" w:rsidRDefault="009D2B11">
            <w:pPr>
              <w:pStyle w:val="P68B1DB1-Normal9"/>
              <w:spacing w:before="120" w:after="0" w:line="240" w:lineRule="auto"/>
              <w:rPr>
                <w:rFonts w:eastAsia="Times New Roman" w:cs="Calibri"/>
                <w:noProof/>
                <w:szCs w:val="18"/>
              </w:rPr>
            </w:pPr>
            <w:r>
              <w:rPr>
                <w:noProof/>
              </w:rPr>
              <w:t>176</w:t>
            </w:r>
          </w:p>
        </w:tc>
        <w:tc>
          <w:tcPr>
            <w:tcW w:w="1276" w:type="dxa"/>
            <w:shd w:val="clear" w:color="auto" w:fill="C6EFCE"/>
            <w:noWrap/>
          </w:tcPr>
          <w:p w14:paraId="2EE96953" w14:textId="58C3FE7B" w:rsidR="00CB0FCB" w:rsidRDefault="009D2B11">
            <w:pPr>
              <w:pStyle w:val="P68B1DB1-Normal9"/>
              <w:spacing w:before="120" w:after="0" w:line="240" w:lineRule="auto"/>
              <w:rPr>
                <w:rFonts w:eastAsia="Times New Roman" w:cs="Calibri"/>
                <w:noProof/>
                <w:szCs w:val="18"/>
              </w:rPr>
            </w:pPr>
            <w:r>
              <w:rPr>
                <w:noProof/>
              </w:rPr>
              <w:t>11–3.4. Palielināt piekļuvi efektīvai un iekļaujošai sociālajai politikai — 16904_disabi-lity</w:t>
            </w:r>
          </w:p>
        </w:tc>
        <w:tc>
          <w:tcPr>
            <w:tcW w:w="992" w:type="dxa"/>
            <w:shd w:val="clear" w:color="auto" w:fill="C6EFCE"/>
            <w:noWrap/>
          </w:tcPr>
          <w:p w14:paraId="4B7A536B"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1273" w:type="dxa"/>
            <w:shd w:val="clear" w:color="auto" w:fill="C6EFCE"/>
            <w:noWrap/>
          </w:tcPr>
          <w:p w14:paraId="2EDF078A" w14:textId="77777777" w:rsidR="00CB0FCB" w:rsidRDefault="009D2B11">
            <w:pPr>
              <w:pStyle w:val="P68B1DB1-Normal9"/>
              <w:spacing w:before="120" w:after="0" w:line="240" w:lineRule="auto"/>
              <w:rPr>
                <w:rFonts w:eastAsia="Times New Roman" w:cs="Calibri"/>
                <w:noProof/>
                <w:szCs w:val="18"/>
              </w:rPr>
            </w:pPr>
            <w:r>
              <w:rPr>
                <w:noProof/>
              </w:rPr>
              <w:t>Personīgās palīdzības invaliditātes novērtējuma otrā posma pabeigšana</w:t>
            </w:r>
          </w:p>
        </w:tc>
        <w:tc>
          <w:tcPr>
            <w:tcW w:w="1680" w:type="dxa"/>
            <w:shd w:val="clear" w:color="auto" w:fill="C6EFCE"/>
            <w:noWrap/>
          </w:tcPr>
          <w:p w14:paraId="3D31008A" w14:textId="51EDC8FD" w:rsidR="00CB0FCB" w:rsidRDefault="009D2B11">
            <w:pPr>
              <w:pStyle w:val="P68B1DB1-Normal10"/>
              <w:spacing w:before="120" w:after="0" w:line="240" w:lineRule="auto"/>
              <w:rPr>
                <w:rFonts w:eastAsia="Times New Roman" w:cs="Calibri"/>
                <w:noProof/>
              </w:rPr>
            </w:pPr>
            <w:r>
              <w:rPr>
                <w:noProof/>
              </w:rPr>
              <w:t>Ziņojums, kas apliecina, ka abās izmēģinājuma shēmās personiskie palīgi ir norīkoti vismaz 1500 atbalsta saņēmējiem.</w:t>
            </w:r>
          </w:p>
          <w:p w14:paraId="1BEE8BF2" w14:textId="2A4465D5" w:rsidR="00CB0FCB" w:rsidRDefault="00CB0FCB">
            <w:pPr>
              <w:spacing w:before="120" w:after="0" w:line="240" w:lineRule="auto"/>
              <w:rPr>
                <w:rFonts w:eastAsia="Times New Roman" w:cs="Calibri"/>
                <w:noProof/>
                <w:color w:val="006100"/>
                <w:sz w:val="18"/>
                <w:szCs w:val="18"/>
              </w:rPr>
            </w:pPr>
          </w:p>
        </w:tc>
        <w:tc>
          <w:tcPr>
            <w:tcW w:w="1080" w:type="dxa"/>
            <w:shd w:val="clear" w:color="auto" w:fill="C6EFCE"/>
            <w:noWrap/>
          </w:tcPr>
          <w:p w14:paraId="297B8647" w14:textId="77777777" w:rsidR="00CB0FCB" w:rsidRDefault="00CB0FCB">
            <w:pPr>
              <w:spacing w:before="120" w:after="0" w:line="240" w:lineRule="auto"/>
              <w:rPr>
                <w:rFonts w:eastAsia="Times New Roman" w:cs="Calibri"/>
                <w:noProof/>
                <w:color w:val="006100"/>
                <w:sz w:val="18"/>
                <w:szCs w:val="18"/>
              </w:rPr>
            </w:pPr>
          </w:p>
        </w:tc>
        <w:tc>
          <w:tcPr>
            <w:tcW w:w="960" w:type="dxa"/>
            <w:shd w:val="clear" w:color="auto" w:fill="C6EFCE"/>
            <w:noWrap/>
          </w:tcPr>
          <w:p w14:paraId="02DB1096" w14:textId="77777777" w:rsidR="00CB0FCB" w:rsidRDefault="00CB0FCB">
            <w:pPr>
              <w:spacing w:before="120" w:after="0" w:line="240" w:lineRule="auto"/>
              <w:rPr>
                <w:rFonts w:eastAsia="Times New Roman" w:cs="Calibri"/>
                <w:noProof/>
                <w:color w:val="006100"/>
                <w:sz w:val="18"/>
                <w:szCs w:val="18"/>
              </w:rPr>
            </w:pPr>
          </w:p>
        </w:tc>
        <w:tc>
          <w:tcPr>
            <w:tcW w:w="971" w:type="dxa"/>
            <w:shd w:val="clear" w:color="auto" w:fill="C6EFCE"/>
            <w:noWrap/>
          </w:tcPr>
          <w:p w14:paraId="29180636" w14:textId="77777777" w:rsidR="00CB0FCB" w:rsidRDefault="00CB0FCB">
            <w:pPr>
              <w:spacing w:before="120" w:after="0" w:line="240" w:lineRule="auto"/>
              <w:rPr>
                <w:rFonts w:eastAsia="Times New Roman" w:cs="Calibri"/>
                <w:noProof/>
                <w:color w:val="006100"/>
                <w:sz w:val="18"/>
                <w:szCs w:val="18"/>
              </w:rPr>
            </w:pPr>
          </w:p>
        </w:tc>
        <w:tc>
          <w:tcPr>
            <w:tcW w:w="1417" w:type="dxa"/>
            <w:shd w:val="clear" w:color="auto" w:fill="C6EFCE"/>
            <w:noWrap/>
          </w:tcPr>
          <w:p w14:paraId="19B3168B"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09" w:type="dxa"/>
            <w:shd w:val="clear" w:color="auto" w:fill="C6EFCE"/>
            <w:noWrap/>
          </w:tcPr>
          <w:p w14:paraId="0674A393" w14:textId="77777777" w:rsidR="00CB0FCB" w:rsidRDefault="009D2B11">
            <w:pPr>
              <w:pStyle w:val="P68B1DB1-Normal9"/>
              <w:spacing w:before="120" w:after="0" w:line="240" w:lineRule="auto"/>
              <w:rPr>
                <w:rFonts w:eastAsia="Times New Roman" w:cs="Calibri"/>
                <w:noProof/>
                <w:szCs w:val="18"/>
              </w:rPr>
            </w:pPr>
            <w:r>
              <w:rPr>
                <w:noProof/>
              </w:rPr>
              <w:t>2024</w:t>
            </w:r>
          </w:p>
        </w:tc>
        <w:tc>
          <w:tcPr>
            <w:tcW w:w="4384" w:type="dxa"/>
            <w:shd w:val="clear" w:color="auto" w:fill="C6EFCE"/>
            <w:noWrap/>
          </w:tcPr>
          <w:p w14:paraId="66A6F530" w14:textId="75E8104B" w:rsidR="00CB0FCB" w:rsidRDefault="009D2B11">
            <w:pPr>
              <w:pStyle w:val="P68B1DB1-Normal9"/>
              <w:spacing w:before="120" w:after="0" w:line="240" w:lineRule="auto"/>
              <w:rPr>
                <w:rFonts w:eastAsia="Times New Roman" w:cs="Calibri"/>
                <w:noProof/>
                <w:szCs w:val="18"/>
              </w:rPr>
            </w:pPr>
            <w:r>
              <w:rPr>
                <w:noProof/>
              </w:rPr>
              <w:t>Izmēģinājuma programmas otrā posma personīgo asistentu norīkošanas pabeigšana, tostarp funkcionālās invaliditātes novērtēšanas process.</w:t>
            </w:r>
          </w:p>
        </w:tc>
      </w:tr>
      <w:tr w:rsidR="00CB0FCB" w14:paraId="0A543B8D" w14:textId="77777777">
        <w:trPr>
          <w:trHeight w:val="313"/>
          <w:jc w:val="center"/>
        </w:trPr>
        <w:tc>
          <w:tcPr>
            <w:tcW w:w="1134" w:type="dxa"/>
            <w:shd w:val="clear" w:color="auto" w:fill="C6EFCE"/>
            <w:noWrap/>
          </w:tcPr>
          <w:p w14:paraId="29CE26A1" w14:textId="77777777" w:rsidR="00CB0FCB" w:rsidRDefault="009D2B11">
            <w:pPr>
              <w:pStyle w:val="P68B1DB1-Normal9"/>
              <w:spacing w:before="120" w:after="0" w:line="240" w:lineRule="auto"/>
              <w:rPr>
                <w:rFonts w:eastAsia="Times New Roman" w:cs="Calibri"/>
                <w:noProof/>
                <w:szCs w:val="18"/>
              </w:rPr>
            </w:pPr>
            <w:r>
              <w:rPr>
                <w:noProof/>
              </w:rPr>
              <w:t>178</w:t>
            </w:r>
          </w:p>
        </w:tc>
        <w:tc>
          <w:tcPr>
            <w:tcW w:w="1276" w:type="dxa"/>
            <w:shd w:val="clear" w:color="auto" w:fill="C6EFCE"/>
            <w:noWrap/>
          </w:tcPr>
          <w:p w14:paraId="64ACC40E"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16919_Bērnu aizsardzība</w:t>
            </w:r>
          </w:p>
        </w:tc>
        <w:tc>
          <w:tcPr>
            <w:tcW w:w="992" w:type="dxa"/>
            <w:shd w:val="clear" w:color="auto" w:fill="C6EFCE"/>
            <w:noWrap/>
          </w:tcPr>
          <w:p w14:paraId="52EA378F" w14:textId="77777777" w:rsidR="00CB0FCB" w:rsidRDefault="009D2B11">
            <w:pPr>
              <w:pStyle w:val="P68B1DB1-Normal9"/>
              <w:spacing w:before="120" w:after="0" w:line="240" w:lineRule="auto"/>
              <w:rPr>
                <w:rFonts w:eastAsia="Times New Roman" w:cs="Calibri"/>
                <w:noProof/>
                <w:szCs w:val="18"/>
              </w:rPr>
            </w:pPr>
            <w:r>
              <w:rPr>
                <w:noProof/>
              </w:rPr>
              <w:t>Mērķa</w:t>
            </w:r>
          </w:p>
        </w:tc>
        <w:tc>
          <w:tcPr>
            <w:tcW w:w="1273" w:type="dxa"/>
            <w:shd w:val="clear" w:color="auto" w:fill="C6EFCE"/>
            <w:noWrap/>
          </w:tcPr>
          <w:p w14:paraId="7E62470E" w14:textId="7206A54C" w:rsidR="00CB0FCB" w:rsidRDefault="009D2B11">
            <w:pPr>
              <w:pStyle w:val="P68B1DB1-Normal9"/>
              <w:spacing w:before="120" w:after="0" w:line="240" w:lineRule="auto"/>
              <w:rPr>
                <w:rFonts w:eastAsia="Times New Roman" w:cs="Calibri"/>
                <w:noProof/>
                <w:szCs w:val="18"/>
              </w:rPr>
            </w:pPr>
            <w:r>
              <w:rPr>
                <w:noProof/>
              </w:rPr>
              <w:t xml:space="preserve">Pabeigti neatkarīgi dzīvokļi līdz 26 gadus vecu personu deinstitucionalizācijai </w:t>
            </w:r>
          </w:p>
        </w:tc>
        <w:tc>
          <w:tcPr>
            <w:tcW w:w="1680" w:type="dxa"/>
            <w:shd w:val="clear" w:color="auto" w:fill="C6EFCE"/>
            <w:noWrap/>
          </w:tcPr>
          <w:p w14:paraId="1B4CE9B0" w14:textId="77777777" w:rsidR="00CB0FCB" w:rsidRDefault="00CB0FCB">
            <w:pPr>
              <w:spacing w:before="120" w:after="0" w:line="240" w:lineRule="auto"/>
              <w:rPr>
                <w:rFonts w:eastAsia="Times New Roman" w:cs="Calibri"/>
                <w:noProof/>
                <w:color w:val="006100"/>
                <w:sz w:val="18"/>
                <w:szCs w:val="18"/>
              </w:rPr>
            </w:pPr>
          </w:p>
        </w:tc>
        <w:tc>
          <w:tcPr>
            <w:tcW w:w="1080" w:type="dxa"/>
            <w:shd w:val="clear" w:color="auto" w:fill="C6EFCE"/>
            <w:noWrap/>
          </w:tcPr>
          <w:p w14:paraId="70ADB351" w14:textId="0400550A" w:rsidR="00CB0FCB" w:rsidRDefault="009D2B11">
            <w:pPr>
              <w:pStyle w:val="P68B1DB1-Normal9"/>
              <w:spacing w:before="120" w:after="0" w:line="240" w:lineRule="auto"/>
              <w:rPr>
                <w:rFonts w:eastAsia="Times New Roman" w:cs="Calibri"/>
                <w:noProof/>
                <w:szCs w:val="18"/>
              </w:rPr>
            </w:pPr>
            <w:r>
              <w:rPr>
                <w:noProof/>
              </w:rPr>
              <w:t xml:space="preserve">To personu skaits, kas jaunākas par 26 gadiem un ievietotas daļēji neatkarīgi dzīvojamos dzīvokļos </w:t>
            </w:r>
          </w:p>
        </w:tc>
        <w:tc>
          <w:tcPr>
            <w:tcW w:w="960" w:type="dxa"/>
            <w:shd w:val="clear" w:color="auto" w:fill="C6EFCE"/>
            <w:noWrap/>
          </w:tcPr>
          <w:p w14:paraId="52C514F9" w14:textId="77777777" w:rsidR="00CB0FCB" w:rsidRDefault="009D2B11">
            <w:pPr>
              <w:pStyle w:val="P68B1DB1-Normal9"/>
              <w:spacing w:before="120" w:after="0" w:line="240" w:lineRule="auto"/>
              <w:rPr>
                <w:rFonts w:eastAsia="Times New Roman" w:cs="Calibri"/>
                <w:noProof/>
                <w:szCs w:val="18"/>
              </w:rPr>
            </w:pPr>
            <w:r>
              <w:rPr>
                <w:noProof/>
              </w:rPr>
              <w:t>0</w:t>
            </w:r>
          </w:p>
        </w:tc>
        <w:tc>
          <w:tcPr>
            <w:tcW w:w="971" w:type="dxa"/>
            <w:shd w:val="clear" w:color="auto" w:fill="C6EFCE"/>
            <w:noWrap/>
          </w:tcPr>
          <w:p w14:paraId="6DC279AF" w14:textId="77777777" w:rsidR="00CB0FCB" w:rsidRDefault="009D2B11">
            <w:pPr>
              <w:pStyle w:val="P68B1DB1-Normal9"/>
              <w:spacing w:before="120" w:after="0" w:line="240" w:lineRule="auto"/>
              <w:rPr>
                <w:rFonts w:eastAsia="Times New Roman" w:cs="Calibri"/>
                <w:noProof/>
                <w:szCs w:val="18"/>
              </w:rPr>
            </w:pPr>
            <w:r>
              <w:rPr>
                <w:noProof/>
              </w:rPr>
              <w:t>200</w:t>
            </w:r>
          </w:p>
        </w:tc>
        <w:tc>
          <w:tcPr>
            <w:tcW w:w="1417" w:type="dxa"/>
            <w:shd w:val="clear" w:color="auto" w:fill="C6EFCE"/>
            <w:noWrap/>
          </w:tcPr>
          <w:p w14:paraId="58C3179F"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09" w:type="dxa"/>
            <w:shd w:val="clear" w:color="auto" w:fill="C6EFCE"/>
            <w:noWrap/>
          </w:tcPr>
          <w:p w14:paraId="4F6E2213" w14:textId="62C61025" w:rsidR="00CB0FCB" w:rsidRDefault="009D2B11">
            <w:pPr>
              <w:pStyle w:val="P68B1DB1-Normal9"/>
              <w:spacing w:before="120" w:after="0" w:line="240" w:lineRule="auto"/>
              <w:rPr>
                <w:rFonts w:eastAsia="Times New Roman" w:cs="Calibri"/>
                <w:noProof/>
                <w:szCs w:val="18"/>
              </w:rPr>
            </w:pPr>
            <w:r>
              <w:rPr>
                <w:noProof/>
              </w:rPr>
              <w:t>2025</w:t>
            </w:r>
          </w:p>
        </w:tc>
        <w:tc>
          <w:tcPr>
            <w:tcW w:w="4384" w:type="dxa"/>
            <w:shd w:val="clear" w:color="auto" w:fill="C6EFCE"/>
            <w:noWrap/>
          </w:tcPr>
          <w:p w14:paraId="4F1E21A5" w14:textId="636641DE" w:rsidR="00CB0FCB" w:rsidRDefault="009D2B11">
            <w:pPr>
              <w:pStyle w:val="P68B1DB1-Normal9"/>
              <w:spacing w:before="120" w:after="0" w:line="240" w:lineRule="auto"/>
              <w:rPr>
                <w:rFonts w:eastAsia="Times New Roman" w:cs="Calibri"/>
                <w:noProof/>
                <w:szCs w:val="18"/>
              </w:rPr>
            </w:pPr>
            <w:r>
              <w:rPr>
                <w:noProof/>
              </w:rPr>
              <w:t>200 personu līdz 26 gadu vecumam, kuras pašlaik dzīvo dzīvokļos un kuras dzīvo dzīvokļos, ievietošana iestādēs.</w:t>
            </w:r>
          </w:p>
          <w:p w14:paraId="51FDA29D" w14:textId="64F9C719" w:rsidR="00CB0FCB" w:rsidRDefault="00CB0FCB">
            <w:pPr>
              <w:spacing w:before="120" w:after="0" w:line="240" w:lineRule="auto"/>
              <w:rPr>
                <w:rFonts w:eastAsia="Times New Roman" w:cs="Calibri"/>
                <w:noProof/>
                <w:color w:val="006100"/>
                <w:sz w:val="18"/>
                <w:szCs w:val="18"/>
              </w:rPr>
            </w:pPr>
          </w:p>
        </w:tc>
      </w:tr>
      <w:tr w:rsidR="00CB0FCB" w14:paraId="0FDE11E9" w14:textId="77777777">
        <w:trPr>
          <w:trHeight w:val="313"/>
          <w:jc w:val="center"/>
        </w:trPr>
        <w:tc>
          <w:tcPr>
            <w:tcW w:w="1134" w:type="dxa"/>
            <w:shd w:val="clear" w:color="auto" w:fill="C6EFCE"/>
            <w:noWrap/>
          </w:tcPr>
          <w:p w14:paraId="5C7D53E2" w14:textId="77777777" w:rsidR="00CB0FCB" w:rsidRDefault="009D2B11">
            <w:pPr>
              <w:pStyle w:val="P68B1DB1-Normal9"/>
              <w:spacing w:before="120" w:after="0" w:line="240" w:lineRule="auto"/>
              <w:rPr>
                <w:rFonts w:eastAsia="Times New Roman" w:cs="Calibri"/>
                <w:noProof/>
                <w:szCs w:val="18"/>
              </w:rPr>
            </w:pPr>
            <w:r>
              <w:rPr>
                <w:noProof/>
              </w:rPr>
              <w:t>179</w:t>
            </w:r>
          </w:p>
        </w:tc>
        <w:tc>
          <w:tcPr>
            <w:tcW w:w="1276" w:type="dxa"/>
            <w:shd w:val="clear" w:color="auto" w:fill="C6EFCE"/>
            <w:noWrap/>
          </w:tcPr>
          <w:p w14:paraId="4F07DFC4" w14:textId="1BCB2100" w:rsidR="00CB0FCB" w:rsidRDefault="009D2B11">
            <w:pPr>
              <w:pStyle w:val="P68B1DB1-Normal9"/>
              <w:spacing w:before="120" w:after="0" w:line="240" w:lineRule="auto"/>
              <w:rPr>
                <w:rFonts w:eastAsia="Times New Roman" w:cs="Calibri"/>
                <w:noProof/>
                <w:szCs w:val="18"/>
              </w:rPr>
            </w:pPr>
            <w:r>
              <w:rPr>
                <w:noProof/>
              </w:rPr>
              <w:t>11–3.4. Palielināt piekļuvi efektīvai un iekļaujošai sociālajai politikai — 16904_disabi-lity</w:t>
            </w:r>
          </w:p>
        </w:tc>
        <w:tc>
          <w:tcPr>
            <w:tcW w:w="992" w:type="dxa"/>
            <w:shd w:val="clear" w:color="auto" w:fill="C6EFCE"/>
            <w:noWrap/>
          </w:tcPr>
          <w:p w14:paraId="7C2033CC"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1273" w:type="dxa"/>
            <w:shd w:val="clear" w:color="auto" w:fill="C6EFCE"/>
            <w:noWrap/>
          </w:tcPr>
          <w:p w14:paraId="7A7011E4" w14:textId="5D580809" w:rsidR="00CB0FCB" w:rsidRDefault="009D2B11">
            <w:pPr>
              <w:pStyle w:val="P68B1DB1-Normal9"/>
              <w:spacing w:before="120" w:after="0" w:line="240" w:lineRule="auto"/>
              <w:rPr>
                <w:rFonts w:eastAsia="Times New Roman" w:cs="Calibri"/>
                <w:noProof/>
                <w:szCs w:val="18"/>
              </w:rPr>
            </w:pPr>
            <w:r>
              <w:rPr>
                <w:noProof/>
              </w:rPr>
              <w:t>Personīgās palīdzības invaliditātes shēmas ieviešana valsts līmenī un personīgās palīdzības invaliditātes novērtēšanas otrā posma pabeigšana — izvērtējums</w:t>
            </w:r>
          </w:p>
        </w:tc>
        <w:tc>
          <w:tcPr>
            <w:tcW w:w="1680" w:type="dxa"/>
            <w:shd w:val="clear" w:color="auto" w:fill="C6EFCE"/>
            <w:noWrap/>
          </w:tcPr>
          <w:p w14:paraId="386B508A" w14:textId="15392813" w:rsidR="00CB0FCB" w:rsidRDefault="009D2B11">
            <w:pPr>
              <w:pStyle w:val="P68B1DB1-Normal9"/>
              <w:spacing w:before="120" w:after="0" w:line="240" w:lineRule="auto"/>
              <w:rPr>
                <w:rFonts w:eastAsia="Times New Roman" w:cs="Calibri"/>
                <w:noProof/>
                <w:szCs w:val="18"/>
              </w:rPr>
            </w:pPr>
            <w:r>
              <w:rPr>
                <w:noProof/>
              </w:rPr>
              <w:t xml:space="preserve">a) primāro un sekundāro tiesību aktu stāšanās spēkā attiecībā uz valsts ieviešanu un b) izmēģinājuma shēmas un novērtēšanas sistēmas novērtējuma ziņojums ar statistiku un ieteikumiem. </w:t>
            </w:r>
          </w:p>
        </w:tc>
        <w:tc>
          <w:tcPr>
            <w:tcW w:w="1080" w:type="dxa"/>
            <w:shd w:val="clear" w:color="auto" w:fill="C6EFCE"/>
            <w:noWrap/>
          </w:tcPr>
          <w:p w14:paraId="07FD8997" w14:textId="77777777" w:rsidR="00CB0FCB" w:rsidRDefault="00CB0FCB">
            <w:pPr>
              <w:spacing w:before="120" w:after="0" w:line="240" w:lineRule="auto"/>
              <w:rPr>
                <w:rFonts w:eastAsia="Times New Roman" w:cs="Calibri"/>
                <w:noProof/>
                <w:color w:val="006100"/>
                <w:sz w:val="18"/>
                <w:szCs w:val="18"/>
              </w:rPr>
            </w:pPr>
          </w:p>
        </w:tc>
        <w:tc>
          <w:tcPr>
            <w:tcW w:w="960" w:type="dxa"/>
            <w:shd w:val="clear" w:color="auto" w:fill="C6EFCE"/>
            <w:noWrap/>
          </w:tcPr>
          <w:p w14:paraId="249415F6" w14:textId="77777777" w:rsidR="00CB0FCB" w:rsidRDefault="00CB0FCB">
            <w:pPr>
              <w:spacing w:before="120" w:after="0" w:line="240" w:lineRule="auto"/>
              <w:rPr>
                <w:rFonts w:eastAsia="Times New Roman" w:cs="Calibri"/>
                <w:noProof/>
                <w:color w:val="006100"/>
                <w:sz w:val="18"/>
                <w:szCs w:val="18"/>
              </w:rPr>
            </w:pPr>
          </w:p>
        </w:tc>
        <w:tc>
          <w:tcPr>
            <w:tcW w:w="971" w:type="dxa"/>
            <w:shd w:val="clear" w:color="auto" w:fill="C6EFCE"/>
            <w:noWrap/>
          </w:tcPr>
          <w:p w14:paraId="601B495E" w14:textId="77777777" w:rsidR="00CB0FCB" w:rsidRDefault="00CB0FCB">
            <w:pPr>
              <w:spacing w:before="120" w:after="0" w:line="240" w:lineRule="auto"/>
              <w:rPr>
                <w:rFonts w:eastAsia="Times New Roman" w:cs="Calibri"/>
                <w:noProof/>
                <w:color w:val="006100"/>
                <w:sz w:val="18"/>
                <w:szCs w:val="18"/>
              </w:rPr>
            </w:pPr>
          </w:p>
        </w:tc>
        <w:tc>
          <w:tcPr>
            <w:tcW w:w="1417" w:type="dxa"/>
            <w:shd w:val="clear" w:color="auto" w:fill="C6EFCE"/>
            <w:noWrap/>
          </w:tcPr>
          <w:p w14:paraId="11DA9489" w14:textId="4CC31C78" w:rsidR="00CB0FCB" w:rsidRDefault="009D2B11">
            <w:pPr>
              <w:pStyle w:val="P68B1DB1-Normal9"/>
              <w:spacing w:before="120" w:after="0" w:line="240" w:lineRule="auto"/>
              <w:rPr>
                <w:rFonts w:eastAsia="Times New Roman" w:cs="Calibri"/>
                <w:noProof/>
                <w:szCs w:val="18"/>
              </w:rPr>
            </w:pPr>
            <w:r>
              <w:rPr>
                <w:noProof/>
              </w:rPr>
              <w:t>4. CET.</w:t>
            </w:r>
          </w:p>
        </w:tc>
        <w:tc>
          <w:tcPr>
            <w:tcW w:w="709" w:type="dxa"/>
            <w:shd w:val="clear" w:color="auto" w:fill="C6EFCE"/>
            <w:noWrap/>
          </w:tcPr>
          <w:p w14:paraId="09810924" w14:textId="77777777" w:rsidR="00CB0FCB" w:rsidRDefault="009D2B11">
            <w:pPr>
              <w:pStyle w:val="P68B1DB1-Normal9"/>
              <w:spacing w:before="120" w:after="0" w:line="240" w:lineRule="auto"/>
              <w:rPr>
                <w:rFonts w:eastAsia="Times New Roman" w:cs="Calibri"/>
                <w:noProof/>
                <w:szCs w:val="18"/>
              </w:rPr>
            </w:pPr>
            <w:r>
              <w:rPr>
                <w:noProof/>
              </w:rPr>
              <w:t>2025</w:t>
            </w:r>
          </w:p>
        </w:tc>
        <w:tc>
          <w:tcPr>
            <w:tcW w:w="4384" w:type="dxa"/>
            <w:shd w:val="clear" w:color="auto" w:fill="C6EFCE"/>
            <w:noWrap/>
          </w:tcPr>
          <w:p w14:paraId="3648547D" w14:textId="742810F1" w:rsidR="00CB0FCB" w:rsidRDefault="009D2B11">
            <w:pPr>
              <w:pStyle w:val="P68B1DB1-Normal9"/>
              <w:spacing w:before="120" w:after="0" w:line="240" w:lineRule="auto"/>
              <w:rPr>
                <w:rFonts w:eastAsia="Times New Roman" w:cs="Calibri"/>
                <w:noProof/>
                <w:szCs w:val="18"/>
              </w:rPr>
            </w:pPr>
            <w:r>
              <w:rPr>
                <w:noProof/>
              </w:rPr>
              <w:t>Stājas spēkā tiesību akti, kas ļauj visā valstī ieviest personīgās palīdzības invaliditātes shēmu, tostarp medicīniskās un funkcionālās novērtēšanas procesu, un pabeigt izmēģinājuma shēmas un novērtēšanas sistēmas novērtējuma ziņojumu ar statistiku un ieteikumiem.</w:t>
            </w:r>
          </w:p>
        </w:tc>
      </w:tr>
      <w:tr w:rsidR="00CB0FCB" w14:paraId="7E3E2402" w14:textId="77777777">
        <w:trPr>
          <w:trHeight w:val="313"/>
          <w:jc w:val="center"/>
        </w:trPr>
        <w:tc>
          <w:tcPr>
            <w:tcW w:w="1134" w:type="dxa"/>
            <w:shd w:val="clear" w:color="auto" w:fill="C6EFCE"/>
            <w:noWrap/>
          </w:tcPr>
          <w:p w14:paraId="40621045" w14:textId="77777777" w:rsidR="00CB0FCB" w:rsidRDefault="009D2B11">
            <w:pPr>
              <w:pStyle w:val="P68B1DB1-Normal9"/>
              <w:spacing w:before="120" w:after="0" w:line="240" w:lineRule="auto"/>
              <w:rPr>
                <w:rFonts w:eastAsia="Times New Roman" w:cs="Calibri"/>
                <w:noProof/>
                <w:szCs w:val="18"/>
              </w:rPr>
            </w:pPr>
            <w:r>
              <w:rPr>
                <w:noProof/>
              </w:rPr>
              <w:t>180a</w:t>
            </w:r>
          </w:p>
        </w:tc>
        <w:tc>
          <w:tcPr>
            <w:tcW w:w="1276" w:type="dxa"/>
            <w:shd w:val="clear" w:color="auto" w:fill="C6EFCE"/>
            <w:noWrap/>
          </w:tcPr>
          <w:p w14:paraId="0D170A6D" w14:textId="77777777" w:rsidR="00CB0FCB" w:rsidRDefault="009D2B11">
            <w:pPr>
              <w:pStyle w:val="P68B1DB1-Normal33"/>
              <w:spacing w:before="120" w:after="0" w:line="240" w:lineRule="auto"/>
              <w:rPr>
                <w:noProof/>
              </w:rPr>
            </w:pPr>
            <w:r>
              <w:rPr>
                <w:noProof/>
              </w:rPr>
              <w:t>11–3.4. Uzlabot piekļuvi efektīvai un iekļaujošai sociālajai politikai — 16919_Bērnu aizsardzība</w:t>
            </w:r>
          </w:p>
        </w:tc>
        <w:tc>
          <w:tcPr>
            <w:tcW w:w="992" w:type="dxa"/>
            <w:shd w:val="clear" w:color="auto" w:fill="C6EFCE"/>
            <w:noWrap/>
          </w:tcPr>
          <w:p w14:paraId="47F7A587" w14:textId="77777777" w:rsidR="00CB0FCB" w:rsidRDefault="009D2B11">
            <w:pPr>
              <w:pStyle w:val="P68B1DB1-Normal33"/>
              <w:spacing w:before="120" w:after="0" w:line="240" w:lineRule="auto"/>
              <w:rPr>
                <w:noProof/>
              </w:rPr>
            </w:pPr>
            <w:r>
              <w:rPr>
                <w:noProof/>
              </w:rPr>
              <w:t>Atskaites punkts</w:t>
            </w:r>
          </w:p>
        </w:tc>
        <w:tc>
          <w:tcPr>
            <w:tcW w:w="1273" w:type="dxa"/>
            <w:shd w:val="clear" w:color="auto" w:fill="C6EFCE"/>
            <w:noWrap/>
          </w:tcPr>
          <w:p w14:paraId="02961326" w14:textId="77777777" w:rsidR="00CB0FCB" w:rsidRDefault="009D2B11">
            <w:pPr>
              <w:pStyle w:val="P68B1DB1-Normal33"/>
              <w:spacing w:before="120" w:after="0" w:line="240" w:lineRule="auto"/>
              <w:rPr>
                <w:noProof/>
              </w:rPr>
            </w:pPr>
            <w:r>
              <w:rPr>
                <w:noProof/>
              </w:rPr>
              <w:t>Mācību programmas reforma</w:t>
            </w:r>
          </w:p>
        </w:tc>
        <w:tc>
          <w:tcPr>
            <w:tcW w:w="1680" w:type="dxa"/>
            <w:shd w:val="clear" w:color="auto" w:fill="C6EFCE"/>
            <w:noWrap/>
          </w:tcPr>
          <w:p w14:paraId="526949E2" w14:textId="401ED63A" w:rsidR="00CB0FCB" w:rsidRDefault="009D2B11">
            <w:pPr>
              <w:pStyle w:val="P68B1DB1-Normal33"/>
              <w:spacing w:before="120" w:after="0" w:line="240" w:lineRule="auto"/>
              <w:rPr>
                <w:noProof/>
              </w:rPr>
            </w:pPr>
            <w:r>
              <w:rPr>
                <w:noProof/>
              </w:rPr>
              <w:t>Sociālās kohēzijas un ģimenes lietu ministrijas ziņojums, ar ko apstiprina projekta pabeigšanu</w:t>
            </w:r>
          </w:p>
        </w:tc>
        <w:tc>
          <w:tcPr>
            <w:tcW w:w="1080" w:type="dxa"/>
            <w:shd w:val="clear" w:color="auto" w:fill="C6EFCE"/>
            <w:noWrap/>
          </w:tcPr>
          <w:p w14:paraId="2C443BF8" w14:textId="77777777" w:rsidR="00CB0FCB" w:rsidRDefault="00CB0FCB">
            <w:pPr>
              <w:spacing w:before="120" w:after="0" w:line="240" w:lineRule="auto"/>
              <w:rPr>
                <w:rFonts w:asciiTheme="minorHAnsi" w:hAnsiTheme="minorHAnsi"/>
                <w:noProof/>
                <w:color w:val="006100"/>
                <w:sz w:val="18"/>
              </w:rPr>
            </w:pPr>
          </w:p>
        </w:tc>
        <w:tc>
          <w:tcPr>
            <w:tcW w:w="960" w:type="dxa"/>
            <w:shd w:val="clear" w:color="auto" w:fill="C6EFCE"/>
            <w:noWrap/>
          </w:tcPr>
          <w:p w14:paraId="50BD73E8" w14:textId="77777777" w:rsidR="00CB0FCB" w:rsidRDefault="00CB0FCB">
            <w:pPr>
              <w:spacing w:before="120" w:after="0" w:line="240" w:lineRule="auto"/>
              <w:rPr>
                <w:rFonts w:asciiTheme="minorHAnsi" w:hAnsiTheme="minorHAnsi"/>
                <w:noProof/>
                <w:color w:val="006100"/>
                <w:sz w:val="18"/>
              </w:rPr>
            </w:pPr>
          </w:p>
        </w:tc>
        <w:tc>
          <w:tcPr>
            <w:tcW w:w="971" w:type="dxa"/>
            <w:shd w:val="clear" w:color="auto" w:fill="C6EFCE"/>
            <w:noWrap/>
          </w:tcPr>
          <w:p w14:paraId="0F146AD1" w14:textId="77777777" w:rsidR="00CB0FCB" w:rsidRDefault="00CB0FCB">
            <w:pPr>
              <w:spacing w:before="120" w:after="0" w:line="240" w:lineRule="auto"/>
              <w:rPr>
                <w:rFonts w:asciiTheme="minorHAnsi" w:hAnsiTheme="minorHAnsi"/>
                <w:noProof/>
                <w:color w:val="006100"/>
                <w:sz w:val="18"/>
              </w:rPr>
            </w:pPr>
          </w:p>
        </w:tc>
        <w:tc>
          <w:tcPr>
            <w:tcW w:w="1417" w:type="dxa"/>
            <w:shd w:val="clear" w:color="auto" w:fill="C6EFCE"/>
            <w:noWrap/>
          </w:tcPr>
          <w:p w14:paraId="1D529E1B" w14:textId="77777777" w:rsidR="00CB0FCB" w:rsidRDefault="009D2B11">
            <w:pPr>
              <w:pStyle w:val="P68B1DB1-Normal33"/>
              <w:spacing w:before="120" w:after="0" w:line="240" w:lineRule="auto"/>
              <w:rPr>
                <w:noProof/>
              </w:rPr>
            </w:pPr>
            <w:r>
              <w:rPr>
                <w:noProof/>
              </w:rPr>
              <w:t>4. CET.</w:t>
            </w:r>
          </w:p>
        </w:tc>
        <w:tc>
          <w:tcPr>
            <w:tcW w:w="709" w:type="dxa"/>
            <w:shd w:val="clear" w:color="auto" w:fill="C6EFCE"/>
            <w:noWrap/>
          </w:tcPr>
          <w:p w14:paraId="058844E8" w14:textId="77777777" w:rsidR="00CB0FCB" w:rsidRDefault="009D2B11">
            <w:pPr>
              <w:pStyle w:val="P68B1DB1-Normal33"/>
              <w:spacing w:before="120" w:after="0" w:line="240" w:lineRule="auto"/>
              <w:rPr>
                <w:noProof/>
              </w:rPr>
            </w:pPr>
            <w:r>
              <w:rPr>
                <w:noProof/>
              </w:rPr>
              <w:t>2025</w:t>
            </w:r>
          </w:p>
        </w:tc>
        <w:tc>
          <w:tcPr>
            <w:tcW w:w="4384" w:type="dxa"/>
            <w:shd w:val="clear" w:color="auto" w:fill="C6EFCE"/>
            <w:noWrap/>
          </w:tcPr>
          <w:p w14:paraId="65EE3397" w14:textId="5B35C368" w:rsidR="00CB0FCB" w:rsidRDefault="009D2B11">
            <w:pPr>
              <w:pStyle w:val="P68B1DB1-Normal33"/>
              <w:spacing w:after="0" w:line="240" w:lineRule="auto"/>
              <w:jc w:val="both"/>
              <w:textAlignment w:val="baseline"/>
              <w:rPr>
                <w:noProof/>
              </w:rPr>
            </w:pPr>
            <w:r>
              <w:rPr>
                <w:noProof/>
              </w:rPr>
              <w:t>Izveidot 100 zinātnes, tehnoloģiju, inženierzinātņu un matemātikas (STEM) radošo darbību centrus bērniem vecumā no 12 līdz 15 gadiem. </w:t>
            </w:r>
          </w:p>
        </w:tc>
      </w:tr>
      <w:tr w:rsidR="00CB0FCB" w14:paraId="62FDF896" w14:textId="77777777">
        <w:trPr>
          <w:trHeight w:val="313"/>
          <w:jc w:val="center"/>
        </w:trPr>
        <w:tc>
          <w:tcPr>
            <w:tcW w:w="1134" w:type="dxa"/>
            <w:shd w:val="clear" w:color="auto" w:fill="C6EFCE"/>
            <w:noWrap/>
          </w:tcPr>
          <w:p w14:paraId="30F8601B" w14:textId="77777777" w:rsidR="00CB0FCB" w:rsidRDefault="009D2B11">
            <w:pPr>
              <w:pStyle w:val="P68B1DB1-Normal33"/>
              <w:spacing w:before="120" w:after="0" w:line="240" w:lineRule="auto"/>
              <w:rPr>
                <w:noProof/>
              </w:rPr>
            </w:pPr>
            <w:r>
              <w:rPr>
                <w:noProof/>
              </w:rPr>
              <w:t>181</w:t>
            </w:r>
          </w:p>
        </w:tc>
        <w:tc>
          <w:tcPr>
            <w:tcW w:w="1276" w:type="dxa"/>
            <w:shd w:val="clear" w:color="auto" w:fill="C6EFCE"/>
            <w:noWrap/>
          </w:tcPr>
          <w:p w14:paraId="438BBD8E" w14:textId="77777777" w:rsidR="00CB0FCB" w:rsidRDefault="009D2B11">
            <w:pPr>
              <w:pStyle w:val="P68B1DB1-Normal33"/>
              <w:spacing w:before="120" w:after="0" w:line="240" w:lineRule="auto"/>
              <w:rPr>
                <w:noProof/>
              </w:rPr>
            </w:pPr>
            <w:r>
              <w:rPr>
                <w:noProof/>
              </w:rPr>
              <w:t>11–3.4. Palielināt piekļuvi efektīvai un iekļaujošai sociālajai politikai — 16402_Sociālie un cenas ziņā pieejami mājokļi</w:t>
            </w:r>
          </w:p>
        </w:tc>
        <w:tc>
          <w:tcPr>
            <w:tcW w:w="992" w:type="dxa"/>
            <w:shd w:val="clear" w:color="auto" w:fill="C6EFCE"/>
            <w:noWrap/>
          </w:tcPr>
          <w:p w14:paraId="62F3D0F1" w14:textId="77777777" w:rsidR="00CB0FCB" w:rsidRDefault="009D2B11">
            <w:pPr>
              <w:pStyle w:val="P68B1DB1-Normal33"/>
              <w:spacing w:before="120" w:after="0" w:line="240" w:lineRule="auto"/>
              <w:rPr>
                <w:noProof/>
              </w:rPr>
            </w:pPr>
            <w:r>
              <w:rPr>
                <w:noProof/>
              </w:rPr>
              <w:t>Atskaites punkts</w:t>
            </w:r>
          </w:p>
        </w:tc>
        <w:tc>
          <w:tcPr>
            <w:tcW w:w="1273" w:type="dxa"/>
            <w:shd w:val="clear" w:color="auto" w:fill="C6EFCE"/>
            <w:noWrap/>
          </w:tcPr>
          <w:p w14:paraId="3EA39E05" w14:textId="77777777" w:rsidR="00CB0FCB" w:rsidRDefault="009D2B11">
            <w:pPr>
              <w:pStyle w:val="P68B1DB1-Normal33"/>
              <w:spacing w:before="120" w:after="0" w:line="240" w:lineRule="auto"/>
              <w:rPr>
                <w:noProof/>
              </w:rPr>
            </w:pPr>
            <w:r>
              <w:rPr>
                <w:noProof/>
              </w:rPr>
              <w:t xml:space="preserve">Valsts mājokļu STRATĒĢIJA </w:t>
            </w:r>
          </w:p>
        </w:tc>
        <w:tc>
          <w:tcPr>
            <w:tcW w:w="1680" w:type="dxa"/>
            <w:shd w:val="clear" w:color="auto" w:fill="C6EFCE"/>
            <w:noWrap/>
          </w:tcPr>
          <w:p w14:paraId="25F1F1F2" w14:textId="77777777" w:rsidR="00CB0FCB" w:rsidRDefault="009D2B11">
            <w:pPr>
              <w:pStyle w:val="P68B1DB1-Normal33"/>
              <w:spacing w:before="120" w:after="0" w:line="240" w:lineRule="auto"/>
              <w:rPr>
                <w:noProof/>
              </w:rPr>
            </w:pPr>
            <w:r>
              <w:rPr>
                <w:noProof/>
              </w:rPr>
              <w:t>Mājokļu stratēģijas apstiprināšana Ministru kabinetā</w:t>
            </w:r>
          </w:p>
        </w:tc>
        <w:tc>
          <w:tcPr>
            <w:tcW w:w="1080" w:type="dxa"/>
            <w:shd w:val="clear" w:color="auto" w:fill="C6EFCE"/>
            <w:noWrap/>
          </w:tcPr>
          <w:p w14:paraId="4DDB995F" w14:textId="77777777" w:rsidR="00CB0FCB" w:rsidRDefault="00CB0FCB">
            <w:pPr>
              <w:spacing w:before="120" w:after="0" w:line="240" w:lineRule="auto"/>
              <w:rPr>
                <w:rFonts w:asciiTheme="minorHAnsi" w:hAnsiTheme="minorHAnsi"/>
                <w:noProof/>
                <w:color w:val="006100"/>
                <w:sz w:val="18"/>
              </w:rPr>
            </w:pPr>
          </w:p>
        </w:tc>
        <w:tc>
          <w:tcPr>
            <w:tcW w:w="960" w:type="dxa"/>
            <w:shd w:val="clear" w:color="auto" w:fill="C6EFCE"/>
            <w:noWrap/>
          </w:tcPr>
          <w:p w14:paraId="7C979DC9" w14:textId="77777777" w:rsidR="00CB0FCB" w:rsidRDefault="00CB0FCB">
            <w:pPr>
              <w:spacing w:before="120" w:after="0" w:line="240" w:lineRule="auto"/>
              <w:rPr>
                <w:rFonts w:asciiTheme="minorHAnsi" w:hAnsiTheme="minorHAnsi"/>
                <w:noProof/>
                <w:color w:val="006100"/>
                <w:sz w:val="18"/>
              </w:rPr>
            </w:pPr>
          </w:p>
        </w:tc>
        <w:tc>
          <w:tcPr>
            <w:tcW w:w="971" w:type="dxa"/>
            <w:shd w:val="clear" w:color="auto" w:fill="C6EFCE"/>
            <w:noWrap/>
          </w:tcPr>
          <w:p w14:paraId="5F8D24C6" w14:textId="77777777" w:rsidR="00CB0FCB" w:rsidRDefault="00CB0FCB">
            <w:pPr>
              <w:spacing w:before="120" w:after="0" w:line="240" w:lineRule="auto"/>
              <w:rPr>
                <w:rFonts w:asciiTheme="minorHAnsi" w:hAnsiTheme="minorHAnsi"/>
                <w:noProof/>
                <w:color w:val="006100"/>
                <w:sz w:val="18"/>
              </w:rPr>
            </w:pPr>
          </w:p>
        </w:tc>
        <w:tc>
          <w:tcPr>
            <w:tcW w:w="1417" w:type="dxa"/>
            <w:shd w:val="clear" w:color="auto" w:fill="C6EFCE"/>
            <w:noWrap/>
          </w:tcPr>
          <w:p w14:paraId="44C8AA67" w14:textId="77777777" w:rsidR="00CB0FCB" w:rsidRDefault="009D2B11">
            <w:pPr>
              <w:pStyle w:val="P68B1DB1-Normal33"/>
              <w:spacing w:before="120" w:after="0" w:line="240" w:lineRule="auto"/>
              <w:rPr>
                <w:noProof/>
              </w:rPr>
            </w:pPr>
            <w:r>
              <w:rPr>
                <w:noProof/>
              </w:rPr>
              <w:t>Q1</w:t>
            </w:r>
          </w:p>
        </w:tc>
        <w:tc>
          <w:tcPr>
            <w:tcW w:w="709" w:type="dxa"/>
            <w:shd w:val="clear" w:color="auto" w:fill="C6EFCE"/>
            <w:noWrap/>
          </w:tcPr>
          <w:p w14:paraId="613E0F87" w14:textId="77777777" w:rsidR="00CB0FCB" w:rsidRDefault="009D2B11">
            <w:pPr>
              <w:pStyle w:val="P68B1DB1-Normal33"/>
              <w:spacing w:before="120" w:after="0" w:line="240" w:lineRule="auto"/>
              <w:rPr>
                <w:noProof/>
              </w:rPr>
            </w:pPr>
            <w:r>
              <w:rPr>
                <w:noProof/>
              </w:rPr>
              <w:t>2026</w:t>
            </w:r>
          </w:p>
        </w:tc>
        <w:tc>
          <w:tcPr>
            <w:tcW w:w="4384" w:type="dxa"/>
            <w:shd w:val="clear" w:color="auto" w:fill="C6EFCE"/>
            <w:noWrap/>
          </w:tcPr>
          <w:p w14:paraId="24E68D47" w14:textId="77777777" w:rsidR="00CB0FCB" w:rsidRDefault="009D2B11">
            <w:pPr>
              <w:pStyle w:val="P68B1DB1-Normal33"/>
              <w:spacing w:before="120" w:after="0" w:line="240" w:lineRule="auto"/>
              <w:rPr>
                <w:noProof/>
              </w:rPr>
            </w:pPr>
            <w:r>
              <w:rPr>
                <w:noProof/>
              </w:rPr>
              <w:t>Pieņemt visaptverošu valsts mājokļu stratēģiju, kas ietver:</w:t>
            </w:r>
          </w:p>
          <w:p w14:paraId="3BC6B176" w14:textId="77777777" w:rsidR="00CB0FCB" w:rsidRDefault="009D2B11">
            <w:pPr>
              <w:pStyle w:val="P68B1DB1-ListParagraph34"/>
              <w:numPr>
                <w:ilvl w:val="0"/>
                <w:numId w:val="92"/>
              </w:numPr>
              <w:spacing w:before="120" w:after="0" w:line="240" w:lineRule="auto"/>
              <w:ind w:left="414" w:hanging="357"/>
              <w:rPr>
                <w:noProof/>
              </w:rPr>
            </w:pPr>
            <w:r>
              <w:rPr>
                <w:noProof/>
              </w:rPr>
              <w:t>Mājokļu tirgus darbības analīze.</w:t>
            </w:r>
          </w:p>
          <w:p w14:paraId="5092DF72" w14:textId="77777777" w:rsidR="00CB0FCB" w:rsidRDefault="009D2B11">
            <w:pPr>
              <w:pStyle w:val="P68B1DB1-ListParagraph34"/>
              <w:numPr>
                <w:ilvl w:val="0"/>
                <w:numId w:val="92"/>
              </w:numPr>
              <w:spacing w:before="120" w:after="0" w:line="240" w:lineRule="auto"/>
              <w:ind w:left="414" w:hanging="357"/>
              <w:rPr>
                <w:noProof/>
              </w:rPr>
            </w:pPr>
            <w:r>
              <w:rPr>
                <w:noProof/>
              </w:rPr>
              <w:t>Mājokļu fonda kartēšanu reģionālā līmenī, tostarp neapdzīvotus privātos īpašumus un valstij piederošus īpašumus, kas ir vai var kļūt pieejami sociālo mājokļu vajadzībām, kā arī analīzi par mājokļu cenu attīstību un to noteicošajiem faktoriem, pamatojoties uz statistikas datiem un rādītājiem;</w:t>
            </w:r>
          </w:p>
          <w:p w14:paraId="2D93019D" w14:textId="77777777" w:rsidR="00CB0FCB" w:rsidRDefault="009D2B11">
            <w:pPr>
              <w:pStyle w:val="P68B1DB1-ListParagraph34"/>
              <w:numPr>
                <w:ilvl w:val="0"/>
                <w:numId w:val="92"/>
              </w:numPr>
              <w:spacing w:before="120" w:after="0" w:line="240" w:lineRule="auto"/>
              <w:ind w:left="414" w:hanging="357"/>
              <w:rPr>
                <w:noProof/>
              </w:rPr>
            </w:pPr>
            <w:r>
              <w:rPr>
                <w:noProof/>
              </w:rPr>
              <w:t xml:space="preserve">Mājokļu vajadzību analīzi pa iedzīvotāju grupām (t. i., iedzīvotāju grupām ar atšķirīgām iezīmēm, piemēram, vecumu, izmantojamajiem ienākumiem, ģimenes sastāvu pašvaldību un reģionālā līmenī, lauku vai pilsētu teritorijās, mazās pilsētās vai lielās pilsētās); </w:t>
            </w:r>
          </w:p>
          <w:p w14:paraId="7BB1BEC5" w14:textId="77777777" w:rsidR="00CB0FCB" w:rsidRDefault="009D2B11">
            <w:pPr>
              <w:pStyle w:val="P68B1DB1-ListParagraph34"/>
              <w:numPr>
                <w:ilvl w:val="0"/>
                <w:numId w:val="92"/>
              </w:numPr>
              <w:spacing w:before="120" w:after="0" w:line="240" w:lineRule="auto"/>
              <w:ind w:left="414" w:hanging="357"/>
              <w:rPr>
                <w:noProof/>
              </w:rPr>
            </w:pPr>
            <w:r>
              <w:rPr>
                <w:noProof/>
              </w:rPr>
              <w:t xml:space="preserve">Sīkāka informācija par dažādām īstenošanas politikas darbībām, tostarp par katru atbildīgo iestādi, budžetu un finansējuma avotu, prioritāšu noteikšanu un paredzamajiem saņēmējiem; </w:t>
            </w:r>
          </w:p>
          <w:p w14:paraId="6CF08A7E" w14:textId="77777777" w:rsidR="00CB0FCB" w:rsidRDefault="009D2B11">
            <w:pPr>
              <w:pStyle w:val="P68B1DB1-ListParagraph34"/>
              <w:numPr>
                <w:ilvl w:val="0"/>
                <w:numId w:val="92"/>
              </w:numPr>
              <w:spacing w:before="120" w:after="0" w:line="240" w:lineRule="auto"/>
              <w:ind w:left="414" w:hanging="357"/>
              <w:rPr>
                <w:noProof/>
              </w:rPr>
            </w:pPr>
            <w:r>
              <w:rPr>
                <w:noProof/>
              </w:rPr>
              <w:t>Apraksts par pārvaldības struktūru, kas būs atbildīga par stratēģijas īstenošanu un turpmākiem atjauninājumiem, un īstenošanas grafika apraksts.</w:t>
            </w:r>
          </w:p>
        </w:tc>
      </w:tr>
      <w:tr w:rsidR="00CB0FCB" w14:paraId="567C0EC7" w14:textId="77777777">
        <w:trPr>
          <w:trHeight w:val="313"/>
          <w:jc w:val="center"/>
        </w:trPr>
        <w:tc>
          <w:tcPr>
            <w:tcW w:w="1134" w:type="dxa"/>
            <w:shd w:val="clear" w:color="auto" w:fill="C6EFCE"/>
            <w:noWrap/>
          </w:tcPr>
          <w:p w14:paraId="4436733A" w14:textId="77777777" w:rsidR="00CB0FCB" w:rsidRDefault="009D2B11">
            <w:pPr>
              <w:pStyle w:val="P68B1DB1-Normal9"/>
              <w:spacing w:before="120" w:after="0" w:line="240" w:lineRule="auto"/>
              <w:rPr>
                <w:noProof/>
              </w:rPr>
            </w:pPr>
            <w:r>
              <w:rPr>
                <w:noProof/>
              </w:rPr>
              <w:t>181a</w:t>
            </w:r>
          </w:p>
        </w:tc>
        <w:tc>
          <w:tcPr>
            <w:tcW w:w="1276" w:type="dxa"/>
            <w:shd w:val="clear" w:color="auto" w:fill="C6EFCE"/>
            <w:noWrap/>
          </w:tcPr>
          <w:p w14:paraId="77EF3EA6" w14:textId="77777777" w:rsidR="00CB0FCB" w:rsidRDefault="009D2B11">
            <w:pPr>
              <w:pStyle w:val="P68B1DB1-Normal9"/>
              <w:spacing w:before="120" w:after="0" w:line="240" w:lineRule="auto"/>
              <w:rPr>
                <w:noProof/>
              </w:rPr>
            </w:pPr>
            <w:r>
              <w:rPr>
                <w:noProof/>
              </w:rPr>
              <w:t xml:space="preserve">11–3.4. Palielināt piekļuvi efektīvai un iekļaujošai sociālajai politikai — 16402_Sociālie un cenas ziņā pieejami mājokļi </w:t>
            </w:r>
          </w:p>
        </w:tc>
        <w:tc>
          <w:tcPr>
            <w:tcW w:w="992" w:type="dxa"/>
            <w:shd w:val="clear" w:color="auto" w:fill="C6EFCE"/>
            <w:noWrap/>
          </w:tcPr>
          <w:p w14:paraId="30436A8E" w14:textId="77777777" w:rsidR="00CB0FCB" w:rsidRDefault="009D2B11">
            <w:pPr>
              <w:pStyle w:val="P68B1DB1-Normal9"/>
              <w:spacing w:before="120" w:after="0" w:line="240" w:lineRule="auto"/>
              <w:rPr>
                <w:noProof/>
              </w:rPr>
            </w:pPr>
            <w:r>
              <w:rPr>
                <w:noProof/>
              </w:rPr>
              <w:t>Atskaites punkts</w:t>
            </w:r>
          </w:p>
        </w:tc>
        <w:tc>
          <w:tcPr>
            <w:tcW w:w="1273" w:type="dxa"/>
            <w:shd w:val="clear" w:color="auto" w:fill="C6EFCE"/>
            <w:noWrap/>
          </w:tcPr>
          <w:p w14:paraId="255B93FE" w14:textId="77777777" w:rsidR="00CB0FCB" w:rsidRDefault="009D2B11">
            <w:pPr>
              <w:pStyle w:val="P68B1DB1-Normal9"/>
              <w:spacing w:before="120" w:after="0" w:line="240" w:lineRule="auto"/>
              <w:rPr>
                <w:noProof/>
              </w:rPr>
            </w:pPr>
            <w:r>
              <w:rPr>
                <w:noProof/>
              </w:rPr>
              <w:t>Grozījumi Likumā 5006/2022</w:t>
            </w:r>
          </w:p>
        </w:tc>
        <w:tc>
          <w:tcPr>
            <w:tcW w:w="1680" w:type="dxa"/>
            <w:shd w:val="clear" w:color="auto" w:fill="C6EFCE"/>
            <w:noWrap/>
          </w:tcPr>
          <w:p w14:paraId="454938E9" w14:textId="77777777" w:rsidR="00CB0FCB" w:rsidRDefault="009D2B11">
            <w:pPr>
              <w:pStyle w:val="P68B1DB1-Normal9"/>
              <w:spacing w:before="120" w:after="0" w:line="240" w:lineRule="auto"/>
              <w:rPr>
                <w:noProof/>
              </w:rPr>
            </w:pPr>
            <w:r>
              <w:rPr>
                <w:noProof/>
              </w:rPr>
              <w:t xml:space="preserve">Stājas spēkā tiesību akti, ar ko groza Mājokļu likumu 5006/2022 </w:t>
            </w:r>
          </w:p>
        </w:tc>
        <w:tc>
          <w:tcPr>
            <w:tcW w:w="1080" w:type="dxa"/>
            <w:shd w:val="clear" w:color="auto" w:fill="C6EFCE"/>
            <w:noWrap/>
          </w:tcPr>
          <w:p w14:paraId="251920FB" w14:textId="77777777" w:rsidR="00CB0FCB" w:rsidRDefault="00CB0FCB">
            <w:pPr>
              <w:spacing w:before="120" w:after="0" w:line="240" w:lineRule="auto"/>
              <w:rPr>
                <w:noProof/>
                <w:color w:val="006100"/>
                <w:sz w:val="18"/>
              </w:rPr>
            </w:pPr>
          </w:p>
        </w:tc>
        <w:tc>
          <w:tcPr>
            <w:tcW w:w="960" w:type="dxa"/>
            <w:shd w:val="clear" w:color="auto" w:fill="C6EFCE"/>
            <w:noWrap/>
          </w:tcPr>
          <w:p w14:paraId="50130AF5" w14:textId="77777777" w:rsidR="00CB0FCB" w:rsidRDefault="00CB0FCB">
            <w:pPr>
              <w:spacing w:before="120" w:after="0" w:line="240" w:lineRule="auto"/>
              <w:rPr>
                <w:noProof/>
                <w:color w:val="006100"/>
                <w:sz w:val="18"/>
              </w:rPr>
            </w:pPr>
          </w:p>
        </w:tc>
        <w:tc>
          <w:tcPr>
            <w:tcW w:w="971" w:type="dxa"/>
            <w:shd w:val="clear" w:color="auto" w:fill="C6EFCE"/>
            <w:noWrap/>
          </w:tcPr>
          <w:p w14:paraId="059847AD" w14:textId="77777777" w:rsidR="00CB0FCB" w:rsidRDefault="00CB0FCB">
            <w:pPr>
              <w:spacing w:before="120" w:after="0" w:line="240" w:lineRule="auto"/>
              <w:rPr>
                <w:noProof/>
                <w:color w:val="006100"/>
                <w:sz w:val="18"/>
              </w:rPr>
            </w:pPr>
          </w:p>
        </w:tc>
        <w:tc>
          <w:tcPr>
            <w:tcW w:w="1417" w:type="dxa"/>
            <w:shd w:val="clear" w:color="auto" w:fill="C6EFCE"/>
            <w:noWrap/>
          </w:tcPr>
          <w:p w14:paraId="3E027630" w14:textId="77777777" w:rsidR="00CB0FCB" w:rsidRDefault="009D2B11">
            <w:pPr>
              <w:pStyle w:val="P68B1DB1-Normal9"/>
              <w:spacing w:before="120" w:after="0" w:line="240" w:lineRule="auto"/>
              <w:rPr>
                <w:noProof/>
              </w:rPr>
            </w:pPr>
            <w:r>
              <w:rPr>
                <w:noProof/>
              </w:rPr>
              <w:t>Q1</w:t>
            </w:r>
          </w:p>
        </w:tc>
        <w:tc>
          <w:tcPr>
            <w:tcW w:w="709" w:type="dxa"/>
            <w:shd w:val="clear" w:color="auto" w:fill="C6EFCE"/>
            <w:noWrap/>
          </w:tcPr>
          <w:p w14:paraId="7F7CEE12" w14:textId="77777777" w:rsidR="00CB0FCB" w:rsidRDefault="009D2B11">
            <w:pPr>
              <w:pStyle w:val="P68B1DB1-Normal9"/>
              <w:spacing w:before="120" w:after="0" w:line="240" w:lineRule="auto"/>
              <w:rPr>
                <w:noProof/>
              </w:rPr>
            </w:pPr>
            <w:r>
              <w:rPr>
                <w:noProof/>
              </w:rPr>
              <w:t>2025</w:t>
            </w:r>
          </w:p>
        </w:tc>
        <w:tc>
          <w:tcPr>
            <w:tcW w:w="4384" w:type="dxa"/>
            <w:shd w:val="clear" w:color="auto" w:fill="C6EFCE"/>
            <w:noWrap/>
          </w:tcPr>
          <w:p w14:paraId="76C6122F" w14:textId="77777777" w:rsidR="00CB0FCB" w:rsidRDefault="009D2B11">
            <w:pPr>
              <w:pStyle w:val="P68B1DB1-Normal9"/>
              <w:rPr>
                <w:noProof/>
              </w:rPr>
            </w:pPr>
            <w:r>
              <w:rPr>
                <w:noProof/>
              </w:rPr>
              <w:t>Stājas spēkā tiesību akti, ar ko groza Likumu 5006/2022, lai privātā sektora attīstītājiem, kuri iegulda valstij piederošu nekustamā īpašuma aktīvu jaunā būvniecībā vai renovācijā, nodrošinātu iespēju iegūt īpašumtiesības uz īpašuma daļu, vienlaikus daļu īpašumu pārveidojot sociālajos un cenas ziņā pieejamos mājokļos.</w:t>
            </w:r>
          </w:p>
          <w:p w14:paraId="27B499C6" w14:textId="77777777" w:rsidR="00CB0FCB" w:rsidRDefault="009D2B11">
            <w:pPr>
              <w:pStyle w:val="P68B1DB1-Normal9"/>
              <w:spacing w:before="120" w:after="0" w:line="240" w:lineRule="auto"/>
              <w:rPr>
                <w:noProof/>
              </w:rPr>
            </w:pPr>
            <w:r>
              <w:rPr>
                <w:noProof/>
              </w:rPr>
              <w:t>Likumā nosaka Sociālās kohēzijas un ģimenes lietu ministrijas kā centrālās iestādes funkcijas valsts īpašuma savstarpējās apmaiņas programmas (“Kinoniki antiparochi”) pārvaldībā.</w:t>
            </w:r>
          </w:p>
        </w:tc>
      </w:tr>
    </w:tbl>
    <w:p w14:paraId="704FDDEE" w14:textId="77777777" w:rsidR="00CB0FCB" w:rsidRDefault="00CB0FCB">
      <w:pPr>
        <w:spacing w:before="120" w:after="120" w:line="240" w:lineRule="auto"/>
        <w:jc w:val="both"/>
        <w:rPr>
          <w:rFonts w:ascii="Times New Roman" w:hAnsi="Times New Roman" w:cs="Times New Roman"/>
          <w:noProof/>
          <w:sz w:val="24"/>
          <w:szCs w:val="24"/>
        </w:rPr>
      </w:pPr>
    </w:p>
    <w:p w14:paraId="4301D40B" w14:textId="77777777" w:rsidR="00CB0FCB" w:rsidRDefault="009D2B11">
      <w:pPr>
        <w:pStyle w:val="P68B1DB1-Normal6"/>
        <w:keepNext/>
        <w:keepLines/>
        <w:spacing w:before="120" w:after="0" w:line="240" w:lineRule="auto"/>
        <w:jc w:val="both"/>
        <w:outlineLvl w:val="4"/>
        <w:rPr>
          <w:rFonts w:eastAsia="Times New Roman"/>
          <w:noProof/>
        </w:rPr>
      </w:pPr>
      <w:r>
        <w:rPr>
          <w:noProof/>
        </w:rPr>
        <w:t>Grupa: Uzlabot piekļuvi efektīvai un iekļaujošai sociālajai politikai — migrācija un patvērums</w:t>
      </w:r>
    </w:p>
    <w:p w14:paraId="38308915" w14:textId="77777777" w:rsidR="00CB0FCB" w:rsidRDefault="009D2B11">
      <w:pPr>
        <w:pStyle w:val="P68B1DB1-Normal4"/>
        <w:numPr>
          <w:ilvl w:val="0"/>
          <w:numId w:val="38"/>
        </w:numPr>
        <w:spacing w:before="120" w:after="0" w:line="240" w:lineRule="auto"/>
        <w:ind w:left="0"/>
        <w:jc w:val="both"/>
        <w:rPr>
          <w:rFonts w:cs="Times New Roman"/>
          <w:noProof/>
        </w:rPr>
      </w:pPr>
      <w:r>
        <w:rPr>
          <w:noProof/>
        </w:rPr>
        <w:t>Migrācijas un patvēruma sistēmas digitalizācija (ID: 16763)</w:t>
      </w:r>
    </w:p>
    <w:p w14:paraId="3907B15D" w14:textId="77777777" w:rsidR="00CB0FCB" w:rsidRDefault="009D2B11">
      <w:pPr>
        <w:pStyle w:val="P68B1DB1-Normal4"/>
        <w:numPr>
          <w:ilvl w:val="0"/>
          <w:numId w:val="38"/>
        </w:numPr>
        <w:spacing w:before="120" w:after="0" w:line="240" w:lineRule="auto"/>
        <w:ind w:left="0"/>
        <w:jc w:val="both"/>
        <w:rPr>
          <w:rFonts w:cs="Times New Roman"/>
          <w:noProof/>
        </w:rPr>
      </w:pPr>
      <w:r>
        <w:rPr>
          <w:noProof/>
        </w:rPr>
        <w:t>Sociālā atbalsta sistēmas digitālā pārveide (ID: 16925)</w:t>
      </w:r>
    </w:p>
    <w:p w14:paraId="772C023E" w14:textId="77777777" w:rsidR="00CB0FCB" w:rsidRDefault="009D2B11">
      <w:pPr>
        <w:pStyle w:val="P68B1DB1-Normal4"/>
        <w:numPr>
          <w:ilvl w:val="0"/>
          <w:numId w:val="38"/>
        </w:numPr>
        <w:spacing w:before="120" w:after="0" w:line="240" w:lineRule="auto"/>
        <w:ind w:left="0"/>
        <w:jc w:val="both"/>
        <w:rPr>
          <w:rFonts w:cs="Times New Roman"/>
          <w:noProof/>
        </w:rPr>
      </w:pPr>
      <w:r>
        <w:rPr>
          <w:noProof/>
        </w:rPr>
        <w:t>Daudzveidības apzināšanās (ID: 16685)</w:t>
      </w:r>
    </w:p>
    <w:p w14:paraId="6E5EECF9" w14:textId="77777777" w:rsidR="00CB0FCB" w:rsidRDefault="009D2B11">
      <w:pPr>
        <w:pStyle w:val="P68B1DB1-Normal4"/>
        <w:numPr>
          <w:ilvl w:val="0"/>
          <w:numId w:val="38"/>
        </w:numPr>
        <w:spacing w:before="120" w:after="0" w:line="240" w:lineRule="auto"/>
        <w:ind w:left="0" w:hanging="357"/>
        <w:jc w:val="both"/>
        <w:rPr>
          <w:rFonts w:cs="Times New Roman"/>
          <w:noProof/>
        </w:rPr>
      </w:pPr>
      <w:r>
        <w:rPr>
          <w:noProof/>
        </w:rPr>
        <w:t>Sociālā integrācija (ID: 16922)</w:t>
      </w:r>
    </w:p>
    <w:p w14:paraId="4AB5EE63" w14:textId="77777777" w:rsidR="00CB0FCB" w:rsidRDefault="009D2B11">
      <w:pPr>
        <w:pStyle w:val="P68B1DB1-Normal4"/>
        <w:numPr>
          <w:ilvl w:val="0"/>
          <w:numId w:val="38"/>
        </w:numPr>
        <w:spacing w:before="120" w:after="120" w:line="240" w:lineRule="auto"/>
        <w:ind w:left="0"/>
        <w:jc w:val="both"/>
        <w:rPr>
          <w:rFonts w:cs="Times New Roman"/>
          <w:noProof/>
        </w:rPr>
      </w:pPr>
      <w:r>
        <w:rPr>
          <w:noProof/>
        </w:rPr>
        <w:t>Veicināt bēgļu integrāciju darba tirgū (ID: 16688)</w:t>
      </w:r>
    </w:p>
    <w:p w14:paraId="40873564" w14:textId="77777777" w:rsidR="00CB0FCB" w:rsidRDefault="00CB0FCB">
      <w:pPr>
        <w:spacing w:before="120" w:after="120" w:line="240" w:lineRule="auto"/>
        <w:jc w:val="both"/>
        <w:rPr>
          <w:rFonts w:ascii="Times New Roman" w:hAnsi="Times New Roman" w:cs="Times New Roman"/>
          <w:noProof/>
          <w:sz w:val="24"/>
        </w:rPr>
      </w:pPr>
    </w:p>
    <w:tbl>
      <w:tblPr>
        <w:tblW w:w="15730" w:type="dxa"/>
        <w:jc w:val="center"/>
        <w:tblLook w:val="04A0" w:firstRow="1" w:lastRow="0" w:firstColumn="1" w:lastColumn="0" w:noHBand="0" w:noVBand="1"/>
      </w:tblPr>
      <w:tblGrid>
        <w:gridCol w:w="1027"/>
        <w:gridCol w:w="1582"/>
        <w:gridCol w:w="1807"/>
        <w:gridCol w:w="2107"/>
        <w:gridCol w:w="1927"/>
        <w:gridCol w:w="1466"/>
        <w:gridCol w:w="1396"/>
        <w:gridCol w:w="1097"/>
        <w:gridCol w:w="1027"/>
        <w:gridCol w:w="783"/>
        <w:gridCol w:w="3117"/>
      </w:tblGrid>
      <w:tr w:rsidR="00CB0FCB" w14:paraId="27EF3995" w14:textId="77777777">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18069C" w14:textId="77777777" w:rsidR="00CB0FCB" w:rsidRDefault="009D2B11">
            <w:pPr>
              <w:pStyle w:val="P68B1DB1-Normal7"/>
              <w:spacing w:before="120" w:after="0" w:line="240" w:lineRule="auto"/>
              <w:jc w:val="center"/>
              <w:rPr>
                <w:rFonts w:eastAsia="Times New Roman" w:cs="Times New Roman"/>
                <w:bCs/>
                <w:noProof/>
                <w:szCs w:val="18"/>
              </w:rPr>
            </w:pPr>
            <w:r>
              <w:rPr>
                <w:noProof/>
              </w:rPr>
              <w:t>Kārtas numurs</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C25AE0" w14:textId="77777777" w:rsidR="00CB0FCB" w:rsidRDefault="009D2B11">
            <w:pPr>
              <w:pStyle w:val="P68B1DB1-Normal7"/>
              <w:spacing w:before="120" w:after="0" w:line="240" w:lineRule="auto"/>
              <w:jc w:val="center"/>
              <w:rPr>
                <w:rFonts w:eastAsia="Times New Roman" w:cs="Times New Roman"/>
                <w:bCs/>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2512CD" w14:textId="77777777" w:rsidR="00CB0FCB" w:rsidRDefault="009D2B11">
            <w:pPr>
              <w:pStyle w:val="P68B1DB1-Normal7"/>
              <w:spacing w:before="120" w:after="0" w:line="240" w:lineRule="auto"/>
              <w:jc w:val="center"/>
              <w:rPr>
                <w:rFonts w:eastAsia="Times New Roman" w:cs="Times New Roman"/>
                <w:bCs/>
                <w:noProof/>
                <w:szCs w:val="18"/>
              </w:rPr>
            </w:pPr>
            <w:r>
              <w:rPr>
                <w:noProof/>
              </w:rPr>
              <w:t>Atskaites punkts/mērķrādītājs</w:t>
            </w:r>
          </w:p>
        </w:tc>
        <w:tc>
          <w:tcPr>
            <w:tcW w:w="210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4F0AA2" w14:textId="77777777" w:rsidR="00CB0FCB" w:rsidRDefault="009D2B11">
            <w:pPr>
              <w:pStyle w:val="P68B1DB1-Normal7"/>
              <w:spacing w:before="120" w:after="0" w:line="240" w:lineRule="auto"/>
              <w:jc w:val="center"/>
              <w:rPr>
                <w:rFonts w:eastAsia="Times New Roman" w:cs="Times New Roman"/>
                <w:bCs/>
                <w:noProof/>
                <w:szCs w:val="18"/>
              </w:rPr>
            </w:pPr>
            <w:r>
              <w:rPr>
                <w:noProof/>
              </w:rPr>
              <w:t>Nosaukums</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579942" w14:textId="77777777" w:rsidR="00CB0FCB" w:rsidRDefault="009D2B11">
            <w:pPr>
              <w:pStyle w:val="P68B1DB1-Normal7"/>
              <w:spacing w:before="120" w:after="0" w:line="240" w:lineRule="auto"/>
              <w:jc w:val="center"/>
              <w:rPr>
                <w:rFonts w:eastAsia="Times New Roman" w:cs="Times New Roman"/>
                <w:bCs/>
                <w:noProof/>
                <w:szCs w:val="18"/>
              </w:rPr>
            </w:pPr>
            <w:r>
              <w:rPr>
                <w:noProof/>
              </w:rPr>
              <w:t>Kvalitatīvie rādītāji (atskaites punktiem)</w:t>
            </w:r>
          </w:p>
        </w:tc>
        <w:tc>
          <w:tcPr>
            <w:tcW w:w="3536"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49F397F" w14:textId="77777777" w:rsidR="00CB0FCB" w:rsidRDefault="009D2B11">
            <w:pPr>
              <w:pStyle w:val="P68B1DB1-Normal7"/>
              <w:spacing w:before="120" w:after="0" w:line="240" w:lineRule="auto"/>
              <w:jc w:val="center"/>
              <w:rPr>
                <w:rFonts w:eastAsia="Times New Roman" w:cs="Times New Roman"/>
                <w:bCs/>
                <w:noProof/>
                <w:szCs w:val="18"/>
              </w:rPr>
            </w:pPr>
            <w:r>
              <w:rPr>
                <w:noProof/>
              </w:rPr>
              <w:t>Kvantitatīvie rādītāji (mērķrādītājiem)</w:t>
            </w:r>
          </w:p>
        </w:tc>
        <w:tc>
          <w:tcPr>
            <w:tcW w:w="1629" w:type="dxa"/>
            <w:gridSpan w:val="2"/>
            <w:tcBorders>
              <w:top w:val="single" w:sz="4" w:space="0" w:color="auto"/>
              <w:left w:val="nil"/>
              <w:bottom w:val="single" w:sz="4" w:space="0" w:color="auto"/>
              <w:right w:val="single" w:sz="4" w:space="0" w:color="auto"/>
            </w:tcBorders>
            <w:shd w:val="clear" w:color="auto" w:fill="BDD7EE"/>
            <w:vAlign w:val="center"/>
            <w:hideMark/>
          </w:tcPr>
          <w:p w14:paraId="3B6D7050" w14:textId="77777777" w:rsidR="00CB0FCB" w:rsidRDefault="009D2B11">
            <w:pPr>
              <w:pStyle w:val="P68B1DB1-Normal7"/>
              <w:spacing w:before="120" w:after="0" w:line="240" w:lineRule="auto"/>
              <w:jc w:val="center"/>
              <w:rPr>
                <w:rFonts w:eastAsia="Times New Roman" w:cs="Times New Roman"/>
                <w:bCs/>
                <w:noProof/>
                <w:szCs w:val="18"/>
              </w:rPr>
            </w:pPr>
            <w:r>
              <w:rPr>
                <w:noProof/>
              </w:rPr>
              <w:t xml:space="preserve">Orientējošs pabeigšanas termiņš </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7A8939" w14:textId="77777777" w:rsidR="00CB0FCB" w:rsidRDefault="009D2B11">
            <w:pPr>
              <w:pStyle w:val="P68B1DB1-Normal7"/>
              <w:spacing w:before="120" w:after="0" w:line="240" w:lineRule="auto"/>
              <w:jc w:val="center"/>
              <w:rPr>
                <w:rFonts w:eastAsia="Times New Roman" w:cs="Times New Roman"/>
                <w:bCs/>
                <w:noProof/>
                <w:szCs w:val="18"/>
              </w:rPr>
            </w:pPr>
            <w:r>
              <w:rPr>
                <w:noProof/>
              </w:rPr>
              <w:t>Apraksts par katru atskaites punktu un mērķrādītāju</w:t>
            </w:r>
          </w:p>
        </w:tc>
      </w:tr>
      <w:tr w:rsidR="00CB0FCB" w14:paraId="160467AD" w14:textId="77777777">
        <w:trPr>
          <w:trHeight w:val="654"/>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F80D5EF" w14:textId="77777777" w:rsidR="00CB0FCB" w:rsidRDefault="00CB0FCB">
            <w:pPr>
              <w:spacing w:before="120" w:after="0" w:line="240" w:lineRule="auto"/>
              <w:rPr>
                <w:rFonts w:ascii="Times New Roman" w:eastAsia="Times New Roman" w:hAnsi="Times New Roman" w:cs="Times New Roman"/>
                <w:b/>
                <w:noProof/>
                <w:sz w:val="18"/>
                <w:szCs w:val="18"/>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2C9BEC45" w14:textId="77777777" w:rsidR="00CB0FCB" w:rsidRDefault="00CB0FCB">
            <w:pPr>
              <w:spacing w:before="120" w:after="0" w:line="240" w:lineRule="auto"/>
              <w:rPr>
                <w:rFonts w:ascii="Times New Roman" w:eastAsia="Times New Roman" w:hAnsi="Times New Roman" w:cs="Times New Roman"/>
                <w:b/>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74C3E09D" w14:textId="77777777" w:rsidR="00CB0FCB" w:rsidRDefault="00CB0FCB">
            <w:pPr>
              <w:spacing w:before="120" w:after="0" w:line="240" w:lineRule="auto"/>
              <w:rPr>
                <w:rFonts w:ascii="Times New Roman" w:eastAsia="Times New Roman" w:hAnsi="Times New Roman" w:cs="Times New Roman"/>
                <w:b/>
                <w:noProof/>
                <w:sz w:val="18"/>
                <w:szCs w:val="18"/>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98CE72A" w14:textId="77777777" w:rsidR="00CB0FCB" w:rsidRDefault="00CB0FCB">
            <w:pPr>
              <w:spacing w:before="120" w:after="0" w:line="240" w:lineRule="auto"/>
              <w:rPr>
                <w:rFonts w:ascii="Times New Roman" w:eastAsia="Times New Roman" w:hAnsi="Times New Roman" w:cs="Times New Roman"/>
                <w:b/>
                <w:noProof/>
                <w:sz w:val="18"/>
                <w:szCs w:val="18"/>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4D8D011C" w14:textId="77777777" w:rsidR="00CB0FCB" w:rsidRDefault="00CB0FCB">
            <w:pPr>
              <w:spacing w:before="120" w:after="0" w:line="240" w:lineRule="auto"/>
              <w:rPr>
                <w:rFonts w:ascii="Times New Roman" w:eastAsia="Times New Roman" w:hAnsi="Times New Roman" w:cs="Times New Roman"/>
                <w:b/>
                <w:noProof/>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5707A9F" w14:textId="77777777" w:rsidR="00CB0FCB" w:rsidRDefault="009D2B11">
            <w:pPr>
              <w:pStyle w:val="P68B1DB1-Normal7"/>
              <w:spacing w:before="120" w:after="0" w:line="240" w:lineRule="auto"/>
              <w:jc w:val="center"/>
              <w:rPr>
                <w:rFonts w:eastAsia="Times New Roman" w:cs="Times New Roman"/>
                <w:bCs/>
                <w:noProof/>
                <w:szCs w:val="18"/>
              </w:rPr>
            </w:pPr>
            <w:r>
              <w:rPr>
                <w:noProof/>
              </w:rPr>
              <w:t>Mēra vienība</w:t>
            </w:r>
          </w:p>
        </w:tc>
        <w:tc>
          <w:tcPr>
            <w:tcW w:w="1035" w:type="dxa"/>
            <w:tcBorders>
              <w:top w:val="nil"/>
              <w:left w:val="nil"/>
              <w:bottom w:val="single" w:sz="4" w:space="0" w:color="auto"/>
              <w:right w:val="single" w:sz="4" w:space="0" w:color="auto"/>
            </w:tcBorders>
            <w:shd w:val="clear" w:color="auto" w:fill="BDD7EE"/>
            <w:vAlign w:val="center"/>
            <w:hideMark/>
          </w:tcPr>
          <w:p w14:paraId="371CEB5F" w14:textId="77777777" w:rsidR="00CB0FCB" w:rsidRDefault="009D2B11">
            <w:pPr>
              <w:pStyle w:val="P68B1DB1-Normal7"/>
              <w:spacing w:before="120" w:after="0" w:line="240" w:lineRule="auto"/>
              <w:jc w:val="center"/>
              <w:rPr>
                <w:rFonts w:eastAsia="Times New Roman" w:cs="Times New Roman"/>
                <w:bCs/>
                <w:noProof/>
                <w:szCs w:val="18"/>
              </w:rPr>
            </w:pPr>
            <w:r>
              <w:rPr>
                <w:noProof/>
              </w:rPr>
              <w:t xml:space="preserve">Pamatscenārijs </w:t>
            </w:r>
          </w:p>
        </w:tc>
        <w:tc>
          <w:tcPr>
            <w:tcW w:w="1097" w:type="dxa"/>
            <w:tcBorders>
              <w:top w:val="nil"/>
              <w:left w:val="nil"/>
              <w:bottom w:val="single" w:sz="4" w:space="0" w:color="auto"/>
              <w:right w:val="single" w:sz="4" w:space="0" w:color="auto"/>
            </w:tcBorders>
            <w:shd w:val="clear" w:color="auto" w:fill="BDD7EE"/>
            <w:vAlign w:val="center"/>
            <w:hideMark/>
          </w:tcPr>
          <w:p w14:paraId="6B7E6B88" w14:textId="77777777" w:rsidR="00CB0FCB" w:rsidRDefault="009D2B11">
            <w:pPr>
              <w:pStyle w:val="P68B1DB1-Normal7"/>
              <w:spacing w:before="120" w:after="0" w:line="240" w:lineRule="auto"/>
              <w:jc w:val="center"/>
              <w:rPr>
                <w:rFonts w:eastAsia="Times New Roman" w:cs="Times New Roman"/>
                <w:bCs/>
                <w:noProof/>
                <w:szCs w:val="18"/>
              </w:rPr>
            </w:pPr>
            <w:r>
              <w:rPr>
                <w:noProof/>
              </w:rPr>
              <w:t xml:space="preserve">Mērķis </w:t>
            </w:r>
          </w:p>
        </w:tc>
        <w:tc>
          <w:tcPr>
            <w:tcW w:w="846" w:type="dxa"/>
            <w:tcBorders>
              <w:top w:val="nil"/>
              <w:left w:val="nil"/>
              <w:bottom w:val="single" w:sz="4" w:space="0" w:color="auto"/>
              <w:right w:val="single" w:sz="4" w:space="0" w:color="auto"/>
            </w:tcBorders>
            <w:shd w:val="clear" w:color="auto" w:fill="BDD7EE"/>
            <w:vAlign w:val="center"/>
            <w:hideMark/>
          </w:tcPr>
          <w:p w14:paraId="6BF0404E" w14:textId="77777777" w:rsidR="00CB0FCB" w:rsidRDefault="009D2B11">
            <w:pPr>
              <w:pStyle w:val="P68B1DB1-Normal7"/>
              <w:spacing w:before="120" w:after="0" w:line="240" w:lineRule="auto"/>
              <w:jc w:val="center"/>
              <w:rPr>
                <w:rFonts w:eastAsia="Times New Roman" w:cs="Times New Roman"/>
                <w:bCs/>
                <w:noProof/>
                <w:szCs w:val="18"/>
              </w:rPr>
            </w:pPr>
            <w:r>
              <w:rPr>
                <w:noProof/>
              </w:rPr>
              <w:t>Ceturkšņa laikā</w:t>
            </w:r>
          </w:p>
        </w:tc>
        <w:tc>
          <w:tcPr>
            <w:tcW w:w="783" w:type="dxa"/>
            <w:tcBorders>
              <w:top w:val="nil"/>
              <w:left w:val="nil"/>
              <w:bottom w:val="single" w:sz="4" w:space="0" w:color="auto"/>
              <w:right w:val="single" w:sz="4" w:space="0" w:color="auto"/>
            </w:tcBorders>
            <w:shd w:val="clear" w:color="auto" w:fill="BDD7EE"/>
            <w:vAlign w:val="center"/>
            <w:hideMark/>
          </w:tcPr>
          <w:p w14:paraId="7ADFF2EF" w14:textId="77777777" w:rsidR="00CB0FCB" w:rsidRDefault="009D2B11">
            <w:pPr>
              <w:pStyle w:val="P68B1DB1-Normal7"/>
              <w:spacing w:before="120" w:after="0" w:line="240" w:lineRule="auto"/>
              <w:jc w:val="center"/>
              <w:rPr>
                <w:rFonts w:eastAsia="Times New Roman" w:cs="Times New Roman"/>
                <w:bCs/>
                <w:noProof/>
                <w:szCs w:val="18"/>
              </w:rPr>
            </w:pPr>
            <w:r>
              <w:rPr>
                <w:noProof/>
              </w:rPr>
              <w:t>Gadu</w:t>
            </w:r>
          </w:p>
        </w:tc>
        <w:tc>
          <w:tcPr>
            <w:tcW w:w="3117" w:type="dxa"/>
            <w:vMerge/>
            <w:tcBorders>
              <w:top w:val="single" w:sz="4" w:space="0" w:color="auto"/>
              <w:bottom w:val="single" w:sz="4" w:space="0" w:color="auto"/>
              <w:right w:val="single" w:sz="4" w:space="0" w:color="auto"/>
            </w:tcBorders>
            <w:vAlign w:val="center"/>
            <w:hideMark/>
          </w:tcPr>
          <w:p w14:paraId="7C77ABBD" w14:textId="77777777" w:rsidR="00CB0FCB" w:rsidRDefault="00CB0FCB">
            <w:pPr>
              <w:spacing w:before="120" w:after="0" w:line="240" w:lineRule="auto"/>
              <w:rPr>
                <w:rFonts w:ascii="Times New Roman" w:eastAsia="Times New Roman" w:hAnsi="Times New Roman" w:cs="Times New Roman"/>
                <w:b/>
                <w:noProof/>
                <w:sz w:val="18"/>
                <w:szCs w:val="18"/>
              </w:rPr>
            </w:pPr>
          </w:p>
        </w:tc>
      </w:tr>
      <w:tr w:rsidR="00CB0FCB" w14:paraId="392210F3"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20A0E9F" w14:textId="77777777" w:rsidR="00CB0FCB" w:rsidRDefault="009D2B11">
            <w:pPr>
              <w:pStyle w:val="P68B1DB1-Normal9"/>
              <w:spacing w:before="120" w:after="0" w:line="240" w:lineRule="auto"/>
              <w:rPr>
                <w:rFonts w:eastAsia="Times New Roman" w:cs="Calibri"/>
                <w:noProof/>
                <w:szCs w:val="18"/>
              </w:rPr>
            </w:pPr>
            <w:r>
              <w:rPr>
                <w:noProof/>
              </w:rPr>
              <w:t>182</w:t>
            </w:r>
          </w:p>
        </w:tc>
        <w:tc>
          <w:tcPr>
            <w:tcW w:w="1582" w:type="dxa"/>
            <w:tcBorders>
              <w:top w:val="single" w:sz="4" w:space="0" w:color="auto"/>
              <w:left w:val="nil"/>
              <w:bottom w:val="single" w:sz="4" w:space="0" w:color="auto"/>
              <w:right w:val="single" w:sz="4" w:space="0" w:color="auto"/>
            </w:tcBorders>
            <w:shd w:val="clear" w:color="auto" w:fill="C6EFCE"/>
            <w:noWrap/>
          </w:tcPr>
          <w:p w14:paraId="16DFBB23"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16925_Sociālā atbalsta sistēmas digitālā pārveide</w:t>
            </w:r>
          </w:p>
        </w:tc>
        <w:tc>
          <w:tcPr>
            <w:tcW w:w="966" w:type="dxa"/>
            <w:tcBorders>
              <w:top w:val="single" w:sz="4" w:space="0" w:color="auto"/>
              <w:left w:val="nil"/>
              <w:bottom w:val="single" w:sz="4" w:space="0" w:color="auto"/>
              <w:right w:val="single" w:sz="4" w:space="0" w:color="auto"/>
            </w:tcBorders>
            <w:shd w:val="clear" w:color="auto" w:fill="C6EFCE"/>
            <w:noWrap/>
          </w:tcPr>
          <w:p w14:paraId="201AEB3C" w14:textId="77777777" w:rsidR="00CB0FCB" w:rsidRDefault="009D2B11">
            <w:pPr>
              <w:pStyle w:val="P68B1DB1-Normal9"/>
              <w:spacing w:before="120" w:after="0" w:line="240" w:lineRule="auto"/>
              <w:rPr>
                <w:rFonts w:eastAsia="Times New Roman" w:cs="Calibri"/>
                <w:noProof/>
                <w:szCs w:val="18"/>
              </w:rPr>
            </w:pPr>
            <w:r>
              <w:rPr>
                <w:noProof/>
              </w:rPr>
              <w:t>Mērķa</w:t>
            </w:r>
          </w:p>
        </w:tc>
        <w:tc>
          <w:tcPr>
            <w:tcW w:w="2107" w:type="dxa"/>
            <w:tcBorders>
              <w:top w:val="single" w:sz="4" w:space="0" w:color="auto"/>
              <w:left w:val="nil"/>
              <w:bottom w:val="single" w:sz="4" w:space="0" w:color="auto"/>
              <w:right w:val="single" w:sz="4" w:space="0" w:color="auto"/>
            </w:tcBorders>
            <w:shd w:val="clear" w:color="auto" w:fill="C6EFCE"/>
            <w:noWrap/>
          </w:tcPr>
          <w:p w14:paraId="43BF1525" w14:textId="77777777" w:rsidR="00CB0FCB" w:rsidRDefault="009D2B11">
            <w:pPr>
              <w:pStyle w:val="P68B1DB1-Normal9"/>
              <w:spacing w:before="120" w:after="0" w:line="240" w:lineRule="auto"/>
              <w:rPr>
                <w:rFonts w:eastAsia="Times New Roman"/>
                <w:noProof/>
                <w:szCs w:val="18"/>
              </w:rPr>
            </w:pPr>
            <w:r>
              <w:rPr>
                <w:noProof/>
              </w:rPr>
              <w:t>Informācija par invaliditātes kartēm, kas izsniegtas vadošajai iestādei</w:t>
            </w:r>
          </w:p>
        </w:tc>
        <w:tc>
          <w:tcPr>
            <w:tcW w:w="1766" w:type="dxa"/>
            <w:tcBorders>
              <w:top w:val="single" w:sz="4" w:space="0" w:color="auto"/>
              <w:left w:val="nil"/>
              <w:bottom w:val="single" w:sz="4" w:space="0" w:color="auto"/>
              <w:right w:val="single" w:sz="4" w:space="0" w:color="auto"/>
            </w:tcBorders>
            <w:shd w:val="clear" w:color="auto" w:fill="C6EFCE"/>
            <w:noWrap/>
          </w:tcPr>
          <w:p w14:paraId="149AF6B3" w14:textId="77777777" w:rsidR="00CB0FCB" w:rsidRDefault="00CB0FCB">
            <w:pPr>
              <w:spacing w:before="120" w:after="0" w:line="240" w:lineRule="auto"/>
              <w:rPr>
                <w:rFonts w:eastAsia="Times New Roman" w:cs="Calibri"/>
                <w:noProof/>
                <w:color w:val="006100"/>
                <w:sz w:val="18"/>
                <w:szCs w:val="18"/>
              </w:rPr>
            </w:pPr>
          </w:p>
        </w:tc>
        <w:tc>
          <w:tcPr>
            <w:tcW w:w="1404" w:type="dxa"/>
            <w:tcBorders>
              <w:top w:val="single" w:sz="4" w:space="0" w:color="auto"/>
              <w:left w:val="nil"/>
              <w:bottom w:val="single" w:sz="4" w:space="0" w:color="auto"/>
              <w:right w:val="single" w:sz="4" w:space="0" w:color="auto"/>
            </w:tcBorders>
            <w:shd w:val="clear" w:color="auto" w:fill="C6EFCE"/>
            <w:noWrap/>
          </w:tcPr>
          <w:p w14:paraId="17F6E4BB" w14:textId="77777777" w:rsidR="00CB0FCB" w:rsidRDefault="009D2B11">
            <w:pPr>
              <w:pStyle w:val="P68B1DB1-Normal9"/>
              <w:spacing w:before="120" w:after="0" w:line="240" w:lineRule="auto"/>
              <w:rPr>
                <w:rFonts w:eastAsia="Times New Roman" w:cs="Calibri"/>
                <w:noProof/>
                <w:szCs w:val="18"/>
              </w:rPr>
            </w:pPr>
            <w:r>
              <w:rPr>
                <w:noProof/>
              </w:rPr>
              <w:t>Saņēmējiem izsniegto invaliditātes karšu skaits</w:t>
            </w:r>
          </w:p>
        </w:tc>
        <w:tc>
          <w:tcPr>
            <w:tcW w:w="1035" w:type="dxa"/>
            <w:tcBorders>
              <w:top w:val="nil"/>
              <w:left w:val="nil"/>
              <w:bottom w:val="single" w:sz="4" w:space="0" w:color="auto"/>
              <w:right w:val="single" w:sz="4" w:space="0" w:color="auto"/>
            </w:tcBorders>
            <w:shd w:val="clear" w:color="auto" w:fill="C6EFCE"/>
            <w:noWrap/>
          </w:tcPr>
          <w:p w14:paraId="75B19A25" w14:textId="77777777" w:rsidR="00CB0FCB" w:rsidRDefault="009D2B11">
            <w:pPr>
              <w:pStyle w:val="P68B1DB1-Normal9"/>
              <w:spacing w:before="120" w:after="0" w:line="240" w:lineRule="auto"/>
              <w:rPr>
                <w:rFonts w:eastAsia="Times New Roman" w:cs="Calibri"/>
                <w:noProof/>
                <w:szCs w:val="18"/>
              </w:rPr>
            </w:pPr>
            <w:r>
              <w:rPr>
                <w:noProof/>
              </w:rPr>
              <w:t>0</w:t>
            </w:r>
          </w:p>
        </w:tc>
        <w:tc>
          <w:tcPr>
            <w:tcW w:w="1097" w:type="dxa"/>
            <w:tcBorders>
              <w:top w:val="nil"/>
              <w:left w:val="nil"/>
              <w:bottom w:val="single" w:sz="4" w:space="0" w:color="auto"/>
              <w:right w:val="single" w:sz="4" w:space="0" w:color="auto"/>
            </w:tcBorders>
            <w:shd w:val="clear" w:color="auto" w:fill="C6EFCE"/>
            <w:noWrap/>
          </w:tcPr>
          <w:p w14:paraId="397370D5" w14:textId="77777777" w:rsidR="00CB0FCB" w:rsidRDefault="009D2B11">
            <w:pPr>
              <w:pStyle w:val="P68B1DB1-Normal9"/>
              <w:spacing w:before="120" w:after="0" w:line="240" w:lineRule="auto"/>
              <w:rPr>
                <w:rFonts w:eastAsia="Times New Roman" w:cs="Calibri"/>
                <w:noProof/>
                <w:szCs w:val="18"/>
              </w:rPr>
            </w:pPr>
            <w:r>
              <w:rPr>
                <w:noProof/>
              </w:rPr>
              <w:t>80 000</w:t>
            </w:r>
          </w:p>
        </w:tc>
        <w:tc>
          <w:tcPr>
            <w:tcW w:w="846" w:type="dxa"/>
            <w:tcBorders>
              <w:top w:val="nil"/>
              <w:left w:val="nil"/>
              <w:bottom w:val="single" w:sz="4" w:space="0" w:color="auto"/>
              <w:right w:val="single" w:sz="4" w:space="0" w:color="auto"/>
            </w:tcBorders>
            <w:shd w:val="clear" w:color="auto" w:fill="C6EFCE"/>
            <w:noWrap/>
          </w:tcPr>
          <w:p w14:paraId="1CBC6ABB"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83" w:type="dxa"/>
            <w:tcBorders>
              <w:top w:val="nil"/>
              <w:left w:val="nil"/>
              <w:bottom w:val="single" w:sz="4" w:space="0" w:color="auto"/>
              <w:right w:val="single" w:sz="4" w:space="0" w:color="auto"/>
            </w:tcBorders>
            <w:shd w:val="clear" w:color="auto" w:fill="C6EFCE"/>
            <w:noWrap/>
          </w:tcPr>
          <w:p w14:paraId="03574920" w14:textId="77777777" w:rsidR="00CB0FCB" w:rsidRDefault="009D2B11">
            <w:pPr>
              <w:pStyle w:val="P68B1DB1-Normal9"/>
              <w:spacing w:before="120" w:after="0" w:line="240" w:lineRule="auto"/>
              <w:rPr>
                <w:rFonts w:eastAsia="Times New Roman" w:cs="Calibri"/>
                <w:noProof/>
                <w:szCs w:val="18"/>
              </w:rPr>
            </w:pPr>
            <w:r>
              <w:rPr>
                <w:noProof/>
              </w:rPr>
              <w:t>2025</w:t>
            </w:r>
          </w:p>
        </w:tc>
        <w:tc>
          <w:tcPr>
            <w:tcW w:w="3117" w:type="dxa"/>
            <w:tcBorders>
              <w:top w:val="single" w:sz="4" w:space="0" w:color="auto"/>
              <w:left w:val="nil"/>
              <w:bottom w:val="single" w:sz="4" w:space="0" w:color="auto"/>
              <w:right w:val="single" w:sz="4" w:space="0" w:color="auto"/>
            </w:tcBorders>
            <w:shd w:val="clear" w:color="auto" w:fill="C6EFCE"/>
            <w:noWrap/>
          </w:tcPr>
          <w:p w14:paraId="469D0526" w14:textId="38BC1477" w:rsidR="00CB0FCB" w:rsidRDefault="009D2B11">
            <w:pPr>
              <w:pStyle w:val="P68B1DB1-Normal9"/>
              <w:spacing w:before="120" w:after="0" w:line="240" w:lineRule="auto"/>
              <w:rPr>
                <w:rFonts w:eastAsia="Times New Roman" w:cs="Calibri"/>
                <w:noProof/>
                <w:szCs w:val="18"/>
              </w:rPr>
            </w:pPr>
            <w:r>
              <w:rPr>
                <w:noProof/>
              </w:rPr>
              <w:t>Vadošā iestāde ir pabeigusi 80000 invaliditātes karšu piegādi saņēmējiem.</w:t>
            </w:r>
          </w:p>
          <w:p w14:paraId="4C63C1C2" w14:textId="77777777" w:rsidR="00CB0FCB" w:rsidRDefault="009D2B11">
            <w:pPr>
              <w:pStyle w:val="P68B1DB1-Normal9"/>
              <w:spacing w:before="120" w:after="0" w:line="240" w:lineRule="auto"/>
              <w:rPr>
                <w:rFonts w:eastAsia="Times New Roman" w:cs="Calibri"/>
                <w:noProof/>
                <w:szCs w:val="18"/>
              </w:rPr>
            </w:pPr>
            <w:r>
              <w:rPr>
                <w:noProof/>
              </w:rPr>
              <w:t xml:space="preserve">Invaliditātes kartes ietver īpašas tiesības/pabalstus un atvieglo personu ar invaliditāti ikdienas dzīvi. </w:t>
            </w:r>
          </w:p>
          <w:p w14:paraId="5036E517" w14:textId="1AF484D1" w:rsidR="00CB0FCB" w:rsidRDefault="009D2B11">
            <w:pPr>
              <w:pStyle w:val="P68B1DB1-Normal9"/>
              <w:spacing w:before="120" w:after="0" w:line="240" w:lineRule="auto"/>
              <w:rPr>
                <w:rFonts w:eastAsia="Times New Roman" w:cs="Calibri"/>
                <w:noProof/>
                <w:szCs w:val="18"/>
              </w:rPr>
            </w:pPr>
            <w:r>
              <w:rPr>
                <w:noProof/>
              </w:rPr>
              <w:t>Līguma izpildes rezultātu pieņemšana (invaliditātes karšu izstrāde), ko veic vadītājs/līgumslēdzēja iestāde, un vadošās iestādes apstiprinājums par 80000 invaliditātes karšu piegādi saņēmējiem</w:t>
            </w:r>
          </w:p>
          <w:p w14:paraId="64FF81C3" w14:textId="77777777" w:rsidR="00CB0FCB" w:rsidRDefault="00CB0FCB">
            <w:pPr>
              <w:spacing w:before="120" w:after="0" w:line="240" w:lineRule="auto"/>
              <w:rPr>
                <w:rFonts w:eastAsia="Times New Roman" w:cs="Calibri"/>
                <w:noProof/>
                <w:color w:val="006100"/>
                <w:sz w:val="18"/>
                <w:szCs w:val="18"/>
              </w:rPr>
            </w:pPr>
          </w:p>
        </w:tc>
      </w:tr>
      <w:tr w:rsidR="00CB0FCB" w14:paraId="7EBEE75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6AF0FE76" w14:textId="77777777" w:rsidR="00CB0FCB" w:rsidRDefault="009D2B11">
            <w:pPr>
              <w:pStyle w:val="P68B1DB1-Normal9"/>
              <w:spacing w:before="120" w:after="0" w:line="240" w:lineRule="auto"/>
              <w:rPr>
                <w:rFonts w:eastAsia="Times New Roman" w:cs="Calibri"/>
                <w:noProof/>
                <w:szCs w:val="18"/>
              </w:rPr>
            </w:pPr>
            <w:r>
              <w:rPr>
                <w:noProof/>
              </w:rPr>
              <w:t>182.a</w:t>
            </w:r>
          </w:p>
        </w:tc>
        <w:tc>
          <w:tcPr>
            <w:tcW w:w="1582" w:type="dxa"/>
            <w:tcBorders>
              <w:top w:val="nil"/>
              <w:left w:val="nil"/>
              <w:bottom w:val="single" w:sz="4" w:space="0" w:color="auto"/>
              <w:right w:val="single" w:sz="4" w:space="0" w:color="auto"/>
            </w:tcBorders>
            <w:shd w:val="clear" w:color="auto" w:fill="C6EFCE"/>
            <w:noWrap/>
          </w:tcPr>
          <w:p w14:paraId="3A5ED9F2"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16925_Sociālā atbalsta sistēmas digitālā pārveide</w:t>
            </w:r>
          </w:p>
        </w:tc>
        <w:tc>
          <w:tcPr>
            <w:tcW w:w="966" w:type="dxa"/>
            <w:tcBorders>
              <w:top w:val="nil"/>
              <w:left w:val="nil"/>
              <w:bottom w:val="single" w:sz="4" w:space="0" w:color="auto"/>
              <w:right w:val="single" w:sz="4" w:space="0" w:color="auto"/>
            </w:tcBorders>
            <w:shd w:val="clear" w:color="auto" w:fill="C6EFCE"/>
            <w:noWrap/>
          </w:tcPr>
          <w:p w14:paraId="63DBF41A"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2107" w:type="dxa"/>
            <w:tcBorders>
              <w:top w:val="nil"/>
              <w:left w:val="nil"/>
              <w:bottom w:val="single" w:sz="4" w:space="0" w:color="auto"/>
              <w:right w:val="single" w:sz="4" w:space="0" w:color="auto"/>
            </w:tcBorders>
            <w:shd w:val="clear" w:color="auto" w:fill="C6EFCE"/>
            <w:noWrap/>
          </w:tcPr>
          <w:p w14:paraId="08306576" w14:textId="77777777" w:rsidR="00CB0FCB" w:rsidRDefault="009D2B11">
            <w:pPr>
              <w:pStyle w:val="P68B1DB1-Normal9"/>
              <w:spacing w:before="120" w:after="0" w:line="240" w:lineRule="auto"/>
              <w:rPr>
                <w:rFonts w:eastAsia="Times New Roman" w:cs="Calibri"/>
                <w:noProof/>
                <w:szCs w:val="18"/>
              </w:rPr>
            </w:pPr>
            <w:r>
              <w:rPr>
                <w:noProof/>
              </w:rPr>
              <w:t>Vienotais digitālās piekļuves portāls, digitālā apmācība, pilnīga publiskā nekustamā īpašuma uzskaite</w:t>
            </w:r>
          </w:p>
        </w:tc>
        <w:tc>
          <w:tcPr>
            <w:tcW w:w="1766" w:type="dxa"/>
            <w:tcBorders>
              <w:top w:val="nil"/>
              <w:left w:val="nil"/>
              <w:bottom w:val="single" w:sz="4" w:space="0" w:color="auto"/>
              <w:right w:val="single" w:sz="4" w:space="0" w:color="auto"/>
            </w:tcBorders>
            <w:shd w:val="clear" w:color="auto" w:fill="C6EFCE"/>
            <w:noWrap/>
          </w:tcPr>
          <w:p w14:paraId="43B11571" w14:textId="77777777" w:rsidR="00CB0FCB" w:rsidRDefault="009D2B11">
            <w:pPr>
              <w:pStyle w:val="P68B1DB1-Normal9"/>
              <w:spacing w:before="120" w:after="0" w:line="240" w:lineRule="auto"/>
              <w:rPr>
                <w:rFonts w:eastAsia="Times New Roman" w:cs="Calibri"/>
                <w:noProof/>
                <w:szCs w:val="18"/>
              </w:rPr>
            </w:pPr>
            <w:r>
              <w:rPr>
                <w:noProof/>
              </w:rPr>
              <w:t>Sociālo lietu un ģimenes lietu ministrijas ziņojums, ar ko apstiprina projektu pabeigšanu</w:t>
            </w:r>
          </w:p>
        </w:tc>
        <w:tc>
          <w:tcPr>
            <w:tcW w:w="1404" w:type="dxa"/>
            <w:tcBorders>
              <w:top w:val="nil"/>
              <w:left w:val="nil"/>
              <w:bottom w:val="single" w:sz="4" w:space="0" w:color="auto"/>
              <w:right w:val="single" w:sz="4" w:space="0" w:color="auto"/>
            </w:tcBorders>
            <w:shd w:val="clear" w:color="auto" w:fill="C6EFCE"/>
            <w:noWrap/>
          </w:tcPr>
          <w:p w14:paraId="7B906504" w14:textId="77777777" w:rsidR="00CB0FCB" w:rsidRDefault="00CB0FCB">
            <w:pPr>
              <w:spacing w:before="120" w:after="0" w:line="240" w:lineRule="auto"/>
              <w:rPr>
                <w:rFonts w:eastAsia="Times New Roman" w:cs="Calibri"/>
                <w:noProof/>
                <w:color w:val="006100"/>
                <w:sz w:val="18"/>
                <w:szCs w:val="18"/>
              </w:rPr>
            </w:pPr>
          </w:p>
        </w:tc>
        <w:tc>
          <w:tcPr>
            <w:tcW w:w="1035" w:type="dxa"/>
            <w:tcBorders>
              <w:top w:val="nil"/>
              <w:left w:val="nil"/>
              <w:bottom w:val="single" w:sz="4" w:space="0" w:color="auto"/>
              <w:right w:val="single" w:sz="4" w:space="0" w:color="auto"/>
            </w:tcBorders>
            <w:shd w:val="clear" w:color="auto" w:fill="C6EFCE"/>
            <w:noWrap/>
          </w:tcPr>
          <w:p w14:paraId="6D8049E7" w14:textId="77777777" w:rsidR="00CB0FCB" w:rsidRDefault="00CB0FCB">
            <w:pPr>
              <w:spacing w:before="120" w:after="0" w:line="240" w:lineRule="auto"/>
              <w:rPr>
                <w:rFonts w:eastAsia="Times New Roman" w:cs="Calibri"/>
                <w:noProof/>
                <w:color w:val="006100"/>
                <w:sz w:val="18"/>
                <w:szCs w:val="18"/>
              </w:rPr>
            </w:pPr>
          </w:p>
        </w:tc>
        <w:tc>
          <w:tcPr>
            <w:tcW w:w="1097" w:type="dxa"/>
            <w:tcBorders>
              <w:top w:val="nil"/>
              <w:left w:val="nil"/>
              <w:bottom w:val="single" w:sz="4" w:space="0" w:color="auto"/>
              <w:right w:val="single" w:sz="4" w:space="0" w:color="auto"/>
            </w:tcBorders>
            <w:shd w:val="clear" w:color="auto" w:fill="C6EFCE"/>
            <w:noWrap/>
          </w:tcPr>
          <w:p w14:paraId="6DA02212" w14:textId="77777777" w:rsidR="00CB0FCB" w:rsidRDefault="00CB0FCB">
            <w:pPr>
              <w:spacing w:before="120"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3347EFD2"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83" w:type="dxa"/>
            <w:tcBorders>
              <w:top w:val="nil"/>
              <w:left w:val="nil"/>
              <w:bottom w:val="single" w:sz="4" w:space="0" w:color="auto"/>
              <w:right w:val="single" w:sz="4" w:space="0" w:color="auto"/>
            </w:tcBorders>
            <w:shd w:val="clear" w:color="auto" w:fill="C6EFCE"/>
            <w:noWrap/>
          </w:tcPr>
          <w:p w14:paraId="69C818B0" w14:textId="77777777" w:rsidR="00CB0FCB" w:rsidRDefault="009D2B11">
            <w:pPr>
              <w:pStyle w:val="P68B1DB1-Normal9"/>
              <w:spacing w:before="120" w:after="0" w:line="240" w:lineRule="auto"/>
              <w:rPr>
                <w:rFonts w:eastAsia="Times New Roman" w:cs="Calibri"/>
                <w:noProof/>
                <w:szCs w:val="18"/>
              </w:rPr>
            </w:pPr>
            <w:r>
              <w:rPr>
                <w:noProof/>
              </w:rPr>
              <w:t>2025</w:t>
            </w:r>
          </w:p>
        </w:tc>
        <w:tc>
          <w:tcPr>
            <w:tcW w:w="3117" w:type="dxa"/>
            <w:tcBorders>
              <w:top w:val="nil"/>
              <w:left w:val="nil"/>
              <w:bottom w:val="single" w:sz="4" w:space="0" w:color="auto"/>
              <w:right w:val="single" w:sz="4" w:space="0" w:color="auto"/>
            </w:tcBorders>
            <w:shd w:val="clear" w:color="auto" w:fill="C6EFCE"/>
            <w:noWrap/>
          </w:tcPr>
          <w:p w14:paraId="3C680A21" w14:textId="77777777" w:rsidR="00CB0FCB" w:rsidRDefault="009D2B11">
            <w:pPr>
              <w:pStyle w:val="P68B1DB1-Normal9"/>
              <w:spacing w:after="0" w:line="240" w:lineRule="auto"/>
              <w:jc w:val="both"/>
              <w:textAlignment w:val="baseline"/>
              <w:rPr>
                <w:rFonts w:eastAsia="Times New Roman" w:cs="Calibri"/>
                <w:noProof/>
                <w:szCs w:val="18"/>
              </w:rPr>
            </w:pPr>
            <w:r>
              <w:rPr>
                <w:noProof/>
              </w:rPr>
              <w:t>Šādu darbību pabeigšana: </w:t>
            </w:r>
          </w:p>
          <w:p w14:paraId="7E5966EE" w14:textId="77777777" w:rsidR="00CB0FCB" w:rsidRDefault="009D2B11">
            <w:pPr>
              <w:pStyle w:val="P68B1DB1-Normal9"/>
              <w:spacing w:after="0" w:line="240" w:lineRule="auto"/>
              <w:jc w:val="both"/>
              <w:textAlignment w:val="baseline"/>
              <w:rPr>
                <w:rFonts w:eastAsia="Times New Roman" w:cs="Calibri"/>
                <w:noProof/>
                <w:szCs w:val="18"/>
              </w:rPr>
            </w:pPr>
            <w:r>
              <w:rPr>
                <w:noProof/>
              </w:rPr>
              <w:t>vienota digitālās piekļuves portāla izveide sociālajai aizsardzībai, integrējot esošās sociālās palīdzības naudas pabalstu elektroniskās pieteikuma veidlapas vienotā digitālā portālā;  </w:t>
            </w:r>
          </w:p>
          <w:p w14:paraId="46CEBB96" w14:textId="77777777" w:rsidR="00CB0FCB" w:rsidRDefault="009D2B11">
            <w:pPr>
              <w:pStyle w:val="P68B1DB1-Normal9"/>
              <w:spacing w:after="0" w:line="240" w:lineRule="auto"/>
              <w:jc w:val="both"/>
              <w:textAlignment w:val="baseline"/>
              <w:rPr>
                <w:rFonts w:eastAsia="Times New Roman" w:cs="Calibri"/>
                <w:noProof/>
                <w:szCs w:val="18"/>
              </w:rPr>
            </w:pPr>
            <w:r>
              <w:rPr>
                <w:noProof/>
              </w:rPr>
              <w:t>vienas pieturas aģentūras invaliditātes pabalstu valsts portāla izveide, kas ļautu saņēmējiem tiešsaistē piekļūt personas datiem un pabalstiem un izsniegt sertifikātus;  </w:t>
            </w:r>
          </w:p>
          <w:p w14:paraId="720EEDD3" w14:textId="3C1A79EA" w:rsidR="00CB0FCB" w:rsidRDefault="009D2B11">
            <w:pPr>
              <w:pStyle w:val="P68B1DB1-Normal9"/>
              <w:spacing w:after="0" w:line="240" w:lineRule="auto"/>
              <w:jc w:val="both"/>
              <w:textAlignment w:val="baseline"/>
              <w:rPr>
                <w:rFonts w:eastAsia="Times New Roman" w:cs="Calibri"/>
                <w:noProof/>
                <w:szCs w:val="18"/>
              </w:rPr>
            </w:pPr>
            <w:r>
              <w:rPr>
                <w:noProof/>
              </w:rPr>
              <w:t>publiskā nekustamā īpašuma, kas saistīts ar sociālās aizsardzības pakalpojumiem, pilna saraksta izveide. </w:t>
            </w:r>
          </w:p>
          <w:p w14:paraId="41C6B29C" w14:textId="77777777" w:rsidR="00CB0FCB" w:rsidRDefault="00CB0FCB">
            <w:pPr>
              <w:spacing w:before="120" w:after="0" w:line="240" w:lineRule="auto"/>
              <w:rPr>
                <w:rFonts w:eastAsia="Times New Roman" w:cs="Calibri"/>
                <w:noProof/>
                <w:color w:val="006100"/>
                <w:sz w:val="18"/>
                <w:szCs w:val="18"/>
              </w:rPr>
            </w:pPr>
          </w:p>
        </w:tc>
      </w:tr>
      <w:tr w:rsidR="00CB0FCB" w14:paraId="61DA1960"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7CBE8258" w14:textId="77777777" w:rsidR="00CB0FCB" w:rsidRDefault="009D2B11">
            <w:pPr>
              <w:pStyle w:val="P68B1DB1-Normal9"/>
              <w:spacing w:before="120" w:after="0" w:line="240" w:lineRule="auto"/>
              <w:rPr>
                <w:rFonts w:eastAsia="Times New Roman" w:cs="Calibri"/>
                <w:noProof/>
                <w:szCs w:val="18"/>
              </w:rPr>
            </w:pPr>
            <w:r>
              <w:rPr>
                <w:noProof/>
              </w:rPr>
              <w:t>183</w:t>
            </w:r>
          </w:p>
        </w:tc>
        <w:tc>
          <w:tcPr>
            <w:tcW w:w="1582" w:type="dxa"/>
            <w:tcBorders>
              <w:top w:val="nil"/>
              <w:left w:val="nil"/>
              <w:bottom w:val="single" w:sz="4" w:space="0" w:color="auto"/>
              <w:right w:val="single" w:sz="4" w:space="0" w:color="auto"/>
            </w:tcBorders>
            <w:shd w:val="clear" w:color="auto" w:fill="C6EFCE"/>
            <w:noWrap/>
          </w:tcPr>
          <w:p w14:paraId="339B6693"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16922_Sociālā integrācija</w:t>
            </w:r>
          </w:p>
        </w:tc>
        <w:tc>
          <w:tcPr>
            <w:tcW w:w="966" w:type="dxa"/>
            <w:tcBorders>
              <w:top w:val="nil"/>
              <w:left w:val="nil"/>
              <w:bottom w:val="single" w:sz="4" w:space="0" w:color="auto"/>
              <w:right w:val="single" w:sz="4" w:space="0" w:color="auto"/>
            </w:tcBorders>
            <w:shd w:val="clear" w:color="auto" w:fill="C6EFCE"/>
            <w:noWrap/>
          </w:tcPr>
          <w:p w14:paraId="6BBAF1F0" w14:textId="77777777" w:rsidR="00CB0FCB" w:rsidRDefault="009D2B11">
            <w:pPr>
              <w:pStyle w:val="P68B1DB1-Normal9"/>
              <w:spacing w:before="120" w:after="0" w:line="240" w:lineRule="auto"/>
              <w:rPr>
                <w:rFonts w:eastAsia="Times New Roman" w:cs="Calibri"/>
                <w:noProof/>
                <w:szCs w:val="18"/>
              </w:rPr>
            </w:pPr>
            <w:r>
              <w:rPr>
                <w:noProof/>
              </w:rPr>
              <w:t>Mērķa</w:t>
            </w:r>
          </w:p>
        </w:tc>
        <w:tc>
          <w:tcPr>
            <w:tcW w:w="2107" w:type="dxa"/>
            <w:tcBorders>
              <w:top w:val="nil"/>
              <w:left w:val="nil"/>
              <w:bottom w:val="single" w:sz="4" w:space="0" w:color="auto"/>
              <w:right w:val="single" w:sz="4" w:space="0" w:color="auto"/>
            </w:tcBorders>
            <w:shd w:val="clear" w:color="auto" w:fill="C6EFCE"/>
            <w:noWrap/>
          </w:tcPr>
          <w:p w14:paraId="7DE06A89" w14:textId="77777777" w:rsidR="00CB0FCB" w:rsidRDefault="009D2B11">
            <w:pPr>
              <w:pStyle w:val="P68B1DB1-Normal9"/>
              <w:spacing w:before="120" w:after="0" w:line="240" w:lineRule="auto"/>
              <w:rPr>
                <w:rFonts w:eastAsia="Times New Roman" w:cs="Calibri"/>
                <w:noProof/>
                <w:szCs w:val="18"/>
              </w:rPr>
            </w:pPr>
            <w:r>
              <w:rPr>
                <w:noProof/>
              </w:rPr>
              <w:t xml:space="preserve">Sociālās integrācijas GMI saņēmēji bezpajumtniekiem </w:t>
            </w:r>
          </w:p>
          <w:p w14:paraId="25640EC5" w14:textId="77777777" w:rsidR="00CB0FCB" w:rsidRDefault="009D2B11">
            <w:pPr>
              <w:pStyle w:val="P68B1DB1-Normal9"/>
              <w:spacing w:before="120" w:after="0" w:line="240" w:lineRule="auto"/>
              <w:rPr>
                <w:rFonts w:eastAsia="Times New Roman" w:cs="Calibri"/>
                <w:noProof/>
                <w:szCs w:val="18"/>
              </w:rPr>
            </w:pPr>
            <w:r>
              <w:rPr>
                <w:noProof/>
              </w:rPr>
              <w:t>pabeigšana</w:t>
            </w:r>
          </w:p>
        </w:tc>
        <w:tc>
          <w:tcPr>
            <w:tcW w:w="1766" w:type="dxa"/>
            <w:tcBorders>
              <w:top w:val="nil"/>
              <w:left w:val="nil"/>
              <w:bottom w:val="single" w:sz="4" w:space="0" w:color="auto"/>
              <w:right w:val="single" w:sz="4" w:space="0" w:color="auto"/>
            </w:tcBorders>
            <w:shd w:val="clear" w:color="auto" w:fill="C6EFCE"/>
            <w:noWrap/>
          </w:tcPr>
          <w:p w14:paraId="0A975EEE" w14:textId="77777777" w:rsidR="00CB0FCB" w:rsidRDefault="00CB0FCB">
            <w:pPr>
              <w:spacing w:before="120" w:after="0" w:line="240" w:lineRule="auto"/>
              <w:rPr>
                <w:rFonts w:eastAsia="Times New Roman" w:cs="Calibri"/>
                <w:noProof/>
                <w:color w:val="006100"/>
                <w:sz w:val="18"/>
                <w:szCs w:val="18"/>
              </w:rPr>
            </w:pPr>
          </w:p>
        </w:tc>
        <w:tc>
          <w:tcPr>
            <w:tcW w:w="1404" w:type="dxa"/>
            <w:tcBorders>
              <w:top w:val="nil"/>
              <w:left w:val="nil"/>
              <w:bottom w:val="single" w:sz="4" w:space="0" w:color="auto"/>
              <w:right w:val="single" w:sz="4" w:space="0" w:color="auto"/>
            </w:tcBorders>
            <w:shd w:val="clear" w:color="auto" w:fill="C6EFCE"/>
            <w:noWrap/>
          </w:tcPr>
          <w:p w14:paraId="6C218F40" w14:textId="77777777" w:rsidR="00CB0FCB" w:rsidRDefault="009D2B11">
            <w:pPr>
              <w:pStyle w:val="P68B1DB1-Normal9"/>
              <w:spacing w:before="120" w:after="0" w:line="240" w:lineRule="auto"/>
              <w:rPr>
                <w:rFonts w:eastAsia="Times New Roman" w:cs="Calibri"/>
                <w:noProof/>
                <w:szCs w:val="18"/>
              </w:rPr>
            </w:pPr>
            <w:r>
              <w:rPr>
                <w:noProof/>
              </w:rPr>
              <w:t>Garantēto minimālo ienākumu saņēmēju un bezpajumtnieku ar apliecinātu līdzdalību skaits</w:t>
            </w:r>
          </w:p>
        </w:tc>
        <w:tc>
          <w:tcPr>
            <w:tcW w:w="1035" w:type="dxa"/>
            <w:tcBorders>
              <w:top w:val="nil"/>
              <w:left w:val="nil"/>
              <w:bottom w:val="single" w:sz="4" w:space="0" w:color="auto"/>
              <w:right w:val="single" w:sz="4" w:space="0" w:color="auto"/>
            </w:tcBorders>
            <w:shd w:val="clear" w:color="auto" w:fill="C6EFCE"/>
            <w:noWrap/>
          </w:tcPr>
          <w:p w14:paraId="5E816C54" w14:textId="77777777" w:rsidR="00CB0FCB" w:rsidRDefault="009D2B11">
            <w:pPr>
              <w:pStyle w:val="P68B1DB1-Normal9"/>
              <w:spacing w:before="120" w:after="0" w:line="240" w:lineRule="auto"/>
              <w:rPr>
                <w:rFonts w:eastAsia="Times New Roman" w:cs="Calibri"/>
                <w:noProof/>
                <w:szCs w:val="18"/>
              </w:rPr>
            </w:pPr>
            <w:r>
              <w:rPr>
                <w:noProof/>
              </w:rPr>
              <w:t>0</w:t>
            </w:r>
          </w:p>
        </w:tc>
        <w:tc>
          <w:tcPr>
            <w:tcW w:w="1097" w:type="dxa"/>
            <w:tcBorders>
              <w:top w:val="nil"/>
              <w:left w:val="nil"/>
              <w:bottom w:val="single" w:sz="4" w:space="0" w:color="auto"/>
              <w:right w:val="single" w:sz="4" w:space="0" w:color="auto"/>
            </w:tcBorders>
            <w:shd w:val="clear" w:color="auto" w:fill="C6EFCE"/>
            <w:noWrap/>
          </w:tcPr>
          <w:p w14:paraId="2625C9E1" w14:textId="77777777" w:rsidR="00CB0FCB" w:rsidRDefault="009D2B11">
            <w:pPr>
              <w:pStyle w:val="P68B1DB1-Normal9"/>
              <w:spacing w:before="120" w:after="0" w:line="240" w:lineRule="auto"/>
              <w:rPr>
                <w:rFonts w:eastAsia="Times New Roman" w:cs="Calibri"/>
                <w:noProof/>
                <w:szCs w:val="18"/>
              </w:rPr>
            </w:pPr>
            <w:r>
              <w:rPr>
                <w:noProof/>
              </w:rPr>
              <w:t>7 000</w:t>
            </w:r>
          </w:p>
        </w:tc>
        <w:tc>
          <w:tcPr>
            <w:tcW w:w="846" w:type="dxa"/>
            <w:tcBorders>
              <w:top w:val="nil"/>
              <w:left w:val="nil"/>
              <w:bottom w:val="single" w:sz="4" w:space="0" w:color="auto"/>
              <w:right w:val="single" w:sz="4" w:space="0" w:color="auto"/>
            </w:tcBorders>
            <w:shd w:val="clear" w:color="auto" w:fill="C6EFCE"/>
            <w:noWrap/>
          </w:tcPr>
          <w:p w14:paraId="12BE7DC7"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83" w:type="dxa"/>
            <w:tcBorders>
              <w:top w:val="nil"/>
              <w:left w:val="nil"/>
              <w:bottom w:val="single" w:sz="4" w:space="0" w:color="auto"/>
              <w:right w:val="single" w:sz="4" w:space="0" w:color="auto"/>
            </w:tcBorders>
            <w:shd w:val="clear" w:color="auto" w:fill="C6EFCE"/>
            <w:noWrap/>
          </w:tcPr>
          <w:p w14:paraId="30EC083F" w14:textId="77777777" w:rsidR="00CB0FCB" w:rsidRDefault="009D2B11">
            <w:pPr>
              <w:pStyle w:val="P68B1DB1-Normal9"/>
              <w:spacing w:before="120" w:after="0" w:line="240" w:lineRule="auto"/>
              <w:rPr>
                <w:rFonts w:eastAsia="Times New Roman" w:cs="Calibri"/>
                <w:noProof/>
                <w:szCs w:val="18"/>
              </w:rPr>
            </w:pPr>
            <w:r>
              <w:rPr>
                <w:noProof/>
              </w:rPr>
              <w:t>2025</w:t>
            </w:r>
          </w:p>
        </w:tc>
        <w:tc>
          <w:tcPr>
            <w:tcW w:w="3117" w:type="dxa"/>
            <w:tcBorders>
              <w:top w:val="nil"/>
              <w:left w:val="nil"/>
              <w:bottom w:val="single" w:sz="4" w:space="0" w:color="auto"/>
              <w:right w:val="single" w:sz="4" w:space="0" w:color="auto"/>
            </w:tcBorders>
            <w:shd w:val="clear" w:color="auto" w:fill="C6EFCE"/>
            <w:noWrap/>
          </w:tcPr>
          <w:p w14:paraId="6A052144" w14:textId="5EC3D19C" w:rsidR="00CB0FCB" w:rsidRDefault="009D2B11">
            <w:pPr>
              <w:pStyle w:val="P68B1DB1-Normal9"/>
              <w:spacing w:before="120" w:after="0" w:line="240" w:lineRule="auto"/>
              <w:rPr>
                <w:rFonts w:eastAsia="Times New Roman" w:cs="Calibri"/>
                <w:noProof/>
                <w:szCs w:val="18"/>
              </w:rPr>
            </w:pPr>
            <w:r>
              <w:rPr>
                <w:noProof/>
              </w:rPr>
              <w:t xml:space="preserve">Sekmīgi pabeigta apmācība un iesaistīšanās nodarbinātības atbalsta programmā 7000 garantēto minimālo ienākumu saņēmējiem un bezpajumtniekiem, kā arī valsts organizācijas veikta iegūto prasmju sertifikācija </w:t>
            </w:r>
          </w:p>
        </w:tc>
      </w:tr>
      <w:tr w:rsidR="00CB0FCB" w14:paraId="6F2A59AC"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070C5264" w14:textId="77777777" w:rsidR="00CB0FCB" w:rsidRDefault="009D2B11">
            <w:pPr>
              <w:pStyle w:val="P68B1DB1-Normal9"/>
              <w:spacing w:before="120" w:after="0" w:line="240" w:lineRule="auto"/>
              <w:rPr>
                <w:rFonts w:eastAsia="Times New Roman" w:cs="Calibri"/>
                <w:noProof/>
                <w:szCs w:val="18"/>
              </w:rPr>
            </w:pPr>
            <w:r>
              <w:rPr>
                <w:noProof/>
              </w:rPr>
              <w:t>184</w:t>
            </w:r>
          </w:p>
        </w:tc>
        <w:tc>
          <w:tcPr>
            <w:tcW w:w="1582" w:type="dxa"/>
            <w:tcBorders>
              <w:top w:val="nil"/>
              <w:left w:val="nil"/>
              <w:bottom w:val="single" w:sz="4" w:space="0" w:color="auto"/>
              <w:right w:val="single" w:sz="4" w:space="0" w:color="auto"/>
            </w:tcBorders>
            <w:shd w:val="clear" w:color="auto" w:fill="C6EFCE"/>
            <w:noWrap/>
          </w:tcPr>
          <w:p w14:paraId="7EC189FC"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16685_Dažādības apzināšanās</w:t>
            </w:r>
          </w:p>
        </w:tc>
        <w:tc>
          <w:tcPr>
            <w:tcW w:w="966" w:type="dxa"/>
            <w:tcBorders>
              <w:top w:val="nil"/>
              <w:left w:val="nil"/>
              <w:bottom w:val="single" w:sz="4" w:space="0" w:color="auto"/>
              <w:right w:val="single" w:sz="4" w:space="0" w:color="auto"/>
            </w:tcBorders>
            <w:shd w:val="clear" w:color="auto" w:fill="C6EFCE"/>
            <w:noWrap/>
          </w:tcPr>
          <w:p w14:paraId="61D78992" w14:textId="77777777" w:rsidR="00CB0FCB" w:rsidRDefault="009D2B11">
            <w:pPr>
              <w:pStyle w:val="P68B1DB1-Normal9"/>
              <w:spacing w:before="120" w:after="0" w:line="240" w:lineRule="auto"/>
              <w:rPr>
                <w:rFonts w:eastAsia="Times New Roman" w:cs="Calibri"/>
                <w:noProof/>
                <w:szCs w:val="18"/>
              </w:rPr>
            </w:pPr>
            <w:r>
              <w:rPr>
                <w:noProof/>
              </w:rPr>
              <w:t>Mērķa</w:t>
            </w:r>
          </w:p>
        </w:tc>
        <w:tc>
          <w:tcPr>
            <w:tcW w:w="2107" w:type="dxa"/>
            <w:tcBorders>
              <w:top w:val="nil"/>
              <w:left w:val="nil"/>
              <w:bottom w:val="single" w:sz="4" w:space="0" w:color="auto"/>
              <w:right w:val="single" w:sz="4" w:space="0" w:color="auto"/>
            </w:tcBorders>
            <w:shd w:val="clear" w:color="auto" w:fill="C6EFCE"/>
            <w:noWrap/>
          </w:tcPr>
          <w:p w14:paraId="24C59E27" w14:textId="4186EC07" w:rsidR="00CB0FCB" w:rsidRDefault="009D2B11">
            <w:pPr>
              <w:pStyle w:val="P68B1DB1-Normal9"/>
              <w:spacing w:before="120" w:after="0" w:line="240" w:lineRule="auto"/>
              <w:rPr>
                <w:rFonts w:eastAsia="Times New Roman" w:cs="Calibri"/>
                <w:noProof/>
                <w:szCs w:val="18"/>
              </w:rPr>
            </w:pPr>
            <w:r>
              <w:rPr>
                <w:noProof/>
              </w:rPr>
              <w:t xml:space="preserve">Apmācības pabeigšana par izpratni par daudzveidību privātā sektora uzņēmumu darbiniekiem </w:t>
            </w:r>
          </w:p>
        </w:tc>
        <w:tc>
          <w:tcPr>
            <w:tcW w:w="1766" w:type="dxa"/>
            <w:tcBorders>
              <w:top w:val="nil"/>
              <w:left w:val="nil"/>
              <w:bottom w:val="single" w:sz="4" w:space="0" w:color="auto"/>
              <w:right w:val="single" w:sz="4" w:space="0" w:color="auto"/>
            </w:tcBorders>
            <w:shd w:val="clear" w:color="auto" w:fill="C6EFCE"/>
            <w:noWrap/>
          </w:tcPr>
          <w:p w14:paraId="4C50F829" w14:textId="77777777" w:rsidR="00CB0FCB" w:rsidRDefault="00CB0FCB">
            <w:pPr>
              <w:spacing w:before="120" w:after="0" w:line="240" w:lineRule="auto"/>
              <w:rPr>
                <w:rFonts w:eastAsia="Times New Roman" w:cs="Calibri"/>
                <w:noProof/>
                <w:color w:val="006100"/>
                <w:sz w:val="18"/>
                <w:szCs w:val="18"/>
              </w:rPr>
            </w:pPr>
          </w:p>
        </w:tc>
        <w:tc>
          <w:tcPr>
            <w:tcW w:w="1404" w:type="dxa"/>
            <w:tcBorders>
              <w:top w:val="nil"/>
              <w:left w:val="nil"/>
              <w:bottom w:val="single" w:sz="4" w:space="0" w:color="auto"/>
              <w:right w:val="single" w:sz="4" w:space="0" w:color="auto"/>
            </w:tcBorders>
            <w:shd w:val="clear" w:color="auto" w:fill="C6EFCE"/>
            <w:noWrap/>
          </w:tcPr>
          <w:p w14:paraId="594D2D5C" w14:textId="70199C4F" w:rsidR="00CB0FCB" w:rsidRDefault="009D2B11">
            <w:pPr>
              <w:pStyle w:val="P68B1DB1-Normal9"/>
              <w:spacing w:before="120" w:after="0" w:line="240" w:lineRule="auto"/>
              <w:rPr>
                <w:rFonts w:eastAsia="Times New Roman" w:cs="Calibri"/>
                <w:noProof/>
                <w:szCs w:val="18"/>
              </w:rPr>
            </w:pPr>
            <w:r>
              <w:rPr>
                <w:noProof/>
              </w:rPr>
              <w:t>Darbinieku skaits privātā sektora uzņēmumos ar sertificētu dalību apmācībā</w:t>
            </w:r>
          </w:p>
        </w:tc>
        <w:tc>
          <w:tcPr>
            <w:tcW w:w="1035" w:type="dxa"/>
            <w:tcBorders>
              <w:top w:val="nil"/>
              <w:left w:val="nil"/>
              <w:bottom w:val="single" w:sz="4" w:space="0" w:color="auto"/>
              <w:right w:val="single" w:sz="4" w:space="0" w:color="auto"/>
            </w:tcBorders>
            <w:shd w:val="clear" w:color="auto" w:fill="C6EFCE"/>
            <w:noWrap/>
          </w:tcPr>
          <w:p w14:paraId="00D214EB" w14:textId="77777777" w:rsidR="00CB0FCB" w:rsidRDefault="009D2B11">
            <w:pPr>
              <w:pStyle w:val="P68B1DB1-Normal9"/>
              <w:spacing w:before="120" w:after="0" w:line="240" w:lineRule="auto"/>
              <w:rPr>
                <w:rFonts w:eastAsia="Times New Roman" w:cs="Calibri"/>
                <w:noProof/>
                <w:szCs w:val="18"/>
              </w:rPr>
            </w:pPr>
            <w:r>
              <w:rPr>
                <w:noProof/>
              </w:rPr>
              <w:t>0</w:t>
            </w:r>
          </w:p>
        </w:tc>
        <w:tc>
          <w:tcPr>
            <w:tcW w:w="1097" w:type="dxa"/>
            <w:tcBorders>
              <w:top w:val="nil"/>
              <w:left w:val="nil"/>
              <w:bottom w:val="single" w:sz="4" w:space="0" w:color="auto"/>
              <w:right w:val="single" w:sz="4" w:space="0" w:color="auto"/>
            </w:tcBorders>
            <w:shd w:val="clear" w:color="auto" w:fill="C6EFCE"/>
            <w:noWrap/>
          </w:tcPr>
          <w:p w14:paraId="16791D77" w14:textId="77777777" w:rsidR="00CB0FCB" w:rsidRDefault="009D2B11">
            <w:pPr>
              <w:pStyle w:val="P68B1DB1-Normal9"/>
              <w:spacing w:before="120" w:after="0" w:line="240" w:lineRule="auto"/>
              <w:rPr>
                <w:rFonts w:eastAsia="Times New Roman" w:cs="Calibri"/>
                <w:noProof/>
                <w:szCs w:val="18"/>
              </w:rPr>
            </w:pPr>
            <w:r>
              <w:rPr>
                <w:noProof/>
              </w:rPr>
              <w:t>80 000</w:t>
            </w:r>
          </w:p>
        </w:tc>
        <w:tc>
          <w:tcPr>
            <w:tcW w:w="846" w:type="dxa"/>
            <w:tcBorders>
              <w:top w:val="nil"/>
              <w:left w:val="nil"/>
              <w:bottom w:val="single" w:sz="4" w:space="0" w:color="auto"/>
              <w:right w:val="single" w:sz="4" w:space="0" w:color="auto"/>
            </w:tcBorders>
            <w:shd w:val="clear" w:color="auto" w:fill="C6EFCE"/>
            <w:noWrap/>
          </w:tcPr>
          <w:p w14:paraId="3F6C2A82" w14:textId="77777777" w:rsidR="00CB0FCB" w:rsidRDefault="009D2B11">
            <w:pPr>
              <w:pStyle w:val="P68B1DB1-Normal9"/>
              <w:spacing w:before="120" w:after="0" w:line="240" w:lineRule="auto"/>
              <w:rPr>
                <w:rFonts w:eastAsia="Times New Roman" w:cs="Calibri"/>
                <w:noProof/>
                <w:szCs w:val="18"/>
              </w:rPr>
            </w:pPr>
            <w:r>
              <w:rPr>
                <w:noProof/>
              </w:rPr>
              <w:t>CET.</w:t>
            </w:r>
          </w:p>
        </w:tc>
        <w:tc>
          <w:tcPr>
            <w:tcW w:w="783" w:type="dxa"/>
            <w:tcBorders>
              <w:top w:val="nil"/>
              <w:left w:val="nil"/>
              <w:bottom w:val="single" w:sz="4" w:space="0" w:color="auto"/>
              <w:right w:val="single" w:sz="4" w:space="0" w:color="auto"/>
            </w:tcBorders>
            <w:shd w:val="clear" w:color="auto" w:fill="C6EFCE"/>
            <w:noWrap/>
          </w:tcPr>
          <w:p w14:paraId="33A79F1F" w14:textId="77777777" w:rsidR="00CB0FCB" w:rsidRDefault="009D2B11">
            <w:pPr>
              <w:pStyle w:val="P68B1DB1-Normal9"/>
              <w:spacing w:before="120" w:after="0" w:line="240" w:lineRule="auto"/>
              <w:rPr>
                <w:rFonts w:eastAsia="Times New Roman" w:cs="Calibri"/>
                <w:noProof/>
                <w:szCs w:val="18"/>
              </w:rPr>
            </w:pPr>
            <w:r>
              <w:rPr>
                <w:noProof/>
              </w:rPr>
              <w:t>2024</w:t>
            </w:r>
          </w:p>
        </w:tc>
        <w:tc>
          <w:tcPr>
            <w:tcW w:w="3117" w:type="dxa"/>
            <w:tcBorders>
              <w:top w:val="nil"/>
              <w:left w:val="nil"/>
              <w:bottom w:val="single" w:sz="4" w:space="0" w:color="auto"/>
              <w:right w:val="single" w:sz="4" w:space="0" w:color="auto"/>
            </w:tcBorders>
            <w:shd w:val="clear" w:color="auto" w:fill="C6EFCE"/>
            <w:noWrap/>
          </w:tcPr>
          <w:p w14:paraId="40903AFC" w14:textId="73ADE4BF" w:rsidR="00CB0FCB" w:rsidRDefault="009D2B11">
            <w:pPr>
              <w:pStyle w:val="P68B1DB1-Normal9"/>
              <w:spacing w:before="120" w:after="0" w:line="240" w:lineRule="auto"/>
              <w:rPr>
                <w:rFonts w:eastAsia="Times New Roman" w:cs="Calibri"/>
                <w:noProof/>
                <w:szCs w:val="18"/>
              </w:rPr>
            </w:pPr>
            <w:r>
              <w:rPr>
                <w:noProof/>
              </w:rPr>
              <w:t xml:space="preserve">Apmācības programmas pabeigšana par daudzveidību, kas paredzēta 80000 privātā sektora uzņēmumu darbiniekiem, un sertifikācija. </w:t>
            </w:r>
          </w:p>
          <w:p w14:paraId="78339D66" w14:textId="3539B042" w:rsidR="00CB0FCB" w:rsidRDefault="009D2B11">
            <w:pPr>
              <w:pStyle w:val="P68B1DB1-Normal9"/>
              <w:spacing w:before="120" w:after="0" w:line="240" w:lineRule="auto"/>
              <w:rPr>
                <w:rFonts w:eastAsia="Times New Roman" w:cs="Calibri"/>
                <w:noProof/>
                <w:szCs w:val="18"/>
              </w:rPr>
            </w:pPr>
            <w:r>
              <w:rPr>
                <w:noProof/>
              </w:rPr>
              <w:t xml:space="preserve">Mācību programmas mērķis ir palielināt informētību par daudzveidības dažādajām dimensijām un ieguvumiem. </w:t>
            </w:r>
          </w:p>
        </w:tc>
      </w:tr>
      <w:tr w:rsidR="00CB0FCB" w14:paraId="4DA3D387"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46BF12FF" w14:textId="77777777" w:rsidR="00CB0FCB" w:rsidRDefault="009D2B11">
            <w:pPr>
              <w:pStyle w:val="P68B1DB1-Normal9"/>
              <w:spacing w:before="120" w:after="0" w:line="240" w:lineRule="auto"/>
              <w:rPr>
                <w:rFonts w:eastAsia="Times New Roman" w:cs="Calibri"/>
                <w:noProof/>
                <w:szCs w:val="18"/>
              </w:rPr>
            </w:pPr>
            <w:r>
              <w:rPr>
                <w:noProof/>
              </w:rPr>
              <w:t>184.a</w:t>
            </w:r>
          </w:p>
        </w:tc>
        <w:tc>
          <w:tcPr>
            <w:tcW w:w="1582" w:type="dxa"/>
            <w:tcBorders>
              <w:top w:val="nil"/>
              <w:left w:val="nil"/>
              <w:bottom w:val="single" w:sz="4" w:space="0" w:color="auto"/>
              <w:right w:val="single" w:sz="4" w:space="0" w:color="auto"/>
            </w:tcBorders>
            <w:shd w:val="clear" w:color="auto" w:fill="C6EFCE"/>
            <w:noWrap/>
          </w:tcPr>
          <w:p w14:paraId="2B488FB0"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16685_Dažādības apzināšanās</w:t>
            </w:r>
          </w:p>
        </w:tc>
        <w:tc>
          <w:tcPr>
            <w:tcW w:w="966" w:type="dxa"/>
            <w:tcBorders>
              <w:top w:val="nil"/>
              <w:left w:val="nil"/>
              <w:bottom w:val="single" w:sz="4" w:space="0" w:color="auto"/>
              <w:right w:val="single" w:sz="4" w:space="0" w:color="auto"/>
            </w:tcBorders>
            <w:shd w:val="clear" w:color="auto" w:fill="C6EFCE"/>
            <w:noWrap/>
          </w:tcPr>
          <w:p w14:paraId="19BD1E9E"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2107" w:type="dxa"/>
            <w:tcBorders>
              <w:top w:val="nil"/>
              <w:left w:val="nil"/>
              <w:bottom w:val="single" w:sz="4" w:space="0" w:color="auto"/>
              <w:right w:val="single" w:sz="4" w:space="0" w:color="auto"/>
            </w:tcBorders>
            <w:shd w:val="clear" w:color="auto" w:fill="C6EFCE"/>
            <w:noWrap/>
          </w:tcPr>
          <w:p w14:paraId="074C5869" w14:textId="77777777" w:rsidR="00CB0FCB" w:rsidRDefault="009D2B11">
            <w:pPr>
              <w:pStyle w:val="P68B1DB1-Normal9"/>
              <w:spacing w:before="120" w:after="0" w:line="240" w:lineRule="auto"/>
              <w:rPr>
                <w:rFonts w:eastAsia="Times New Roman" w:cs="Calibri"/>
                <w:noProof/>
                <w:szCs w:val="18"/>
              </w:rPr>
            </w:pPr>
            <w:r>
              <w:rPr>
                <w:noProof/>
              </w:rPr>
              <w:t>Līdztiesības un diskriminācijas jautājumu darba grupa, Līdztiesības novērošanas centrs, piešķiršanas sistēma</w:t>
            </w:r>
          </w:p>
        </w:tc>
        <w:tc>
          <w:tcPr>
            <w:tcW w:w="1766" w:type="dxa"/>
            <w:tcBorders>
              <w:top w:val="nil"/>
              <w:left w:val="nil"/>
              <w:bottom w:val="single" w:sz="4" w:space="0" w:color="auto"/>
              <w:right w:val="single" w:sz="4" w:space="0" w:color="auto"/>
            </w:tcBorders>
            <w:shd w:val="clear" w:color="auto" w:fill="C6EFCE"/>
            <w:noWrap/>
          </w:tcPr>
          <w:p w14:paraId="16E872CA" w14:textId="77777777" w:rsidR="00CB0FCB" w:rsidRDefault="009D2B11">
            <w:pPr>
              <w:pStyle w:val="P68B1DB1-Normal9"/>
              <w:spacing w:before="120" w:after="0" w:line="240" w:lineRule="auto"/>
              <w:rPr>
                <w:rFonts w:eastAsia="Times New Roman" w:cs="Calibri"/>
                <w:noProof/>
                <w:szCs w:val="18"/>
              </w:rPr>
            </w:pPr>
            <w:r>
              <w:rPr>
                <w:noProof/>
              </w:rPr>
              <w:t>Sociālās kohēzijas un ģimenes ministrijas ziņojums, kas apstiprina projektu pabeigšanu</w:t>
            </w:r>
          </w:p>
        </w:tc>
        <w:tc>
          <w:tcPr>
            <w:tcW w:w="1404" w:type="dxa"/>
            <w:tcBorders>
              <w:top w:val="nil"/>
              <w:left w:val="nil"/>
              <w:bottom w:val="single" w:sz="4" w:space="0" w:color="auto"/>
              <w:right w:val="single" w:sz="4" w:space="0" w:color="auto"/>
            </w:tcBorders>
            <w:shd w:val="clear" w:color="auto" w:fill="C6EFCE"/>
            <w:noWrap/>
          </w:tcPr>
          <w:p w14:paraId="6E885D29" w14:textId="77777777" w:rsidR="00CB0FCB" w:rsidRDefault="00CB0FCB">
            <w:pPr>
              <w:spacing w:before="120" w:after="0" w:line="240" w:lineRule="auto"/>
              <w:rPr>
                <w:rFonts w:eastAsia="Times New Roman" w:cs="Calibri"/>
                <w:noProof/>
                <w:color w:val="006100"/>
                <w:sz w:val="18"/>
                <w:szCs w:val="18"/>
              </w:rPr>
            </w:pPr>
          </w:p>
        </w:tc>
        <w:tc>
          <w:tcPr>
            <w:tcW w:w="1035" w:type="dxa"/>
            <w:tcBorders>
              <w:top w:val="nil"/>
              <w:left w:val="nil"/>
              <w:bottom w:val="single" w:sz="4" w:space="0" w:color="auto"/>
              <w:right w:val="single" w:sz="4" w:space="0" w:color="auto"/>
            </w:tcBorders>
            <w:shd w:val="clear" w:color="auto" w:fill="C6EFCE"/>
            <w:noWrap/>
          </w:tcPr>
          <w:p w14:paraId="006AED6D" w14:textId="77777777" w:rsidR="00CB0FCB" w:rsidRDefault="00CB0FCB">
            <w:pPr>
              <w:spacing w:before="120" w:after="0" w:line="240" w:lineRule="auto"/>
              <w:rPr>
                <w:rFonts w:eastAsia="Times New Roman" w:cs="Calibri"/>
                <w:noProof/>
                <w:color w:val="006100"/>
                <w:sz w:val="18"/>
                <w:szCs w:val="18"/>
              </w:rPr>
            </w:pPr>
          </w:p>
        </w:tc>
        <w:tc>
          <w:tcPr>
            <w:tcW w:w="1097" w:type="dxa"/>
            <w:tcBorders>
              <w:top w:val="nil"/>
              <w:left w:val="nil"/>
              <w:bottom w:val="single" w:sz="4" w:space="0" w:color="auto"/>
              <w:right w:val="single" w:sz="4" w:space="0" w:color="auto"/>
            </w:tcBorders>
            <w:shd w:val="clear" w:color="auto" w:fill="C6EFCE"/>
            <w:noWrap/>
          </w:tcPr>
          <w:p w14:paraId="21232812" w14:textId="77777777" w:rsidR="00CB0FCB" w:rsidRDefault="00CB0FCB">
            <w:pPr>
              <w:spacing w:before="120"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CC4FA3A" w14:textId="77777777" w:rsidR="00CB0FCB" w:rsidRDefault="009D2B11">
            <w:pPr>
              <w:pStyle w:val="P68B1DB1-Normal9"/>
              <w:spacing w:before="120" w:after="0" w:line="240" w:lineRule="auto"/>
              <w:rPr>
                <w:rFonts w:eastAsia="Times New Roman" w:cs="Calibri"/>
                <w:noProof/>
                <w:szCs w:val="18"/>
              </w:rPr>
            </w:pPr>
            <w:r>
              <w:rPr>
                <w:noProof/>
              </w:rPr>
              <w:t>Q1</w:t>
            </w:r>
          </w:p>
        </w:tc>
        <w:tc>
          <w:tcPr>
            <w:tcW w:w="783" w:type="dxa"/>
            <w:tcBorders>
              <w:top w:val="nil"/>
              <w:left w:val="nil"/>
              <w:bottom w:val="single" w:sz="4" w:space="0" w:color="auto"/>
              <w:right w:val="single" w:sz="4" w:space="0" w:color="auto"/>
            </w:tcBorders>
            <w:shd w:val="clear" w:color="auto" w:fill="C6EFCE"/>
            <w:noWrap/>
          </w:tcPr>
          <w:p w14:paraId="0BC0778D" w14:textId="77777777" w:rsidR="00CB0FCB" w:rsidRDefault="009D2B11">
            <w:pPr>
              <w:pStyle w:val="P68B1DB1-Normal9"/>
              <w:spacing w:before="120" w:after="0" w:line="240" w:lineRule="auto"/>
              <w:rPr>
                <w:rFonts w:eastAsia="Times New Roman" w:cs="Calibri"/>
                <w:noProof/>
                <w:szCs w:val="18"/>
              </w:rPr>
            </w:pPr>
            <w:r>
              <w:rPr>
                <w:noProof/>
              </w:rPr>
              <w:t>2025</w:t>
            </w:r>
          </w:p>
        </w:tc>
        <w:tc>
          <w:tcPr>
            <w:tcW w:w="3117" w:type="dxa"/>
            <w:tcBorders>
              <w:top w:val="nil"/>
              <w:left w:val="nil"/>
              <w:bottom w:val="single" w:sz="4" w:space="0" w:color="auto"/>
              <w:right w:val="single" w:sz="4" w:space="0" w:color="auto"/>
            </w:tcBorders>
            <w:shd w:val="clear" w:color="auto" w:fill="C6EFCE"/>
            <w:noWrap/>
          </w:tcPr>
          <w:p w14:paraId="71B70A60" w14:textId="77777777" w:rsidR="00CB0FCB" w:rsidRDefault="009D2B11">
            <w:pPr>
              <w:pStyle w:val="P68B1DB1-Normal9"/>
              <w:spacing w:before="120" w:after="0" w:line="240" w:lineRule="auto"/>
              <w:rPr>
                <w:rFonts w:eastAsia="Times New Roman" w:cs="Calibri"/>
                <w:noProof/>
                <w:szCs w:val="18"/>
              </w:rPr>
            </w:pPr>
            <w:r>
              <w:rPr>
                <w:noProof/>
              </w:rPr>
              <w:t>Izveidot darba grupu, lai vāktu atbilstīgus statistikas datus par līdztiesību un diskrimināciju.  </w:t>
            </w:r>
          </w:p>
          <w:p w14:paraId="161600E2" w14:textId="77777777" w:rsidR="00CB0FCB" w:rsidRDefault="009D2B11">
            <w:pPr>
              <w:pStyle w:val="P68B1DB1-Normal9"/>
              <w:spacing w:before="120" w:after="0" w:line="240" w:lineRule="auto"/>
              <w:rPr>
                <w:rFonts w:eastAsia="Times New Roman"/>
                <w:noProof/>
                <w:szCs w:val="18"/>
              </w:rPr>
            </w:pPr>
            <w:r>
              <w:rPr>
                <w:noProof/>
              </w:rPr>
              <w:t xml:space="preserve">Stājas spēkā tiesību akti, kuru mērķis ir palielināt Līdztiesības novērošanas centra lomu. </w:t>
            </w:r>
          </w:p>
          <w:p w14:paraId="652CA941" w14:textId="77777777" w:rsidR="00CB0FCB" w:rsidRDefault="009D2B11">
            <w:pPr>
              <w:pStyle w:val="P68B1DB1-Normal9"/>
              <w:spacing w:before="120" w:after="0" w:line="240" w:lineRule="auto"/>
              <w:rPr>
                <w:rFonts w:eastAsia="Times New Roman" w:cs="Calibri"/>
                <w:noProof/>
                <w:szCs w:val="18"/>
              </w:rPr>
            </w:pPr>
            <w:r>
              <w:rPr>
                <w:noProof/>
              </w:rPr>
              <w:t>Izveidot sertifikācijas mehānismu un piešķiršanas sistēmu uzņēmumiem/organizācijām, kas veicina labu daudzveidību un iekļaušanu.</w:t>
            </w:r>
          </w:p>
          <w:p w14:paraId="7D660391" w14:textId="77777777" w:rsidR="00CB0FCB" w:rsidRDefault="00CB0FCB">
            <w:pPr>
              <w:spacing w:before="120" w:after="0" w:line="240" w:lineRule="auto"/>
              <w:rPr>
                <w:rFonts w:eastAsia="Times New Roman" w:cs="Calibri"/>
                <w:noProof/>
                <w:color w:val="006100"/>
                <w:sz w:val="18"/>
                <w:szCs w:val="18"/>
              </w:rPr>
            </w:pPr>
          </w:p>
        </w:tc>
      </w:tr>
      <w:tr w:rsidR="00CB0FCB" w14:paraId="190DB569"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20F6B3A4" w14:textId="77777777" w:rsidR="00CB0FCB" w:rsidRDefault="009D2B11">
            <w:pPr>
              <w:pStyle w:val="P68B1DB1-Normal9"/>
              <w:spacing w:before="120" w:after="0" w:line="240" w:lineRule="auto"/>
              <w:rPr>
                <w:rFonts w:eastAsia="Times New Roman" w:cs="Calibri"/>
                <w:noProof/>
                <w:szCs w:val="18"/>
              </w:rPr>
            </w:pPr>
            <w:r>
              <w:rPr>
                <w:noProof/>
              </w:rPr>
              <w:t>185</w:t>
            </w:r>
          </w:p>
        </w:tc>
        <w:tc>
          <w:tcPr>
            <w:tcW w:w="1582" w:type="dxa"/>
            <w:tcBorders>
              <w:top w:val="nil"/>
              <w:left w:val="nil"/>
              <w:bottom w:val="single" w:sz="4" w:space="0" w:color="auto"/>
              <w:right w:val="single" w:sz="4" w:space="0" w:color="auto"/>
            </w:tcBorders>
            <w:shd w:val="clear" w:color="auto" w:fill="C6EFCE"/>
            <w:noWrap/>
          </w:tcPr>
          <w:p w14:paraId="33566D00" w14:textId="77777777" w:rsidR="00CB0FCB" w:rsidRDefault="009D2B11">
            <w:pPr>
              <w:pStyle w:val="P68B1DB1-Normal9"/>
              <w:spacing w:before="120" w:after="0" w:line="240" w:lineRule="auto"/>
              <w:rPr>
                <w:rFonts w:eastAsia="Times New Roman" w:cs="Calibri"/>
                <w:noProof/>
                <w:szCs w:val="18"/>
              </w:rPr>
            </w:pPr>
            <w:r>
              <w:rPr>
                <w:noProof/>
              </w:rPr>
              <w:t>11–3.4. Palielināt piekļuvi efektīvai un iekļaujošai sociālajai politikai — 16763_Imigrācijas un patvēruma sistēmas digitālā pārveide</w:t>
            </w:r>
          </w:p>
        </w:tc>
        <w:tc>
          <w:tcPr>
            <w:tcW w:w="966" w:type="dxa"/>
            <w:tcBorders>
              <w:top w:val="nil"/>
              <w:left w:val="nil"/>
              <w:bottom w:val="single" w:sz="4" w:space="0" w:color="auto"/>
              <w:right w:val="single" w:sz="4" w:space="0" w:color="auto"/>
            </w:tcBorders>
            <w:shd w:val="clear" w:color="auto" w:fill="C6EFCE"/>
            <w:noWrap/>
          </w:tcPr>
          <w:p w14:paraId="15A06B59"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2107" w:type="dxa"/>
            <w:tcBorders>
              <w:top w:val="nil"/>
              <w:left w:val="nil"/>
              <w:bottom w:val="single" w:sz="4" w:space="0" w:color="auto"/>
              <w:right w:val="single" w:sz="4" w:space="0" w:color="auto"/>
            </w:tcBorders>
            <w:shd w:val="clear" w:color="auto" w:fill="C6EFCE"/>
            <w:noWrap/>
          </w:tcPr>
          <w:p w14:paraId="464300B6" w14:textId="77777777" w:rsidR="00CB0FCB" w:rsidRDefault="009D2B11">
            <w:pPr>
              <w:pStyle w:val="P68B1DB1-Normal9"/>
              <w:spacing w:before="120" w:after="0" w:line="240" w:lineRule="auto"/>
              <w:rPr>
                <w:rFonts w:eastAsia="Times New Roman" w:cs="Calibri"/>
                <w:noProof/>
                <w:szCs w:val="18"/>
              </w:rPr>
            </w:pPr>
            <w:r>
              <w:rPr>
                <w:noProof/>
              </w:rPr>
              <w:t>Migrācijas patvēruma sistēmas digitalizācijas pabeigšana</w:t>
            </w:r>
          </w:p>
        </w:tc>
        <w:tc>
          <w:tcPr>
            <w:tcW w:w="1766" w:type="dxa"/>
            <w:tcBorders>
              <w:top w:val="nil"/>
              <w:left w:val="nil"/>
              <w:bottom w:val="single" w:sz="4" w:space="0" w:color="auto"/>
              <w:right w:val="single" w:sz="4" w:space="0" w:color="auto"/>
            </w:tcBorders>
            <w:shd w:val="clear" w:color="auto" w:fill="C6EFCE"/>
            <w:noWrap/>
          </w:tcPr>
          <w:p w14:paraId="137F159F" w14:textId="5DE84562" w:rsidR="00CB0FCB" w:rsidRDefault="009D2B11">
            <w:pPr>
              <w:pStyle w:val="P68B1DB1-Normal10"/>
              <w:spacing w:before="120" w:after="0" w:line="240" w:lineRule="auto"/>
              <w:rPr>
                <w:rFonts w:eastAsia="Times New Roman" w:cs="Calibri"/>
                <w:noProof/>
              </w:rPr>
            </w:pPr>
            <w:r>
              <w:rPr>
                <w:noProof/>
              </w:rPr>
              <w:t>Projekta vadītāja/līgumslēdzējas iestādes apstiprinājums par dažādu projektu nodevumu pieņemšanu</w:t>
            </w:r>
          </w:p>
        </w:tc>
        <w:tc>
          <w:tcPr>
            <w:tcW w:w="1404" w:type="dxa"/>
            <w:tcBorders>
              <w:top w:val="nil"/>
              <w:left w:val="nil"/>
              <w:bottom w:val="single" w:sz="4" w:space="0" w:color="auto"/>
              <w:right w:val="single" w:sz="4" w:space="0" w:color="auto"/>
            </w:tcBorders>
            <w:shd w:val="clear" w:color="auto" w:fill="C6EFCE"/>
            <w:noWrap/>
          </w:tcPr>
          <w:p w14:paraId="0D6D1D87" w14:textId="77777777" w:rsidR="00CB0FCB" w:rsidRDefault="00CB0FCB">
            <w:pPr>
              <w:spacing w:before="120" w:after="0" w:line="240" w:lineRule="auto"/>
              <w:rPr>
                <w:rFonts w:eastAsia="Times New Roman" w:cs="Calibri"/>
                <w:noProof/>
                <w:color w:val="006100"/>
                <w:sz w:val="18"/>
                <w:szCs w:val="18"/>
              </w:rPr>
            </w:pPr>
          </w:p>
        </w:tc>
        <w:tc>
          <w:tcPr>
            <w:tcW w:w="1035" w:type="dxa"/>
            <w:tcBorders>
              <w:top w:val="nil"/>
              <w:left w:val="nil"/>
              <w:bottom w:val="single" w:sz="4" w:space="0" w:color="auto"/>
              <w:right w:val="single" w:sz="4" w:space="0" w:color="auto"/>
            </w:tcBorders>
            <w:shd w:val="clear" w:color="auto" w:fill="C6EFCE"/>
            <w:noWrap/>
          </w:tcPr>
          <w:p w14:paraId="2E127054" w14:textId="77777777" w:rsidR="00CB0FCB" w:rsidRDefault="00CB0FCB">
            <w:pPr>
              <w:spacing w:before="120" w:after="0" w:line="240" w:lineRule="auto"/>
              <w:rPr>
                <w:rFonts w:eastAsia="Times New Roman" w:cs="Calibri"/>
                <w:noProof/>
                <w:color w:val="006100"/>
                <w:sz w:val="18"/>
                <w:szCs w:val="18"/>
              </w:rPr>
            </w:pPr>
          </w:p>
        </w:tc>
        <w:tc>
          <w:tcPr>
            <w:tcW w:w="1097" w:type="dxa"/>
            <w:tcBorders>
              <w:top w:val="nil"/>
              <w:left w:val="nil"/>
              <w:bottom w:val="single" w:sz="4" w:space="0" w:color="auto"/>
              <w:right w:val="single" w:sz="4" w:space="0" w:color="auto"/>
            </w:tcBorders>
            <w:shd w:val="clear" w:color="auto" w:fill="C6EFCE"/>
            <w:noWrap/>
          </w:tcPr>
          <w:p w14:paraId="146C0768" w14:textId="77777777" w:rsidR="00CB0FCB" w:rsidRDefault="00CB0FCB">
            <w:pPr>
              <w:spacing w:before="120"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F64DFCD"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83" w:type="dxa"/>
            <w:tcBorders>
              <w:top w:val="nil"/>
              <w:left w:val="nil"/>
              <w:bottom w:val="single" w:sz="4" w:space="0" w:color="auto"/>
              <w:right w:val="single" w:sz="4" w:space="0" w:color="auto"/>
            </w:tcBorders>
            <w:shd w:val="clear" w:color="auto" w:fill="C6EFCE"/>
            <w:noWrap/>
          </w:tcPr>
          <w:p w14:paraId="2BEA65BC" w14:textId="77777777" w:rsidR="00CB0FCB" w:rsidRDefault="009D2B11">
            <w:pPr>
              <w:pStyle w:val="P68B1DB1-Normal9"/>
              <w:spacing w:before="120" w:after="0" w:line="240" w:lineRule="auto"/>
              <w:rPr>
                <w:rFonts w:eastAsia="Times New Roman" w:cs="Calibri"/>
                <w:noProof/>
                <w:szCs w:val="18"/>
              </w:rPr>
            </w:pPr>
            <w:r>
              <w:rPr>
                <w:noProof/>
              </w:rPr>
              <w:t>2024</w:t>
            </w:r>
          </w:p>
        </w:tc>
        <w:tc>
          <w:tcPr>
            <w:tcW w:w="3117" w:type="dxa"/>
            <w:tcBorders>
              <w:top w:val="nil"/>
              <w:left w:val="nil"/>
              <w:bottom w:val="single" w:sz="4" w:space="0" w:color="auto"/>
              <w:right w:val="single" w:sz="4" w:space="0" w:color="auto"/>
            </w:tcBorders>
            <w:shd w:val="clear" w:color="auto" w:fill="C6EFCE"/>
            <w:noWrap/>
          </w:tcPr>
          <w:p w14:paraId="1B018BA5" w14:textId="012B9565" w:rsidR="00CB0FCB" w:rsidRDefault="009D2B11">
            <w:pPr>
              <w:pStyle w:val="P68B1DB1-Normal9"/>
              <w:spacing w:before="120" w:after="0" w:line="240" w:lineRule="auto"/>
              <w:rPr>
                <w:noProof/>
              </w:rPr>
            </w:pPr>
            <w:r>
              <w:rPr>
                <w:noProof/>
              </w:rPr>
              <w:t>Šādu projektu pabeigšana:</w:t>
            </w:r>
          </w:p>
          <w:p w14:paraId="66E3F543" w14:textId="73733250" w:rsidR="00CB0FCB" w:rsidRDefault="009D2B11">
            <w:pPr>
              <w:pStyle w:val="P68B1DB1-Normal9"/>
              <w:spacing w:before="120" w:after="0" w:line="240" w:lineRule="auto"/>
              <w:rPr>
                <w:noProof/>
              </w:rPr>
            </w:pPr>
            <w:r>
              <w:rPr>
                <w:noProof/>
              </w:rPr>
              <w:t>1. Migrācijas un patvēruma ministrijas digitalizācijas un dokumentu pārvaldības sistēma likumīgai migrācijai.</w:t>
            </w:r>
          </w:p>
          <w:p w14:paraId="5A4DA1DB" w14:textId="5C5306FA" w:rsidR="00CB0FCB" w:rsidRDefault="009D2B11">
            <w:pPr>
              <w:pStyle w:val="P68B1DB1-Normal9"/>
              <w:spacing w:before="120" w:after="0" w:line="240" w:lineRule="auto"/>
              <w:rPr>
                <w:rFonts w:eastAsia="Times New Roman" w:cs="Calibri"/>
                <w:noProof/>
                <w:szCs w:val="18"/>
              </w:rPr>
            </w:pPr>
            <w:r>
              <w:rPr>
                <w:noProof/>
              </w:rPr>
              <w:t>2. Integrētu digitālās migrācijas pakalpojumu un kiberdrošības infrastruktūras pakalpojumu izveide.</w:t>
            </w:r>
          </w:p>
          <w:p w14:paraId="59C77307" w14:textId="7CDD3C78" w:rsidR="00CB0FCB" w:rsidRDefault="009D2B11">
            <w:pPr>
              <w:pStyle w:val="P68B1DB1-Normal9"/>
              <w:spacing w:before="120" w:after="0" w:line="240" w:lineRule="auto"/>
              <w:rPr>
                <w:noProof/>
              </w:rPr>
            </w:pPr>
            <w:r>
              <w:rPr>
                <w:noProof/>
              </w:rPr>
              <w:t xml:space="preserve">3. Integrētas ugunsgrēka atklāšanas un agrīnās brīdināšanas sistēmas izveide Vastrijas meža teritorijā Lesbā, kurā atrodas bēgļu nometne. </w:t>
            </w:r>
          </w:p>
          <w:p w14:paraId="1B5D7EB0" w14:textId="30755D07" w:rsidR="00CB0FCB" w:rsidRDefault="009D2B11">
            <w:pPr>
              <w:pStyle w:val="P68B1DB1-Normal9"/>
              <w:spacing w:before="120" w:after="0" w:line="240" w:lineRule="auto"/>
              <w:rPr>
                <w:noProof/>
              </w:rPr>
            </w:pPr>
            <w:r>
              <w:rPr>
                <w:noProof/>
                <w:szCs w:val="18"/>
              </w:rPr>
              <w:t xml:space="preserve">4. Patvēruma meklētāju pārvaldības sistēmas </w:t>
            </w:r>
            <w:r>
              <w:rPr>
                <w:noProof/>
              </w:rPr>
              <w:t>izveide (Hyperion).</w:t>
            </w:r>
          </w:p>
          <w:p w14:paraId="2D0A76CC" w14:textId="2ECBDB59" w:rsidR="00CB0FCB" w:rsidRDefault="009D2B11">
            <w:pPr>
              <w:pStyle w:val="P68B1DB1-Normal10"/>
              <w:spacing w:before="120" w:after="0" w:line="240" w:lineRule="auto"/>
              <w:rPr>
                <w:noProof/>
              </w:rPr>
            </w:pPr>
            <w:r>
              <w:rPr>
                <w:noProof/>
              </w:rPr>
              <w:t>5. Integrētas digitālas elektroniskās un fiziskās drošības pārvaldības sistēmas (KENTAVROS) izveide.</w:t>
            </w:r>
          </w:p>
          <w:p w14:paraId="6F47301D" w14:textId="5DAAB02F" w:rsidR="00CB0FCB" w:rsidRDefault="009D2B11">
            <w:pPr>
              <w:pStyle w:val="P68B1DB1-Normal10"/>
              <w:spacing w:before="120" w:after="0" w:line="240" w:lineRule="auto"/>
              <w:rPr>
                <w:rFonts w:eastAsia="Times New Roman" w:cs="Calibri"/>
                <w:noProof/>
              </w:rPr>
            </w:pPr>
            <w:r>
              <w:rPr>
                <w:noProof/>
              </w:rPr>
              <w:t>6. Ātrdarbīga interneta nodrošināšana pagaidu izmitināšanas objektiem (REA)</w:t>
            </w:r>
          </w:p>
        </w:tc>
      </w:tr>
      <w:tr w:rsidR="00CB0FCB" w14:paraId="0BCBFF2B"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DF52DC6" w14:textId="77777777" w:rsidR="00CB0FCB" w:rsidRDefault="009D2B11">
            <w:pPr>
              <w:pStyle w:val="P68B1DB1-Normal9"/>
              <w:spacing w:before="120" w:after="0" w:line="240" w:lineRule="auto"/>
              <w:rPr>
                <w:rFonts w:eastAsia="Times New Roman" w:cs="Calibri"/>
                <w:noProof/>
                <w:szCs w:val="18"/>
              </w:rPr>
            </w:pPr>
            <w:r>
              <w:rPr>
                <w:noProof/>
              </w:rPr>
              <w:t>186</w:t>
            </w:r>
          </w:p>
        </w:tc>
        <w:tc>
          <w:tcPr>
            <w:tcW w:w="1582" w:type="dxa"/>
            <w:tcBorders>
              <w:top w:val="single" w:sz="4" w:space="0" w:color="auto"/>
              <w:left w:val="nil"/>
              <w:bottom w:val="single" w:sz="4" w:space="0" w:color="auto"/>
              <w:right w:val="single" w:sz="4" w:space="0" w:color="auto"/>
            </w:tcBorders>
            <w:shd w:val="clear" w:color="auto" w:fill="C6EFCE"/>
            <w:noWrap/>
          </w:tcPr>
          <w:p w14:paraId="01E9DA5A"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16922_Sociālā integrācija</w:t>
            </w:r>
          </w:p>
        </w:tc>
        <w:tc>
          <w:tcPr>
            <w:tcW w:w="966" w:type="dxa"/>
            <w:tcBorders>
              <w:top w:val="single" w:sz="4" w:space="0" w:color="auto"/>
              <w:left w:val="nil"/>
              <w:bottom w:val="single" w:sz="4" w:space="0" w:color="auto"/>
              <w:right w:val="single" w:sz="4" w:space="0" w:color="auto"/>
            </w:tcBorders>
            <w:shd w:val="clear" w:color="auto" w:fill="C6EFCE"/>
            <w:noWrap/>
          </w:tcPr>
          <w:p w14:paraId="036A64DF" w14:textId="77777777" w:rsidR="00CB0FCB" w:rsidRDefault="009D2B11">
            <w:pPr>
              <w:pStyle w:val="P68B1DB1-Normal9"/>
              <w:spacing w:before="120" w:after="0" w:line="240" w:lineRule="auto"/>
              <w:rPr>
                <w:rFonts w:eastAsia="Times New Roman" w:cs="Calibri"/>
                <w:noProof/>
                <w:szCs w:val="18"/>
              </w:rPr>
            </w:pPr>
            <w:r>
              <w:rPr>
                <w:noProof/>
              </w:rPr>
              <w:t>Mērķa</w:t>
            </w:r>
          </w:p>
        </w:tc>
        <w:tc>
          <w:tcPr>
            <w:tcW w:w="2107" w:type="dxa"/>
            <w:tcBorders>
              <w:top w:val="single" w:sz="4" w:space="0" w:color="auto"/>
              <w:left w:val="nil"/>
              <w:bottom w:val="single" w:sz="4" w:space="0" w:color="auto"/>
              <w:right w:val="single" w:sz="4" w:space="0" w:color="auto"/>
            </w:tcBorders>
            <w:shd w:val="clear" w:color="auto" w:fill="C6EFCE"/>
            <w:noWrap/>
          </w:tcPr>
          <w:p w14:paraId="23AC7F01" w14:textId="77777777" w:rsidR="00CB0FCB" w:rsidRDefault="009D2B11">
            <w:pPr>
              <w:pStyle w:val="P68B1DB1-Normal9"/>
              <w:spacing w:before="120" w:after="0" w:line="240" w:lineRule="auto"/>
              <w:rPr>
                <w:rFonts w:eastAsia="Times New Roman" w:cs="Calibri"/>
                <w:noProof/>
                <w:szCs w:val="18"/>
              </w:rPr>
            </w:pPr>
            <w:r>
              <w:rPr>
                <w:noProof/>
              </w:rPr>
              <w:t xml:space="preserve">Sociālo mājokļu renovācijas dzīvokļu pabeigšana </w:t>
            </w:r>
          </w:p>
        </w:tc>
        <w:tc>
          <w:tcPr>
            <w:tcW w:w="1766" w:type="dxa"/>
            <w:tcBorders>
              <w:top w:val="single" w:sz="4" w:space="0" w:color="auto"/>
              <w:left w:val="nil"/>
              <w:bottom w:val="single" w:sz="4" w:space="0" w:color="auto"/>
              <w:right w:val="single" w:sz="4" w:space="0" w:color="auto"/>
            </w:tcBorders>
            <w:shd w:val="clear" w:color="auto" w:fill="C6EFCE"/>
            <w:noWrap/>
          </w:tcPr>
          <w:p w14:paraId="2B91187B" w14:textId="77777777" w:rsidR="00CB0FCB" w:rsidRDefault="00CB0FCB">
            <w:pPr>
              <w:spacing w:before="120" w:after="0" w:line="240" w:lineRule="auto"/>
              <w:rPr>
                <w:rFonts w:eastAsia="Times New Roman" w:cs="Calibri"/>
                <w:noProof/>
                <w:color w:val="006100"/>
                <w:sz w:val="18"/>
                <w:szCs w:val="18"/>
              </w:rPr>
            </w:pPr>
          </w:p>
        </w:tc>
        <w:tc>
          <w:tcPr>
            <w:tcW w:w="1404" w:type="dxa"/>
            <w:tcBorders>
              <w:top w:val="single" w:sz="4" w:space="0" w:color="auto"/>
              <w:left w:val="nil"/>
              <w:bottom w:val="single" w:sz="4" w:space="0" w:color="auto"/>
              <w:right w:val="single" w:sz="4" w:space="0" w:color="auto"/>
            </w:tcBorders>
            <w:shd w:val="clear" w:color="auto" w:fill="C6EFCE"/>
            <w:noWrap/>
          </w:tcPr>
          <w:p w14:paraId="7864EA14" w14:textId="77777777" w:rsidR="00CB0FCB" w:rsidRDefault="009D2B11">
            <w:pPr>
              <w:pStyle w:val="P68B1DB1-Normal9"/>
              <w:spacing w:before="120" w:after="0" w:line="240" w:lineRule="auto"/>
              <w:rPr>
                <w:rFonts w:eastAsia="Times New Roman" w:cs="Calibri"/>
                <w:noProof/>
                <w:szCs w:val="18"/>
              </w:rPr>
            </w:pPr>
            <w:r>
              <w:rPr>
                <w:noProof/>
              </w:rPr>
              <w:t>To dzīvokļu skaits, kas renovēti un ir gatavi nodrošināšanai saņēmējiem</w:t>
            </w:r>
          </w:p>
        </w:tc>
        <w:tc>
          <w:tcPr>
            <w:tcW w:w="1035" w:type="dxa"/>
            <w:tcBorders>
              <w:top w:val="single" w:sz="4" w:space="0" w:color="auto"/>
              <w:left w:val="nil"/>
              <w:bottom w:val="single" w:sz="4" w:space="0" w:color="auto"/>
              <w:right w:val="single" w:sz="4" w:space="0" w:color="auto"/>
            </w:tcBorders>
            <w:shd w:val="clear" w:color="auto" w:fill="C6EFCE"/>
            <w:noWrap/>
          </w:tcPr>
          <w:p w14:paraId="5274FD15" w14:textId="77777777" w:rsidR="00CB0FCB" w:rsidRDefault="009D2B11">
            <w:pPr>
              <w:pStyle w:val="P68B1DB1-Normal9"/>
              <w:spacing w:before="120" w:after="0" w:line="240" w:lineRule="auto"/>
              <w:rPr>
                <w:rFonts w:eastAsia="Times New Roman" w:cs="Calibri"/>
                <w:noProof/>
                <w:szCs w:val="18"/>
              </w:rPr>
            </w:pPr>
            <w:r>
              <w:rPr>
                <w:noProof/>
              </w:rPr>
              <w:t>0</w:t>
            </w:r>
          </w:p>
        </w:tc>
        <w:tc>
          <w:tcPr>
            <w:tcW w:w="1097" w:type="dxa"/>
            <w:tcBorders>
              <w:top w:val="single" w:sz="4" w:space="0" w:color="auto"/>
              <w:left w:val="nil"/>
              <w:bottom w:val="single" w:sz="4" w:space="0" w:color="auto"/>
              <w:right w:val="single" w:sz="4" w:space="0" w:color="auto"/>
            </w:tcBorders>
            <w:shd w:val="clear" w:color="auto" w:fill="C6EFCE"/>
            <w:noWrap/>
          </w:tcPr>
          <w:p w14:paraId="6D1E01F1" w14:textId="7835E685" w:rsidR="00CB0FCB" w:rsidRDefault="009D2B11">
            <w:pPr>
              <w:pStyle w:val="P68B1DB1-Normal9"/>
              <w:spacing w:before="120" w:after="0" w:line="240" w:lineRule="auto"/>
              <w:rPr>
                <w:rFonts w:eastAsia="Times New Roman" w:cs="Calibri"/>
                <w:noProof/>
                <w:szCs w:val="18"/>
              </w:rPr>
            </w:pPr>
            <w:r>
              <w:rPr>
                <w:noProof/>
              </w:rPr>
              <w:t>50</w:t>
            </w:r>
          </w:p>
          <w:p w14:paraId="333D694C" w14:textId="77777777" w:rsidR="00CB0FCB" w:rsidRDefault="00CB0FCB">
            <w:pPr>
              <w:spacing w:before="120"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5FD4E11" w14:textId="77777777" w:rsidR="00CB0FCB" w:rsidRDefault="009D2B11">
            <w:pPr>
              <w:pStyle w:val="P68B1DB1-Normal9"/>
              <w:spacing w:before="120" w:after="0" w:line="240" w:lineRule="auto"/>
              <w:rPr>
                <w:noProof/>
              </w:rPr>
            </w:pPr>
            <w:r>
              <w:rPr>
                <w:noProof/>
              </w:rPr>
              <w:t>2. CET.</w:t>
            </w:r>
          </w:p>
        </w:tc>
        <w:tc>
          <w:tcPr>
            <w:tcW w:w="783" w:type="dxa"/>
            <w:tcBorders>
              <w:top w:val="single" w:sz="4" w:space="0" w:color="auto"/>
              <w:left w:val="nil"/>
              <w:bottom w:val="single" w:sz="4" w:space="0" w:color="auto"/>
              <w:right w:val="single" w:sz="4" w:space="0" w:color="auto"/>
            </w:tcBorders>
            <w:shd w:val="clear" w:color="auto" w:fill="C6EFCE"/>
            <w:noWrap/>
          </w:tcPr>
          <w:p w14:paraId="71A8CAA0" w14:textId="77777777" w:rsidR="00CB0FCB" w:rsidRDefault="009D2B11">
            <w:pPr>
              <w:pStyle w:val="P68B1DB1-Normal9"/>
              <w:spacing w:before="120" w:after="0" w:line="240" w:lineRule="auto"/>
              <w:rPr>
                <w:noProof/>
              </w:rPr>
            </w:pPr>
            <w:r>
              <w:rPr>
                <w:noProof/>
              </w:rPr>
              <w:t>2025</w:t>
            </w:r>
          </w:p>
        </w:tc>
        <w:tc>
          <w:tcPr>
            <w:tcW w:w="3117" w:type="dxa"/>
            <w:tcBorders>
              <w:top w:val="single" w:sz="4" w:space="0" w:color="auto"/>
              <w:left w:val="nil"/>
              <w:bottom w:val="single" w:sz="4" w:space="0" w:color="auto"/>
              <w:right w:val="single" w:sz="4" w:space="0" w:color="auto"/>
            </w:tcBorders>
            <w:shd w:val="clear" w:color="auto" w:fill="C6EFCE"/>
            <w:noWrap/>
          </w:tcPr>
          <w:p w14:paraId="73723DE7" w14:textId="397FB3B1" w:rsidR="00CB0FCB" w:rsidRDefault="009D2B11">
            <w:pPr>
              <w:pStyle w:val="P68B1DB1-Normal9"/>
              <w:spacing w:before="120" w:after="0" w:line="240" w:lineRule="auto"/>
              <w:rPr>
                <w:rFonts w:eastAsia="Times New Roman" w:cs="Calibri"/>
                <w:noProof/>
                <w:szCs w:val="18"/>
              </w:rPr>
            </w:pPr>
            <w:r>
              <w:rPr>
                <w:noProof/>
              </w:rPr>
              <w:t xml:space="preserve">50 dzīvokļu renovācijas programmas pabeigšana 175 saņēmējiem. </w:t>
            </w:r>
          </w:p>
          <w:p w14:paraId="00BDC8C6" w14:textId="77777777" w:rsidR="00CB0FCB" w:rsidRDefault="009D2B11">
            <w:pPr>
              <w:pStyle w:val="P68B1DB1-Normal9"/>
              <w:spacing w:before="120" w:after="0" w:line="240" w:lineRule="auto"/>
              <w:rPr>
                <w:rFonts w:eastAsia="Times New Roman" w:cs="Calibri"/>
                <w:noProof/>
                <w:szCs w:val="18"/>
              </w:rPr>
            </w:pPr>
            <w:r>
              <w:rPr>
                <w:noProof/>
              </w:rPr>
              <w:t>Pasākuma mērķis ir sniegt mājokļa atbalstu visneaizsargātākajām grupām, kurām draud bezpajumtniecība vai kuras saskaras ar bezpajumtniecību.</w:t>
            </w:r>
          </w:p>
        </w:tc>
      </w:tr>
      <w:tr w:rsidR="00CB0FCB" w14:paraId="523A9EA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C08C0AF" w14:textId="77777777" w:rsidR="00CB0FCB" w:rsidRDefault="009D2B11">
            <w:pPr>
              <w:pStyle w:val="P68B1DB1-Normal9"/>
              <w:spacing w:before="120" w:after="0" w:line="240" w:lineRule="auto"/>
              <w:rPr>
                <w:rFonts w:eastAsia="Times New Roman" w:cs="Calibri"/>
                <w:noProof/>
                <w:szCs w:val="18"/>
              </w:rPr>
            </w:pPr>
            <w:r>
              <w:rPr>
                <w:noProof/>
              </w:rPr>
              <w:t>186.a</w:t>
            </w:r>
          </w:p>
        </w:tc>
        <w:tc>
          <w:tcPr>
            <w:tcW w:w="1582" w:type="dxa"/>
            <w:tcBorders>
              <w:top w:val="single" w:sz="4" w:space="0" w:color="auto"/>
              <w:left w:val="nil"/>
              <w:bottom w:val="single" w:sz="4" w:space="0" w:color="auto"/>
              <w:right w:val="single" w:sz="4" w:space="0" w:color="auto"/>
            </w:tcBorders>
            <w:shd w:val="clear" w:color="auto" w:fill="C6EFCE"/>
            <w:noWrap/>
          </w:tcPr>
          <w:p w14:paraId="66D4B10E" w14:textId="77777777" w:rsidR="00CB0FCB" w:rsidRDefault="009D2B11">
            <w:pPr>
              <w:pStyle w:val="P68B1DB1-Normal9"/>
              <w:spacing w:before="120" w:after="0" w:line="240" w:lineRule="auto"/>
              <w:rPr>
                <w:rFonts w:eastAsia="Times New Roman" w:cs="Calibri"/>
                <w:noProof/>
                <w:szCs w:val="18"/>
              </w:rPr>
            </w:pPr>
            <w:r>
              <w:rPr>
                <w:noProof/>
              </w:rPr>
              <w:t>11–3.4. Uzlabot piekļuvi efektīvai un iekļaujošai sociālajai politikai — 16922_Sociālā integrācija</w:t>
            </w:r>
          </w:p>
        </w:tc>
        <w:tc>
          <w:tcPr>
            <w:tcW w:w="966" w:type="dxa"/>
            <w:tcBorders>
              <w:top w:val="single" w:sz="4" w:space="0" w:color="auto"/>
              <w:left w:val="nil"/>
              <w:bottom w:val="single" w:sz="4" w:space="0" w:color="auto"/>
              <w:right w:val="single" w:sz="4" w:space="0" w:color="auto"/>
            </w:tcBorders>
            <w:shd w:val="clear" w:color="auto" w:fill="C6EFCE"/>
            <w:noWrap/>
          </w:tcPr>
          <w:p w14:paraId="0899667B" w14:textId="77777777" w:rsidR="00CB0FCB" w:rsidRDefault="009D2B11">
            <w:pPr>
              <w:pStyle w:val="P68B1DB1-Normal9"/>
              <w:spacing w:before="120" w:after="0" w:line="240" w:lineRule="auto"/>
              <w:rPr>
                <w:rFonts w:eastAsia="Times New Roman" w:cs="Calibri"/>
                <w:noProof/>
                <w:szCs w:val="18"/>
              </w:rPr>
            </w:pPr>
            <w:r>
              <w:rPr>
                <w:noProof/>
              </w:rPr>
              <w:t>Atskaites punkts</w:t>
            </w:r>
          </w:p>
        </w:tc>
        <w:tc>
          <w:tcPr>
            <w:tcW w:w="2107" w:type="dxa"/>
            <w:tcBorders>
              <w:top w:val="single" w:sz="4" w:space="0" w:color="auto"/>
              <w:left w:val="nil"/>
              <w:bottom w:val="single" w:sz="4" w:space="0" w:color="auto"/>
              <w:right w:val="single" w:sz="4" w:space="0" w:color="auto"/>
            </w:tcBorders>
            <w:shd w:val="clear" w:color="auto" w:fill="C6EFCE"/>
            <w:noWrap/>
          </w:tcPr>
          <w:p w14:paraId="7FFD2631" w14:textId="77777777" w:rsidR="00CB0FCB" w:rsidRDefault="009D2B11">
            <w:pPr>
              <w:pStyle w:val="P68B1DB1-Normal9"/>
              <w:spacing w:before="120" w:after="0" w:line="240" w:lineRule="auto"/>
              <w:rPr>
                <w:rFonts w:eastAsia="Times New Roman" w:cs="Calibri"/>
                <w:noProof/>
                <w:szCs w:val="18"/>
              </w:rPr>
            </w:pPr>
            <w:r>
              <w:rPr>
                <w:noProof/>
              </w:rPr>
              <w:t>Neaizsargātu grupu sociālā integrācija, digitālā apmācība</w:t>
            </w:r>
          </w:p>
        </w:tc>
        <w:tc>
          <w:tcPr>
            <w:tcW w:w="1766" w:type="dxa"/>
            <w:tcBorders>
              <w:top w:val="single" w:sz="4" w:space="0" w:color="auto"/>
              <w:left w:val="nil"/>
              <w:bottom w:val="single" w:sz="4" w:space="0" w:color="auto"/>
              <w:right w:val="single" w:sz="4" w:space="0" w:color="auto"/>
            </w:tcBorders>
            <w:shd w:val="clear" w:color="auto" w:fill="C6EFCE"/>
            <w:noWrap/>
          </w:tcPr>
          <w:p w14:paraId="2DAF17C5" w14:textId="49C5A4DB" w:rsidR="00CB0FCB" w:rsidRDefault="009D2B11">
            <w:pPr>
              <w:pStyle w:val="P68B1DB1-Normal9"/>
              <w:spacing w:before="120" w:after="0" w:line="240" w:lineRule="auto"/>
              <w:rPr>
                <w:rFonts w:eastAsia="Times New Roman" w:cs="Calibri"/>
                <w:noProof/>
                <w:szCs w:val="18"/>
              </w:rPr>
            </w:pPr>
            <w:r>
              <w:rPr>
                <w:noProof/>
              </w:rPr>
              <w:t>Sociālās kohēzijas un ģimenes lietu ministrijas ziņojums, ar ko apstiprina projekta pabeigšanu</w:t>
            </w:r>
          </w:p>
        </w:tc>
        <w:tc>
          <w:tcPr>
            <w:tcW w:w="1404" w:type="dxa"/>
            <w:tcBorders>
              <w:top w:val="single" w:sz="4" w:space="0" w:color="auto"/>
              <w:left w:val="nil"/>
              <w:bottom w:val="single" w:sz="4" w:space="0" w:color="auto"/>
              <w:right w:val="single" w:sz="4" w:space="0" w:color="auto"/>
            </w:tcBorders>
            <w:shd w:val="clear" w:color="auto" w:fill="C6EFCE"/>
            <w:noWrap/>
          </w:tcPr>
          <w:p w14:paraId="312F9EAF" w14:textId="77777777" w:rsidR="00CB0FCB" w:rsidRDefault="00CB0FCB">
            <w:pPr>
              <w:spacing w:before="120" w:after="0" w:line="240" w:lineRule="auto"/>
              <w:rPr>
                <w:rFonts w:eastAsia="Times New Roman" w:cs="Calibri"/>
                <w:noProof/>
                <w:color w:val="006100"/>
                <w:sz w:val="18"/>
                <w:szCs w:val="18"/>
              </w:rPr>
            </w:pPr>
          </w:p>
        </w:tc>
        <w:tc>
          <w:tcPr>
            <w:tcW w:w="1035" w:type="dxa"/>
            <w:tcBorders>
              <w:top w:val="single" w:sz="4" w:space="0" w:color="auto"/>
              <w:left w:val="nil"/>
              <w:bottom w:val="single" w:sz="4" w:space="0" w:color="auto"/>
              <w:right w:val="single" w:sz="4" w:space="0" w:color="auto"/>
            </w:tcBorders>
            <w:shd w:val="clear" w:color="auto" w:fill="C6EFCE"/>
            <w:noWrap/>
          </w:tcPr>
          <w:p w14:paraId="0AE7694F" w14:textId="77777777" w:rsidR="00CB0FCB" w:rsidRDefault="00CB0FCB">
            <w:pPr>
              <w:spacing w:before="120" w:after="0" w:line="240" w:lineRule="auto"/>
              <w:rPr>
                <w:rFonts w:eastAsia="Times New Roman" w:cs="Calibri"/>
                <w:noProof/>
                <w:color w:val="006100"/>
                <w:sz w:val="18"/>
                <w:szCs w:val="18"/>
              </w:rPr>
            </w:pPr>
          </w:p>
        </w:tc>
        <w:tc>
          <w:tcPr>
            <w:tcW w:w="1097" w:type="dxa"/>
            <w:tcBorders>
              <w:top w:val="single" w:sz="4" w:space="0" w:color="auto"/>
              <w:left w:val="nil"/>
              <w:bottom w:val="single" w:sz="4" w:space="0" w:color="auto"/>
              <w:right w:val="single" w:sz="4" w:space="0" w:color="auto"/>
            </w:tcBorders>
            <w:shd w:val="clear" w:color="auto" w:fill="C6EFCE"/>
            <w:noWrap/>
          </w:tcPr>
          <w:p w14:paraId="6ABFA4FC" w14:textId="77777777" w:rsidR="00CB0FCB" w:rsidRDefault="00CB0FCB">
            <w:pPr>
              <w:spacing w:before="120"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529349B"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28D40F14" w14:textId="77777777" w:rsidR="00CB0FCB" w:rsidRDefault="009D2B11">
            <w:pPr>
              <w:pStyle w:val="P68B1DB1-Normal33"/>
              <w:spacing w:before="120" w:after="0" w:line="240" w:lineRule="auto"/>
              <w:rPr>
                <w:rFonts w:eastAsia="Times New Roman" w:cstheme="minorHAnsi"/>
                <w:noProof/>
                <w:szCs w:val="18"/>
              </w:rPr>
            </w:pPr>
            <w:r>
              <w:rPr>
                <w:noProof/>
              </w:rPr>
              <w:t>2025</w:t>
            </w:r>
          </w:p>
        </w:tc>
        <w:tc>
          <w:tcPr>
            <w:tcW w:w="3117" w:type="dxa"/>
            <w:tcBorders>
              <w:top w:val="single" w:sz="4" w:space="0" w:color="auto"/>
              <w:left w:val="nil"/>
              <w:bottom w:val="single" w:sz="4" w:space="0" w:color="auto"/>
              <w:right w:val="single" w:sz="4" w:space="0" w:color="auto"/>
            </w:tcBorders>
            <w:shd w:val="clear" w:color="auto" w:fill="C6EFCE"/>
            <w:noWrap/>
          </w:tcPr>
          <w:p w14:paraId="7CB8A263" w14:textId="29C878E9" w:rsidR="00CB0FCB" w:rsidRDefault="009D2B11">
            <w:pPr>
              <w:pStyle w:val="P68B1DB1-Normal35"/>
              <w:spacing w:before="120" w:after="0" w:line="240" w:lineRule="auto"/>
              <w:rPr>
                <w:rFonts w:asciiTheme="minorHAnsi" w:eastAsia="Times New Roman" w:hAnsiTheme="minorHAnsi" w:cstheme="minorBidi"/>
                <w:noProof/>
                <w:color w:val="006100"/>
                <w:szCs w:val="18"/>
              </w:rPr>
            </w:pPr>
            <w:r>
              <w:rPr>
                <w:noProof/>
                <w:color w:val="006100"/>
              </w:rPr>
              <w:t>Digitālās apmācības pabeigšana 3000 vecāka gadagājuma cilvēku un 2400 personu ar invaliditāti.</w:t>
            </w:r>
            <w:r>
              <w:rPr>
                <w:rFonts w:asciiTheme="minorHAnsi" w:hAnsiTheme="minorHAnsi"/>
                <w:noProof/>
                <w:color w:val="881798"/>
              </w:rPr>
              <w:t xml:space="preserve"> </w:t>
            </w:r>
          </w:p>
        </w:tc>
      </w:tr>
      <w:tr w:rsidR="00CB0FCB" w14:paraId="26CD558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DE491A2" w14:textId="77777777" w:rsidR="00CB0FCB" w:rsidRDefault="009D2B11">
            <w:pPr>
              <w:pStyle w:val="P68B1DB1-Normal9"/>
              <w:spacing w:before="120" w:after="0" w:line="240" w:lineRule="auto"/>
              <w:rPr>
                <w:rFonts w:eastAsia="Times New Roman" w:cs="Calibri"/>
                <w:noProof/>
                <w:szCs w:val="18"/>
              </w:rPr>
            </w:pPr>
            <w:r>
              <w:rPr>
                <w:noProof/>
              </w:rPr>
              <w:t>187</w:t>
            </w:r>
          </w:p>
        </w:tc>
        <w:tc>
          <w:tcPr>
            <w:tcW w:w="1582" w:type="dxa"/>
            <w:tcBorders>
              <w:top w:val="single" w:sz="4" w:space="0" w:color="auto"/>
              <w:left w:val="nil"/>
              <w:bottom w:val="single" w:sz="4" w:space="0" w:color="auto"/>
              <w:right w:val="single" w:sz="4" w:space="0" w:color="auto"/>
            </w:tcBorders>
            <w:shd w:val="clear" w:color="auto" w:fill="C6EFCE"/>
            <w:noWrap/>
          </w:tcPr>
          <w:p w14:paraId="34B3B318" w14:textId="77777777" w:rsidR="00CB0FCB" w:rsidRDefault="009D2B11">
            <w:pPr>
              <w:pStyle w:val="P68B1DB1-Normal9"/>
              <w:spacing w:before="120" w:after="120" w:line="240" w:lineRule="auto"/>
              <w:rPr>
                <w:rFonts w:eastAsia="Times New Roman" w:cs="Calibri"/>
                <w:noProof/>
                <w:szCs w:val="18"/>
              </w:rPr>
            </w:pPr>
            <w:r>
              <w:rPr>
                <w:noProof/>
              </w:rPr>
              <w:t>11–3.4. Palielināt piekļuvi efektīvai un iekļaujošai sociālajai politikai — 16688: Veicināt bēgļu integrāciju darba tirgū </w:t>
            </w:r>
          </w:p>
          <w:p w14:paraId="6CEA5EE2" w14:textId="77777777" w:rsidR="00CB0FCB" w:rsidRDefault="00CB0FCB">
            <w:pPr>
              <w:spacing w:before="120" w:after="0" w:line="240" w:lineRule="auto"/>
              <w:rPr>
                <w:rFonts w:eastAsia="Times New Roman" w:cs="Calibri"/>
                <w:noProof/>
                <w:color w:val="006100"/>
                <w:sz w:val="18"/>
                <w:szCs w:val="18"/>
              </w:rPr>
            </w:pPr>
          </w:p>
        </w:tc>
        <w:tc>
          <w:tcPr>
            <w:tcW w:w="966" w:type="dxa"/>
            <w:tcBorders>
              <w:top w:val="single" w:sz="4" w:space="0" w:color="auto"/>
              <w:left w:val="nil"/>
              <w:bottom w:val="single" w:sz="4" w:space="0" w:color="auto"/>
              <w:right w:val="single" w:sz="4" w:space="0" w:color="auto"/>
            </w:tcBorders>
            <w:shd w:val="clear" w:color="auto" w:fill="C6EFCE"/>
            <w:noWrap/>
          </w:tcPr>
          <w:p w14:paraId="7646E2A8" w14:textId="77777777" w:rsidR="00CB0FCB" w:rsidRDefault="009D2B11">
            <w:pPr>
              <w:pStyle w:val="P68B1DB1-Normal9"/>
              <w:spacing w:before="120" w:after="0" w:line="240" w:lineRule="auto"/>
              <w:rPr>
                <w:rFonts w:eastAsia="Times New Roman" w:cs="Calibri"/>
                <w:noProof/>
                <w:szCs w:val="18"/>
              </w:rPr>
            </w:pPr>
            <w:r>
              <w:rPr>
                <w:noProof/>
              </w:rPr>
              <w:t>Mērķa</w:t>
            </w:r>
          </w:p>
        </w:tc>
        <w:tc>
          <w:tcPr>
            <w:tcW w:w="2107" w:type="dxa"/>
            <w:tcBorders>
              <w:top w:val="single" w:sz="4" w:space="0" w:color="auto"/>
              <w:left w:val="nil"/>
              <w:bottom w:val="single" w:sz="4" w:space="0" w:color="auto"/>
              <w:right w:val="single" w:sz="4" w:space="0" w:color="auto"/>
            </w:tcBorders>
            <w:shd w:val="clear" w:color="auto" w:fill="C6EFCE"/>
            <w:noWrap/>
          </w:tcPr>
          <w:p w14:paraId="1872503A" w14:textId="77777777" w:rsidR="00CB0FCB" w:rsidRDefault="009D2B11">
            <w:pPr>
              <w:pStyle w:val="P68B1DB1-Normal9"/>
              <w:spacing w:before="120" w:after="0" w:line="240" w:lineRule="auto"/>
              <w:rPr>
                <w:rFonts w:eastAsia="Times New Roman" w:cs="Calibri"/>
                <w:noProof/>
                <w:szCs w:val="18"/>
              </w:rPr>
            </w:pPr>
            <w:r>
              <w:rPr>
                <w:noProof/>
              </w:rPr>
              <w:t>Bēgļu integrācija darba tirgū</w:t>
            </w:r>
          </w:p>
        </w:tc>
        <w:tc>
          <w:tcPr>
            <w:tcW w:w="1766" w:type="dxa"/>
            <w:tcBorders>
              <w:top w:val="single" w:sz="4" w:space="0" w:color="auto"/>
              <w:left w:val="nil"/>
              <w:bottom w:val="single" w:sz="4" w:space="0" w:color="auto"/>
              <w:right w:val="single" w:sz="4" w:space="0" w:color="auto"/>
            </w:tcBorders>
            <w:shd w:val="clear" w:color="auto" w:fill="C6EFCE"/>
            <w:noWrap/>
          </w:tcPr>
          <w:p w14:paraId="747C8B06" w14:textId="77777777" w:rsidR="00CB0FCB" w:rsidRDefault="00CB0FCB">
            <w:pPr>
              <w:spacing w:before="120" w:after="0" w:line="240" w:lineRule="auto"/>
              <w:rPr>
                <w:rFonts w:eastAsia="Times New Roman" w:cs="Calibri"/>
                <w:noProof/>
                <w:color w:val="006100"/>
                <w:sz w:val="18"/>
                <w:szCs w:val="18"/>
              </w:rPr>
            </w:pPr>
          </w:p>
        </w:tc>
        <w:tc>
          <w:tcPr>
            <w:tcW w:w="1404" w:type="dxa"/>
            <w:tcBorders>
              <w:top w:val="single" w:sz="4" w:space="0" w:color="auto"/>
              <w:left w:val="nil"/>
              <w:bottom w:val="single" w:sz="4" w:space="0" w:color="auto"/>
              <w:right w:val="single" w:sz="4" w:space="0" w:color="auto"/>
            </w:tcBorders>
            <w:shd w:val="clear" w:color="auto" w:fill="C6EFCE"/>
            <w:noWrap/>
          </w:tcPr>
          <w:p w14:paraId="68EE49BB" w14:textId="0AD35E6F" w:rsidR="00CB0FCB" w:rsidRDefault="009D2B11">
            <w:pPr>
              <w:pStyle w:val="P68B1DB1-Normal9"/>
              <w:spacing w:before="120" w:after="0" w:line="240" w:lineRule="auto"/>
              <w:rPr>
                <w:rFonts w:eastAsia="Times New Roman" w:cs="Calibri"/>
                <w:noProof/>
                <w:szCs w:val="18"/>
              </w:rPr>
            </w:pPr>
            <w:r>
              <w:rPr>
                <w:noProof/>
              </w:rPr>
              <w:t xml:space="preserve">Bēgļu un norādīto bēgļu skaits, tostarp atzīti bēgļi (starptautiskās aizsardzības saņēmēji), kas uzturas vai nu Migrācijas un patvēruma ministrijas izmitināšanas vietās, vai pilsētas teritorijā, pagaidu aizsardzības saņēmēji un līdz ar to arī ukraiņi, likumīgie iedzīvotāji (likumīgie migranti) un patvēruma meklētāji pirmsintegrācijas kontekstā, kuri ir pabeiguši profesionālo apmācību un stažēšanos </w:t>
            </w:r>
          </w:p>
        </w:tc>
        <w:tc>
          <w:tcPr>
            <w:tcW w:w="1035" w:type="dxa"/>
            <w:tcBorders>
              <w:top w:val="single" w:sz="4" w:space="0" w:color="auto"/>
              <w:left w:val="nil"/>
              <w:bottom w:val="single" w:sz="4" w:space="0" w:color="auto"/>
              <w:right w:val="single" w:sz="4" w:space="0" w:color="auto"/>
            </w:tcBorders>
            <w:shd w:val="clear" w:color="auto" w:fill="C6EFCE"/>
            <w:noWrap/>
          </w:tcPr>
          <w:p w14:paraId="188F8226" w14:textId="77777777" w:rsidR="00CB0FCB" w:rsidRDefault="009D2B11">
            <w:pPr>
              <w:pStyle w:val="P68B1DB1-Normal9"/>
              <w:spacing w:before="120" w:after="0" w:line="240" w:lineRule="auto"/>
              <w:rPr>
                <w:rFonts w:eastAsia="Times New Roman" w:cs="Calibri"/>
                <w:noProof/>
                <w:szCs w:val="18"/>
              </w:rPr>
            </w:pPr>
            <w:r>
              <w:rPr>
                <w:noProof/>
              </w:rPr>
              <w:t>0</w:t>
            </w:r>
          </w:p>
        </w:tc>
        <w:tc>
          <w:tcPr>
            <w:tcW w:w="1097" w:type="dxa"/>
            <w:tcBorders>
              <w:top w:val="single" w:sz="4" w:space="0" w:color="auto"/>
              <w:left w:val="nil"/>
              <w:bottom w:val="single" w:sz="4" w:space="0" w:color="auto"/>
              <w:right w:val="single" w:sz="4" w:space="0" w:color="auto"/>
            </w:tcBorders>
            <w:shd w:val="clear" w:color="auto" w:fill="C6EFCE"/>
            <w:noWrap/>
          </w:tcPr>
          <w:p w14:paraId="54809EE8" w14:textId="0C830F4C" w:rsidR="00CB0FCB" w:rsidRDefault="009D2B11">
            <w:pPr>
              <w:pStyle w:val="P68B1DB1-Normal9"/>
              <w:spacing w:before="120" w:after="0" w:line="240" w:lineRule="auto"/>
              <w:rPr>
                <w:rFonts w:eastAsia="Times New Roman" w:cs="Calibri"/>
                <w:noProof/>
                <w:szCs w:val="18"/>
              </w:rPr>
            </w:pPr>
            <w:r>
              <w:rPr>
                <w:noProof/>
              </w:rPr>
              <w:t>3600</w:t>
            </w:r>
          </w:p>
        </w:tc>
        <w:tc>
          <w:tcPr>
            <w:tcW w:w="846" w:type="dxa"/>
            <w:tcBorders>
              <w:top w:val="single" w:sz="4" w:space="0" w:color="auto"/>
              <w:left w:val="nil"/>
              <w:bottom w:val="single" w:sz="4" w:space="0" w:color="auto"/>
              <w:right w:val="single" w:sz="4" w:space="0" w:color="auto"/>
            </w:tcBorders>
            <w:shd w:val="clear" w:color="auto" w:fill="C6EFCE"/>
            <w:noWrap/>
          </w:tcPr>
          <w:p w14:paraId="655CFF79" w14:textId="77777777" w:rsidR="00CB0FCB" w:rsidRDefault="009D2B11">
            <w:pPr>
              <w:pStyle w:val="P68B1DB1-Normal9"/>
              <w:spacing w:before="120" w:after="0" w:line="240" w:lineRule="auto"/>
              <w:rPr>
                <w:rFonts w:eastAsia="Times New Roman" w:cs="Calibri"/>
                <w:noProof/>
                <w:szCs w:val="18"/>
              </w:rPr>
            </w:pPr>
            <w:r>
              <w:rPr>
                <w:noProof/>
              </w:rPr>
              <w:t>4. CET.</w:t>
            </w:r>
          </w:p>
        </w:tc>
        <w:tc>
          <w:tcPr>
            <w:tcW w:w="783" w:type="dxa"/>
            <w:tcBorders>
              <w:top w:val="single" w:sz="4" w:space="0" w:color="auto"/>
              <w:left w:val="nil"/>
              <w:bottom w:val="single" w:sz="4" w:space="0" w:color="auto"/>
              <w:right w:val="single" w:sz="4" w:space="0" w:color="auto"/>
            </w:tcBorders>
            <w:shd w:val="clear" w:color="auto" w:fill="C6EFCE"/>
            <w:noWrap/>
          </w:tcPr>
          <w:p w14:paraId="3BC1B2F4" w14:textId="77777777" w:rsidR="00CB0FCB" w:rsidRDefault="009D2B11">
            <w:pPr>
              <w:pStyle w:val="P68B1DB1-Normal9"/>
              <w:spacing w:before="120" w:after="0" w:line="240" w:lineRule="auto"/>
              <w:rPr>
                <w:rFonts w:eastAsia="Times New Roman" w:cs="Calibri"/>
                <w:noProof/>
                <w:szCs w:val="18"/>
              </w:rPr>
            </w:pPr>
            <w:r>
              <w:rPr>
                <w:noProof/>
              </w:rPr>
              <w:t>2025</w:t>
            </w:r>
          </w:p>
        </w:tc>
        <w:tc>
          <w:tcPr>
            <w:tcW w:w="3117" w:type="dxa"/>
            <w:tcBorders>
              <w:top w:val="single" w:sz="4" w:space="0" w:color="auto"/>
              <w:left w:val="nil"/>
              <w:bottom w:val="single" w:sz="4" w:space="0" w:color="auto"/>
              <w:right w:val="single" w:sz="4" w:space="0" w:color="auto"/>
            </w:tcBorders>
            <w:shd w:val="clear" w:color="auto" w:fill="C6EFCE"/>
            <w:noWrap/>
          </w:tcPr>
          <w:p w14:paraId="10FB06FF" w14:textId="21EC3E3F" w:rsidR="00CB0FCB" w:rsidRDefault="009D2B11">
            <w:pPr>
              <w:pStyle w:val="P68B1DB1-Normal9"/>
              <w:spacing w:before="120" w:after="0" w:line="240" w:lineRule="auto"/>
              <w:rPr>
                <w:rFonts w:eastAsia="Times New Roman" w:cs="Calibri"/>
                <w:noProof/>
                <w:szCs w:val="18"/>
              </w:rPr>
            </w:pPr>
            <w:r>
              <w:rPr>
                <w:noProof/>
              </w:rPr>
              <w:t>Profesionālās apmācības programmu pabeigšana vismaz 3600 bēgļiem un konkrētiem bēgļiem, tostarp atzītiem bēgļiem (starptautiskās aizsardzības saņēmējiem), kuri uzturas vai nu Migrācijas un patvēruma ministrijas izmitināšanas vietās, vai pilsētas teritorijā, pagaidu aizsardzības saņēmējiem un tādējādi arī ukraiņiem, likumīgajiem iedzīvotājiem (likumīgajiem migrantiem) un patvēruma meklētājiem pirmsintegrācijas kontekstā, un 1800 dalībnieku apgūs praksi.</w:t>
            </w:r>
          </w:p>
          <w:p w14:paraId="09481BA3" w14:textId="77777777" w:rsidR="00CB0FCB" w:rsidRDefault="009D2B11">
            <w:pPr>
              <w:pStyle w:val="P68B1DB1-Normal9"/>
              <w:spacing w:before="120" w:after="0" w:line="240" w:lineRule="auto"/>
              <w:rPr>
                <w:rFonts w:eastAsia="Times New Roman" w:cs="Calibri"/>
                <w:noProof/>
                <w:szCs w:val="18"/>
              </w:rPr>
            </w:pPr>
            <w:r>
              <w:rPr>
                <w:noProof/>
              </w:rPr>
              <w:t>Starptautiskās Migrācijas organizācijas (IOM) un Migrācijas un patvēruma ministrijas ziņojums, kurā apstiprināta projekta sekmīga pabeigšana attiecībā uz iepriekš minēto bēgļu skaitu.</w:t>
            </w:r>
          </w:p>
          <w:p w14:paraId="2E58FC21" w14:textId="7F1CCAA7" w:rsidR="00CB0FCB" w:rsidRDefault="00CB0FCB">
            <w:pPr>
              <w:spacing w:before="120" w:after="0" w:line="240" w:lineRule="auto"/>
              <w:rPr>
                <w:rFonts w:eastAsia="Times New Roman" w:cs="Calibri"/>
                <w:noProof/>
                <w:color w:val="006100"/>
                <w:sz w:val="18"/>
                <w:szCs w:val="18"/>
              </w:rPr>
            </w:pPr>
          </w:p>
        </w:tc>
      </w:tr>
    </w:tbl>
    <w:p w14:paraId="6D7945FC" w14:textId="77777777" w:rsidR="00CB0FCB" w:rsidRDefault="00CB0FCB">
      <w:pPr>
        <w:tabs>
          <w:tab w:val="left" w:pos="3423"/>
        </w:tabs>
        <w:spacing w:before="120" w:after="120" w:line="240" w:lineRule="auto"/>
        <w:jc w:val="both"/>
        <w:rPr>
          <w:rFonts w:ascii="Times New Roman" w:hAnsi="Times New Roman" w:cs="Times New Roman"/>
          <w:noProof/>
          <w:sz w:val="24"/>
        </w:rPr>
        <w:sectPr w:rsidR="00CB0FCB" w:rsidSect="00271D33">
          <w:headerReference w:type="even" r:id="rId193"/>
          <w:headerReference w:type="default" r:id="rId194"/>
          <w:footerReference w:type="even" r:id="rId195"/>
          <w:footerReference w:type="default" r:id="rId196"/>
          <w:headerReference w:type="first" r:id="rId197"/>
          <w:footerReference w:type="first" r:id="rId198"/>
          <w:pgSz w:w="16839" w:h="11907" w:orient="landscape"/>
          <w:pgMar w:top="720" w:right="720" w:bottom="720" w:left="720" w:header="709" w:footer="75" w:gutter="0"/>
          <w:cols w:space="720"/>
          <w:docGrid w:linePitch="360"/>
        </w:sectPr>
      </w:pPr>
    </w:p>
    <w:p w14:paraId="607ED7E5" w14:textId="77777777" w:rsidR="00CB0FCB" w:rsidRDefault="00CB0FCB">
      <w:pPr>
        <w:spacing w:before="120" w:after="120" w:line="240" w:lineRule="auto"/>
        <w:ind w:left="709"/>
        <w:jc w:val="both"/>
        <w:rPr>
          <w:rFonts w:ascii="Times New Roman" w:hAnsi="Times New Roman" w:cs="Times New Roman"/>
          <w:noProof/>
          <w:sz w:val="24"/>
        </w:rPr>
      </w:pPr>
    </w:p>
    <w:p w14:paraId="7D2D5610" w14:textId="77777777" w:rsidR="00CB0FCB" w:rsidRDefault="009D2B11">
      <w:pPr>
        <w:spacing w:before="120" w:after="120" w:line="240" w:lineRule="auto"/>
        <w:jc w:val="both"/>
        <w:rPr>
          <w:rFonts w:ascii="Times New Roman" w:hAnsi="Times New Roman" w:cs="Times New Roman"/>
          <w:b/>
          <w:bCs/>
          <w:i/>
          <w:iCs/>
          <w:noProof/>
          <w:color w:val="4F81BD"/>
          <w:sz w:val="24"/>
          <w:szCs w:val="24"/>
        </w:rPr>
      </w:pPr>
      <w:r>
        <w:rPr>
          <w:rFonts w:ascii="Times New Roman" w:hAnsi="Times New Roman"/>
          <w:b/>
          <w:noProof/>
          <w:sz w:val="24"/>
          <w:szCs w:val="24"/>
          <w:u w:val="single"/>
        </w:rPr>
        <w:t xml:space="preserve">K.3. </w:t>
      </w:r>
      <w:r>
        <w:rPr>
          <w:noProof/>
        </w:rPr>
        <w:t xml:space="preserve"> </w:t>
      </w:r>
      <w:r>
        <w:rPr>
          <w:rFonts w:ascii="Times New Roman" w:hAnsi="Times New Roman"/>
          <w:b/>
          <w:noProof/>
          <w:sz w:val="24"/>
          <w:szCs w:val="24"/>
          <w:u w:val="single"/>
        </w:rPr>
        <w:t xml:space="preserve">Aizdevumam pieteikto reformu un investīciju apraksts </w:t>
      </w:r>
    </w:p>
    <w:p w14:paraId="70935D10" w14:textId="5299F726" w:rsidR="00CB0FCB" w:rsidRDefault="009D2B11">
      <w:pPr>
        <w:pStyle w:val="P68B1DB1-Normal4"/>
        <w:spacing w:before="120" w:after="120" w:line="240" w:lineRule="auto"/>
        <w:jc w:val="both"/>
        <w:rPr>
          <w:rFonts w:cs="Times New Roman"/>
          <w:noProof/>
        </w:rPr>
      </w:pPr>
      <w:r>
        <w:rPr>
          <w:b/>
          <w:noProof/>
        </w:rPr>
        <w:t>Ieguldījums:</w:t>
      </w:r>
      <w:r>
        <w:rPr>
          <w:noProof/>
        </w:rPr>
        <w:t xml:space="preserve"> Cenas ziņā pieejama mājokļu programma “Mans mājoklis II” (pasākums ID 16400)</w:t>
      </w:r>
    </w:p>
    <w:p w14:paraId="606624AC" w14:textId="011F2347" w:rsidR="00CB0FCB" w:rsidRDefault="009D2B11">
      <w:pPr>
        <w:pStyle w:val="P68B1DB1-Normal11"/>
        <w:spacing w:line="240" w:lineRule="auto"/>
        <w:jc w:val="both"/>
        <w:rPr>
          <w:rFonts w:ascii="Times New Roman" w:hAnsi="Times New Roman" w:cs="Times New Roman"/>
          <w:noProof/>
          <w:szCs w:val="24"/>
        </w:rPr>
      </w:pPr>
      <w:r>
        <w:rPr>
          <w:rFonts w:ascii="Times New Roman" w:hAnsi="Times New Roman" w:cs="Times New Roman"/>
          <w:noProof/>
          <w:szCs w:val="24"/>
        </w:rPr>
        <w:t>Šis pasākums ietver publiskus ieguldījumus mehānismā “</w:t>
      </w:r>
      <w:r>
        <w:rPr>
          <w:rFonts w:ascii="Times New Roman" w:hAnsi="Times New Roman"/>
          <w:noProof/>
        </w:rPr>
        <w:t>Mana dzīvesvieta II</w:t>
      </w:r>
      <w:r>
        <w:rPr>
          <w:rFonts w:ascii="Times New Roman" w:hAnsi="Times New Roman" w:cs="Times New Roman"/>
          <w:noProof/>
          <w:szCs w:val="24"/>
        </w:rPr>
        <w:t>”, lai stimulētu privātos ieguldījumus un uzlabotu piekļuvi finansējumam Grieķijas mājokļu nozarē. Mehānisms darbojas, piešķirot aizdevumus tieši privātajam sektoram. Pamatojoties uz ANM investīcijām, mehānisma “</w:t>
      </w:r>
      <w:r>
        <w:rPr>
          <w:rFonts w:ascii="Times New Roman" w:hAnsi="Times New Roman"/>
          <w:noProof/>
        </w:rPr>
        <w:t>Mana izcelsmes valsts II” mērķis ir sākotnēji nodrošināt finansējumu vismaz 1000 miljonu EUR apmērā.</w:t>
      </w:r>
    </w:p>
    <w:p w14:paraId="4999D00C" w14:textId="5DC40801" w:rsidR="00CB0FCB" w:rsidRDefault="009D2B11">
      <w:pPr>
        <w:pStyle w:val="P68B1DB1-Normal11"/>
        <w:spacing w:line="240" w:lineRule="auto"/>
        <w:jc w:val="both"/>
        <w:rPr>
          <w:rFonts w:ascii="Times New Roman" w:hAnsi="Times New Roman" w:cs="Times New Roman"/>
          <w:noProof/>
          <w:szCs w:val="24"/>
        </w:rPr>
      </w:pPr>
      <w:r>
        <w:rPr>
          <w:rFonts w:ascii="Times New Roman" w:hAnsi="Times New Roman" w:cs="Times New Roman"/>
          <w:noProof/>
          <w:szCs w:val="24"/>
        </w:rPr>
        <w:t>Mehānismu “</w:t>
      </w:r>
      <w:r>
        <w:rPr>
          <w:rFonts w:ascii="Times New Roman" w:hAnsi="Times New Roman"/>
          <w:noProof/>
        </w:rPr>
        <w:t>Mana izcelsmes</w:t>
      </w:r>
      <w:r>
        <w:rPr>
          <w:rFonts w:ascii="Times New Roman" w:hAnsi="Times New Roman" w:cs="Times New Roman"/>
          <w:noProof/>
          <w:szCs w:val="24"/>
        </w:rPr>
        <w:t xml:space="preserve">valsts II” pārvalda Grieķijas Attīstības banka kā īstenošanas partneris. Mehānisms ietver šādu produktu līniju: </w:t>
      </w:r>
    </w:p>
    <w:p w14:paraId="2CCF35FA" w14:textId="1232E50F" w:rsidR="00CB0FCB" w:rsidRDefault="009D2B11">
      <w:pPr>
        <w:pStyle w:val="P68B1DB1-LegalNumPar212"/>
        <w:numPr>
          <w:ilvl w:val="1"/>
          <w:numId w:val="95"/>
        </w:numPr>
        <w:jc w:val="both"/>
        <w:rPr>
          <w:noProof/>
        </w:rPr>
      </w:pPr>
      <w:r>
        <w:rPr>
          <w:noProof/>
        </w:rPr>
        <w:t>Grieķijas Attīstības banka atlasa komercbankas kā finanšu starpniekus dalībai mehānismā atklātā, pārredzamā un nediskriminējošā veidā, izmantojot atklātu uzaicinājumu. Komercbankas līdzfinansē aizdevumus, kas izsniegti saskaņā ar Mehānismu. Šie aizdevumi tiks izsniegti privātpersonām galvenās dzīvesvietas iegūšanai. Aizdevumu struktūra nodrošina 50 % bezprocentu finansējumu no mehānisma “Mana māja II” un 50 % finansējumu no iesaistītajām bankām ar tirgus likmēm.</w:t>
      </w:r>
    </w:p>
    <w:p w14:paraId="5F2F3C82" w14:textId="4ACCEE0B" w:rsidR="00CB0FCB" w:rsidRDefault="009D2B11">
      <w:pPr>
        <w:pStyle w:val="P68B1DB1-Normal11"/>
        <w:spacing w:line="240" w:lineRule="auto"/>
        <w:jc w:val="both"/>
        <w:rPr>
          <w:rFonts w:ascii="Times New Roman" w:hAnsi="Times New Roman" w:cs="Times New Roman"/>
          <w:noProof/>
          <w:szCs w:val="24"/>
        </w:rPr>
      </w:pPr>
      <w:r>
        <w:rPr>
          <w:rFonts w:ascii="Times New Roman" w:hAnsi="Times New Roman" w:cs="Times New Roman"/>
          <w:noProof/>
          <w:szCs w:val="24"/>
        </w:rPr>
        <w:t>Lai īstenotu ieguldījumu mehānismā “Mana izcelsmes</w:t>
      </w:r>
      <w:r>
        <w:rPr>
          <w:rFonts w:ascii="Times New Roman" w:hAnsi="Times New Roman"/>
          <w:noProof/>
        </w:rPr>
        <w:t>valsts II</w:t>
      </w:r>
      <w:r>
        <w:rPr>
          <w:rFonts w:ascii="Times New Roman" w:hAnsi="Times New Roman" w:cs="Times New Roman"/>
          <w:noProof/>
          <w:szCs w:val="24"/>
        </w:rPr>
        <w:t>”, Grieķija un Grieķijas Attīstības banka paraksta īstenošanas nolīgumu. Īstenošanas nolīgumā iekļauj šādu saturu:</w:t>
      </w:r>
    </w:p>
    <w:p w14:paraId="3231227E" w14:textId="340752AE" w:rsidR="00CB0FCB" w:rsidRDefault="009D2B11">
      <w:pPr>
        <w:pStyle w:val="P68B1DB1-LegalNumPar36"/>
        <w:numPr>
          <w:ilvl w:val="0"/>
          <w:numId w:val="97"/>
        </w:numPr>
        <w:jc w:val="both"/>
        <w:rPr>
          <w:rFonts w:ascii="Times New Roman" w:eastAsia="Times New Roman" w:hAnsi="Times New Roman" w:cs="Times New Roman"/>
          <w:noProof/>
          <w:szCs w:val="24"/>
        </w:rPr>
      </w:pPr>
      <w:r>
        <w:rPr>
          <w:rFonts w:ascii="Times New Roman" w:hAnsi="Times New Roman" w:cs="Times New Roman"/>
          <w:noProof/>
          <w:szCs w:val="24"/>
        </w:rPr>
        <w:t>Mehānisma lēmumu pieņemšanas procesa apraksts “Mana dzimta</w:t>
      </w:r>
      <w:r>
        <w:rPr>
          <w:rFonts w:ascii="Times New Roman" w:hAnsi="Times New Roman"/>
          <w:noProof/>
        </w:rPr>
        <w:t>II</w:t>
      </w:r>
      <w:r>
        <w:rPr>
          <w:rFonts w:ascii="Times New Roman" w:hAnsi="Times New Roman" w:cs="Times New Roman"/>
          <w:noProof/>
          <w:szCs w:val="24"/>
        </w:rPr>
        <w:t>”. Galīgo lēmumu par ieguldījumiem Mehānismā pieņem investīciju komiteja vai cita attiecīga līdzvērtīga pārvaldes struktūra, un to apstiprina ar no valdības neatkarīgu locekļu balsu vairākumu.</w:t>
      </w:r>
    </w:p>
    <w:p w14:paraId="2204F865" w14:textId="25BEC80C" w:rsidR="00CB0FCB" w:rsidRDefault="009D2B11">
      <w:pPr>
        <w:pStyle w:val="P68B1DB1-LegalNumPar13"/>
        <w:jc w:val="both"/>
        <w:rPr>
          <w:noProof/>
        </w:rPr>
      </w:pPr>
      <w:r>
        <w:rPr>
          <w:noProof/>
        </w:rPr>
        <w:t>Finanšu produktu galvenās prasības,</w:t>
      </w:r>
      <w:r>
        <w:rPr>
          <w:b/>
          <w:noProof/>
        </w:rPr>
        <w:t xml:space="preserve"> </w:t>
      </w:r>
      <w:r>
        <w:rPr>
          <w:noProof/>
        </w:rPr>
        <w:t>kas ietver:</w:t>
      </w:r>
    </w:p>
    <w:p w14:paraId="33B9EC25" w14:textId="77777777" w:rsidR="00CB0FCB" w:rsidRDefault="009D2B11">
      <w:pPr>
        <w:pStyle w:val="P68B1DB1-LegalNumPar212"/>
        <w:jc w:val="both"/>
        <w:rPr>
          <w:noProof/>
        </w:rPr>
      </w:pPr>
      <w:r>
        <w:rPr>
          <w:noProof/>
        </w:rPr>
        <w:t>Finanšu produktu un atbalsttiesīgo galasaņēmēju apraksts.</w:t>
      </w:r>
    </w:p>
    <w:p w14:paraId="7EA51CC8" w14:textId="77777777" w:rsidR="00CB0FCB" w:rsidRDefault="009D2B11">
      <w:pPr>
        <w:pStyle w:val="P68B1DB1-LegalNumPar212"/>
        <w:jc w:val="both"/>
        <w:rPr>
          <w:noProof/>
        </w:rPr>
      </w:pPr>
      <w:r>
        <w:rPr>
          <w:noProof/>
        </w:rPr>
        <w:t>Prasība, ka visiem atbalstītajiem ieguldījumiem jābūt ekonomiski dzīvotspējīgiem</w:t>
      </w:r>
      <w:r>
        <w:rPr>
          <w:b/>
          <w:noProof/>
        </w:rPr>
        <w:t>.</w:t>
      </w:r>
    </w:p>
    <w:p w14:paraId="1F4E2097" w14:textId="77777777" w:rsidR="00CB0FCB" w:rsidRDefault="009D2B11">
      <w:pPr>
        <w:pStyle w:val="P68B1DB1-LegalNumPar212"/>
        <w:jc w:val="both"/>
        <w:rPr>
          <w:noProof/>
        </w:rPr>
      </w:pPr>
      <w:r>
        <w:rPr>
          <w:noProof/>
        </w:rPr>
        <w:t>Prasība, ka Mehānisma galasaņēmēji nesaņem atbalstu no citiem Savienības instrumentiem, lai segtu tās pašas izmaksas.</w:t>
      </w:r>
    </w:p>
    <w:p w14:paraId="1345051E" w14:textId="29A32DF1" w:rsidR="00CB0FCB" w:rsidRDefault="009D2B11">
      <w:pPr>
        <w:pStyle w:val="P68B1DB1-LegalNumPar14"/>
        <w:jc w:val="both"/>
        <w:rPr>
          <w:rFonts w:ascii="Times New Roman" w:hAnsi="Times New Roman" w:cs="Times New Roman"/>
          <w:noProof/>
        </w:rPr>
      </w:pPr>
      <w:r>
        <w:rPr>
          <w:rFonts w:ascii="Times New Roman" w:hAnsi="Times New Roman" w:cs="Times New Roman"/>
          <w:noProof/>
        </w:rPr>
        <w:t xml:space="preserve">Summu, uz kuru attiecas īstenošanas nolīgums, maksu struktūru īstenošanas partnerim un finanšu starpniekiem un </w:t>
      </w:r>
      <w:r>
        <w:rPr>
          <w:rFonts w:ascii="Times New Roman" w:eastAsia="Times New Roman" w:hAnsi="Times New Roman" w:cs="Times New Roman"/>
          <w:noProof/>
          <w:color w:val="000000" w:themeColor="text1"/>
        </w:rPr>
        <w:t>prasību reinvestēt visus atmaksājumus saskaņā ar mehānisma ieguldījumu politiku, ja vien tos neizmanto, lai apkalpotu Atveseļošanas un noturības mehānisma aizdevumu atmaksu</w:t>
      </w:r>
      <w:r>
        <w:rPr>
          <w:rFonts w:ascii="Times New Roman" w:hAnsi="Times New Roman" w:cs="Times New Roman"/>
          <w:noProof/>
        </w:rPr>
        <w:t>.</w:t>
      </w:r>
    </w:p>
    <w:p w14:paraId="59E21595" w14:textId="5C226EDD" w:rsidR="00CB0FCB" w:rsidRDefault="009D2B11">
      <w:pPr>
        <w:pStyle w:val="P68B1DB1-LegalNumPar13"/>
        <w:jc w:val="both"/>
        <w:rPr>
          <w:noProof/>
        </w:rPr>
      </w:pPr>
      <w:r>
        <w:rPr>
          <w:noProof/>
        </w:rPr>
        <w:t>Uzraudzības, revīzijas un kontroles prasības, tostarp īstenošanas partnera procedūru apraksts, kas nodrošina krāpšanas, korupcijas un interešu konfliktu novēršanu, atklāšanu un labošanu.</w:t>
      </w:r>
    </w:p>
    <w:p w14:paraId="3003F279" w14:textId="77777777" w:rsidR="00CB0FCB" w:rsidRDefault="009D2B11">
      <w:pPr>
        <w:pStyle w:val="NormalWeb"/>
        <w:rPr>
          <w:rFonts w:eastAsiaTheme="minorHAnsi"/>
          <w:noProof/>
        </w:rPr>
      </w:pPr>
      <w:r>
        <w:rPr>
          <w:noProof/>
        </w:rPr>
        <w:br w:type="page"/>
      </w:r>
    </w:p>
    <w:p w14:paraId="5162CC1F" w14:textId="77777777" w:rsidR="00CB0FCB" w:rsidRDefault="009D2B11">
      <w:pPr>
        <w:pStyle w:val="P68B1DB1-LegalNumPar13"/>
        <w:jc w:val="both"/>
        <w:rPr>
          <w:noProof/>
        </w:rPr>
      </w:pPr>
      <w:r>
        <w:rPr>
          <w:noProof/>
        </w:rPr>
        <w:t>Grieķijas Attīstības banka paraksta finansēšanas nolīgumus ar finanšu starpniekiem saskaņā ar galvenajām prasībām, kas jāiekļauj īstenošanas nolīguma pielikumā. Finansēšanas nolīgumu galvenās prasības ietver visas prasības, saskaņā ar kurām Mehānisms darbojas, tostarp: </w:t>
      </w:r>
    </w:p>
    <w:p w14:paraId="563D96AE" w14:textId="77777777" w:rsidR="00CB0FCB" w:rsidRDefault="009D2B11">
      <w:pPr>
        <w:pStyle w:val="P68B1DB1-LegalNumPar212"/>
        <w:numPr>
          <w:ilvl w:val="1"/>
          <w:numId w:val="95"/>
        </w:numPr>
        <w:jc w:val="both"/>
        <w:rPr>
          <w:noProof/>
        </w:rPr>
      </w:pPr>
      <w:r>
        <w:rPr>
          <w:noProof/>
        </w:rPr>
        <w:t>Galīgo lēmumu par aizdevumu emisiju pieņem finanšu starpnieki saskaņā ar savu politiku un procedūrām neatkarīgi no valdības.</w:t>
      </w:r>
    </w:p>
    <w:p w14:paraId="13CA6DC0" w14:textId="77777777" w:rsidR="00CB0FCB" w:rsidRDefault="009D2B11">
      <w:pPr>
        <w:pStyle w:val="P68B1DB1-LegalNumPar212"/>
        <w:numPr>
          <w:ilvl w:val="1"/>
          <w:numId w:val="95"/>
        </w:numPr>
        <w:jc w:val="both"/>
        <w:rPr>
          <w:noProof/>
        </w:rPr>
      </w:pPr>
      <w:r>
        <w:rPr>
          <w:noProof/>
        </w:rPr>
        <w:t xml:space="preserve">Finanšu starpnieku pienākums pieņemt lēmumus mutatis </w:t>
      </w:r>
      <w:r>
        <w:rPr>
          <w:i/>
          <w:noProof/>
        </w:rPr>
        <w:t>mutandis</w:t>
      </w:r>
      <w:r>
        <w:rPr>
          <w:noProof/>
        </w:rPr>
        <w:t xml:space="preserve"> saskaņā ar iepriekš minētajām ieguldījumu politikas prasībām. </w:t>
      </w:r>
    </w:p>
    <w:p w14:paraId="57E11EBD" w14:textId="7B0A533E" w:rsidR="00CB0FCB" w:rsidRDefault="009D2B11">
      <w:pPr>
        <w:pStyle w:val="P68B1DB1-LegalNumPar212"/>
        <w:numPr>
          <w:ilvl w:val="1"/>
          <w:numId w:val="95"/>
        </w:numPr>
        <w:jc w:val="both"/>
        <w:rPr>
          <w:noProof/>
        </w:rPr>
      </w:pPr>
      <w:r>
        <w:rPr>
          <w:noProof/>
        </w:rPr>
        <w:t>Uzraudzības, revīzijas un kontroles prasības finanšu starpniekiem, tostarp:</w:t>
      </w:r>
    </w:p>
    <w:p w14:paraId="72651724" w14:textId="77777777" w:rsidR="00CB0FCB" w:rsidRDefault="009D2B11">
      <w:pPr>
        <w:pStyle w:val="P68B1DB1-LegalNumPar212"/>
        <w:numPr>
          <w:ilvl w:val="2"/>
          <w:numId w:val="96"/>
        </w:numPr>
        <w:jc w:val="both"/>
        <w:rPr>
          <w:noProof/>
        </w:rPr>
      </w:pPr>
      <w:r>
        <w:rPr>
          <w:noProof/>
        </w:rPr>
        <w:t>Apraksts par finanšu starpnieku uzraudzības sistēmu ziņošanai par mobilizētajiem ieguldījumiem.</w:t>
      </w:r>
    </w:p>
    <w:p w14:paraId="2B35C228" w14:textId="77777777" w:rsidR="00CB0FCB" w:rsidRDefault="009D2B11">
      <w:pPr>
        <w:pStyle w:val="P68B1DB1-LegalNumPar212"/>
        <w:numPr>
          <w:ilvl w:val="2"/>
          <w:numId w:val="96"/>
        </w:numPr>
        <w:jc w:val="both"/>
        <w:rPr>
          <w:noProof/>
        </w:rPr>
      </w:pPr>
      <w:r>
        <w:rPr>
          <w:noProof/>
        </w:rPr>
        <w:t xml:space="preserve">Apraksts par finanšu starpnieku procedūrām, kas nodrošina krāpšanas, korupcijas un interešu konfliktu novēršanu, atklāšanu un labošanu. </w:t>
      </w:r>
    </w:p>
    <w:p w14:paraId="48663898" w14:textId="6BE519E9" w:rsidR="00CB0FCB" w:rsidRDefault="009D2B11">
      <w:pPr>
        <w:pStyle w:val="P68B1DB1-LegalNumPar212"/>
        <w:numPr>
          <w:ilvl w:val="2"/>
          <w:numId w:val="96"/>
        </w:numPr>
        <w:jc w:val="both"/>
        <w:rPr>
          <w:noProof/>
        </w:rPr>
      </w:pPr>
      <w:r>
        <w:rPr>
          <w:noProof/>
        </w:rPr>
        <w:t>Pienākums pārbaudīt katras darbības attiecināmību saskaņā ar Īstenošanas nolīgumā noteiktajām prasībām pirms apņemšanās finansēt kādu darbību.</w:t>
      </w:r>
    </w:p>
    <w:p w14:paraId="149604AD" w14:textId="1F8E09BD" w:rsidR="00CB0FCB" w:rsidRDefault="009D2B11">
      <w:pPr>
        <w:pStyle w:val="P68B1DB1-LegalNumPar212"/>
        <w:numPr>
          <w:ilvl w:val="2"/>
          <w:numId w:val="96"/>
        </w:numPr>
        <w:jc w:val="both"/>
        <w:rPr>
          <w:noProof/>
        </w:rPr>
      </w:pPr>
      <w:r>
        <w:rPr>
          <w:noProof/>
        </w:rPr>
        <w:t xml:space="preserve">Pienākums veikt uz risku balstītas ex post revīzijas saskaņā ar finanšu starpnieku revīzijas plānu. Šajās revīzijās pārbauda: I) kontroles sistēmas ir efektīvas, tostarp krāpšanas, korupcijas un interešu konfliktu atklāšana; un ii) ka tiek ievērota prasība, ka Mehānisma galasaņēmēji nav saņēmuši atbalstu no citiem Savienības instrumentiem, lai segtu tās pašas izmaksas. Revīzijās pārbauda arī darījumu likumību un to, vai tiek ievēroti piemērojamo nolīgumu nosacījumi. </w:t>
      </w:r>
    </w:p>
    <w:p w14:paraId="1A4849B5" w14:textId="77777777" w:rsidR="00CB0FCB" w:rsidRDefault="009D2B11">
      <w:pPr>
        <w:pStyle w:val="P68B1DB1-Normal15"/>
        <w:spacing w:before="120" w:after="120" w:line="240" w:lineRule="auto"/>
        <w:jc w:val="both"/>
        <w:rPr>
          <w:b/>
          <w:noProof/>
        </w:rPr>
      </w:pPr>
      <w:r>
        <w:rPr>
          <w:noProof/>
        </w:rPr>
        <w:t>Pasākuma īstenošanu pabeidz līdz 2026. gada 31. augustam.</w:t>
      </w:r>
    </w:p>
    <w:p w14:paraId="57EA0A07" w14:textId="77777777" w:rsidR="00CB0FCB" w:rsidRDefault="009D2B11">
      <w:pPr>
        <w:pStyle w:val="P68B1DB1-Normal4"/>
        <w:spacing w:before="120" w:after="120" w:line="240" w:lineRule="auto"/>
        <w:ind w:firstLine="6"/>
        <w:jc w:val="both"/>
        <w:outlineLvl w:val="3"/>
        <w:rPr>
          <w:b/>
          <w:noProof/>
        </w:rPr>
      </w:pPr>
      <w:r>
        <w:rPr>
          <w:noProof/>
        </w:rPr>
        <w:t xml:space="preserve"> </w:t>
      </w:r>
    </w:p>
    <w:p w14:paraId="488F8310" w14:textId="77777777" w:rsidR="00CB0FCB" w:rsidRDefault="00CB0FCB">
      <w:pPr>
        <w:spacing w:before="120" w:after="120" w:line="240" w:lineRule="auto"/>
        <w:ind w:firstLine="6"/>
        <w:jc w:val="both"/>
        <w:outlineLvl w:val="3"/>
        <w:rPr>
          <w:rFonts w:ascii="Times New Roman" w:hAnsi="Times New Roman"/>
          <w:b/>
          <w:noProof/>
          <w:sz w:val="24"/>
        </w:rPr>
      </w:pPr>
    </w:p>
    <w:p w14:paraId="44A3D275" w14:textId="77777777" w:rsidR="00CB0FCB" w:rsidRDefault="00CB0FCB">
      <w:pPr>
        <w:spacing w:before="120" w:after="120" w:line="240" w:lineRule="auto"/>
        <w:jc w:val="both"/>
        <w:rPr>
          <w:rFonts w:ascii="Times New Roman" w:hAnsi="Times New Roman" w:cs="Times New Roman"/>
          <w:i/>
          <w:noProof/>
          <w:sz w:val="24"/>
          <w:u w:val="single"/>
        </w:rPr>
      </w:pPr>
    </w:p>
    <w:p w14:paraId="5BCD9D95" w14:textId="77777777" w:rsidR="00CB0FCB" w:rsidRDefault="00CB0FCB">
      <w:pPr>
        <w:spacing w:after="160" w:line="259" w:lineRule="auto"/>
        <w:ind w:left="709"/>
        <w:contextualSpacing/>
        <w:jc w:val="both"/>
        <w:rPr>
          <w:noProof/>
        </w:rPr>
      </w:pPr>
    </w:p>
    <w:p w14:paraId="42E3E486" w14:textId="77777777" w:rsidR="00CB0FCB" w:rsidRDefault="00CB0FCB">
      <w:pPr>
        <w:spacing w:after="160" w:line="259" w:lineRule="auto"/>
        <w:ind w:left="709"/>
        <w:contextualSpacing/>
        <w:jc w:val="both"/>
        <w:rPr>
          <w:noProof/>
        </w:rPr>
        <w:sectPr w:rsidR="00CB0FCB" w:rsidSect="004E363A">
          <w:headerReference w:type="even" r:id="rId199"/>
          <w:headerReference w:type="default" r:id="rId200"/>
          <w:footerReference w:type="even" r:id="rId201"/>
          <w:footerReference w:type="default" r:id="rId202"/>
          <w:headerReference w:type="first" r:id="rId203"/>
          <w:footerReference w:type="first" r:id="rId204"/>
          <w:pgSz w:w="11907" w:h="16839"/>
          <w:pgMar w:top="1134" w:right="1417" w:bottom="1134" w:left="1417" w:header="709" w:footer="326" w:gutter="0"/>
          <w:cols w:space="720"/>
          <w:docGrid w:linePitch="360"/>
        </w:sectPr>
      </w:pPr>
    </w:p>
    <w:p w14:paraId="3BC2AE40"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B.4. </w:t>
      </w:r>
      <w:r>
        <w:rPr>
          <w:noProof/>
        </w:rPr>
        <w:t xml:space="preserve"> </w:t>
      </w:r>
      <w:r>
        <w:rPr>
          <w:rFonts w:ascii="Times New Roman" w:hAnsi="Times New Roman"/>
          <w:b/>
          <w:noProof/>
          <w:sz w:val="24"/>
          <w:u w:val="single"/>
        </w:rPr>
        <w:t xml:space="preserve">Atskaites punkti, mērķrādītāji, citi rādītāji un aizdevuma uzraudzības un īstenošanas grafiks </w:t>
      </w:r>
    </w:p>
    <w:p w14:paraId="36A3AD02" w14:textId="77777777" w:rsidR="00CB0FCB" w:rsidRDefault="009D2B11">
      <w:pPr>
        <w:pStyle w:val="P68B1DB1-Normal6"/>
        <w:keepNext/>
        <w:keepLines/>
        <w:spacing w:before="40" w:after="240" w:line="240" w:lineRule="auto"/>
        <w:jc w:val="both"/>
        <w:outlineLvl w:val="4"/>
        <w:rPr>
          <w:rFonts w:eastAsia="Times New Roman"/>
          <w:noProof/>
        </w:rPr>
      </w:pPr>
      <w:r>
        <w:rPr>
          <w:noProof/>
        </w:rPr>
        <w:t>Cenas ziņā pieejama mājokļu programma “Mans mājoklis II” (16400)</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070"/>
        <w:gridCol w:w="1320"/>
        <w:gridCol w:w="1440"/>
        <w:gridCol w:w="1080"/>
        <w:gridCol w:w="1200"/>
        <w:gridCol w:w="840"/>
        <w:gridCol w:w="1080"/>
        <w:gridCol w:w="840"/>
        <w:gridCol w:w="4608"/>
      </w:tblGrid>
      <w:tr w:rsidR="00CB0FCB" w14:paraId="364DAC77" w14:textId="77777777">
        <w:trPr>
          <w:trHeight w:val="810"/>
          <w:tblHeader/>
          <w:jc w:val="center"/>
        </w:trPr>
        <w:tc>
          <w:tcPr>
            <w:tcW w:w="704" w:type="dxa"/>
            <w:vMerge w:val="restart"/>
            <w:shd w:val="clear" w:color="auto" w:fill="BDD7EE"/>
            <w:vAlign w:val="center"/>
            <w:hideMark/>
          </w:tcPr>
          <w:p w14:paraId="403104D0" w14:textId="77777777" w:rsidR="00CB0FCB" w:rsidRDefault="009D2B11">
            <w:pPr>
              <w:pStyle w:val="P68B1DB1-Normal16"/>
              <w:spacing w:after="0" w:line="240" w:lineRule="auto"/>
              <w:jc w:val="center"/>
              <w:rPr>
                <w:rFonts w:eastAsia="Times New Roman" w:cs="Times New Roman"/>
                <w:noProof/>
                <w:szCs w:val="20"/>
              </w:rPr>
            </w:pPr>
            <w:r>
              <w:rPr>
                <w:noProof/>
              </w:rPr>
              <w:t>Kārtas numurs</w:t>
            </w:r>
          </w:p>
        </w:tc>
        <w:tc>
          <w:tcPr>
            <w:tcW w:w="1701" w:type="dxa"/>
            <w:vMerge w:val="restart"/>
            <w:shd w:val="clear" w:color="auto" w:fill="BDD7EE"/>
            <w:vAlign w:val="center"/>
            <w:hideMark/>
          </w:tcPr>
          <w:p w14:paraId="3392664C" w14:textId="77777777" w:rsidR="00CB0FCB" w:rsidRDefault="009D2B11">
            <w:pPr>
              <w:pStyle w:val="P68B1DB1-Normal16"/>
              <w:spacing w:after="0" w:line="240" w:lineRule="auto"/>
              <w:jc w:val="center"/>
              <w:rPr>
                <w:rFonts w:eastAsia="Times New Roman" w:cs="Times New Roman"/>
                <w:noProof/>
                <w:szCs w:val="20"/>
              </w:rPr>
            </w:pPr>
            <w:r>
              <w:rPr>
                <w:noProof/>
              </w:rPr>
              <w:t>Saistītais pasākums (reforma vai ieguldījums)</w:t>
            </w:r>
          </w:p>
        </w:tc>
        <w:tc>
          <w:tcPr>
            <w:tcW w:w="1070" w:type="dxa"/>
            <w:vMerge w:val="restart"/>
            <w:shd w:val="clear" w:color="auto" w:fill="BDD7EE"/>
            <w:vAlign w:val="center"/>
            <w:hideMark/>
          </w:tcPr>
          <w:p w14:paraId="126B3712" w14:textId="77777777" w:rsidR="00CB0FCB" w:rsidRDefault="009D2B11">
            <w:pPr>
              <w:pStyle w:val="P68B1DB1-Normal16"/>
              <w:spacing w:after="0" w:line="240" w:lineRule="auto"/>
              <w:jc w:val="center"/>
              <w:rPr>
                <w:rFonts w:eastAsia="Times New Roman" w:cs="Times New Roman"/>
                <w:noProof/>
                <w:szCs w:val="20"/>
              </w:rPr>
            </w:pPr>
            <w:r>
              <w:rPr>
                <w:noProof/>
              </w:rPr>
              <w:t>Atskaites punkts/mērķrādītājs</w:t>
            </w:r>
          </w:p>
        </w:tc>
        <w:tc>
          <w:tcPr>
            <w:tcW w:w="1320" w:type="dxa"/>
            <w:vMerge w:val="restart"/>
            <w:shd w:val="clear" w:color="auto" w:fill="BDD7EE"/>
            <w:vAlign w:val="center"/>
            <w:hideMark/>
          </w:tcPr>
          <w:p w14:paraId="362C6FA0" w14:textId="77777777" w:rsidR="00CB0FCB" w:rsidRDefault="009D2B11">
            <w:pPr>
              <w:pStyle w:val="P68B1DB1-Normal16"/>
              <w:spacing w:after="0" w:line="240" w:lineRule="auto"/>
              <w:jc w:val="center"/>
              <w:rPr>
                <w:rFonts w:eastAsia="Times New Roman" w:cs="Times New Roman"/>
                <w:noProof/>
                <w:szCs w:val="20"/>
              </w:rPr>
            </w:pPr>
            <w:r>
              <w:rPr>
                <w:noProof/>
              </w:rPr>
              <w:t>Nosaukums</w:t>
            </w:r>
          </w:p>
        </w:tc>
        <w:tc>
          <w:tcPr>
            <w:tcW w:w="1440" w:type="dxa"/>
            <w:vMerge w:val="restart"/>
            <w:shd w:val="clear" w:color="auto" w:fill="BDD7EE"/>
            <w:vAlign w:val="center"/>
            <w:hideMark/>
          </w:tcPr>
          <w:p w14:paraId="61C32EE8" w14:textId="77777777" w:rsidR="00CB0FCB" w:rsidRDefault="009D2B11">
            <w:pPr>
              <w:pStyle w:val="P68B1DB1-Normal16"/>
              <w:spacing w:after="0" w:line="240" w:lineRule="auto"/>
              <w:jc w:val="center"/>
              <w:rPr>
                <w:rFonts w:eastAsia="Times New Roman" w:cs="Times New Roman"/>
                <w:noProof/>
                <w:szCs w:val="20"/>
              </w:rPr>
            </w:pPr>
            <w:r>
              <w:rPr>
                <w:noProof/>
              </w:rPr>
              <w:t>Kvalitatīvie rādītāji (atskaites punktiem)</w:t>
            </w:r>
          </w:p>
        </w:tc>
        <w:tc>
          <w:tcPr>
            <w:tcW w:w="3120" w:type="dxa"/>
            <w:gridSpan w:val="3"/>
            <w:shd w:val="clear" w:color="auto" w:fill="BDD7EE"/>
            <w:vAlign w:val="center"/>
            <w:hideMark/>
          </w:tcPr>
          <w:p w14:paraId="17EB55B2" w14:textId="75398ACA" w:rsidR="00CB0FCB" w:rsidRDefault="009D2B11">
            <w:pPr>
              <w:pStyle w:val="P68B1DB1-Normal16"/>
              <w:spacing w:after="0" w:line="240" w:lineRule="auto"/>
              <w:jc w:val="center"/>
              <w:rPr>
                <w:rFonts w:eastAsia="Times New Roman" w:cs="Times New Roman"/>
                <w:noProof/>
                <w:szCs w:val="20"/>
              </w:rPr>
            </w:pPr>
            <w:r>
              <w:rPr>
                <w:noProof/>
              </w:rPr>
              <w:t>Kvantitatīvie rādītāji (mērķrādītājiem)</w:t>
            </w:r>
          </w:p>
        </w:tc>
        <w:tc>
          <w:tcPr>
            <w:tcW w:w="1920" w:type="dxa"/>
            <w:gridSpan w:val="2"/>
            <w:shd w:val="clear" w:color="auto" w:fill="BDD7EE"/>
            <w:vAlign w:val="center"/>
            <w:hideMark/>
          </w:tcPr>
          <w:p w14:paraId="3A435838" w14:textId="77777777" w:rsidR="00CB0FCB" w:rsidRDefault="009D2B11">
            <w:pPr>
              <w:pStyle w:val="P68B1DB1-Normal16"/>
              <w:spacing w:after="0" w:line="240" w:lineRule="auto"/>
              <w:jc w:val="center"/>
              <w:rPr>
                <w:rFonts w:eastAsia="Times New Roman" w:cs="Times New Roman"/>
                <w:noProof/>
                <w:szCs w:val="20"/>
              </w:rPr>
            </w:pPr>
            <w:r>
              <w:rPr>
                <w:noProof/>
              </w:rPr>
              <w:t>Orientējošs pabeigšanas termiņš</w:t>
            </w:r>
          </w:p>
        </w:tc>
        <w:tc>
          <w:tcPr>
            <w:tcW w:w="4608" w:type="dxa"/>
            <w:vMerge w:val="restart"/>
            <w:shd w:val="clear" w:color="auto" w:fill="BDD7EE"/>
            <w:vAlign w:val="center"/>
            <w:hideMark/>
          </w:tcPr>
          <w:p w14:paraId="449C2BEB" w14:textId="77777777" w:rsidR="00CB0FCB" w:rsidRDefault="009D2B11">
            <w:pPr>
              <w:pStyle w:val="P68B1DB1-Normal16"/>
              <w:spacing w:after="0" w:line="240" w:lineRule="auto"/>
              <w:jc w:val="center"/>
              <w:rPr>
                <w:rFonts w:eastAsia="Times New Roman" w:cs="Times New Roman"/>
                <w:noProof/>
                <w:szCs w:val="20"/>
              </w:rPr>
            </w:pPr>
            <w:r>
              <w:rPr>
                <w:noProof/>
              </w:rPr>
              <w:t>Apraksts par katru atskaites punktu un mērķrādītāju</w:t>
            </w:r>
          </w:p>
        </w:tc>
      </w:tr>
      <w:tr w:rsidR="00CB0FCB" w14:paraId="5DEB8C31" w14:textId="77777777">
        <w:trPr>
          <w:trHeight w:val="581"/>
          <w:tblHeader/>
          <w:jc w:val="center"/>
        </w:trPr>
        <w:tc>
          <w:tcPr>
            <w:tcW w:w="704" w:type="dxa"/>
            <w:vMerge/>
            <w:vAlign w:val="center"/>
            <w:hideMark/>
          </w:tcPr>
          <w:p w14:paraId="5CDE1FC1" w14:textId="77777777" w:rsidR="00CB0FCB" w:rsidRDefault="00CB0FCB">
            <w:pPr>
              <w:spacing w:after="0" w:line="240" w:lineRule="auto"/>
              <w:rPr>
                <w:rFonts w:ascii="Times New Roman" w:eastAsia="Times New Roman" w:hAnsi="Times New Roman" w:cs="Times New Roman"/>
                <w:b/>
                <w:bCs/>
                <w:noProof/>
                <w:sz w:val="24"/>
                <w:szCs w:val="24"/>
              </w:rPr>
            </w:pPr>
          </w:p>
        </w:tc>
        <w:tc>
          <w:tcPr>
            <w:tcW w:w="1701" w:type="dxa"/>
            <w:vMerge/>
            <w:vAlign w:val="center"/>
            <w:hideMark/>
          </w:tcPr>
          <w:p w14:paraId="507516BD" w14:textId="77777777" w:rsidR="00CB0FCB" w:rsidRDefault="00CB0FCB">
            <w:pPr>
              <w:spacing w:after="0" w:line="240" w:lineRule="auto"/>
              <w:rPr>
                <w:rFonts w:ascii="Times New Roman" w:eastAsia="Times New Roman" w:hAnsi="Times New Roman" w:cs="Times New Roman"/>
                <w:b/>
                <w:bCs/>
                <w:noProof/>
                <w:sz w:val="24"/>
                <w:szCs w:val="24"/>
              </w:rPr>
            </w:pPr>
          </w:p>
        </w:tc>
        <w:tc>
          <w:tcPr>
            <w:tcW w:w="1070" w:type="dxa"/>
            <w:vMerge/>
            <w:vAlign w:val="center"/>
            <w:hideMark/>
          </w:tcPr>
          <w:p w14:paraId="36F63284" w14:textId="77777777" w:rsidR="00CB0FCB" w:rsidRDefault="00CB0FCB">
            <w:pPr>
              <w:spacing w:after="0" w:line="240" w:lineRule="auto"/>
              <w:rPr>
                <w:rFonts w:ascii="Times New Roman" w:eastAsia="Times New Roman" w:hAnsi="Times New Roman" w:cs="Times New Roman"/>
                <w:b/>
                <w:bCs/>
                <w:noProof/>
                <w:sz w:val="24"/>
                <w:szCs w:val="24"/>
              </w:rPr>
            </w:pPr>
          </w:p>
        </w:tc>
        <w:tc>
          <w:tcPr>
            <w:tcW w:w="1320" w:type="dxa"/>
            <w:vMerge/>
            <w:vAlign w:val="center"/>
            <w:hideMark/>
          </w:tcPr>
          <w:p w14:paraId="1DFCD456" w14:textId="77777777" w:rsidR="00CB0FCB" w:rsidRDefault="00CB0FCB">
            <w:pPr>
              <w:spacing w:after="0" w:line="240" w:lineRule="auto"/>
              <w:rPr>
                <w:rFonts w:ascii="Times New Roman" w:eastAsia="Times New Roman" w:hAnsi="Times New Roman" w:cs="Times New Roman"/>
                <w:b/>
                <w:bCs/>
                <w:noProof/>
                <w:sz w:val="24"/>
                <w:szCs w:val="24"/>
              </w:rPr>
            </w:pPr>
          </w:p>
        </w:tc>
        <w:tc>
          <w:tcPr>
            <w:tcW w:w="1440" w:type="dxa"/>
            <w:vMerge/>
            <w:vAlign w:val="center"/>
            <w:hideMark/>
          </w:tcPr>
          <w:p w14:paraId="076AADAE" w14:textId="77777777" w:rsidR="00CB0FCB" w:rsidRDefault="00CB0FCB">
            <w:pPr>
              <w:spacing w:after="0" w:line="240" w:lineRule="auto"/>
              <w:rPr>
                <w:rFonts w:ascii="Times New Roman" w:eastAsia="Times New Roman" w:hAnsi="Times New Roman" w:cs="Times New Roman"/>
                <w:b/>
                <w:bCs/>
                <w:noProof/>
                <w:sz w:val="24"/>
                <w:szCs w:val="24"/>
              </w:rPr>
            </w:pPr>
          </w:p>
        </w:tc>
        <w:tc>
          <w:tcPr>
            <w:tcW w:w="1080" w:type="dxa"/>
            <w:shd w:val="clear" w:color="auto" w:fill="BDD7EE"/>
            <w:vAlign w:val="center"/>
            <w:hideMark/>
          </w:tcPr>
          <w:p w14:paraId="229595CC"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1200" w:type="dxa"/>
            <w:shd w:val="clear" w:color="auto" w:fill="BDD7EE"/>
            <w:vAlign w:val="center"/>
            <w:hideMark/>
          </w:tcPr>
          <w:p w14:paraId="5FA085AE" w14:textId="77777777" w:rsidR="00CB0FCB" w:rsidRDefault="009D2B11">
            <w:pPr>
              <w:pStyle w:val="P68B1DB1-Normal7"/>
              <w:spacing w:after="0" w:line="240" w:lineRule="auto"/>
              <w:jc w:val="center"/>
              <w:rPr>
                <w:rFonts w:eastAsia="Times New Roman" w:cs="Times New Roman"/>
                <w:noProof/>
                <w:szCs w:val="18"/>
              </w:rPr>
            </w:pPr>
            <w:r>
              <w:rPr>
                <w:noProof/>
              </w:rPr>
              <w:t>Pamatscenārijs</w:t>
            </w:r>
          </w:p>
        </w:tc>
        <w:tc>
          <w:tcPr>
            <w:tcW w:w="840" w:type="dxa"/>
            <w:shd w:val="clear" w:color="auto" w:fill="BDD7EE"/>
            <w:vAlign w:val="center"/>
            <w:hideMark/>
          </w:tcPr>
          <w:p w14:paraId="2C35447F" w14:textId="77777777" w:rsidR="00CB0FCB" w:rsidRDefault="009D2B11">
            <w:pPr>
              <w:pStyle w:val="P68B1DB1-Normal7"/>
              <w:spacing w:after="0" w:line="240" w:lineRule="auto"/>
              <w:jc w:val="center"/>
              <w:rPr>
                <w:rFonts w:eastAsia="Times New Roman" w:cs="Times New Roman"/>
                <w:noProof/>
                <w:szCs w:val="18"/>
              </w:rPr>
            </w:pPr>
            <w:r>
              <w:rPr>
                <w:noProof/>
              </w:rPr>
              <w:t>Mērķis</w:t>
            </w:r>
          </w:p>
        </w:tc>
        <w:tc>
          <w:tcPr>
            <w:tcW w:w="1080" w:type="dxa"/>
            <w:shd w:val="clear" w:color="auto" w:fill="BDD7EE"/>
            <w:vAlign w:val="center"/>
            <w:hideMark/>
          </w:tcPr>
          <w:p w14:paraId="12917F47"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840" w:type="dxa"/>
            <w:shd w:val="clear" w:color="auto" w:fill="BDD7EE"/>
            <w:vAlign w:val="center"/>
            <w:hideMark/>
          </w:tcPr>
          <w:p w14:paraId="72CC70AD"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4608" w:type="dxa"/>
            <w:vMerge/>
            <w:vAlign w:val="center"/>
            <w:hideMark/>
          </w:tcPr>
          <w:p w14:paraId="280B8B4B" w14:textId="77777777" w:rsidR="00CB0FCB" w:rsidRDefault="00CB0FCB">
            <w:pPr>
              <w:spacing w:after="0" w:line="240" w:lineRule="auto"/>
              <w:rPr>
                <w:rFonts w:ascii="Times New Roman" w:eastAsia="Times New Roman" w:hAnsi="Times New Roman" w:cs="Times New Roman"/>
                <w:b/>
                <w:bCs/>
                <w:noProof/>
                <w:sz w:val="24"/>
                <w:szCs w:val="24"/>
              </w:rPr>
            </w:pPr>
          </w:p>
        </w:tc>
      </w:tr>
      <w:tr w:rsidR="00CB0FCB" w14:paraId="141CA8E2" w14:textId="77777777">
        <w:trPr>
          <w:trHeight w:val="314"/>
          <w:jc w:val="center"/>
        </w:trPr>
        <w:tc>
          <w:tcPr>
            <w:tcW w:w="704" w:type="dxa"/>
            <w:shd w:val="clear" w:color="auto" w:fill="C6EFCE"/>
            <w:noWrap/>
          </w:tcPr>
          <w:p w14:paraId="40B95CB2" w14:textId="5733907A" w:rsidR="00CB0FCB" w:rsidRDefault="009D2B11">
            <w:pPr>
              <w:pStyle w:val="P68B1DB1-Normal9"/>
              <w:spacing w:after="0" w:line="240" w:lineRule="auto"/>
              <w:rPr>
                <w:noProof/>
              </w:rPr>
            </w:pPr>
            <w:r>
              <w:rPr>
                <w:noProof/>
              </w:rPr>
              <w:t>378</w:t>
            </w:r>
          </w:p>
        </w:tc>
        <w:tc>
          <w:tcPr>
            <w:tcW w:w="1701" w:type="dxa"/>
            <w:shd w:val="clear" w:color="auto" w:fill="C6EFCE"/>
            <w:noWrap/>
          </w:tcPr>
          <w:p w14:paraId="2225E910" w14:textId="77777777" w:rsidR="00CB0FCB" w:rsidRDefault="009D2B11">
            <w:pPr>
              <w:pStyle w:val="P68B1DB1-Normal9"/>
              <w:spacing w:after="0" w:line="240" w:lineRule="auto"/>
              <w:rPr>
                <w:rFonts w:eastAsia="Times New Roman" w:cs="Calibri"/>
                <w:noProof/>
                <w:szCs w:val="18"/>
              </w:rPr>
            </w:pPr>
            <w:r>
              <w:rPr>
                <w:noProof/>
              </w:rPr>
              <w:t>11–3.4. Palielināt piekļuvi efektīvai un iekļaujošai sociālajai politikai — 16400_ Pieejamu mājokļu programma “Mans mājoklis II”</w:t>
            </w:r>
          </w:p>
        </w:tc>
        <w:tc>
          <w:tcPr>
            <w:tcW w:w="1070" w:type="dxa"/>
            <w:shd w:val="clear" w:color="auto" w:fill="C6EFCE"/>
            <w:noWrap/>
          </w:tcPr>
          <w:p w14:paraId="236AE0D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0" w:type="dxa"/>
            <w:shd w:val="clear" w:color="auto" w:fill="C6EFCE"/>
            <w:noWrap/>
          </w:tcPr>
          <w:p w14:paraId="564012EF" w14:textId="54F4A577" w:rsidR="00CB0FCB" w:rsidRDefault="009D2B11">
            <w:pPr>
              <w:pStyle w:val="P68B1DB1-Normal9"/>
              <w:spacing w:after="0" w:line="240" w:lineRule="auto"/>
              <w:rPr>
                <w:rFonts w:eastAsia="Times New Roman" w:cs="Calibri"/>
                <w:noProof/>
                <w:szCs w:val="18"/>
              </w:rPr>
            </w:pPr>
            <w:r>
              <w:rPr>
                <w:noProof/>
              </w:rPr>
              <w:t>Mana izcelsmes valsts II — Īstenošanas līgums starp Grieķijas Attīstības banku un Finanšu ministriju</w:t>
            </w:r>
          </w:p>
        </w:tc>
        <w:tc>
          <w:tcPr>
            <w:tcW w:w="1440" w:type="dxa"/>
            <w:shd w:val="clear" w:color="auto" w:fill="C6EFCE"/>
            <w:noWrap/>
          </w:tcPr>
          <w:p w14:paraId="73234691" w14:textId="63323F73" w:rsidR="00CB0FCB" w:rsidRDefault="009D2B11">
            <w:pPr>
              <w:pStyle w:val="P68B1DB1-Normal9"/>
              <w:spacing w:after="0" w:line="240" w:lineRule="auto"/>
              <w:rPr>
                <w:rFonts w:eastAsia="Times New Roman" w:cs="Calibri"/>
                <w:noProof/>
                <w:szCs w:val="18"/>
              </w:rPr>
            </w:pPr>
            <w:r>
              <w:rPr>
                <w:noProof/>
              </w:rPr>
              <w:t>Īstenošanas nolīguma stāšanās spēkā</w:t>
            </w:r>
          </w:p>
        </w:tc>
        <w:tc>
          <w:tcPr>
            <w:tcW w:w="1080" w:type="dxa"/>
            <w:shd w:val="clear" w:color="auto" w:fill="C6EFCE"/>
            <w:noWrap/>
          </w:tcPr>
          <w:p w14:paraId="2B573086" w14:textId="77777777" w:rsidR="00CB0FCB" w:rsidRDefault="00CB0FCB">
            <w:pPr>
              <w:spacing w:after="0" w:line="240" w:lineRule="auto"/>
              <w:rPr>
                <w:rFonts w:eastAsia="Times New Roman" w:cs="Calibri"/>
                <w:noProof/>
                <w:color w:val="006100"/>
                <w:sz w:val="18"/>
                <w:szCs w:val="18"/>
              </w:rPr>
            </w:pPr>
          </w:p>
        </w:tc>
        <w:tc>
          <w:tcPr>
            <w:tcW w:w="1200" w:type="dxa"/>
            <w:shd w:val="clear" w:color="auto" w:fill="C6EFCE"/>
            <w:noWrap/>
          </w:tcPr>
          <w:p w14:paraId="4AED444B" w14:textId="77777777" w:rsidR="00CB0FCB" w:rsidRDefault="00CB0FCB">
            <w:pPr>
              <w:spacing w:after="0" w:line="240" w:lineRule="auto"/>
              <w:rPr>
                <w:rFonts w:eastAsia="Times New Roman" w:cs="Calibri"/>
                <w:noProof/>
                <w:color w:val="006100"/>
                <w:sz w:val="18"/>
                <w:szCs w:val="18"/>
              </w:rPr>
            </w:pPr>
          </w:p>
        </w:tc>
        <w:tc>
          <w:tcPr>
            <w:tcW w:w="840" w:type="dxa"/>
            <w:shd w:val="clear" w:color="auto" w:fill="C6EFCE"/>
            <w:noWrap/>
          </w:tcPr>
          <w:p w14:paraId="0B61D341" w14:textId="77777777" w:rsidR="00CB0FCB" w:rsidRDefault="00CB0FCB">
            <w:pPr>
              <w:spacing w:after="0" w:line="240" w:lineRule="auto"/>
              <w:rPr>
                <w:rFonts w:eastAsia="Times New Roman" w:cs="Calibri"/>
                <w:noProof/>
                <w:color w:val="006100"/>
                <w:sz w:val="18"/>
                <w:szCs w:val="18"/>
              </w:rPr>
            </w:pPr>
          </w:p>
        </w:tc>
        <w:tc>
          <w:tcPr>
            <w:tcW w:w="1080" w:type="dxa"/>
            <w:shd w:val="clear" w:color="auto" w:fill="C6EFCE"/>
            <w:noWrap/>
          </w:tcPr>
          <w:p w14:paraId="42F22E91"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shd w:val="clear" w:color="auto" w:fill="C6EFCE"/>
            <w:noWrap/>
          </w:tcPr>
          <w:p w14:paraId="5FF1553A" w14:textId="77777777" w:rsidR="00CB0FCB" w:rsidRDefault="009D2B11">
            <w:pPr>
              <w:pStyle w:val="P68B1DB1-Normal9"/>
              <w:spacing w:after="0" w:line="240" w:lineRule="auto"/>
              <w:rPr>
                <w:rFonts w:eastAsia="Times New Roman" w:cs="Calibri"/>
                <w:noProof/>
                <w:szCs w:val="18"/>
              </w:rPr>
            </w:pPr>
            <w:r>
              <w:rPr>
                <w:noProof/>
              </w:rPr>
              <w:t>2024</w:t>
            </w:r>
          </w:p>
        </w:tc>
        <w:tc>
          <w:tcPr>
            <w:tcW w:w="4608" w:type="dxa"/>
            <w:shd w:val="clear" w:color="auto" w:fill="C6EFCE"/>
            <w:noWrap/>
          </w:tcPr>
          <w:p w14:paraId="485F8922" w14:textId="7590D727" w:rsidR="00CB0FCB" w:rsidRDefault="009D2B11">
            <w:pPr>
              <w:pStyle w:val="P68B1DB1-Normal9"/>
              <w:spacing w:after="0" w:line="240" w:lineRule="auto"/>
              <w:rPr>
                <w:rFonts w:eastAsia="Times New Roman" w:cs="Calibri"/>
                <w:noProof/>
                <w:szCs w:val="18"/>
              </w:rPr>
            </w:pPr>
            <w:r>
              <w:rPr>
                <w:noProof/>
              </w:rPr>
              <w:t>Īstenošanas nolīguma stāšanās spēkā.</w:t>
            </w:r>
          </w:p>
        </w:tc>
      </w:tr>
      <w:tr w:rsidR="00CB0FCB" w14:paraId="56B7C5D2" w14:textId="77777777">
        <w:trPr>
          <w:trHeight w:val="314"/>
          <w:jc w:val="center"/>
        </w:trPr>
        <w:tc>
          <w:tcPr>
            <w:tcW w:w="704" w:type="dxa"/>
            <w:shd w:val="clear" w:color="auto" w:fill="C6EFCE"/>
            <w:noWrap/>
            <w:hideMark/>
          </w:tcPr>
          <w:p w14:paraId="009EB831" w14:textId="5CE7C07B" w:rsidR="00CB0FCB" w:rsidRDefault="009D2B11">
            <w:pPr>
              <w:pStyle w:val="P68B1DB1-Normal9"/>
              <w:spacing w:after="0" w:line="240" w:lineRule="auto"/>
              <w:rPr>
                <w:noProof/>
              </w:rPr>
            </w:pPr>
            <w:r>
              <w:rPr>
                <w:noProof/>
              </w:rPr>
              <w:t>379</w:t>
            </w:r>
          </w:p>
        </w:tc>
        <w:tc>
          <w:tcPr>
            <w:tcW w:w="1701" w:type="dxa"/>
            <w:shd w:val="clear" w:color="auto" w:fill="C6EFCE"/>
            <w:noWrap/>
            <w:hideMark/>
          </w:tcPr>
          <w:p w14:paraId="640CE0CD" w14:textId="77777777" w:rsidR="00CB0FCB" w:rsidRDefault="009D2B11">
            <w:pPr>
              <w:pStyle w:val="P68B1DB1-Normal9"/>
              <w:spacing w:after="0" w:line="240" w:lineRule="auto"/>
              <w:rPr>
                <w:rFonts w:eastAsia="Times New Roman" w:cs="Calibri"/>
                <w:noProof/>
                <w:szCs w:val="18"/>
              </w:rPr>
            </w:pPr>
            <w:r>
              <w:rPr>
                <w:noProof/>
              </w:rPr>
              <w:t>11–3.4. Palielināt piekļuvi efektīvai un iekļaujošai sociālajai politikai — 16400_ Pieejamu mājokļu programma “Mans mājoklis II”</w:t>
            </w:r>
          </w:p>
        </w:tc>
        <w:tc>
          <w:tcPr>
            <w:tcW w:w="1070" w:type="dxa"/>
            <w:shd w:val="clear" w:color="auto" w:fill="C6EFCE"/>
            <w:noWrap/>
          </w:tcPr>
          <w:p w14:paraId="5D1910BB" w14:textId="77777777" w:rsidR="00CB0FCB" w:rsidRDefault="009D2B11">
            <w:pPr>
              <w:pStyle w:val="P68B1DB1-Normal17"/>
              <w:spacing w:after="0" w:line="240" w:lineRule="auto"/>
              <w:rPr>
                <w:noProof/>
              </w:rPr>
            </w:pPr>
            <w:r>
              <w:rPr>
                <w:noProof/>
              </w:rPr>
              <w:t>Mērķa</w:t>
            </w:r>
          </w:p>
        </w:tc>
        <w:tc>
          <w:tcPr>
            <w:tcW w:w="1320" w:type="dxa"/>
            <w:shd w:val="clear" w:color="auto" w:fill="C6EFCE"/>
            <w:noWrap/>
          </w:tcPr>
          <w:p w14:paraId="25A3CFB2" w14:textId="3D8768BC" w:rsidR="00CB0FCB" w:rsidRDefault="009D2B11">
            <w:pPr>
              <w:pStyle w:val="P68B1DB1-Normal9"/>
              <w:spacing w:after="0" w:line="240" w:lineRule="auto"/>
              <w:rPr>
                <w:rFonts w:eastAsia="Times New Roman" w:cs="Calibri"/>
                <w:noProof/>
                <w:szCs w:val="18"/>
              </w:rPr>
            </w:pPr>
            <w:r>
              <w:rPr>
                <w:noProof/>
              </w:rPr>
              <w:t xml:space="preserve">Mana izcelsmes valsts II — </w:t>
            </w:r>
            <w:r>
              <w:rPr>
                <w:rFonts w:eastAsia="Times New Roman" w:cs="Calibri"/>
                <w:noProof/>
                <w:szCs w:val="18"/>
              </w:rPr>
              <w:t>Juridiskie nolīgumi, kas parakstīti ar galīgajiem saņēmējiem — 50 %</w:t>
            </w:r>
          </w:p>
        </w:tc>
        <w:tc>
          <w:tcPr>
            <w:tcW w:w="1440" w:type="dxa"/>
            <w:shd w:val="clear" w:color="auto" w:fill="C6EFCE"/>
            <w:noWrap/>
          </w:tcPr>
          <w:p w14:paraId="18639983" w14:textId="77777777" w:rsidR="00CB0FCB" w:rsidRDefault="00CB0FCB">
            <w:pPr>
              <w:spacing w:after="0" w:line="240" w:lineRule="auto"/>
              <w:rPr>
                <w:rFonts w:eastAsia="Times New Roman" w:cs="Calibri"/>
                <w:noProof/>
                <w:color w:val="006100"/>
                <w:sz w:val="18"/>
                <w:szCs w:val="18"/>
              </w:rPr>
            </w:pPr>
          </w:p>
        </w:tc>
        <w:tc>
          <w:tcPr>
            <w:tcW w:w="1080" w:type="dxa"/>
            <w:shd w:val="clear" w:color="auto" w:fill="C6EFCE"/>
            <w:noWrap/>
          </w:tcPr>
          <w:p w14:paraId="4004F2C2" w14:textId="77777777" w:rsidR="00CB0FCB" w:rsidRDefault="009D2B11">
            <w:pPr>
              <w:pStyle w:val="P68B1DB1-Normal9"/>
              <w:spacing w:after="0" w:line="240" w:lineRule="auto"/>
              <w:rPr>
                <w:rFonts w:eastAsia="Times New Roman" w:cs="Calibri"/>
                <w:noProof/>
                <w:szCs w:val="18"/>
              </w:rPr>
            </w:pPr>
            <w:r>
              <w:rPr>
                <w:noProof/>
              </w:rPr>
              <w:t>Procentuālā daļa (%)</w:t>
            </w:r>
          </w:p>
        </w:tc>
        <w:tc>
          <w:tcPr>
            <w:tcW w:w="1200" w:type="dxa"/>
            <w:shd w:val="clear" w:color="auto" w:fill="C6EFCE"/>
            <w:noWrap/>
          </w:tcPr>
          <w:p w14:paraId="18E1D0D9" w14:textId="77777777" w:rsidR="00CB0FCB" w:rsidRDefault="009D2B11">
            <w:pPr>
              <w:pStyle w:val="P68B1DB1-Normal9"/>
              <w:spacing w:after="0" w:line="240" w:lineRule="auto"/>
              <w:rPr>
                <w:rFonts w:eastAsia="Times New Roman" w:cs="Calibri"/>
                <w:noProof/>
                <w:szCs w:val="18"/>
              </w:rPr>
            </w:pPr>
            <w:r>
              <w:rPr>
                <w:noProof/>
              </w:rPr>
              <w:t>0 %</w:t>
            </w:r>
          </w:p>
        </w:tc>
        <w:tc>
          <w:tcPr>
            <w:tcW w:w="840" w:type="dxa"/>
            <w:shd w:val="clear" w:color="auto" w:fill="C6EFCE"/>
            <w:noWrap/>
          </w:tcPr>
          <w:p w14:paraId="2A15DC8A" w14:textId="77777777" w:rsidR="00CB0FCB" w:rsidRDefault="009D2B11">
            <w:pPr>
              <w:pStyle w:val="P68B1DB1-Normal9"/>
              <w:spacing w:after="0" w:line="240" w:lineRule="auto"/>
              <w:rPr>
                <w:rFonts w:eastAsia="Times New Roman" w:cs="Calibri"/>
                <w:noProof/>
                <w:szCs w:val="18"/>
              </w:rPr>
            </w:pPr>
            <w:r>
              <w:rPr>
                <w:noProof/>
              </w:rPr>
              <w:t>50 %</w:t>
            </w:r>
          </w:p>
        </w:tc>
        <w:tc>
          <w:tcPr>
            <w:tcW w:w="1080" w:type="dxa"/>
            <w:shd w:val="clear" w:color="auto" w:fill="C6EFCE"/>
            <w:noWrap/>
          </w:tcPr>
          <w:p w14:paraId="23BA6D75"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shd w:val="clear" w:color="auto" w:fill="C6EFCE"/>
            <w:noWrap/>
          </w:tcPr>
          <w:p w14:paraId="4205D461" w14:textId="77777777" w:rsidR="00CB0FCB" w:rsidRDefault="009D2B11">
            <w:pPr>
              <w:pStyle w:val="P68B1DB1-Normal9"/>
              <w:spacing w:after="0" w:line="240" w:lineRule="auto"/>
              <w:rPr>
                <w:rFonts w:eastAsia="Times New Roman" w:cs="Calibri"/>
                <w:noProof/>
                <w:szCs w:val="18"/>
              </w:rPr>
            </w:pPr>
            <w:r>
              <w:rPr>
                <w:noProof/>
              </w:rPr>
              <w:t>2025</w:t>
            </w:r>
          </w:p>
        </w:tc>
        <w:tc>
          <w:tcPr>
            <w:tcW w:w="4608" w:type="dxa"/>
            <w:shd w:val="clear" w:color="auto" w:fill="C6EFCE"/>
            <w:noWrap/>
          </w:tcPr>
          <w:p w14:paraId="74B173E3" w14:textId="71F60BB8" w:rsidR="00CB0FCB" w:rsidRDefault="009D2B11">
            <w:pPr>
              <w:pStyle w:val="P68B1DB1-Normal9"/>
              <w:spacing w:after="0" w:line="240" w:lineRule="auto"/>
              <w:rPr>
                <w:rFonts w:eastAsia="Times New Roman" w:cs="Calibri"/>
                <w:noProof/>
                <w:szCs w:val="18"/>
              </w:rPr>
            </w:pPr>
            <w:r>
              <w:rPr>
                <w:noProof/>
              </w:rPr>
              <w:t>Finanšu starpnieki ir noslēguši juridiskus finansēšanas nolīgumus ar galasaņēmējiem par summu, kas nepieciešama, lai izmantotu vismaz 50 % no ANM investīcijām mehānismā “Mana piederības II” (ņemot vērā pārvaldības maksas).</w:t>
            </w:r>
          </w:p>
        </w:tc>
      </w:tr>
      <w:tr w:rsidR="00CB0FCB" w14:paraId="5EFFD68F" w14:textId="77777777">
        <w:trPr>
          <w:trHeight w:val="314"/>
          <w:jc w:val="center"/>
        </w:trPr>
        <w:tc>
          <w:tcPr>
            <w:tcW w:w="704" w:type="dxa"/>
            <w:shd w:val="clear" w:color="auto" w:fill="C6EFCE"/>
            <w:noWrap/>
          </w:tcPr>
          <w:p w14:paraId="632CFAF4" w14:textId="5B4EB790" w:rsidR="00CB0FCB" w:rsidRDefault="009D2B11">
            <w:pPr>
              <w:pStyle w:val="P68B1DB1-Normal9"/>
              <w:spacing w:after="0" w:line="240" w:lineRule="auto"/>
              <w:rPr>
                <w:noProof/>
              </w:rPr>
            </w:pPr>
            <w:r>
              <w:rPr>
                <w:noProof/>
              </w:rPr>
              <w:t>380</w:t>
            </w:r>
          </w:p>
        </w:tc>
        <w:tc>
          <w:tcPr>
            <w:tcW w:w="1701" w:type="dxa"/>
            <w:shd w:val="clear" w:color="auto" w:fill="C6EFCE"/>
            <w:noWrap/>
          </w:tcPr>
          <w:p w14:paraId="4FA45189" w14:textId="77777777" w:rsidR="00CB0FCB" w:rsidRDefault="009D2B11">
            <w:pPr>
              <w:pStyle w:val="P68B1DB1-Normal9"/>
              <w:spacing w:after="0" w:line="240" w:lineRule="auto"/>
              <w:rPr>
                <w:noProof/>
              </w:rPr>
            </w:pPr>
            <w:r>
              <w:rPr>
                <w:noProof/>
              </w:rPr>
              <w:t>11–3.4. Palielināt piekļuvi efektīvai un iekļaujošai sociālajai politikai — 16400_ Pieejamu mājokļu programma “Mans mājoklis II”</w:t>
            </w:r>
          </w:p>
        </w:tc>
        <w:tc>
          <w:tcPr>
            <w:tcW w:w="1070" w:type="dxa"/>
            <w:shd w:val="clear" w:color="auto" w:fill="C6EFCE"/>
            <w:noWrap/>
          </w:tcPr>
          <w:p w14:paraId="6DD8C803" w14:textId="77777777" w:rsidR="00CB0FCB" w:rsidRDefault="009D2B11">
            <w:pPr>
              <w:pStyle w:val="P68B1DB1-Normal17"/>
              <w:spacing w:after="0" w:line="240" w:lineRule="auto"/>
              <w:rPr>
                <w:noProof/>
              </w:rPr>
            </w:pPr>
            <w:r>
              <w:rPr>
                <w:noProof/>
              </w:rPr>
              <w:t>Mērķa</w:t>
            </w:r>
          </w:p>
        </w:tc>
        <w:tc>
          <w:tcPr>
            <w:tcW w:w="1320" w:type="dxa"/>
            <w:shd w:val="clear" w:color="auto" w:fill="C6EFCE"/>
            <w:noWrap/>
          </w:tcPr>
          <w:p w14:paraId="307E13BA" w14:textId="77777777" w:rsidR="00CB0FCB" w:rsidRDefault="009D2B11">
            <w:pPr>
              <w:pStyle w:val="P68B1DB1-Normal9"/>
              <w:spacing w:after="0" w:line="240" w:lineRule="auto"/>
              <w:rPr>
                <w:rFonts w:eastAsia="Times New Roman" w:cs="Calibri"/>
                <w:noProof/>
                <w:szCs w:val="18"/>
              </w:rPr>
            </w:pPr>
            <w:r>
              <w:rPr>
                <w:noProof/>
              </w:rPr>
              <w:t xml:space="preserve">Mana izcelsmes valsts II — </w:t>
            </w:r>
            <w:r>
              <w:rPr>
                <w:rFonts w:eastAsia="Times New Roman" w:cs="Calibri"/>
                <w:noProof/>
                <w:szCs w:val="18"/>
              </w:rPr>
              <w:t>Juridiskie nolīgumi, kas parakstīti ar galīgajiem saņēmējiem — 100 %</w:t>
            </w:r>
          </w:p>
        </w:tc>
        <w:tc>
          <w:tcPr>
            <w:tcW w:w="1440" w:type="dxa"/>
            <w:shd w:val="clear" w:color="auto" w:fill="C6EFCE"/>
            <w:noWrap/>
          </w:tcPr>
          <w:p w14:paraId="6FC78B21" w14:textId="77777777" w:rsidR="00CB0FCB" w:rsidRDefault="00CB0FCB">
            <w:pPr>
              <w:spacing w:after="0" w:line="240" w:lineRule="auto"/>
              <w:rPr>
                <w:rFonts w:eastAsia="Times New Roman" w:cs="Calibri"/>
                <w:noProof/>
                <w:color w:val="006100"/>
                <w:sz w:val="18"/>
                <w:szCs w:val="18"/>
              </w:rPr>
            </w:pPr>
          </w:p>
        </w:tc>
        <w:tc>
          <w:tcPr>
            <w:tcW w:w="1080" w:type="dxa"/>
            <w:shd w:val="clear" w:color="auto" w:fill="C6EFCE"/>
            <w:noWrap/>
          </w:tcPr>
          <w:p w14:paraId="5531528B" w14:textId="77777777" w:rsidR="00CB0FCB" w:rsidRDefault="009D2B11">
            <w:pPr>
              <w:pStyle w:val="P68B1DB1-Normal9"/>
              <w:spacing w:after="0" w:line="240" w:lineRule="auto"/>
              <w:rPr>
                <w:rFonts w:eastAsia="Times New Roman" w:cs="Calibri"/>
                <w:noProof/>
                <w:szCs w:val="18"/>
              </w:rPr>
            </w:pPr>
            <w:r>
              <w:rPr>
                <w:noProof/>
              </w:rPr>
              <w:t>Procentuālā daļa (%)</w:t>
            </w:r>
          </w:p>
        </w:tc>
        <w:tc>
          <w:tcPr>
            <w:tcW w:w="1200" w:type="dxa"/>
            <w:shd w:val="clear" w:color="auto" w:fill="C6EFCE"/>
            <w:noWrap/>
          </w:tcPr>
          <w:p w14:paraId="60388B84" w14:textId="77777777" w:rsidR="00CB0FCB" w:rsidRDefault="009D2B11">
            <w:pPr>
              <w:pStyle w:val="P68B1DB1-Normal9"/>
              <w:spacing w:after="0" w:line="240" w:lineRule="auto"/>
              <w:rPr>
                <w:rFonts w:eastAsia="Times New Roman" w:cs="Calibri"/>
                <w:noProof/>
                <w:szCs w:val="18"/>
              </w:rPr>
            </w:pPr>
            <w:r>
              <w:rPr>
                <w:noProof/>
              </w:rPr>
              <w:t>50 %</w:t>
            </w:r>
          </w:p>
        </w:tc>
        <w:tc>
          <w:tcPr>
            <w:tcW w:w="840" w:type="dxa"/>
            <w:shd w:val="clear" w:color="auto" w:fill="C6EFCE"/>
            <w:noWrap/>
          </w:tcPr>
          <w:p w14:paraId="744D2BCE" w14:textId="77777777" w:rsidR="00CB0FCB" w:rsidRDefault="009D2B11">
            <w:pPr>
              <w:pStyle w:val="P68B1DB1-Normal9"/>
              <w:spacing w:after="0" w:line="240" w:lineRule="auto"/>
              <w:rPr>
                <w:rFonts w:eastAsia="Times New Roman" w:cs="Calibri"/>
                <w:noProof/>
                <w:szCs w:val="18"/>
              </w:rPr>
            </w:pPr>
            <w:r>
              <w:rPr>
                <w:noProof/>
              </w:rPr>
              <w:t>100 %</w:t>
            </w:r>
          </w:p>
        </w:tc>
        <w:tc>
          <w:tcPr>
            <w:tcW w:w="1080" w:type="dxa"/>
            <w:shd w:val="clear" w:color="auto" w:fill="C6EFCE"/>
            <w:noWrap/>
          </w:tcPr>
          <w:p w14:paraId="4F966A68"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shd w:val="clear" w:color="auto" w:fill="C6EFCE"/>
            <w:noWrap/>
          </w:tcPr>
          <w:p w14:paraId="587CF943" w14:textId="77777777" w:rsidR="00CB0FCB" w:rsidRDefault="009D2B11">
            <w:pPr>
              <w:pStyle w:val="P68B1DB1-Normal9"/>
              <w:spacing w:after="0" w:line="240" w:lineRule="auto"/>
              <w:rPr>
                <w:rFonts w:eastAsia="Times New Roman" w:cs="Calibri"/>
                <w:noProof/>
                <w:szCs w:val="18"/>
              </w:rPr>
            </w:pPr>
            <w:r>
              <w:rPr>
                <w:noProof/>
              </w:rPr>
              <w:t>2026</w:t>
            </w:r>
          </w:p>
        </w:tc>
        <w:tc>
          <w:tcPr>
            <w:tcW w:w="4608" w:type="dxa"/>
            <w:shd w:val="clear" w:color="auto" w:fill="C6EFCE"/>
            <w:noWrap/>
          </w:tcPr>
          <w:p w14:paraId="4D73653E" w14:textId="6513994F" w:rsidR="00CB0FCB" w:rsidRDefault="009D2B11">
            <w:pPr>
              <w:pStyle w:val="P68B1DB1-Normal9"/>
              <w:spacing w:after="0" w:line="240" w:lineRule="auto"/>
              <w:rPr>
                <w:rFonts w:eastAsia="Times New Roman" w:cs="Calibri"/>
                <w:noProof/>
                <w:szCs w:val="18"/>
              </w:rPr>
            </w:pPr>
            <w:r>
              <w:rPr>
                <w:noProof/>
              </w:rPr>
              <w:t>Finanšu starpnieki ir noslēguši juridiskus finansēšanas nolīgumus ar galasaņēmējiem par summu, kas nepieciešama, lai izmantotu 100 % no ANM investīcijām mehānismā “My Home II” (ņemot vērā pārvaldības maksas).</w:t>
            </w:r>
          </w:p>
        </w:tc>
      </w:tr>
      <w:tr w:rsidR="00CB0FCB" w14:paraId="157787D8" w14:textId="77777777">
        <w:trPr>
          <w:trHeight w:val="314"/>
          <w:jc w:val="center"/>
        </w:trPr>
        <w:tc>
          <w:tcPr>
            <w:tcW w:w="704" w:type="dxa"/>
            <w:shd w:val="clear" w:color="auto" w:fill="C6EFCE"/>
            <w:noWrap/>
          </w:tcPr>
          <w:p w14:paraId="17D72064" w14:textId="10A7C5F7" w:rsidR="00CB0FCB" w:rsidRDefault="009D2B11">
            <w:pPr>
              <w:pStyle w:val="P68B1DB1-Normal9"/>
              <w:spacing w:after="0" w:line="240" w:lineRule="auto"/>
              <w:rPr>
                <w:rFonts w:eastAsia="Times New Roman" w:cs="Calibri"/>
                <w:noProof/>
              </w:rPr>
            </w:pPr>
            <w:r>
              <w:rPr>
                <w:noProof/>
              </w:rPr>
              <w:t>381</w:t>
            </w:r>
          </w:p>
        </w:tc>
        <w:tc>
          <w:tcPr>
            <w:tcW w:w="1701" w:type="dxa"/>
            <w:shd w:val="clear" w:color="auto" w:fill="C6EFCE"/>
            <w:noWrap/>
          </w:tcPr>
          <w:p w14:paraId="33025A25" w14:textId="77777777" w:rsidR="00CB0FCB" w:rsidRDefault="009D2B11">
            <w:pPr>
              <w:pStyle w:val="P68B1DB1-Normal9"/>
              <w:spacing w:after="0" w:line="240" w:lineRule="auto"/>
              <w:rPr>
                <w:noProof/>
              </w:rPr>
            </w:pPr>
            <w:r>
              <w:rPr>
                <w:noProof/>
              </w:rPr>
              <w:t>11–3.4. Palielināt piekļuvi efektīvai un iekļaujošai sociālajai politikai — 16400_ Pieejamu mājokļu programma “Mans mājoklis II”</w:t>
            </w:r>
          </w:p>
        </w:tc>
        <w:tc>
          <w:tcPr>
            <w:tcW w:w="1070" w:type="dxa"/>
            <w:shd w:val="clear" w:color="auto" w:fill="C6EFCE"/>
            <w:noWrap/>
          </w:tcPr>
          <w:p w14:paraId="7C4911A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0" w:type="dxa"/>
            <w:shd w:val="clear" w:color="auto" w:fill="C6EFCE"/>
            <w:noWrap/>
          </w:tcPr>
          <w:p w14:paraId="1A376088" w14:textId="77777777" w:rsidR="00CB0FCB" w:rsidRDefault="009D2B11">
            <w:pPr>
              <w:pStyle w:val="P68B1DB1-Normal9"/>
              <w:spacing w:after="0" w:line="240" w:lineRule="auto"/>
              <w:rPr>
                <w:rFonts w:eastAsia="Times New Roman" w:cs="Calibri"/>
                <w:noProof/>
                <w:szCs w:val="18"/>
              </w:rPr>
            </w:pPr>
            <w:r>
              <w:rPr>
                <w:noProof/>
              </w:rPr>
              <w:t>Mana izcelsmes valsts II — Finanšu ministrija ir pabeigusi ieguldījumu</w:t>
            </w:r>
          </w:p>
        </w:tc>
        <w:tc>
          <w:tcPr>
            <w:tcW w:w="1440" w:type="dxa"/>
            <w:shd w:val="clear" w:color="auto" w:fill="C6EFCE"/>
            <w:noWrap/>
          </w:tcPr>
          <w:p w14:paraId="597EF6AE" w14:textId="77777777" w:rsidR="00CB0FCB" w:rsidRDefault="009D2B11">
            <w:pPr>
              <w:pStyle w:val="P68B1DB1-Normal9"/>
              <w:spacing w:after="0" w:line="240" w:lineRule="auto"/>
              <w:rPr>
                <w:rFonts w:eastAsia="Times New Roman" w:cs="Calibri"/>
                <w:noProof/>
                <w:szCs w:val="18"/>
              </w:rPr>
            </w:pPr>
            <w:r>
              <w:rPr>
                <w:noProof/>
              </w:rPr>
              <w:t xml:space="preserve">Nodošanas sertifikāts </w:t>
            </w:r>
          </w:p>
        </w:tc>
        <w:tc>
          <w:tcPr>
            <w:tcW w:w="1080" w:type="dxa"/>
            <w:shd w:val="clear" w:color="auto" w:fill="C6EFCE"/>
            <w:noWrap/>
          </w:tcPr>
          <w:p w14:paraId="76CA50AB" w14:textId="77777777" w:rsidR="00CB0FCB" w:rsidRDefault="00CB0FCB">
            <w:pPr>
              <w:spacing w:after="0" w:line="240" w:lineRule="auto"/>
              <w:rPr>
                <w:rFonts w:eastAsia="Times New Roman" w:cs="Calibri"/>
                <w:noProof/>
                <w:color w:val="006100"/>
                <w:sz w:val="18"/>
                <w:szCs w:val="18"/>
              </w:rPr>
            </w:pPr>
          </w:p>
        </w:tc>
        <w:tc>
          <w:tcPr>
            <w:tcW w:w="1200" w:type="dxa"/>
            <w:shd w:val="clear" w:color="auto" w:fill="C6EFCE"/>
            <w:noWrap/>
          </w:tcPr>
          <w:p w14:paraId="4A8599B2" w14:textId="77777777" w:rsidR="00CB0FCB" w:rsidRDefault="00CB0FCB">
            <w:pPr>
              <w:spacing w:after="0" w:line="240" w:lineRule="auto"/>
              <w:rPr>
                <w:rFonts w:eastAsia="Times New Roman" w:cs="Calibri"/>
                <w:noProof/>
                <w:color w:val="006100"/>
                <w:sz w:val="18"/>
                <w:szCs w:val="18"/>
              </w:rPr>
            </w:pPr>
          </w:p>
        </w:tc>
        <w:tc>
          <w:tcPr>
            <w:tcW w:w="840" w:type="dxa"/>
            <w:shd w:val="clear" w:color="auto" w:fill="C6EFCE"/>
            <w:noWrap/>
          </w:tcPr>
          <w:p w14:paraId="026618F6" w14:textId="77777777" w:rsidR="00CB0FCB" w:rsidRDefault="00CB0FCB">
            <w:pPr>
              <w:spacing w:after="0" w:line="240" w:lineRule="auto"/>
              <w:rPr>
                <w:rFonts w:eastAsia="Times New Roman" w:cs="Calibri"/>
                <w:noProof/>
                <w:color w:val="006100"/>
                <w:sz w:val="18"/>
                <w:szCs w:val="18"/>
              </w:rPr>
            </w:pPr>
          </w:p>
        </w:tc>
        <w:tc>
          <w:tcPr>
            <w:tcW w:w="1080" w:type="dxa"/>
            <w:shd w:val="clear" w:color="auto" w:fill="C6EFCE"/>
            <w:noWrap/>
          </w:tcPr>
          <w:p w14:paraId="21D839EF"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shd w:val="clear" w:color="auto" w:fill="C6EFCE"/>
            <w:noWrap/>
          </w:tcPr>
          <w:p w14:paraId="7F3351E0" w14:textId="77777777" w:rsidR="00CB0FCB" w:rsidRDefault="009D2B11">
            <w:pPr>
              <w:pStyle w:val="P68B1DB1-Normal9"/>
              <w:spacing w:after="0" w:line="240" w:lineRule="auto"/>
              <w:rPr>
                <w:rFonts w:eastAsia="Times New Roman" w:cs="Calibri"/>
                <w:noProof/>
                <w:szCs w:val="18"/>
              </w:rPr>
            </w:pPr>
            <w:r>
              <w:rPr>
                <w:noProof/>
              </w:rPr>
              <w:t>2026</w:t>
            </w:r>
          </w:p>
        </w:tc>
        <w:tc>
          <w:tcPr>
            <w:tcW w:w="4608" w:type="dxa"/>
            <w:shd w:val="clear" w:color="auto" w:fill="C6EFCE"/>
            <w:noWrap/>
          </w:tcPr>
          <w:p w14:paraId="6ED8FD3A" w14:textId="77777777" w:rsidR="00CB0FCB" w:rsidRDefault="009D2B11">
            <w:pPr>
              <w:pStyle w:val="P68B1DB1-Normal9"/>
              <w:spacing w:after="0" w:line="240" w:lineRule="auto"/>
              <w:rPr>
                <w:rFonts w:eastAsia="Times New Roman" w:cs="Calibri"/>
                <w:noProof/>
                <w:szCs w:val="18"/>
              </w:rPr>
            </w:pPr>
            <w:r>
              <w:rPr>
                <w:noProof/>
              </w:rPr>
              <w:t>Grieķija pārskaita EUR 1000 miljonus Grieķijas Attīstības bankai mehānisma vajadzībām.</w:t>
            </w:r>
          </w:p>
        </w:tc>
      </w:tr>
    </w:tbl>
    <w:p w14:paraId="7C787F88" w14:textId="77777777" w:rsidR="00CB0FCB" w:rsidRDefault="00CB0FCB">
      <w:pPr>
        <w:spacing w:before="120" w:after="120" w:line="240" w:lineRule="auto"/>
        <w:jc w:val="both"/>
        <w:rPr>
          <w:rFonts w:ascii="Times New Roman" w:hAnsi="Times New Roman" w:cs="Times New Roman"/>
          <w:noProof/>
          <w:sz w:val="24"/>
        </w:rPr>
        <w:sectPr w:rsidR="00CB0FCB" w:rsidSect="004E363A">
          <w:headerReference w:type="even" r:id="rId205"/>
          <w:headerReference w:type="default" r:id="rId206"/>
          <w:footerReference w:type="even" r:id="rId207"/>
          <w:footerReference w:type="default" r:id="rId208"/>
          <w:headerReference w:type="first" r:id="rId209"/>
          <w:footerReference w:type="first" r:id="rId210"/>
          <w:pgSz w:w="16839" w:h="11907" w:orient="landscape"/>
          <w:pgMar w:top="720" w:right="720" w:bottom="720" w:left="720" w:header="709" w:footer="75" w:gutter="0"/>
          <w:cols w:space="720"/>
          <w:docGrid w:linePitch="360"/>
        </w:sectPr>
      </w:pPr>
    </w:p>
    <w:p w14:paraId="35C18A87" w14:textId="77777777" w:rsidR="00CB0FCB" w:rsidRDefault="009D2B11">
      <w:pPr>
        <w:pStyle w:val="P68B1DB1-Normal2"/>
        <w:spacing w:before="120" w:after="120" w:line="240" w:lineRule="auto"/>
        <w:ind w:firstLine="6"/>
        <w:jc w:val="both"/>
        <w:outlineLvl w:val="3"/>
        <w:rPr>
          <w:rFonts w:cs="Times New Roman"/>
          <w:noProof/>
          <w:szCs w:val="24"/>
        </w:rPr>
      </w:pPr>
      <w:r>
        <w:rPr>
          <w:noProof/>
        </w:rPr>
        <w:t>L. 4.1. SASTĀVDAĻA: PADARĪT NODOKĻUS LABVĒLĪGĀKUS IZAUGSMEI UN UZLABOT NODOKĻU ADMINISTRĒŠANU UN NODOKĻU IEKASĒŠANU</w:t>
      </w:r>
    </w:p>
    <w:p w14:paraId="5CEC3C46" w14:textId="77777777" w:rsidR="00CB0FCB" w:rsidRDefault="009D2B11">
      <w:pPr>
        <w:pStyle w:val="P68B1DB1-Normal4"/>
        <w:spacing w:before="120" w:after="120" w:line="240" w:lineRule="auto"/>
        <w:jc w:val="both"/>
        <w:rPr>
          <w:rFonts w:cs="Times New Roman"/>
          <w:noProof/>
        </w:rPr>
      </w:pPr>
      <w:r>
        <w:rPr>
          <w:noProof/>
        </w:rPr>
        <w:t>Šis Grieķijas atveseļošanas un noturības plāna komponents ietver mērķtiecīgas reformas un investīcijas, kuru mērķis ir turpināt uzlabot valsts ieņēmumu administrācijas darbību un cīnīties pret izvairīšanos no nodokļu maksāšanas. Pirmkārt, šis komponents ietver nodokļu politikas reformas, lai atvieglotu nodokļu tiesību aktu kodifikāciju, kā arī ieviestu stimulus elektronisko darījumu veicināšanai, veicinātu zaļās un digitālās privātās investīcijas un palielinātu uzņēmumu lielumu. Otrkārt, komponents ietver reformas un investīcijas, kuru mērķis ir pārveidot valsts ieņēmumu pārvaldi, digitalizējot procesus un ieviešot likumdošanas iniciatīvas, lai apkarotu kontrabandu un veicinātu PVN atmaksas paātrināšanu.</w:t>
      </w:r>
    </w:p>
    <w:p w14:paraId="6DD14476" w14:textId="77777777" w:rsidR="00CB0FCB" w:rsidRDefault="009D2B11">
      <w:pPr>
        <w:pStyle w:val="P68B1DB1-Normal4"/>
        <w:spacing w:before="120" w:after="120" w:line="240" w:lineRule="auto"/>
        <w:jc w:val="both"/>
        <w:rPr>
          <w:rFonts w:cs="Times New Roman"/>
          <w:noProof/>
        </w:rPr>
      </w:pPr>
      <w:r>
        <w:rPr>
          <w:noProof/>
        </w:rPr>
        <w:t>Komponents veicina digitālo pārkārtošanos, aizstājot un modernizējot Neatkarīgās publisko ieņēmumu iestādes (IAPR) digitālās pamatsistēmas, ieviešot automatizētus birojus un darba procesus, digitalizējot revīzijas un kontroles, kā arī atjauninot un uzlabojot nodokļu maksātāju e-pakalpojumus.</w:t>
      </w:r>
    </w:p>
    <w:p w14:paraId="103C4673" w14:textId="77777777" w:rsidR="00CB0FCB" w:rsidRDefault="00CB0FCB">
      <w:pPr>
        <w:spacing w:before="120" w:after="120" w:line="240" w:lineRule="auto"/>
        <w:jc w:val="both"/>
        <w:rPr>
          <w:rFonts w:ascii="Times New Roman" w:hAnsi="Times New Roman" w:cs="Times New Roman"/>
          <w:noProof/>
          <w:sz w:val="24"/>
        </w:rPr>
      </w:pPr>
    </w:p>
    <w:p w14:paraId="73676CAF" w14:textId="77777777" w:rsidR="00CB0FCB" w:rsidRDefault="009D2B11">
      <w:pPr>
        <w:pStyle w:val="P68B1DB1-Normal4"/>
        <w:spacing w:before="120" w:after="120" w:line="240" w:lineRule="auto"/>
        <w:jc w:val="both"/>
        <w:rPr>
          <w:rFonts w:cs="Times New Roman"/>
          <w:noProof/>
          <w:szCs w:val="24"/>
        </w:rPr>
      </w:pPr>
      <w:r>
        <w:rPr>
          <w:noProof/>
        </w:rPr>
        <w:t>Šis komponents palīdz īstenot konkrētai valstij adresētos ieteikumus par publiskajām un privātajām investīcijām (2020. gada konkrētai valstij adresētais ieteikums Nr. 3), strukturālajām reformām ekonomikas darbības uzlabošanai (2020. gada konkrētai valstij adresētais ieteikums Nr. 4) un par nodokļu politiku un nodokļu administrāciju (2022. gada konkrētai valstij adresētais ieteikums Nr. 1 un 2023. gada konkrētai valstij adresētais ieteikums Nr. 1).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61C17DA4"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L.1. </w:t>
      </w:r>
      <w:r>
        <w:rPr>
          <w:noProof/>
        </w:rPr>
        <w:t xml:space="preserve"> </w:t>
      </w:r>
      <w:r>
        <w:rPr>
          <w:rFonts w:ascii="Times New Roman" w:hAnsi="Times New Roman"/>
          <w:b/>
          <w:noProof/>
          <w:sz w:val="24"/>
          <w:u w:val="single"/>
        </w:rPr>
        <w:t>Reformu un investīciju apraksts neatmaksājamam finansiālajam atbalstam</w:t>
      </w:r>
    </w:p>
    <w:p w14:paraId="56FDF762" w14:textId="77777777" w:rsidR="00CB0FCB" w:rsidRDefault="009D2B11">
      <w:pPr>
        <w:pStyle w:val="P68B1DB1-Normal5"/>
        <w:spacing w:before="120" w:after="120" w:line="240" w:lineRule="auto"/>
        <w:jc w:val="both"/>
        <w:rPr>
          <w:rFonts w:cs="Times New Roman"/>
          <w:noProof/>
        </w:rPr>
      </w:pPr>
      <w:r>
        <w:rPr>
          <w:b/>
          <w:noProof/>
        </w:rPr>
        <w:t>Ieguldījums:</w:t>
      </w:r>
      <w:r>
        <w:rPr>
          <w:noProof/>
        </w:rPr>
        <w:t xml:space="preserve"> Nodokļu revīziju digitālā pārveide (pasākums ID 16611)</w:t>
      </w:r>
    </w:p>
    <w:p w14:paraId="68085FA3" w14:textId="77777777" w:rsidR="00CB0FCB" w:rsidRDefault="009D2B11">
      <w:pPr>
        <w:pStyle w:val="P68B1DB1-Normal22"/>
        <w:spacing w:before="120" w:after="120" w:line="240" w:lineRule="auto"/>
        <w:jc w:val="both"/>
        <w:rPr>
          <w:rFonts w:ascii="Times New Roman" w:hAnsi="Times New Roman" w:cs="Times New Roman"/>
          <w:noProof/>
        </w:rPr>
      </w:pPr>
      <w:r>
        <w:rPr>
          <w:rFonts w:ascii="Times New Roman" w:hAnsi="Times New Roman"/>
          <w:noProof/>
        </w:rPr>
        <w:t>Investīciju mērķis ir i) atvieglot nodokļu deklarāciju automātisku aizpildīšanu, ii) uzlabot nodokļu revīziju efektivitāti, iii) uzlabot publisko ieņēmumu iekasēšanu un iv) palielināt nodokļu revīziju efektivitāti un apkarot kontrabandu.</w:t>
      </w:r>
      <w:r>
        <w:rPr>
          <w:rFonts w:asciiTheme="minorHAnsi" w:eastAsiaTheme="minorEastAsia" w:hAnsiTheme="minorHAnsi" w:cstheme="minorBidi"/>
          <w:noProof/>
        </w:rPr>
        <w:t xml:space="preserve"> </w:t>
      </w:r>
      <w:r>
        <w:rPr>
          <w:rFonts w:ascii="Times New Roman" w:hAnsi="Times New Roman"/>
          <w:noProof/>
        </w:rPr>
        <w:t>IAPR izmanto miDATA iespēju elektroniskai grāmatvedībai, elektroniskajiem rēķiniem un visu nodokļu kases reģistru savienošanai ar tās IT sistēmām. IAPR arī uzlabo savu iekšējo datu izmantošanu un ievieš mākslīgā intelekta rīkus.  Projekts ietver spēcīgas datu arhitektūras pieņemšanu, kopīga metadatu repozitorija izstrādi, piemērotu programmatūras risinājumu nodrošināšanu, mākslīgā intelekta metožu un rīku izstrādi un mašīnmācīšanās izmantošanu lielo datu iegūšanai. Investīciju īstenošanu pabeidz līdz 2025. gada 31. decembrim.</w:t>
      </w:r>
    </w:p>
    <w:p w14:paraId="2449E5C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Nodokļu tiesību aktu kodifikācija un vienkāršošana (pasākums ID 16643)</w:t>
      </w:r>
    </w:p>
    <w:p w14:paraId="358C21A9" w14:textId="77777777" w:rsidR="00CB0FCB" w:rsidRDefault="009D2B11">
      <w:pPr>
        <w:pStyle w:val="P68B1DB1-Normal4"/>
        <w:spacing w:before="120" w:after="120" w:line="240" w:lineRule="auto"/>
        <w:jc w:val="both"/>
        <w:rPr>
          <w:noProof/>
        </w:rPr>
      </w:pPr>
      <w:r>
        <w:rPr>
          <w:noProof/>
        </w:rPr>
        <w:t xml:space="preserve">Finanšu ministrija un IAPR vienkāršo un atjaunina tiesību aktus par galvenajiem nodokļu kodeksiem, muitas kodeksu un visām attiecīgajām sekundārajām tiesību normām saskaņā ar ES paraugpraksi. Saskaņā ar IAPR Pamatlikumu 4389/2016 IAPR uzņemas atbildību par Nodokļu procedūras kodeksa, gubernatora lēmumu un Ieņēmumu administrācijas apkārtrakstu </w:t>
      </w:r>
      <w:r>
        <w:rPr>
          <w:noProof/>
          <w:color w:val="000000"/>
        </w:rPr>
        <w:t>atjaunināšanu</w:t>
      </w:r>
      <w:r>
        <w:rPr>
          <w:noProof/>
        </w:rPr>
        <w:t xml:space="preserve"> un modernizēšanu, tostarp nodokļu administrācijas digitalizācijai un vienkāršošanai nepieciešamo grozījumu izstrādi. </w:t>
      </w:r>
    </w:p>
    <w:p w14:paraId="3CC9623A" w14:textId="77777777" w:rsidR="00CB0FCB" w:rsidRDefault="009D2B11">
      <w:pPr>
        <w:pStyle w:val="P68B1DB1-Normal4"/>
        <w:rPr>
          <w:noProof/>
        </w:rPr>
      </w:pPr>
      <w:r>
        <w:rPr>
          <w:noProof/>
        </w:rPr>
        <w:br w:type="page"/>
      </w:r>
    </w:p>
    <w:p w14:paraId="4200DCE8" w14:textId="0E976BB9" w:rsidR="00CB0FCB" w:rsidRDefault="009D2B11">
      <w:pPr>
        <w:pStyle w:val="P68B1DB1-Normal4"/>
        <w:spacing w:before="120" w:after="120" w:line="240" w:lineRule="auto"/>
        <w:jc w:val="both"/>
        <w:rPr>
          <w:rFonts w:cs="Times New Roman"/>
          <w:noProof/>
        </w:rPr>
      </w:pPr>
      <w:r>
        <w:rPr>
          <w:noProof/>
        </w:rPr>
        <w:t>Finanšu ministrija un IAPR nodrošina arī satura pārvaldības sistēmu un īpašu tīmekļa vietni nodokļu maksātāju informācijai, tādējādi uzlabojot pārredzamību, juridisko noteiktību, nodokļu saistību izpildi un uzņēmējdarbības vidi. Reformas īstenošanu pabeidz līdz 2025. gada 31. decembrim.</w:t>
      </w:r>
    </w:p>
    <w:p w14:paraId="3627936A"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PVN atmaksas paātrināšanas veicināšana (pasākums ID 16610)</w:t>
      </w:r>
    </w:p>
    <w:p w14:paraId="274F08E6" w14:textId="77777777" w:rsidR="00CB0FCB" w:rsidRDefault="009D2B11">
      <w:pPr>
        <w:pStyle w:val="P68B1DB1-Normal5"/>
        <w:spacing w:before="120" w:after="120" w:line="240" w:lineRule="auto"/>
        <w:jc w:val="both"/>
        <w:rPr>
          <w:rFonts w:ascii="card" w:hAnsi="card" w:cs="Times New Roman"/>
          <w:noProof/>
        </w:rPr>
      </w:pPr>
      <w:r>
        <w:rPr>
          <w:noProof/>
        </w:rPr>
        <w:t>IAPR vienkāršo PVN atmaksas administratīvos procesus uzņēmumiem, ieviešot automatizētas PVN atmaksas procedūras, elektroniski iesniedzot un atvieglojot atmaksas pieprasījumu riska analīzes procesu. Jaunā procesa mērķis ir ierobežot cilvēka iejaukšanos, izmantojot digitālos darījumus, un novērst kavēšanos PVN atmaksāšanā. Reformai ir jāatbilst PVN atmaksas direktīvai (Padomes Direktīva 2008/9/EK). Reformas īstenošanu pabeidz līdz 2023. gada 31. decembrim.</w:t>
      </w:r>
    </w:p>
    <w:p w14:paraId="1E152CA9"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Pasākumu un stimulu pieņemšana, lai palielinātu elektronisko darījumu skaitu (pasākums ID 16616)</w:t>
      </w:r>
    </w:p>
    <w:p w14:paraId="2D5EFF5A" w14:textId="77777777" w:rsidR="00CB0FCB" w:rsidRDefault="009D2B11">
      <w:pPr>
        <w:pStyle w:val="P68B1DB1-Normal4"/>
        <w:spacing w:before="120" w:after="120" w:line="240" w:lineRule="auto"/>
        <w:jc w:val="both"/>
        <w:rPr>
          <w:rFonts w:cs="Times New Roman"/>
          <w:noProof/>
        </w:rPr>
      </w:pPr>
      <w:r>
        <w:rPr>
          <w:noProof/>
        </w:rPr>
        <w:t>Reformas mērķis ir atvieglot administratīvo slogu uzņēmumiem un uzlabot nodokļu saistību izpildi, veicinot elektroniskos darījumus. IAPR izmanto miDATA sistēmu elektroniskai grāmatvedībai, elektroniskajiem rēķiniem un visu nodokļu kases reģistru savienošanai ar tās IT sistēmām, lai atvieglotu nodokļu deklarāciju automātisku aizpildīšanu un uzlabotu nodokļu revīziju efektivitāti. Reformas nodokļu stimulu īstenošanu pabeidz līdz 2023. gada 31. decembrim.</w:t>
      </w:r>
    </w:p>
    <w:p w14:paraId="3076DCC3"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MVU izdevumu pārmērīga atskaitīšana zaļās ekonomikas, enerģētikas un digitālās pārkārtošanās jomā (pasākums ID 16863)</w:t>
      </w:r>
    </w:p>
    <w:p w14:paraId="5B00001A" w14:textId="77777777" w:rsidR="00CB0FCB" w:rsidRDefault="009D2B11">
      <w:pPr>
        <w:pStyle w:val="P68B1DB1-Normal4"/>
        <w:spacing w:before="120" w:after="120" w:line="240" w:lineRule="auto"/>
        <w:jc w:val="both"/>
        <w:rPr>
          <w:rFonts w:cs="Times New Roman"/>
          <w:noProof/>
        </w:rPr>
      </w:pPr>
      <w:r>
        <w:rPr>
          <w:noProof/>
        </w:rPr>
        <w:t>Reforma ietver nodokļu stimulus izdevumu pārmērīgai atskaitīšanai, lai stiprinātu mazo un vidējo uzņēmumu investīcijas aprīkojumā, kas saistīts ar pielāgošanos klimata pārmaiņām, aprites ekonomikas veicināšanu un digitalizāciju. Tas pilnībā atbilst ES valsts atbalsta noteikumiem. Reformas nodokļu stimulu īstenošanu pabeidz līdz 2024. gada 31. decembrim.</w:t>
      </w:r>
    </w:p>
    <w:p w14:paraId="2A10C86D"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Jauns satvars cīņai pret kontrabandu, galvenokārt attiecībā uz akcīzes precēm (tabaku, alkoholu un enerģiju) (pasākums ID 16656)</w:t>
      </w:r>
    </w:p>
    <w:p w14:paraId="60E5D569" w14:textId="77777777" w:rsidR="00CB0FCB" w:rsidRDefault="009D2B11">
      <w:pPr>
        <w:pStyle w:val="P68B1DB1-Normal4"/>
        <w:spacing w:before="120" w:after="120" w:line="240" w:lineRule="auto"/>
        <w:jc w:val="both"/>
        <w:rPr>
          <w:rFonts w:cs="Times New Roman"/>
          <w:noProof/>
        </w:rPr>
      </w:pPr>
      <w:r>
        <w:rPr>
          <w:noProof/>
        </w:rPr>
        <w:t>Reformas mērķis ir atbalstīt cīņu pret kontrabandu, jo īpaši attiecībā uz akcīzes precēm (tabaku, alkoholu, enerģiju), modernizējot muitas izsekošanas sistēmas, revīzijas procesus un aprīkojumu, lai palielinātu kravu revīziju efektivitāti. Tādēļ ir arī jāmodernizē IAPR IT sistēmas, kas vajadzīgas, lai iegūtu informāciju no Eiropas un valstu datubāzēm. Reformas īstenošanu pabeidz līdz 2025. gada 31. decembrim.</w:t>
      </w:r>
    </w:p>
    <w:p w14:paraId="6C3918D9" w14:textId="77777777" w:rsidR="00CB0FCB" w:rsidRDefault="009D2B11">
      <w:pPr>
        <w:pStyle w:val="P68B1DB1-Normal4"/>
        <w:spacing w:before="120" w:after="120" w:line="240" w:lineRule="auto"/>
        <w:jc w:val="both"/>
        <w:rPr>
          <w:rFonts w:cs="Times New Roman"/>
          <w:noProof/>
        </w:rPr>
      </w:pPr>
      <w:r>
        <w:rPr>
          <w:b/>
          <w:noProof/>
        </w:rPr>
        <w:t xml:space="preserve">Reforma: </w:t>
      </w:r>
      <w:r>
        <w:rPr>
          <w:noProof/>
        </w:rPr>
        <w:t>Tiešsaistes kases aparāti un POS (pasākums ID 16614)</w:t>
      </w:r>
    </w:p>
    <w:p w14:paraId="657B38C3" w14:textId="620C3FD8" w:rsidR="00CB0FCB" w:rsidRDefault="009D2B11">
      <w:pPr>
        <w:pStyle w:val="P68B1DB1-Normal5"/>
        <w:spacing w:before="120" w:after="120" w:line="240" w:lineRule="auto"/>
        <w:jc w:val="both"/>
        <w:rPr>
          <w:rFonts w:cs="Times New Roman"/>
          <w:noProof/>
        </w:rPr>
      </w:pPr>
      <w:r>
        <w:rPr>
          <w:noProof/>
        </w:rPr>
        <w:t>IAPR izstrādā sistēmu, lai atvieglotu kases aparātu savienošanu ar pārdošanas vietu (POS) termināļiem un to IT sistēmām. Projektā ietvertais: I) specifikāciju izstrāde kases aparātu savstarpējai savienošanai ar POS termināļiem, lai apliecinātu, ka katrs POS darījums ir jāreģistrē kases reģistrā un iegūtie dati gandrīz reāllaikā jānosūta IAPR; un ii) infrastruktūras un lietojumprogrammu izstrāde kases darījumu uzraudzībai un kontroles mehānisma atbalstam. Pēc tā pabeigšanas pasākuma mērķis ir ierobežot iespēju izvairīties no nodokļu maksāšanas un galu galā samazināt PVN iztrūkumu. Reformas īstenošanu pabeidz līdz 2024. gada 30. jūnijam.</w:t>
      </w:r>
    </w:p>
    <w:p w14:paraId="433D7B77"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Nodokļu un muitas administrācijas digitālā pārveide (pasākums ID 16291)</w:t>
      </w:r>
    </w:p>
    <w:p w14:paraId="28B649EA" w14:textId="342BFE03" w:rsidR="00CB0FCB" w:rsidRDefault="009D2B11">
      <w:pPr>
        <w:pStyle w:val="P68B1DB1-Normal5"/>
        <w:spacing w:before="120" w:after="120" w:line="240" w:lineRule="auto"/>
        <w:jc w:val="both"/>
        <w:rPr>
          <w:rFonts w:cs="Times New Roman"/>
          <w:noProof/>
        </w:rPr>
      </w:pPr>
      <w:r>
        <w:rPr>
          <w:noProof/>
        </w:rPr>
        <w:t>Investīcijas mērķis ir panākt ieņēmumu administrēšanas un pakalpojumu digitālo pārveidi ar mērķi stiprināt IAPR spēju pildīt savus pienākumus kā pilnībā neatkarīgai iestādei (saskaņā ar IAPR pilnvarojuma likumu Nr. 4389/2016) un uzlabot tās vispārējo sniegumu, uzlabojot privātpersonām un uzņēmumiem sniegto pakalpojumu kvalitāti. Ar šo ieguldījumu tiek konsolidēti 13 digitālās infrastruktūras apakšprojekti, kas jāīsteno IAPR un kas iedalīti četrās intervences jomās:</w:t>
      </w:r>
    </w:p>
    <w:p w14:paraId="743E6CFF" w14:textId="77777777" w:rsidR="00CB0FCB" w:rsidRDefault="009D2B11">
      <w:pPr>
        <w:pStyle w:val="P68B1DB1-ListParagraph19"/>
        <w:numPr>
          <w:ilvl w:val="0"/>
          <w:numId w:val="57"/>
        </w:numPr>
        <w:spacing w:before="120" w:after="120" w:line="240" w:lineRule="auto"/>
        <w:ind w:left="426" w:hanging="426"/>
        <w:jc w:val="both"/>
        <w:rPr>
          <w:rFonts w:cs="Times New Roman"/>
          <w:noProof/>
        </w:rPr>
      </w:pPr>
      <w:r>
        <w:rPr>
          <w:noProof/>
        </w:rPr>
        <w:t>Digitālo pamatsistēmu aizstāšana un pakalpojumu sniegšanas funkcionalitātes paplašināšana, tostarp IAPR informācijas sistēmu sadarbspējas mehānismu ieviešana ar banku datu informācijas sistēmām;</w:t>
      </w:r>
    </w:p>
    <w:p w14:paraId="19E86E6C" w14:textId="77777777" w:rsidR="00CB0FCB" w:rsidRDefault="009D2B11">
      <w:pPr>
        <w:pStyle w:val="P68B1DB1-ListParagraph19"/>
        <w:numPr>
          <w:ilvl w:val="0"/>
          <w:numId w:val="57"/>
        </w:numPr>
        <w:spacing w:before="120" w:after="120" w:line="240" w:lineRule="auto"/>
        <w:ind w:left="426" w:hanging="426"/>
        <w:jc w:val="both"/>
        <w:rPr>
          <w:rFonts w:cs="Times New Roman"/>
          <w:noProof/>
        </w:rPr>
      </w:pPr>
      <w:r>
        <w:rPr>
          <w:noProof/>
        </w:rPr>
        <w:t>Biroja un darba procesu automatizācija;</w:t>
      </w:r>
    </w:p>
    <w:p w14:paraId="04E0DB69" w14:textId="77777777" w:rsidR="00CB0FCB" w:rsidRDefault="009D2B11">
      <w:pPr>
        <w:pStyle w:val="P68B1DB1-ListParagraph19"/>
        <w:numPr>
          <w:ilvl w:val="0"/>
          <w:numId w:val="57"/>
        </w:numPr>
        <w:spacing w:before="120" w:after="120" w:line="240" w:lineRule="auto"/>
        <w:ind w:left="426" w:hanging="426"/>
        <w:jc w:val="both"/>
        <w:rPr>
          <w:rFonts w:cs="Times New Roman"/>
          <w:noProof/>
        </w:rPr>
      </w:pPr>
      <w:r>
        <w:rPr>
          <w:noProof/>
        </w:rPr>
        <w:t>Revīziju un kontroļu digitalizācija; un</w:t>
      </w:r>
    </w:p>
    <w:p w14:paraId="414E0B22" w14:textId="77777777" w:rsidR="00CB0FCB" w:rsidRDefault="009D2B11">
      <w:pPr>
        <w:pStyle w:val="P68B1DB1-ListParagraph19"/>
        <w:numPr>
          <w:ilvl w:val="0"/>
          <w:numId w:val="57"/>
        </w:numPr>
        <w:spacing w:before="120" w:after="120" w:line="240" w:lineRule="auto"/>
        <w:ind w:left="426" w:hanging="426"/>
        <w:jc w:val="both"/>
        <w:rPr>
          <w:rFonts w:cs="Times New Roman"/>
          <w:noProof/>
        </w:rPr>
      </w:pPr>
      <w:r>
        <w:rPr>
          <w:noProof/>
        </w:rPr>
        <w:t>Nodokļu maksātāju pakalpojumu uzlabošana.</w:t>
      </w:r>
    </w:p>
    <w:p w14:paraId="6A0DF5D5" w14:textId="77777777" w:rsidR="00CB0FCB" w:rsidRDefault="009D2B11">
      <w:pPr>
        <w:pStyle w:val="P68B1DB1-Normal4"/>
        <w:spacing w:before="120" w:after="120" w:line="240" w:lineRule="auto"/>
        <w:jc w:val="both"/>
        <w:rPr>
          <w:rFonts w:cs="Times New Roman"/>
          <w:noProof/>
        </w:rPr>
      </w:pPr>
      <w:r>
        <w:rPr>
          <w:noProof/>
        </w:rPr>
        <w:t>Investīciju īstenošanu pabeidz līdz 2025. gada 31. decembrim.</w:t>
      </w:r>
    </w:p>
    <w:p w14:paraId="349CEE75" w14:textId="77777777" w:rsidR="00CB0FCB" w:rsidRDefault="009D2B11">
      <w:pPr>
        <w:pStyle w:val="P68B1DB1-Normal4"/>
        <w:spacing w:before="120" w:after="120" w:line="240" w:lineRule="auto"/>
        <w:jc w:val="both"/>
        <w:rPr>
          <w:rFonts w:cs="Times New Roman"/>
          <w:noProof/>
          <w:szCs w:val="24"/>
        </w:rPr>
      </w:pPr>
      <w:r>
        <w:rPr>
          <w:b/>
          <w:noProof/>
        </w:rPr>
        <w:t>Reforma:</w:t>
      </w:r>
      <w:r>
        <w:rPr>
          <w:noProof/>
        </w:rPr>
        <w:t xml:space="preserve"> Izmaiņas Grieķijas nodokļu politikas satvarā (pasākums ID: 16985)</w:t>
      </w:r>
    </w:p>
    <w:p w14:paraId="0374BE92" w14:textId="77777777" w:rsidR="00CB0FCB" w:rsidRDefault="009D2B11">
      <w:pPr>
        <w:pStyle w:val="P68B1DB1-Normal4"/>
        <w:spacing w:before="120" w:after="120" w:line="240" w:lineRule="auto"/>
        <w:jc w:val="both"/>
        <w:rPr>
          <w:rFonts w:cs="Times New Roman"/>
          <w:noProof/>
          <w:szCs w:val="24"/>
        </w:rPr>
      </w:pPr>
      <w:r>
        <w:rPr>
          <w:noProof/>
        </w:rPr>
        <w:t>Reformas mērķis ir apkarot izvairīšanos no nodokļu maksāšanas un uzlabot stimulus, veicinot elektroniskos maksājumus un uzlabojot pašnodarbināto nodokļu struktūru, kā arī uzlabot nodokļu administrācijas darbības autonomiju. Šī reforma jo īpaši: reformēt pašnodarbinātu personu aplikšanu ar nodokļiem un zīmognodevu; II) apkarot izvairīšanos no nodokļu maksāšanas, paplašinot elektronisko maksājumu obligāto pieņemšanu; III) noteikt jaunas ziņošanas prasības attiecībā uz datiem, kas nosūtīti nodokļu administrācijai, un ļaut šos datus izmantot PVN un ienākuma nodokļa vajadzībām; un iv) stiprināt Neatkarīgās valsts ieņēmumu iestādes (IAPR) darbības autonomiju, noturību un klientu apkalpošanas līmeni.</w:t>
      </w:r>
    </w:p>
    <w:p w14:paraId="30BFA621" w14:textId="77777777" w:rsidR="00CB0FCB" w:rsidRDefault="009D2B11">
      <w:pPr>
        <w:pStyle w:val="P68B1DB1-Normal4"/>
        <w:spacing w:before="120" w:after="120" w:line="240" w:lineRule="auto"/>
        <w:jc w:val="both"/>
        <w:rPr>
          <w:rFonts w:cs="Times New Roman"/>
          <w:noProof/>
        </w:rPr>
      </w:pPr>
      <w:r>
        <w:rPr>
          <w:noProof/>
        </w:rPr>
        <w:t>Reformas īstenošanu pabeidz līdz 2024. gada 31. decembrim.</w:t>
      </w:r>
    </w:p>
    <w:p w14:paraId="43551794" w14:textId="77777777" w:rsidR="00CB0FCB" w:rsidRDefault="00CB0FCB">
      <w:pPr>
        <w:spacing w:before="120" w:after="120" w:line="240" w:lineRule="auto"/>
        <w:ind w:left="709"/>
        <w:jc w:val="both"/>
        <w:rPr>
          <w:rFonts w:ascii="Times New Roman" w:hAnsi="Times New Roman" w:cs="Times New Roman"/>
          <w:i/>
          <w:iCs/>
          <w:noProof/>
          <w:color w:val="4F81BD"/>
          <w:sz w:val="24"/>
        </w:rPr>
      </w:pPr>
    </w:p>
    <w:p w14:paraId="32766F92" w14:textId="77777777" w:rsidR="00CB0FCB" w:rsidRDefault="00CB0FCB">
      <w:pPr>
        <w:spacing w:before="120" w:after="120" w:line="240" w:lineRule="auto"/>
        <w:ind w:left="709"/>
        <w:jc w:val="both"/>
        <w:rPr>
          <w:rFonts w:ascii="Times New Roman" w:hAnsi="Times New Roman" w:cs="Times New Roman"/>
          <w:noProof/>
          <w:sz w:val="24"/>
        </w:rPr>
      </w:pPr>
    </w:p>
    <w:p w14:paraId="11303511"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11"/>
          <w:headerReference w:type="default" r:id="rId212"/>
          <w:footerReference w:type="even" r:id="rId213"/>
          <w:footerReference w:type="default" r:id="rId214"/>
          <w:headerReference w:type="first" r:id="rId215"/>
          <w:footerReference w:type="first" r:id="rId216"/>
          <w:pgSz w:w="11907" w:h="16839"/>
          <w:pgMar w:top="1134" w:right="1417" w:bottom="1134" w:left="1417" w:header="709" w:footer="468" w:gutter="0"/>
          <w:cols w:space="720"/>
          <w:docGrid w:linePitch="360"/>
        </w:sectPr>
      </w:pPr>
    </w:p>
    <w:p w14:paraId="01708A65" w14:textId="45A37E29" w:rsidR="00CB0FCB" w:rsidRDefault="009D2B11">
      <w:pPr>
        <w:pStyle w:val="P68B1DB1-Normal25"/>
        <w:spacing w:before="120" w:after="120" w:line="240" w:lineRule="auto"/>
        <w:ind w:left="709"/>
        <w:jc w:val="both"/>
        <w:rPr>
          <w:rFonts w:cs="Times New Roman"/>
          <w:bCs/>
          <w:noProof/>
        </w:rPr>
      </w:pPr>
      <w:r>
        <w:rPr>
          <w:noProof/>
        </w:rPr>
        <w:t>L.2. Starpposma mērķi, mērķrādītāji, rādītāji un neatmaksājama finansiālā atbalsta uzraudzības un īstenošanas grafiks</w:t>
      </w:r>
    </w:p>
    <w:p w14:paraId="557A0787" w14:textId="77777777" w:rsidR="00CB0FCB" w:rsidRDefault="00CB0FCB">
      <w:pPr>
        <w:spacing w:before="120" w:after="120" w:line="240" w:lineRule="auto"/>
        <w:ind w:left="709"/>
        <w:jc w:val="both"/>
        <w:rPr>
          <w:rFonts w:ascii="Times New Roman" w:hAnsi="Times New Roman" w:cs="Times New Roman"/>
          <w:noProof/>
          <w:sz w:val="24"/>
          <w:szCs w:val="24"/>
        </w:rPr>
      </w:pPr>
    </w:p>
    <w:p w14:paraId="457FA0C8" w14:textId="77777777" w:rsidR="00CB0FCB" w:rsidRDefault="009D2B11">
      <w:pPr>
        <w:pStyle w:val="P68B1DB1-Normal6"/>
        <w:keepNext/>
        <w:keepLines/>
        <w:spacing w:before="40" w:after="0" w:line="240" w:lineRule="auto"/>
        <w:jc w:val="both"/>
        <w:outlineLvl w:val="4"/>
        <w:rPr>
          <w:noProof/>
        </w:rPr>
      </w:pPr>
      <w:r>
        <w:rPr>
          <w:noProof/>
        </w:rPr>
        <w:t>Galvenā reforma Nr. 8: Tiešsaistes kases aparāti un POS</w:t>
      </w:r>
    </w:p>
    <w:p w14:paraId="4C47FCAF"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540"/>
        <w:gridCol w:w="1807"/>
        <w:gridCol w:w="1550"/>
        <w:gridCol w:w="2363"/>
        <w:gridCol w:w="1200"/>
        <w:gridCol w:w="1396"/>
        <w:gridCol w:w="960"/>
        <w:gridCol w:w="1080"/>
        <w:gridCol w:w="840"/>
        <w:gridCol w:w="3396"/>
      </w:tblGrid>
      <w:tr w:rsidR="00CB0FCB" w14:paraId="08D2C208" w14:textId="77777777">
        <w:trPr>
          <w:trHeight w:val="798"/>
          <w:tblHeader/>
          <w:jc w:val="center"/>
        </w:trPr>
        <w:tc>
          <w:tcPr>
            <w:tcW w:w="1027" w:type="dxa"/>
            <w:vMerge w:val="restart"/>
            <w:shd w:val="clear" w:color="auto" w:fill="BDD7EE"/>
            <w:vAlign w:val="center"/>
            <w:hideMark/>
          </w:tcPr>
          <w:p w14:paraId="00B5B239"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289" w:type="dxa"/>
            <w:vMerge w:val="restart"/>
            <w:shd w:val="clear" w:color="auto" w:fill="BDD7EE"/>
            <w:vAlign w:val="center"/>
            <w:hideMark/>
          </w:tcPr>
          <w:p w14:paraId="5582F6B8"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shd w:val="clear" w:color="auto" w:fill="BDD7EE"/>
            <w:vAlign w:val="center"/>
            <w:hideMark/>
          </w:tcPr>
          <w:p w14:paraId="1C3FCBA9"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550" w:type="dxa"/>
            <w:vMerge w:val="restart"/>
            <w:shd w:val="clear" w:color="auto" w:fill="BDD7EE"/>
            <w:vAlign w:val="center"/>
            <w:hideMark/>
          </w:tcPr>
          <w:p w14:paraId="5674D707"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2363" w:type="dxa"/>
            <w:vMerge w:val="restart"/>
            <w:shd w:val="clear" w:color="auto" w:fill="BDD7EE"/>
            <w:vAlign w:val="center"/>
            <w:hideMark/>
          </w:tcPr>
          <w:p w14:paraId="5B6A1011"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Kvalitatīvie rādītāji </w:t>
            </w:r>
            <w:r>
              <w:rPr>
                <w:noProof/>
                <w:sz w:val="24"/>
              </w:rPr>
              <w:t xml:space="preserve"> </w:t>
            </w:r>
            <w:r>
              <w:rPr>
                <w:b/>
                <w:noProof/>
                <w:sz w:val="18"/>
              </w:rPr>
              <w:t>(atskaites punktiem)</w:t>
            </w:r>
          </w:p>
        </w:tc>
        <w:tc>
          <w:tcPr>
            <w:tcW w:w="3360" w:type="dxa"/>
            <w:gridSpan w:val="3"/>
            <w:shd w:val="clear" w:color="auto" w:fill="BDD7EE"/>
            <w:vAlign w:val="center"/>
            <w:hideMark/>
          </w:tcPr>
          <w:p w14:paraId="0EF744EE"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Kvantitatīvie rādītāji </w:t>
            </w:r>
            <w:r>
              <w:rPr>
                <w:noProof/>
                <w:sz w:val="24"/>
              </w:rPr>
              <w:t xml:space="preserve"> </w:t>
            </w:r>
            <w:r>
              <w:rPr>
                <w:b/>
                <w:noProof/>
                <w:sz w:val="18"/>
              </w:rPr>
              <w:t>(mērķrādītājiem)</w:t>
            </w:r>
          </w:p>
        </w:tc>
        <w:tc>
          <w:tcPr>
            <w:tcW w:w="1920" w:type="dxa"/>
            <w:gridSpan w:val="2"/>
            <w:shd w:val="clear" w:color="auto" w:fill="BDD7EE"/>
            <w:vAlign w:val="center"/>
            <w:hideMark/>
          </w:tcPr>
          <w:p w14:paraId="3F1C0F64"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396" w:type="dxa"/>
            <w:vMerge w:val="restart"/>
            <w:shd w:val="clear" w:color="auto" w:fill="BDD7EE"/>
            <w:vAlign w:val="center"/>
            <w:hideMark/>
          </w:tcPr>
          <w:p w14:paraId="32873A42"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7708BAD7" w14:textId="77777777">
        <w:trPr>
          <w:trHeight w:val="441"/>
          <w:jc w:val="center"/>
        </w:trPr>
        <w:tc>
          <w:tcPr>
            <w:tcW w:w="1027" w:type="dxa"/>
            <w:vMerge/>
            <w:vAlign w:val="center"/>
            <w:hideMark/>
          </w:tcPr>
          <w:p w14:paraId="186A6E65" w14:textId="77777777" w:rsidR="00CB0FCB" w:rsidRDefault="00CB0FCB">
            <w:pPr>
              <w:spacing w:after="0" w:line="240" w:lineRule="auto"/>
              <w:rPr>
                <w:rFonts w:ascii="Times New Roman" w:eastAsia="Times New Roman" w:hAnsi="Times New Roman" w:cs="Times New Roman"/>
                <w:b/>
                <w:noProof/>
                <w:sz w:val="18"/>
                <w:szCs w:val="18"/>
              </w:rPr>
            </w:pPr>
          </w:p>
        </w:tc>
        <w:tc>
          <w:tcPr>
            <w:tcW w:w="1289" w:type="dxa"/>
            <w:vMerge/>
            <w:vAlign w:val="center"/>
            <w:hideMark/>
          </w:tcPr>
          <w:p w14:paraId="4619E917" w14:textId="77777777" w:rsidR="00CB0FCB" w:rsidRDefault="00CB0FCB">
            <w:pPr>
              <w:spacing w:after="0" w:line="240" w:lineRule="auto"/>
              <w:rPr>
                <w:rFonts w:ascii="Times New Roman" w:eastAsia="Times New Roman" w:hAnsi="Times New Roman" w:cs="Times New Roman"/>
                <w:b/>
                <w:noProof/>
                <w:sz w:val="18"/>
                <w:szCs w:val="18"/>
              </w:rPr>
            </w:pPr>
          </w:p>
        </w:tc>
        <w:tc>
          <w:tcPr>
            <w:tcW w:w="966" w:type="dxa"/>
            <w:vMerge/>
            <w:vAlign w:val="center"/>
            <w:hideMark/>
          </w:tcPr>
          <w:p w14:paraId="6B0FED5F" w14:textId="77777777" w:rsidR="00CB0FCB" w:rsidRDefault="00CB0FCB">
            <w:pPr>
              <w:spacing w:after="0" w:line="240" w:lineRule="auto"/>
              <w:rPr>
                <w:rFonts w:ascii="Times New Roman" w:eastAsia="Times New Roman" w:hAnsi="Times New Roman" w:cs="Times New Roman"/>
                <w:b/>
                <w:noProof/>
                <w:sz w:val="18"/>
                <w:szCs w:val="18"/>
              </w:rPr>
            </w:pPr>
          </w:p>
        </w:tc>
        <w:tc>
          <w:tcPr>
            <w:tcW w:w="1550" w:type="dxa"/>
            <w:vMerge/>
            <w:vAlign w:val="center"/>
            <w:hideMark/>
          </w:tcPr>
          <w:p w14:paraId="5D12436E" w14:textId="77777777" w:rsidR="00CB0FCB" w:rsidRDefault="00CB0FCB">
            <w:pPr>
              <w:spacing w:after="0" w:line="240" w:lineRule="auto"/>
              <w:rPr>
                <w:rFonts w:ascii="Times New Roman" w:eastAsia="Times New Roman" w:hAnsi="Times New Roman" w:cs="Times New Roman"/>
                <w:b/>
                <w:noProof/>
                <w:sz w:val="18"/>
                <w:szCs w:val="18"/>
              </w:rPr>
            </w:pPr>
          </w:p>
        </w:tc>
        <w:tc>
          <w:tcPr>
            <w:tcW w:w="2363" w:type="dxa"/>
            <w:vMerge/>
            <w:vAlign w:val="center"/>
            <w:hideMark/>
          </w:tcPr>
          <w:p w14:paraId="20B1BEC9" w14:textId="77777777" w:rsidR="00CB0FCB" w:rsidRDefault="00CB0FCB">
            <w:pPr>
              <w:spacing w:after="0" w:line="240" w:lineRule="auto"/>
              <w:rPr>
                <w:rFonts w:ascii="Times New Roman" w:eastAsia="Times New Roman" w:hAnsi="Times New Roman" w:cs="Times New Roman"/>
                <w:b/>
                <w:noProof/>
                <w:sz w:val="18"/>
                <w:szCs w:val="18"/>
              </w:rPr>
            </w:pPr>
          </w:p>
        </w:tc>
        <w:tc>
          <w:tcPr>
            <w:tcW w:w="1200" w:type="dxa"/>
            <w:shd w:val="clear" w:color="auto" w:fill="BDD7EE"/>
            <w:vAlign w:val="center"/>
            <w:hideMark/>
          </w:tcPr>
          <w:p w14:paraId="5DF0E71B"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1200" w:type="dxa"/>
            <w:shd w:val="clear" w:color="auto" w:fill="BDD7EE"/>
            <w:vAlign w:val="center"/>
            <w:hideMark/>
          </w:tcPr>
          <w:p w14:paraId="7DDED896"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960" w:type="dxa"/>
            <w:shd w:val="clear" w:color="auto" w:fill="BDD7EE"/>
            <w:vAlign w:val="center"/>
            <w:hideMark/>
          </w:tcPr>
          <w:p w14:paraId="6927F444"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1080" w:type="dxa"/>
            <w:shd w:val="clear" w:color="auto" w:fill="BDD7EE"/>
            <w:vAlign w:val="center"/>
            <w:hideMark/>
          </w:tcPr>
          <w:p w14:paraId="3CD2C59F"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840" w:type="dxa"/>
            <w:shd w:val="clear" w:color="auto" w:fill="BDD7EE"/>
            <w:vAlign w:val="center"/>
            <w:hideMark/>
          </w:tcPr>
          <w:p w14:paraId="7CF43455"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396" w:type="dxa"/>
            <w:vMerge/>
            <w:vAlign w:val="center"/>
            <w:hideMark/>
          </w:tcPr>
          <w:p w14:paraId="3F889D56" w14:textId="77777777" w:rsidR="00CB0FCB" w:rsidRDefault="00CB0FCB">
            <w:pPr>
              <w:spacing w:after="0" w:line="240" w:lineRule="auto"/>
              <w:rPr>
                <w:rFonts w:ascii="Times New Roman" w:eastAsia="Times New Roman" w:hAnsi="Times New Roman" w:cs="Times New Roman"/>
                <w:b/>
                <w:noProof/>
                <w:sz w:val="18"/>
                <w:szCs w:val="18"/>
              </w:rPr>
            </w:pPr>
          </w:p>
        </w:tc>
      </w:tr>
      <w:tr w:rsidR="00CB0FCB" w14:paraId="280646F3" w14:textId="77777777">
        <w:trPr>
          <w:trHeight w:val="309"/>
          <w:jc w:val="center"/>
        </w:trPr>
        <w:tc>
          <w:tcPr>
            <w:tcW w:w="1027" w:type="dxa"/>
            <w:shd w:val="clear" w:color="auto" w:fill="C6EFCE"/>
            <w:noWrap/>
          </w:tcPr>
          <w:p w14:paraId="24F4B8B4" w14:textId="77777777" w:rsidR="00CB0FCB" w:rsidRDefault="009D2B11">
            <w:pPr>
              <w:pStyle w:val="P68B1DB1-Normal9"/>
              <w:spacing w:after="0" w:line="240" w:lineRule="auto"/>
              <w:rPr>
                <w:rFonts w:eastAsia="Times New Roman" w:cs="Calibri"/>
                <w:noProof/>
                <w:szCs w:val="18"/>
              </w:rPr>
            </w:pPr>
            <w:r>
              <w:rPr>
                <w:noProof/>
              </w:rPr>
              <w:t>188</w:t>
            </w:r>
          </w:p>
        </w:tc>
        <w:tc>
          <w:tcPr>
            <w:tcW w:w="1289" w:type="dxa"/>
            <w:shd w:val="clear" w:color="auto" w:fill="C6EFCE"/>
            <w:noWrap/>
          </w:tcPr>
          <w:p w14:paraId="5B5E88C3"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16614_Tiešsaistes kases aparāti un POS (reforma)</w:t>
            </w:r>
          </w:p>
        </w:tc>
        <w:tc>
          <w:tcPr>
            <w:tcW w:w="966" w:type="dxa"/>
            <w:shd w:val="clear" w:color="auto" w:fill="C6EFCE"/>
            <w:noWrap/>
          </w:tcPr>
          <w:p w14:paraId="54B1839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50" w:type="dxa"/>
            <w:shd w:val="clear" w:color="auto" w:fill="C6EFCE"/>
            <w:noWrap/>
          </w:tcPr>
          <w:p w14:paraId="3912477E" w14:textId="77777777" w:rsidR="00CB0FCB" w:rsidRDefault="009D2B11">
            <w:pPr>
              <w:pStyle w:val="P68B1DB1-Normal9"/>
              <w:spacing w:after="0" w:line="240" w:lineRule="auto"/>
              <w:rPr>
                <w:rFonts w:eastAsia="Times New Roman" w:cs="Calibri"/>
                <w:noProof/>
                <w:szCs w:val="18"/>
              </w:rPr>
            </w:pPr>
            <w:r>
              <w:rPr>
                <w:noProof/>
              </w:rPr>
              <w:t>Neatkarīga Valsts ieņēmumu iestāde (IAPR): Tiešsaistes kases reģistri un pārdošanas vietas (POS) — tiesiskā regulējuma stāšanās spēkā</w:t>
            </w:r>
          </w:p>
        </w:tc>
        <w:tc>
          <w:tcPr>
            <w:tcW w:w="2363" w:type="dxa"/>
            <w:shd w:val="clear" w:color="auto" w:fill="C6EFCE"/>
            <w:noWrap/>
          </w:tcPr>
          <w:p w14:paraId="0D4D8E7C" w14:textId="77777777" w:rsidR="00CB0FCB" w:rsidRDefault="009D2B11">
            <w:pPr>
              <w:pStyle w:val="P68B1DB1-Normal9"/>
              <w:spacing w:after="0" w:line="240" w:lineRule="auto"/>
              <w:rPr>
                <w:rFonts w:eastAsia="Times New Roman" w:cs="Calibri"/>
                <w:noProof/>
                <w:szCs w:val="18"/>
              </w:rPr>
            </w:pPr>
            <w:r>
              <w:rPr>
                <w:noProof/>
              </w:rPr>
              <w:t>Likuma stāšanās spēkā</w:t>
            </w:r>
          </w:p>
        </w:tc>
        <w:tc>
          <w:tcPr>
            <w:tcW w:w="1200" w:type="dxa"/>
            <w:shd w:val="clear" w:color="auto" w:fill="C6EFCE"/>
            <w:noWrap/>
          </w:tcPr>
          <w:p w14:paraId="735FD920" w14:textId="77777777" w:rsidR="00CB0FCB" w:rsidRDefault="00CB0FCB">
            <w:pPr>
              <w:spacing w:after="0" w:line="240" w:lineRule="auto"/>
              <w:rPr>
                <w:rFonts w:eastAsia="Times New Roman" w:cs="Calibri"/>
                <w:noProof/>
                <w:color w:val="006100"/>
                <w:sz w:val="18"/>
                <w:szCs w:val="18"/>
              </w:rPr>
            </w:pPr>
          </w:p>
        </w:tc>
        <w:tc>
          <w:tcPr>
            <w:tcW w:w="1200" w:type="dxa"/>
            <w:shd w:val="clear" w:color="auto" w:fill="C6EFCE"/>
            <w:noWrap/>
          </w:tcPr>
          <w:p w14:paraId="3F1995AA" w14:textId="77777777" w:rsidR="00CB0FCB" w:rsidRDefault="00CB0FCB">
            <w:pPr>
              <w:spacing w:after="0" w:line="240" w:lineRule="auto"/>
              <w:rPr>
                <w:rFonts w:eastAsia="Times New Roman" w:cs="Calibri"/>
                <w:noProof/>
                <w:color w:val="006100"/>
                <w:sz w:val="18"/>
                <w:szCs w:val="18"/>
              </w:rPr>
            </w:pPr>
          </w:p>
        </w:tc>
        <w:tc>
          <w:tcPr>
            <w:tcW w:w="960" w:type="dxa"/>
            <w:shd w:val="clear" w:color="auto" w:fill="C6EFCE"/>
            <w:noWrap/>
          </w:tcPr>
          <w:p w14:paraId="538F6A1B" w14:textId="77777777" w:rsidR="00CB0FCB" w:rsidRDefault="00CB0FCB">
            <w:pPr>
              <w:spacing w:after="0" w:line="240" w:lineRule="auto"/>
              <w:rPr>
                <w:rFonts w:eastAsia="Times New Roman" w:cs="Calibri"/>
                <w:noProof/>
                <w:color w:val="006100"/>
                <w:sz w:val="18"/>
                <w:szCs w:val="18"/>
              </w:rPr>
            </w:pPr>
          </w:p>
        </w:tc>
        <w:tc>
          <w:tcPr>
            <w:tcW w:w="1080" w:type="dxa"/>
            <w:shd w:val="clear" w:color="auto" w:fill="C6EFCE"/>
            <w:noWrap/>
          </w:tcPr>
          <w:p w14:paraId="3FE6755C" w14:textId="77777777" w:rsidR="00CB0FCB" w:rsidRDefault="009D2B11">
            <w:pPr>
              <w:pStyle w:val="P68B1DB1-Normal9"/>
              <w:spacing w:after="0" w:line="240" w:lineRule="auto"/>
              <w:rPr>
                <w:rFonts w:eastAsia="Times New Roman" w:cs="Calibri"/>
                <w:noProof/>
                <w:szCs w:val="18"/>
              </w:rPr>
            </w:pPr>
            <w:r>
              <w:rPr>
                <w:noProof/>
              </w:rPr>
              <w:t>Q1</w:t>
            </w:r>
          </w:p>
        </w:tc>
        <w:tc>
          <w:tcPr>
            <w:tcW w:w="840" w:type="dxa"/>
            <w:shd w:val="clear" w:color="auto" w:fill="C6EFCE"/>
            <w:noWrap/>
          </w:tcPr>
          <w:p w14:paraId="07312550" w14:textId="77777777" w:rsidR="00CB0FCB" w:rsidRDefault="009D2B11">
            <w:pPr>
              <w:pStyle w:val="P68B1DB1-Normal9"/>
              <w:spacing w:after="0" w:line="240" w:lineRule="auto"/>
              <w:rPr>
                <w:rFonts w:eastAsia="Times New Roman" w:cs="Calibri"/>
                <w:noProof/>
                <w:szCs w:val="18"/>
              </w:rPr>
            </w:pPr>
            <w:r>
              <w:rPr>
                <w:noProof/>
              </w:rPr>
              <w:t>2022</w:t>
            </w:r>
          </w:p>
        </w:tc>
        <w:tc>
          <w:tcPr>
            <w:tcW w:w="3396" w:type="dxa"/>
            <w:shd w:val="clear" w:color="auto" w:fill="C6EFCE"/>
            <w:noWrap/>
          </w:tcPr>
          <w:p w14:paraId="03712E35" w14:textId="77777777" w:rsidR="00CB0FCB" w:rsidRDefault="009D2B11">
            <w:pPr>
              <w:pStyle w:val="P68B1DB1-Normal9"/>
              <w:spacing w:after="0" w:line="240" w:lineRule="auto"/>
              <w:rPr>
                <w:rFonts w:eastAsia="Times New Roman" w:cs="Calibri"/>
                <w:noProof/>
                <w:szCs w:val="18"/>
              </w:rPr>
            </w:pPr>
            <w:r>
              <w:rPr>
                <w:noProof/>
              </w:rPr>
              <w:t>Stājas spēkā Neatkarīgās valsts ieņēmumu vadītāja iestādes lēmums par tehniskajām prasībām (pamatojoties uz Likuma Nr. 4308/2014 12. pantu) un ministru kopīgais lēmums par datu elektronisku nosūtīšanu Neatkarīgajai valsts ieņēmumu iestādei (pamatojoties uz Likuma Nr. 4174/2013 15. pantu), kurā izklāstītas galvenās iezīmes, kas nepieciešamas tiešsaistes kases reģistru un pārdošanas vietas (POS) sistēmu savstarpējai savienojamībai ar Neatkarīgo Valsts ieņēmumu iestādi, tostarp pārskatot sankcijas par kases aparātiem (Likuma Nr. 4174/2013 54. pants).</w:t>
            </w:r>
          </w:p>
        </w:tc>
      </w:tr>
      <w:tr w:rsidR="00CB0FCB" w14:paraId="54D5016D" w14:textId="77777777">
        <w:trPr>
          <w:trHeight w:val="309"/>
          <w:jc w:val="center"/>
        </w:trPr>
        <w:tc>
          <w:tcPr>
            <w:tcW w:w="1027" w:type="dxa"/>
            <w:shd w:val="clear" w:color="auto" w:fill="C6EFCE"/>
            <w:noWrap/>
          </w:tcPr>
          <w:p w14:paraId="13DCABC0" w14:textId="77777777" w:rsidR="00CB0FCB" w:rsidRDefault="009D2B11">
            <w:pPr>
              <w:pStyle w:val="P68B1DB1-Normal9"/>
              <w:spacing w:after="0" w:line="240" w:lineRule="auto"/>
              <w:rPr>
                <w:rFonts w:eastAsia="Times New Roman" w:cs="Calibri"/>
                <w:noProof/>
                <w:szCs w:val="18"/>
              </w:rPr>
            </w:pPr>
            <w:r>
              <w:rPr>
                <w:noProof/>
              </w:rPr>
              <w:t>189</w:t>
            </w:r>
          </w:p>
        </w:tc>
        <w:tc>
          <w:tcPr>
            <w:tcW w:w="1289" w:type="dxa"/>
            <w:shd w:val="clear" w:color="auto" w:fill="C6EFCE"/>
            <w:noWrap/>
          </w:tcPr>
          <w:p w14:paraId="13B5A591"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16614_Tiešsaistes kases aparāti un POS (reforma)</w:t>
            </w:r>
          </w:p>
        </w:tc>
        <w:tc>
          <w:tcPr>
            <w:tcW w:w="966" w:type="dxa"/>
            <w:shd w:val="clear" w:color="auto" w:fill="C6EFCE"/>
            <w:noWrap/>
          </w:tcPr>
          <w:p w14:paraId="3A9D63B9" w14:textId="77777777" w:rsidR="00CB0FCB" w:rsidRDefault="009D2B11">
            <w:pPr>
              <w:pStyle w:val="P68B1DB1-Normal9"/>
              <w:spacing w:after="0" w:line="240" w:lineRule="auto"/>
              <w:rPr>
                <w:rFonts w:eastAsia="Times New Roman" w:cs="Calibri"/>
                <w:noProof/>
                <w:szCs w:val="18"/>
              </w:rPr>
            </w:pPr>
            <w:r>
              <w:rPr>
                <w:noProof/>
              </w:rPr>
              <w:t>Mērķa</w:t>
            </w:r>
          </w:p>
        </w:tc>
        <w:tc>
          <w:tcPr>
            <w:tcW w:w="1550" w:type="dxa"/>
            <w:shd w:val="clear" w:color="auto" w:fill="C6EFCE"/>
            <w:noWrap/>
          </w:tcPr>
          <w:p w14:paraId="430784F3" w14:textId="16BC83A5" w:rsidR="00CB0FCB" w:rsidRDefault="009D2B11">
            <w:pPr>
              <w:pStyle w:val="P68B1DB1-Normal10"/>
              <w:spacing w:after="0" w:line="240" w:lineRule="auto"/>
              <w:rPr>
                <w:rFonts w:eastAsia="Times New Roman" w:cs="Calibri"/>
                <w:noProof/>
              </w:rPr>
            </w:pPr>
            <w:r>
              <w:rPr>
                <w:noProof/>
              </w:rPr>
              <w:t xml:space="preserve">Neatkarīga valsts ieņēmumu iestāde: Tiešsaistes kases reģistri un pārdošanas vietas (POS) — integrācija un starpsavienojums </w:t>
            </w:r>
          </w:p>
        </w:tc>
        <w:tc>
          <w:tcPr>
            <w:tcW w:w="2363" w:type="dxa"/>
            <w:shd w:val="clear" w:color="auto" w:fill="C6EFCE"/>
            <w:noWrap/>
          </w:tcPr>
          <w:p w14:paraId="128448D4" w14:textId="77777777" w:rsidR="00CB0FCB" w:rsidRDefault="00CB0FCB">
            <w:pPr>
              <w:spacing w:after="0" w:line="240" w:lineRule="auto"/>
              <w:rPr>
                <w:rFonts w:eastAsia="Times New Roman" w:cs="Calibri"/>
                <w:noProof/>
                <w:color w:val="006100"/>
                <w:sz w:val="18"/>
                <w:szCs w:val="18"/>
                <w:highlight w:val="yellow"/>
              </w:rPr>
            </w:pPr>
          </w:p>
        </w:tc>
        <w:tc>
          <w:tcPr>
            <w:tcW w:w="1200" w:type="dxa"/>
            <w:shd w:val="clear" w:color="auto" w:fill="C6EFCE"/>
            <w:noWrap/>
          </w:tcPr>
          <w:p w14:paraId="77EAABBA" w14:textId="77777777" w:rsidR="00CB0FCB" w:rsidRDefault="009D2B11">
            <w:pPr>
              <w:pStyle w:val="P68B1DB1-Normal9"/>
              <w:spacing w:after="0" w:line="240" w:lineRule="auto"/>
              <w:rPr>
                <w:rFonts w:eastAsia="Times New Roman" w:cs="Calibri"/>
                <w:noProof/>
                <w:szCs w:val="18"/>
              </w:rPr>
            </w:pPr>
            <w:r>
              <w:rPr>
                <w:noProof/>
              </w:rPr>
              <w:t>Kases aparātu skaits</w:t>
            </w:r>
          </w:p>
        </w:tc>
        <w:tc>
          <w:tcPr>
            <w:tcW w:w="1200" w:type="dxa"/>
            <w:shd w:val="clear" w:color="auto" w:fill="C6EFCE"/>
            <w:noWrap/>
          </w:tcPr>
          <w:p w14:paraId="00CB000D" w14:textId="77777777" w:rsidR="00CB0FCB" w:rsidRDefault="009D2B11">
            <w:pPr>
              <w:pStyle w:val="P68B1DB1-Normal9"/>
              <w:spacing w:after="0" w:line="240" w:lineRule="auto"/>
              <w:rPr>
                <w:rFonts w:eastAsia="Times New Roman" w:cs="Calibri"/>
                <w:noProof/>
                <w:szCs w:val="18"/>
              </w:rPr>
            </w:pPr>
            <w:r>
              <w:rPr>
                <w:noProof/>
              </w:rPr>
              <w:t>0</w:t>
            </w:r>
          </w:p>
        </w:tc>
        <w:tc>
          <w:tcPr>
            <w:tcW w:w="960" w:type="dxa"/>
            <w:shd w:val="clear" w:color="auto" w:fill="C6EFCE"/>
            <w:noWrap/>
          </w:tcPr>
          <w:p w14:paraId="06CDA168" w14:textId="77777777" w:rsidR="00CB0FCB" w:rsidRDefault="009D2B11">
            <w:pPr>
              <w:pStyle w:val="P68B1DB1-Normal9"/>
              <w:spacing w:after="0" w:line="240" w:lineRule="auto"/>
              <w:rPr>
                <w:rFonts w:eastAsia="Times New Roman" w:cs="Calibri"/>
                <w:noProof/>
                <w:szCs w:val="18"/>
              </w:rPr>
            </w:pPr>
            <w:r>
              <w:rPr>
                <w:noProof/>
              </w:rPr>
              <w:t>400 000</w:t>
            </w:r>
          </w:p>
        </w:tc>
        <w:tc>
          <w:tcPr>
            <w:tcW w:w="1080" w:type="dxa"/>
            <w:shd w:val="clear" w:color="auto" w:fill="C6EFCE"/>
            <w:noWrap/>
          </w:tcPr>
          <w:p w14:paraId="19B5CC7B"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shd w:val="clear" w:color="auto" w:fill="C6EFCE"/>
            <w:noWrap/>
          </w:tcPr>
          <w:p w14:paraId="6E72446A" w14:textId="77777777" w:rsidR="00CB0FCB" w:rsidRDefault="009D2B11">
            <w:pPr>
              <w:pStyle w:val="P68B1DB1-Normal9"/>
              <w:spacing w:after="0" w:line="240" w:lineRule="auto"/>
              <w:rPr>
                <w:rFonts w:eastAsia="Times New Roman" w:cs="Calibri"/>
                <w:noProof/>
                <w:szCs w:val="18"/>
              </w:rPr>
            </w:pPr>
            <w:r>
              <w:rPr>
                <w:noProof/>
              </w:rPr>
              <w:t>2024</w:t>
            </w:r>
          </w:p>
        </w:tc>
        <w:tc>
          <w:tcPr>
            <w:tcW w:w="3396" w:type="dxa"/>
            <w:shd w:val="clear" w:color="auto" w:fill="C6EFCE"/>
            <w:noWrap/>
          </w:tcPr>
          <w:p w14:paraId="30B781C5" w14:textId="3C0020E3" w:rsidR="00CB0FCB" w:rsidRDefault="009D2B11">
            <w:pPr>
              <w:pStyle w:val="P68B1DB1-Normal10"/>
              <w:spacing w:after="0" w:line="240" w:lineRule="auto"/>
              <w:rPr>
                <w:rFonts w:eastAsia="Times New Roman" w:cs="Calibri"/>
                <w:noProof/>
              </w:rPr>
            </w:pPr>
            <w:r>
              <w:rPr>
                <w:noProof/>
              </w:rPr>
              <w:t xml:space="preserve">Attiecīgās IT sistēmas un datubāzes integrēšana miDATA platformā — visi uzņēmumi, uz kuriem attiecas tiesiskais regulējums, savus tiešsaistes kases reģistrus ar pārdošanas punktu sistēmām ir savienojuši ar Neatkarīgo valsts ieņēmumu iestādi. </w:t>
            </w:r>
          </w:p>
          <w:p w14:paraId="0AFA29FA" w14:textId="77777777" w:rsidR="00CB0FCB" w:rsidRDefault="00CB0FCB">
            <w:pPr>
              <w:spacing w:after="0" w:line="240" w:lineRule="auto"/>
              <w:rPr>
                <w:rFonts w:eastAsia="Times New Roman" w:cs="Calibri"/>
                <w:noProof/>
                <w:color w:val="006100"/>
                <w:sz w:val="18"/>
                <w:szCs w:val="18"/>
              </w:rPr>
            </w:pPr>
          </w:p>
          <w:p w14:paraId="3A291345" w14:textId="77777777" w:rsidR="00CB0FCB" w:rsidRDefault="009D2B11">
            <w:pPr>
              <w:pStyle w:val="P68B1DB1-Normal9"/>
              <w:spacing w:after="0" w:line="240" w:lineRule="auto"/>
              <w:rPr>
                <w:rFonts w:eastAsia="Times New Roman" w:cs="Calibri"/>
                <w:noProof/>
                <w:szCs w:val="18"/>
              </w:rPr>
            </w:pPr>
            <w:r>
              <w:rPr>
                <w:noProof/>
              </w:rPr>
              <w:t>Neatkarīgās valsts ieņēmumu iestādes ziņojums, kas apliecina reformas pabeigšanu un norāda to tiešsaistes kases aparātu kopējo skaitu, kuri ir savstarpēji savienojuši savas pārdošanas punktu sistēmas ar Neatkarīgo valsts ieņēmumu iestādi. Attiecināmie kases reģistri ir vismaz 400000.</w:t>
            </w:r>
          </w:p>
        </w:tc>
      </w:tr>
    </w:tbl>
    <w:p w14:paraId="0AA497C1" w14:textId="77777777" w:rsidR="00CB0FCB" w:rsidRDefault="00CB0FCB">
      <w:pPr>
        <w:spacing w:before="120" w:after="120" w:line="240" w:lineRule="auto"/>
        <w:ind w:left="709"/>
        <w:jc w:val="both"/>
        <w:rPr>
          <w:rFonts w:ascii="Times New Roman" w:hAnsi="Times New Roman" w:cs="Times New Roman"/>
          <w:noProof/>
          <w:sz w:val="24"/>
          <w:szCs w:val="24"/>
        </w:rPr>
      </w:pPr>
    </w:p>
    <w:p w14:paraId="675E82D4" w14:textId="77777777" w:rsidR="00CB0FCB" w:rsidRDefault="009D2B11">
      <w:pPr>
        <w:pStyle w:val="P68B1DB1-Normal6"/>
        <w:keepNext/>
        <w:keepLines/>
        <w:spacing w:before="40" w:after="0" w:line="240" w:lineRule="auto"/>
        <w:jc w:val="both"/>
        <w:outlineLvl w:val="4"/>
        <w:rPr>
          <w:rFonts w:eastAsia="Times New Roman"/>
          <w:noProof/>
        </w:rPr>
      </w:pPr>
      <w:r>
        <w:rPr>
          <w:noProof/>
        </w:rPr>
        <w:t>Grupa: Nodokļu administrācijas pasākumi</w:t>
      </w:r>
    </w:p>
    <w:p w14:paraId="2FCDF64E" w14:textId="77777777" w:rsidR="00CB0FCB" w:rsidRDefault="009D2B11">
      <w:pPr>
        <w:pStyle w:val="P68B1DB1-Normal4"/>
        <w:numPr>
          <w:ilvl w:val="0"/>
          <w:numId w:val="37"/>
        </w:numPr>
        <w:spacing w:before="120" w:after="0" w:line="240" w:lineRule="auto"/>
        <w:jc w:val="both"/>
        <w:rPr>
          <w:rFonts w:cs="Times New Roman"/>
          <w:noProof/>
        </w:rPr>
      </w:pPr>
      <w:r>
        <w:rPr>
          <w:noProof/>
        </w:rPr>
        <w:t>Nodokļu revīziju digitālā pārveide (ID: 16611)</w:t>
      </w:r>
    </w:p>
    <w:p w14:paraId="0B6EC869" w14:textId="77777777" w:rsidR="00CB0FCB" w:rsidRDefault="009D2B11">
      <w:pPr>
        <w:pStyle w:val="P68B1DB1-Normal4"/>
        <w:numPr>
          <w:ilvl w:val="0"/>
          <w:numId w:val="37"/>
        </w:numPr>
        <w:spacing w:before="120" w:after="0" w:line="240" w:lineRule="auto"/>
        <w:jc w:val="both"/>
        <w:rPr>
          <w:rFonts w:cs="Times New Roman"/>
          <w:noProof/>
        </w:rPr>
      </w:pPr>
      <w:r>
        <w:rPr>
          <w:noProof/>
        </w:rPr>
        <w:t>PVN atmaksas paātrināšanas veicināšana (ID: 16610)</w:t>
      </w:r>
    </w:p>
    <w:p w14:paraId="340B0EDB" w14:textId="77777777" w:rsidR="00CB0FCB" w:rsidRDefault="009D2B11">
      <w:pPr>
        <w:pStyle w:val="P68B1DB1-Normal4"/>
        <w:numPr>
          <w:ilvl w:val="0"/>
          <w:numId w:val="37"/>
        </w:numPr>
        <w:spacing w:before="120" w:after="0" w:line="240" w:lineRule="auto"/>
        <w:jc w:val="both"/>
        <w:rPr>
          <w:rFonts w:cs="Times New Roman"/>
          <w:noProof/>
        </w:rPr>
      </w:pPr>
      <w:r>
        <w:rPr>
          <w:noProof/>
        </w:rPr>
        <w:t>Jauns satvars cīņai pret kontrabandu, galvenokārt attiecībā uz akcīzes precēm (tabaku, alkoholu un enerģiju) (ID: 16656)</w:t>
      </w:r>
    </w:p>
    <w:p w14:paraId="2745AF91" w14:textId="77777777" w:rsidR="00CB0FCB" w:rsidRDefault="009D2B11">
      <w:pPr>
        <w:pStyle w:val="P68B1DB1-Normal4"/>
        <w:numPr>
          <w:ilvl w:val="0"/>
          <w:numId w:val="37"/>
        </w:numPr>
        <w:spacing w:before="120" w:after="120" w:line="240" w:lineRule="auto"/>
        <w:jc w:val="both"/>
        <w:rPr>
          <w:rFonts w:cs="Times New Roman"/>
          <w:noProof/>
        </w:rPr>
      </w:pPr>
      <w:r>
        <w:rPr>
          <w:noProof/>
        </w:rPr>
        <w:t>Nodokļu un muitas pārvaldes digitālā pārveide (ID: 16291)</w:t>
      </w:r>
    </w:p>
    <w:p w14:paraId="376D1682" w14:textId="77777777" w:rsidR="00CB0FCB" w:rsidRDefault="00CB0FCB">
      <w:pPr>
        <w:spacing w:before="120" w:after="120" w:line="240" w:lineRule="auto"/>
        <w:ind w:left="709"/>
        <w:jc w:val="both"/>
        <w:rPr>
          <w:rFonts w:ascii="Times New Roman" w:hAnsi="Times New Roman" w:cs="Times New Roman"/>
          <w:noProof/>
          <w:sz w:val="24"/>
          <w:szCs w:val="24"/>
        </w:rPr>
      </w:pPr>
    </w:p>
    <w:tbl>
      <w:tblPr>
        <w:tblW w:w="15800" w:type="dxa"/>
        <w:jc w:val="center"/>
        <w:tblLook w:val="04A0" w:firstRow="1" w:lastRow="0" w:firstColumn="1" w:lastColumn="0" w:noHBand="0" w:noVBand="1"/>
      </w:tblPr>
      <w:tblGrid>
        <w:gridCol w:w="1027"/>
        <w:gridCol w:w="1533"/>
        <w:gridCol w:w="1807"/>
        <w:gridCol w:w="1459"/>
        <w:gridCol w:w="1891"/>
        <w:gridCol w:w="866"/>
        <w:gridCol w:w="1396"/>
        <w:gridCol w:w="766"/>
        <w:gridCol w:w="1027"/>
        <w:gridCol w:w="694"/>
        <w:gridCol w:w="5173"/>
      </w:tblGrid>
      <w:tr w:rsidR="00CB0FCB" w14:paraId="751C80CB" w14:textId="77777777">
        <w:trPr>
          <w:trHeight w:val="93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0541FB"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C12256"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4F034E"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3E7470"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05FA3A"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Kvalitatīvie rādītāji </w:t>
            </w:r>
            <w:r>
              <w:rPr>
                <w:noProof/>
                <w:sz w:val="24"/>
              </w:rPr>
              <w:t xml:space="preserve"> </w:t>
            </w:r>
            <w:r>
              <w:rPr>
                <w:b/>
                <w:noProof/>
                <w:sz w:val="18"/>
              </w:rPr>
              <w:t>(atskaites punktiem)</w:t>
            </w:r>
          </w:p>
        </w:tc>
        <w:tc>
          <w:tcPr>
            <w:tcW w:w="241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05D618E"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Kvantitatīvie rādītāji </w:t>
            </w:r>
            <w:r>
              <w:rPr>
                <w:noProof/>
                <w:sz w:val="24"/>
              </w:rPr>
              <w:t xml:space="preserve"> </w:t>
            </w:r>
            <w:r>
              <w:rPr>
                <w:b/>
                <w:noProof/>
                <w:sz w:val="18"/>
              </w:rPr>
              <w:t>(mērķrādītājiem)</w:t>
            </w:r>
          </w:p>
        </w:tc>
        <w:tc>
          <w:tcPr>
            <w:tcW w:w="1540" w:type="dxa"/>
            <w:gridSpan w:val="2"/>
            <w:tcBorders>
              <w:top w:val="single" w:sz="4" w:space="0" w:color="auto"/>
              <w:left w:val="nil"/>
              <w:bottom w:val="single" w:sz="4" w:space="0" w:color="auto"/>
              <w:right w:val="single" w:sz="4" w:space="0" w:color="auto"/>
            </w:tcBorders>
            <w:shd w:val="clear" w:color="auto" w:fill="BDD7EE"/>
            <w:vAlign w:val="center"/>
            <w:hideMark/>
          </w:tcPr>
          <w:p w14:paraId="7974604C"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51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9F2A0A"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42605750" w14:textId="77777777">
        <w:trPr>
          <w:trHeight w:val="674"/>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185F0AB" w14:textId="77777777" w:rsidR="00CB0FCB" w:rsidRDefault="00CB0FCB">
            <w:pPr>
              <w:spacing w:after="0" w:line="240" w:lineRule="auto"/>
              <w:rPr>
                <w:rFonts w:ascii="Times New Roman" w:eastAsia="Times New Roman" w:hAnsi="Times New Roman" w:cs="Times New Roman"/>
                <w:b/>
                <w:bCs/>
                <w:noProof/>
                <w:sz w:val="18"/>
                <w:szCs w:val="18"/>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6A6EBE57" w14:textId="77777777" w:rsidR="00CB0FCB" w:rsidRDefault="00CB0FCB">
            <w:pPr>
              <w:spacing w:after="0" w:line="240" w:lineRule="auto"/>
              <w:rPr>
                <w:rFonts w:ascii="Times New Roman" w:eastAsia="Times New Roman" w:hAnsi="Times New Roman" w:cs="Times New Roman"/>
                <w:b/>
                <w:bCs/>
                <w:noProof/>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588F0DD" w14:textId="77777777" w:rsidR="00CB0FCB" w:rsidRDefault="00CB0FCB">
            <w:pPr>
              <w:spacing w:after="0" w:line="240" w:lineRule="auto"/>
              <w:rPr>
                <w:rFonts w:ascii="Times New Roman" w:eastAsia="Times New Roman" w:hAnsi="Times New Roman" w:cs="Times New Roman"/>
                <w:b/>
                <w:bCs/>
                <w:noProof/>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18D1F48" w14:textId="77777777" w:rsidR="00CB0FCB" w:rsidRDefault="00CB0FCB">
            <w:pPr>
              <w:spacing w:after="0" w:line="240" w:lineRule="auto"/>
              <w:rPr>
                <w:rFonts w:ascii="Times New Roman" w:eastAsia="Times New Roman" w:hAnsi="Times New Roman" w:cs="Times New Roman"/>
                <w:b/>
                <w:bCs/>
                <w:noProof/>
                <w:sz w:val="18"/>
                <w:szCs w:val="18"/>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7DF5F48E" w14:textId="77777777" w:rsidR="00CB0FCB" w:rsidRDefault="00CB0FCB">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FB3DEE6"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57" w:type="dxa"/>
            <w:tcBorders>
              <w:top w:val="single" w:sz="4" w:space="0" w:color="auto"/>
              <w:left w:val="nil"/>
              <w:bottom w:val="single" w:sz="4" w:space="0" w:color="auto"/>
              <w:right w:val="single" w:sz="4" w:space="0" w:color="auto"/>
            </w:tcBorders>
            <w:shd w:val="clear" w:color="auto" w:fill="BDD7EE"/>
            <w:vAlign w:val="center"/>
            <w:hideMark/>
          </w:tcPr>
          <w:p w14:paraId="127B0C60"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14:paraId="15968B28"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4B652D8F"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694" w:type="dxa"/>
            <w:tcBorders>
              <w:top w:val="single" w:sz="4" w:space="0" w:color="auto"/>
              <w:left w:val="nil"/>
              <w:bottom w:val="single" w:sz="4" w:space="0" w:color="auto"/>
              <w:right w:val="single" w:sz="4" w:space="0" w:color="auto"/>
            </w:tcBorders>
            <w:shd w:val="clear" w:color="auto" w:fill="BDD7EE"/>
            <w:vAlign w:val="center"/>
            <w:hideMark/>
          </w:tcPr>
          <w:p w14:paraId="0391B15A"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5173" w:type="dxa"/>
            <w:vMerge/>
            <w:tcBorders>
              <w:top w:val="single" w:sz="4" w:space="0" w:color="auto"/>
              <w:bottom w:val="single" w:sz="4" w:space="0" w:color="auto"/>
              <w:right w:val="single" w:sz="4" w:space="0" w:color="auto"/>
            </w:tcBorders>
            <w:vAlign w:val="center"/>
            <w:hideMark/>
          </w:tcPr>
          <w:p w14:paraId="074D7A7A"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7246D48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5026C5C" w14:textId="77777777" w:rsidR="00CB0FCB" w:rsidRDefault="009D2B11">
            <w:pPr>
              <w:pStyle w:val="P68B1DB1-Normal9"/>
              <w:spacing w:after="0" w:line="240" w:lineRule="auto"/>
              <w:rPr>
                <w:rFonts w:eastAsia="Times New Roman" w:cs="Calibri"/>
                <w:noProof/>
                <w:szCs w:val="18"/>
              </w:rPr>
            </w:pPr>
            <w:r>
              <w:rPr>
                <w:noProof/>
              </w:rPr>
              <w:t>190</w:t>
            </w:r>
          </w:p>
        </w:tc>
        <w:tc>
          <w:tcPr>
            <w:tcW w:w="1533" w:type="dxa"/>
            <w:tcBorders>
              <w:top w:val="single" w:sz="4" w:space="0" w:color="auto"/>
              <w:left w:val="nil"/>
              <w:bottom w:val="single" w:sz="4" w:space="0" w:color="auto"/>
              <w:right w:val="single" w:sz="4" w:space="0" w:color="auto"/>
            </w:tcBorders>
            <w:shd w:val="clear" w:color="auto" w:fill="C6EFCE"/>
            <w:noWrap/>
          </w:tcPr>
          <w:p w14:paraId="4903C629"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16656_Jauns satvars cīņai pret kontrabandu, galvenokārt attiecībā uz akcīzes precēm (tabaku, alkoholu un enerģiju)</w:t>
            </w:r>
          </w:p>
        </w:tc>
        <w:tc>
          <w:tcPr>
            <w:tcW w:w="969" w:type="dxa"/>
            <w:tcBorders>
              <w:top w:val="single" w:sz="4" w:space="0" w:color="auto"/>
              <w:left w:val="nil"/>
              <w:bottom w:val="single" w:sz="4" w:space="0" w:color="auto"/>
              <w:right w:val="single" w:sz="4" w:space="0" w:color="auto"/>
            </w:tcBorders>
            <w:shd w:val="clear" w:color="auto" w:fill="C6EFCE"/>
            <w:noWrap/>
          </w:tcPr>
          <w:p w14:paraId="30D5EA5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4" w:type="dxa"/>
            <w:tcBorders>
              <w:top w:val="single" w:sz="4" w:space="0" w:color="auto"/>
              <w:left w:val="nil"/>
              <w:bottom w:val="single" w:sz="4" w:space="0" w:color="auto"/>
              <w:right w:val="single" w:sz="4" w:space="0" w:color="auto"/>
            </w:tcBorders>
            <w:shd w:val="clear" w:color="auto" w:fill="C6EFCE"/>
            <w:noWrap/>
          </w:tcPr>
          <w:p w14:paraId="198BBE1C" w14:textId="77777777" w:rsidR="00CB0FCB" w:rsidRDefault="009D2B11">
            <w:pPr>
              <w:pStyle w:val="P68B1DB1-Normal9"/>
              <w:spacing w:after="0" w:line="240" w:lineRule="auto"/>
              <w:rPr>
                <w:rFonts w:eastAsia="Times New Roman" w:cs="Calibri"/>
                <w:noProof/>
                <w:szCs w:val="18"/>
              </w:rPr>
            </w:pPr>
            <w:r>
              <w:rPr>
                <w:noProof/>
              </w:rPr>
              <w:t>Cīņa pret kontrabandu — regulatīvo lēmumu ceļvedis</w:t>
            </w:r>
          </w:p>
        </w:tc>
        <w:tc>
          <w:tcPr>
            <w:tcW w:w="1824" w:type="dxa"/>
            <w:tcBorders>
              <w:top w:val="single" w:sz="4" w:space="0" w:color="auto"/>
              <w:left w:val="nil"/>
              <w:bottom w:val="single" w:sz="4" w:space="0" w:color="auto"/>
              <w:right w:val="single" w:sz="4" w:space="0" w:color="auto"/>
            </w:tcBorders>
            <w:shd w:val="clear" w:color="auto" w:fill="C6EFCE"/>
            <w:noWrap/>
          </w:tcPr>
          <w:p w14:paraId="2108FBFC" w14:textId="77777777" w:rsidR="00CB0FCB" w:rsidRDefault="009D2B11">
            <w:pPr>
              <w:pStyle w:val="P68B1DB1-Normal9"/>
              <w:spacing w:after="0" w:line="240" w:lineRule="auto"/>
              <w:rPr>
                <w:rFonts w:eastAsia="Times New Roman" w:cs="Calibri"/>
                <w:noProof/>
                <w:szCs w:val="18"/>
              </w:rPr>
            </w:pPr>
            <w:r>
              <w:rPr>
                <w:noProof/>
              </w:rPr>
              <w:t>Valsts ieņēmumu neatkarīgās iestādes ziņojums, kurā ietverts ceļvedis lēmumiem/aprakstiem saistībā ar cīņu pret kontrabandu.</w:t>
            </w:r>
          </w:p>
        </w:tc>
        <w:tc>
          <w:tcPr>
            <w:tcW w:w="866" w:type="dxa"/>
            <w:tcBorders>
              <w:top w:val="single" w:sz="4" w:space="0" w:color="auto"/>
              <w:left w:val="nil"/>
              <w:bottom w:val="single" w:sz="4" w:space="0" w:color="auto"/>
              <w:right w:val="single" w:sz="4" w:space="0" w:color="auto"/>
            </w:tcBorders>
            <w:shd w:val="clear" w:color="auto" w:fill="C6EFCE"/>
            <w:noWrap/>
          </w:tcPr>
          <w:p w14:paraId="70B7B4C8" w14:textId="77777777" w:rsidR="00CB0FCB" w:rsidRDefault="00CB0FCB">
            <w:pPr>
              <w:spacing w:after="0" w:line="240" w:lineRule="auto"/>
              <w:rPr>
                <w:rFonts w:eastAsia="Times New Roman" w:cs="Calibri"/>
                <w:noProof/>
                <w:color w:val="006100"/>
                <w:sz w:val="18"/>
                <w:szCs w:val="18"/>
              </w:rPr>
            </w:pPr>
          </w:p>
        </w:tc>
        <w:tc>
          <w:tcPr>
            <w:tcW w:w="957" w:type="dxa"/>
            <w:tcBorders>
              <w:top w:val="nil"/>
              <w:left w:val="nil"/>
              <w:bottom w:val="single" w:sz="4" w:space="0" w:color="auto"/>
              <w:right w:val="single" w:sz="4" w:space="0" w:color="auto"/>
            </w:tcBorders>
            <w:shd w:val="clear" w:color="auto" w:fill="C6EFCE"/>
            <w:noWrap/>
          </w:tcPr>
          <w:p w14:paraId="529F4C60"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441D21F"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2C26C189" w14:textId="77777777" w:rsidR="00CB0FCB" w:rsidRDefault="009D2B11">
            <w:pPr>
              <w:pStyle w:val="P68B1DB1-Normal9"/>
              <w:spacing w:after="0" w:line="240" w:lineRule="auto"/>
              <w:rPr>
                <w:rFonts w:eastAsia="Times New Roman" w:cs="Calibri"/>
                <w:noProof/>
                <w:szCs w:val="18"/>
              </w:rPr>
            </w:pPr>
            <w:r>
              <w:rPr>
                <w:noProof/>
              </w:rPr>
              <w:t>Q1</w:t>
            </w:r>
          </w:p>
        </w:tc>
        <w:tc>
          <w:tcPr>
            <w:tcW w:w="694" w:type="dxa"/>
            <w:tcBorders>
              <w:top w:val="nil"/>
              <w:left w:val="nil"/>
              <w:bottom w:val="single" w:sz="4" w:space="0" w:color="auto"/>
              <w:right w:val="single" w:sz="4" w:space="0" w:color="auto"/>
            </w:tcBorders>
            <w:shd w:val="clear" w:color="auto" w:fill="C6EFCE"/>
            <w:noWrap/>
          </w:tcPr>
          <w:p w14:paraId="65DB692D" w14:textId="77777777" w:rsidR="00CB0FCB" w:rsidRDefault="009D2B11">
            <w:pPr>
              <w:pStyle w:val="P68B1DB1-Normal9"/>
              <w:spacing w:after="0" w:line="240" w:lineRule="auto"/>
              <w:rPr>
                <w:rFonts w:eastAsia="Times New Roman" w:cs="Calibri"/>
                <w:noProof/>
                <w:szCs w:val="18"/>
              </w:rPr>
            </w:pPr>
            <w:r>
              <w:rPr>
                <w:noProof/>
              </w:rPr>
              <w:t>2022</w:t>
            </w:r>
          </w:p>
        </w:tc>
        <w:tc>
          <w:tcPr>
            <w:tcW w:w="5173" w:type="dxa"/>
            <w:tcBorders>
              <w:top w:val="single" w:sz="4" w:space="0" w:color="auto"/>
              <w:left w:val="single" w:sz="4" w:space="0" w:color="auto"/>
              <w:bottom w:val="single" w:sz="4" w:space="0" w:color="auto"/>
              <w:right w:val="single" w:sz="4" w:space="0" w:color="auto"/>
            </w:tcBorders>
            <w:shd w:val="clear" w:color="auto" w:fill="C6EFCE"/>
            <w:noWrap/>
          </w:tcPr>
          <w:p w14:paraId="2D5EDD55" w14:textId="77777777" w:rsidR="00CB0FCB" w:rsidRDefault="009D2B11">
            <w:pPr>
              <w:pStyle w:val="P68B1DB1-Normal9"/>
              <w:spacing w:after="0" w:line="240" w:lineRule="auto"/>
              <w:rPr>
                <w:rFonts w:eastAsia="Times New Roman" w:cs="Calibri"/>
                <w:noProof/>
                <w:szCs w:val="18"/>
              </w:rPr>
            </w:pPr>
            <w:r>
              <w:rPr>
                <w:noProof/>
              </w:rPr>
              <w:t>Neatkarīgā valsts ieņēmumu iestāde pieņem ceļvedi (tostarp grafiku) tādu lēmumu/apkārtrakstu izdošanai, kas saistīti ar kontrabandas apkarošanas tiesiskā regulējuma reformu.</w:t>
            </w:r>
          </w:p>
          <w:p w14:paraId="2B5DD4A1" w14:textId="77777777" w:rsidR="00CB0FCB" w:rsidRDefault="00CB0FCB">
            <w:pPr>
              <w:spacing w:after="0" w:line="240" w:lineRule="auto"/>
              <w:rPr>
                <w:rFonts w:eastAsia="Times New Roman" w:cs="Calibri"/>
                <w:noProof/>
                <w:color w:val="006100"/>
                <w:sz w:val="18"/>
                <w:szCs w:val="18"/>
              </w:rPr>
            </w:pPr>
          </w:p>
          <w:p w14:paraId="49B2FAA8" w14:textId="77777777" w:rsidR="00CB0FCB" w:rsidRDefault="009D2B11">
            <w:pPr>
              <w:pStyle w:val="P68B1DB1-Normal9"/>
              <w:spacing w:after="0" w:line="240" w:lineRule="auto"/>
              <w:rPr>
                <w:rFonts w:eastAsia="Times New Roman" w:cs="Calibri"/>
                <w:noProof/>
                <w:szCs w:val="18"/>
              </w:rPr>
            </w:pPr>
            <w:r>
              <w:rPr>
                <w:noProof/>
              </w:rPr>
              <w:t>Valsts ieņēmumu neatkarīgā iestāde izdod ziņojumu par lēmumu/apkārtrakstu izdošanas ceļvedi, sīki izklāstot pasākumus, kas vajadzīgi ICISNET un ELENXIS operatīvo informācijas sistēmu pārveidošanai, lai efektīvi noteiktu neatbilstības riskus un izveidotu labākos iespējamos revīzijas profilus, izmantojot informāciju no Eiropas Savienības un valstu datubāzēm.</w:t>
            </w:r>
          </w:p>
        </w:tc>
      </w:tr>
      <w:tr w:rsidR="00CB0FCB" w14:paraId="77D4A3FB"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253FC30" w14:textId="77777777" w:rsidR="00CB0FCB" w:rsidRDefault="009D2B11">
            <w:pPr>
              <w:pStyle w:val="P68B1DB1-Normal9"/>
              <w:spacing w:after="0" w:line="240" w:lineRule="auto"/>
              <w:rPr>
                <w:rFonts w:eastAsia="Times New Roman" w:cs="Calibri"/>
                <w:noProof/>
                <w:szCs w:val="18"/>
              </w:rPr>
            </w:pPr>
            <w:r>
              <w:rPr>
                <w:noProof/>
              </w:rPr>
              <w:t>191</w:t>
            </w:r>
          </w:p>
        </w:tc>
        <w:tc>
          <w:tcPr>
            <w:tcW w:w="1533" w:type="dxa"/>
            <w:tcBorders>
              <w:top w:val="nil"/>
              <w:left w:val="nil"/>
              <w:bottom w:val="single" w:sz="4" w:space="0" w:color="auto"/>
              <w:right w:val="single" w:sz="4" w:space="0" w:color="auto"/>
            </w:tcBorders>
            <w:shd w:val="clear" w:color="auto" w:fill="C6EFCE"/>
            <w:noWrap/>
          </w:tcPr>
          <w:p w14:paraId="0AFE794F"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16656_Jauns satvars cīņai pret kontrabandu, galvenokārt attiecībā uz akcīzes precēm (tabaku, alkoholu un enerģiju)</w:t>
            </w:r>
          </w:p>
        </w:tc>
        <w:tc>
          <w:tcPr>
            <w:tcW w:w="969" w:type="dxa"/>
            <w:tcBorders>
              <w:top w:val="nil"/>
              <w:left w:val="nil"/>
              <w:bottom w:val="single" w:sz="4" w:space="0" w:color="auto"/>
              <w:right w:val="single" w:sz="4" w:space="0" w:color="auto"/>
            </w:tcBorders>
            <w:shd w:val="clear" w:color="auto" w:fill="C6EFCE"/>
            <w:noWrap/>
          </w:tcPr>
          <w:p w14:paraId="5F80843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4" w:type="dxa"/>
            <w:tcBorders>
              <w:top w:val="nil"/>
              <w:left w:val="nil"/>
              <w:bottom w:val="single" w:sz="4" w:space="0" w:color="auto"/>
              <w:right w:val="single" w:sz="4" w:space="0" w:color="auto"/>
            </w:tcBorders>
            <w:shd w:val="clear" w:color="auto" w:fill="C6EFCE"/>
            <w:noWrap/>
          </w:tcPr>
          <w:p w14:paraId="605C4A5A" w14:textId="77777777" w:rsidR="00CB0FCB" w:rsidRDefault="009D2B11">
            <w:pPr>
              <w:pStyle w:val="P68B1DB1-Normal9"/>
              <w:spacing w:after="0" w:line="240" w:lineRule="auto"/>
              <w:rPr>
                <w:rFonts w:eastAsia="Times New Roman" w:cs="Calibri"/>
                <w:noProof/>
                <w:szCs w:val="18"/>
              </w:rPr>
            </w:pPr>
            <w:r>
              <w:rPr>
                <w:noProof/>
              </w:rPr>
              <w:t>Cīņa pret kontrabandu — regulatīvo lēmumu stāšanās spēkā</w:t>
            </w:r>
          </w:p>
        </w:tc>
        <w:tc>
          <w:tcPr>
            <w:tcW w:w="1824" w:type="dxa"/>
            <w:tcBorders>
              <w:top w:val="nil"/>
              <w:left w:val="nil"/>
              <w:bottom w:val="single" w:sz="4" w:space="0" w:color="auto"/>
              <w:right w:val="single" w:sz="4" w:space="0" w:color="auto"/>
            </w:tcBorders>
            <w:shd w:val="clear" w:color="auto" w:fill="C6EFCE"/>
            <w:noWrap/>
          </w:tcPr>
          <w:p w14:paraId="4F9D56E1" w14:textId="77777777" w:rsidR="00CB0FCB" w:rsidRDefault="009D2B11">
            <w:pPr>
              <w:pStyle w:val="P68B1DB1-Normal9"/>
              <w:spacing w:after="0" w:line="240" w:lineRule="auto"/>
              <w:rPr>
                <w:rFonts w:eastAsia="Times New Roman" w:cs="Calibri"/>
                <w:noProof/>
                <w:szCs w:val="18"/>
              </w:rPr>
            </w:pPr>
            <w:r>
              <w:rPr>
                <w:noProof/>
              </w:rPr>
              <w:t>Stājās spēkā regulatīvi lēmumi/apkārtraksti.</w:t>
            </w:r>
          </w:p>
        </w:tc>
        <w:tc>
          <w:tcPr>
            <w:tcW w:w="866" w:type="dxa"/>
            <w:tcBorders>
              <w:top w:val="nil"/>
              <w:left w:val="nil"/>
              <w:bottom w:val="single" w:sz="4" w:space="0" w:color="auto"/>
              <w:right w:val="single" w:sz="4" w:space="0" w:color="auto"/>
            </w:tcBorders>
            <w:shd w:val="clear" w:color="auto" w:fill="C6EFCE"/>
            <w:noWrap/>
          </w:tcPr>
          <w:p w14:paraId="621ADD10" w14:textId="77777777" w:rsidR="00CB0FCB" w:rsidRDefault="00CB0FCB">
            <w:pPr>
              <w:spacing w:after="0" w:line="240" w:lineRule="auto"/>
              <w:rPr>
                <w:rFonts w:eastAsia="Times New Roman" w:cs="Calibri"/>
                <w:noProof/>
                <w:color w:val="006100"/>
                <w:sz w:val="18"/>
                <w:szCs w:val="18"/>
              </w:rPr>
            </w:pPr>
          </w:p>
        </w:tc>
        <w:tc>
          <w:tcPr>
            <w:tcW w:w="957" w:type="dxa"/>
            <w:tcBorders>
              <w:top w:val="nil"/>
              <w:left w:val="nil"/>
              <w:bottom w:val="single" w:sz="4" w:space="0" w:color="auto"/>
              <w:right w:val="single" w:sz="4" w:space="0" w:color="auto"/>
            </w:tcBorders>
            <w:shd w:val="clear" w:color="auto" w:fill="C6EFCE"/>
            <w:noWrap/>
          </w:tcPr>
          <w:p w14:paraId="3B9F9B29"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75104065"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B834DFE" w14:textId="77777777" w:rsidR="00CB0FCB" w:rsidRDefault="009D2B11">
            <w:pPr>
              <w:pStyle w:val="P68B1DB1-Normal9"/>
              <w:spacing w:after="0" w:line="240" w:lineRule="auto"/>
              <w:rPr>
                <w:rFonts w:eastAsia="Times New Roman" w:cs="Calibri"/>
                <w:noProof/>
                <w:szCs w:val="18"/>
              </w:rPr>
            </w:pPr>
            <w:r>
              <w:rPr>
                <w:noProof/>
              </w:rPr>
              <w:t>CET.</w:t>
            </w:r>
          </w:p>
        </w:tc>
        <w:tc>
          <w:tcPr>
            <w:tcW w:w="694" w:type="dxa"/>
            <w:tcBorders>
              <w:top w:val="nil"/>
              <w:left w:val="nil"/>
              <w:bottom w:val="single" w:sz="4" w:space="0" w:color="auto"/>
              <w:right w:val="single" w:sz="4" w:space="0" w:color="auto"/>
            </w:tcBorders>
            <w:shd w:val="clear" w:color="auto" w:fill="C6EFCE"/>
            <w:noWrap/>
          </w:tcPr>
          <w:p w14:paraId="4753C0F2" w14:textId="77777777" w:rsidR="00CB0FCB" w:rsidRDefault="009D2B11">
            <w:pPr>
              <w:pStyle w:val="P68B1DB1-Normal9"/>
              <w:spacing w:after="0" w:line="240" w:lineRule="auto"/>
              <w:rPr>
                <w:rFonts w:eastAsia="Times New Roman" w:cs="Calibri"/>
                <w:noProof/>
                <w:szCs w:val="18"/>
              </w:rPr>
            </w:pPr>
            <w:r>
              <w:rPr>
                <w:noProof/>
              </w:rPr>
              <w:t>2022</w:t>
            </w:r>
          </w:p>
        </w:tc>
        <w:tc>
          <w:tcPr>
            <w:tcW w:w="5173" w:type="dxa"/>
            <w:tcBorders>
              <w:top w:val="single" w:sz="4" w:space="0" w:color="auto"/>
              <w:left w:val="nil"/>
              <w:bottom w:val="single" w:sz="4" w:space="0" w:color="auto"/>
              <w:right w:val="single" w:sz="4" w:space="0" w:color="auto"/>
            </w:tcBorders>
            <w:shd w:val="clear" w:color="auto" w:fill="C6EFCE"/>
            <w:noWrap/>
          </w:tcPr>
          <w:p w14:paraId="731DDC2D" w14:textId="77777777" w:rsidR="00CB0FCB" w:rsidRDefault="009D2B11">
            <w:pPr>
              <w:pStyle w:val="P68B1DB1-Normal9"/>
              <w:spacing w:after="0" w:line="240" w:lineRule="auto"/>
              <w:rPr>
                <w:rFonts w:eastAsia="Times New Roman" w:cs="Calibri"/>
                <w:noProof/>
                <w:szCs w:val="18"/>
              </w:rPr>
            </w:pPr>
            <w:r>
              <w:rPr>
                <w:noProof/>
              </w:rPr>
              <w:t>Stājas spēkā 15 normatīvie lēmumi/aprīkojums, ko pieņēmusi Neatkarīgā valsts ieņēmumu iestāde par jaunas integrētas sistēmas izveidi cīņai pret kontrabandu.</w:t>
            </w:r>
          </w:p>
          <w:p w14:paraId="5B94A980" w14:textId="77777777" w:rsidR="00CB0FCB" w:rsidRDefault="00CB0FCB">
            <w:pPr>
              <w:spacing w:after="0" w:line="240" w:lineRule="auto"/>
              <w:rPr>
                <w:rFonts w:eastAsia="Times New Roman" w:cs="Calibri"/>
                <w:noProof/>
                <w:color w:val="006100"/>
                <w:sz w:val="18"/>
                <w:szCs w:val="18"/>
              </w:rPr>
            </w:pPr>
          </w:p>
          <w:p w14:paraId="713776C7" w14:textId="77777777" w:rsidR="00CB0FCB" w:rsidRDefault="009D2B11">
            <w:pPr>
              <w:pStyle w:val="P68B1DB1-Normal9"/>
              <w:spacing w:after="0" w:line="240" w:lineRule="auto"/>
              <w:rPr>
                <w:rFonts w:eastAsia="Times New Roman" w:cs="Calibri"/>
                <w:noProof/>
                <w:szCs w:val="18"/>
              </w:rPr>
            </w:pPr>
            <w:r>
              <w:rPr>
                <w:noProof/>
              </w:rPr>
              <w:t>Saskaņā ar ceļvedi, kas noteikts līdz 2022. gada 31. martam, spēkā stājies lēmums/aprīkojums attiecas uz jaunas integrētas sistēmas sagatavošanu, kas atbalsta audita procesu, reāllaikā uzraugot muitas darījumus un procedūras. Šī sistēma darbojas, cenšoties labāk un ātrāk virzīt kriminālvajāšanas muitas dienestus ar centrālu uzraudzību un ļoti interesējošos punktos.</w:t>
            </w:r>
          </w:p>
        </w:tc>
      </w:tr>
      <w:tr w:rsidR="00CB0FCB" w14:paraId="48CAC185"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33A3BF68" w14:textId="77777777" w:rsidR="00CB0FCB" w:rsidRDefault="009D2B11">
            <w:pPr>
              <w:pStyle w:val="P68B1DB1-Normal9"/>
              <w:spacing w:after="0" w:line="240" w:lineRule="auto"/>
              <w:rPr>
                <w:rFonts w:eastAsia="Times New Roman" w:cs="Calibri"/>
                <w:noProof/>
                <w:szCs w:val="18"/>
              </w:rPr>
            </w:pPr>
            <w:r>
              <w:rPr>
                <w:noProof/>
              </w:rPr>
              <w:t>192</w:t>
            </w:r>
          </w:p>
        </w:tc>
        <w:tc>
          <w:tcPr>
            <w:tcW w:w="1533" w:type="dxa"/>
            <w:tcBorders>
              <w:top w:val="nil"/>
              <w:left w:val="nil"/>
              <w:bottom w:val="single" w:sz="4" w:space="0" w:color="auto"/>
              <w:right w:val="single" w:sz="4" w:space="0" w:color="auto"/>
            </w:tcBorders>
            <w:shd w:val="clear" w:color="auto" w:fill="C6EFCE"/>
            <w:noWrap/>
          </w:tcPr>
          <w:p w14:paraId="2BF2CFED" w14:textId="77777777" w:rsidR="00CB0FCB" w:rsidRDefault="009D2B11">
            <w:pPr>
              <w:pStyle w:val="P68B1DB1-Normal9"/>
              <w:spacing w:after="0" w:line="240" w:lineRule="auto"/>
              <w:rPr>
                <w:rFonts w:eastAsia="Times New Roman"/>
                <w:noProof/>
                <w:szCs w:val="18"/>
                <w:highlight w:val="yellow"/>
              </w:rPr>
            </w:pPr>
            <w:r>
              <w:rPr>
                <w:noProof/>
              </w:rPr>
              <w:t>12–4.1. PUNKTS. Padarīt nodokļus labvēlīgākus izaugsmei un uzlabot nodokļu administrēšanu un nodokļu iekasēšanu — 16611_Nodokļu revīziju digitālā pārveide</w:t>
            </w:r>
          </w:p>
          <w:p w14:paraId="1D1F7417" w14:textId="77777777" w:rsidR="00CB0FCB" w:rsidRDefault="00CB0FCB">
            <w:pPr>
              <w:spacing w:after="0" w:line="240" w:lineRule="auto"/>
              <w:rPr>
                <w:rFonts w:eastAsia="Times New Roman" w:cs="Calibri"/>
                <w:noProof/>
                <w:color w:val="006100"/>
                <w:sz w:val="18"/>
                <w:szCs w:val="18"/>
              </w:rPr>
            </w:pPr>
          </w:p>
        </w:tc>
        <w:tc>
          <w:tcPr>
            <w:tcW w:w="969" w:type="dxa"/>
            <w:tcBorders>
              <w:top w:val="nil"/>
              <w:left w:val="nil"/>
              <w:bottom w:val="single" w:sz="4" w:space="0" w:color="auto"/>
              <w:right w:val="single" w:sz="4" w:space="0" w:color="auto"/>
            </w:tcBorders>
            <w:shd w:val="clear" w:color="auto" w:fill="C6EFCE"/>
            <w:noWrap/>
          </w:tcPr>
          <w:p w14:paraId="5AB56AA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4" w:type="dxa"/>
            <w:tcBorders>
              <w:top w:val="nil"/>
              <w:left w:val="nil"/>
              <w:bottom w:val="single" w:sz="4" w:space="0" w:color="auto"/>
              <w:right w:val="single" w:sz="4" w:space="0" w:color="auto"/>
            </w:tcBorders>
            <w:shd w:val="clear" w:color="auto" w:fill="C6EFCE"/>
            <w:noWrap/>
          </w:tcPr>
          <w:p w14:paraId="7CC94967" w14:textId="77777777" w:rsidR="00CB0FCB" w:rsidRDefault="009D2B11">
            <w:pPr>
              <w:pStyle w:val="P68B1DB1-Normal9"/>
              <w:spacing w:after="0" w:line="240" w:lineRule="auto"/>
              <w:rPr>
                <w:rFonts w:eastAsia="Times New Roman" w:cs="Calibri"/>
                <w:noProof/>
                <w:szCs w:val="18"/>
              </w:rPr>
            </w:pPr>
            <w:r>
              <w:rPr>
                <w:noProof/>
              </w:rPr>
              <w:t>Nodokļu revīzijas — Mani dati un bankas informācija</w:t>
            </w:r>
          </w:p>
        </w:tc>
        <w:tc>
          <w:tcPr>
            <w:tcW w:w="1824" w:type="dxa"/>
            <w:tcBorders>
              <w:top w:val="nil"/>
              <w:left w:val="nil"/>
              <w:bottom w:val="single" w:sz="4" w:space="0" w:color="auto"/>
              <w:right w:val="single" w:sz="4" w:space="0" w:color="auto"/>
            </w:tcBorders>
            <w:shd w:val="clear" w:color="auto" w:fill="C6EFCE"/>
            <w:noWrap/>
          </w:tcPr>
          <w:p w14:paraId="5111F239" w14:textId="77777777" w:rsidR="00CB0FCB" w:rsidRDefault="009D2B11">
            <w:pPr>
              <w:pStyle w:val="P68B1DB1-Normal9"/>
              <w:spacing w:after="0" w:line="240" w:lineRule="auto"/>
              <w:rPr>
                <w:rFonts w:eastAsia="Times New Roman" w:cs="Calibri"/>
                <w:noProof/>
                <w:szCs w:val="18"/>
              </w:rPr>
            </w:pPr>
            <w:r>
              <w:rPr>
                <w:noProof/>
              </w:rPr>
              <w:t>Neatkarīgās valsts ieņēmumu iestādes ziņojums, kurā apliecināts:</w:t>
            </w:r>
          </w:p>
          <w:p w14:paraId="38864DA6" w14:textId="77777777" w:rsidR="00CB0FCB" w:rsidRDefault="009D2B11">
            <w:pPr>
              <w:pStyle w:val="P68B1DB1-Normal9"/>
              <w:spacing w:after="0" w:line="240" w:lineRule="auto"/>
              <w:rPr>
                <w:rFonts w:eastAsia="Times New Roman" w:cs="Calibri"/>
                <w:noProof/>
                <w:szCs w:val="18"/>
              </w:rPr>
            </w:pPr>
            <w:r>
              <w:rPr>
                <w:noProof/>
              </w:rPr>
              <w:t>a) “Mydata” sistēmas pilnīga aktivizēšana.</w:t>
            </w:r>
          </w:p>
          <w:p w14:paraId="135DA416" w14:textId="77777777" w:rsidR="00CB0FCB" w:rsidRDefault="009D2B11">
            <w:pPr>
              <w:pStyle w:val="P68B1DB1-Normal9"/>
              <w:spacing w:after="0" w:line="240" w:lineRule="auto"/>
              <w:rPr>
                <w:rFonts w:eastAsia="Times New Roman" w:cs="Calibri"/>
                <w:noProof/>
                <w:szCs w:val="18"/>
              </w:rPr>
            </w:pPr>
            <w:r>
              <w:rPr>
                <w:noProof/>
              </w:rPr>
              <w:t>projekta pabeigšana par trešo personu bankas informācijas savstarpēju savienošanu un izmantošanu, ko veic Neatkarīgā valsts ieņēmumu iestāde.</w:t>
            </w:r>
          </w:p>
        </w:tc>
        <w:tc>
          <w:tcPr>
            <w:tcW w:w="866" w:type="dxa"/>
            <w:tcBorders>
              <w:top w:val="nil"/>
              <w:left w:val="nil"/>
              <w:bottom w:val="single" w:sz="4" w:space="0" w:color="auto"/>
              <w:right w:val="single" w:sz="4" w:space="0" w:color="auto"/>
            </w:tcBorders>
            <w:shd w:val="clear" w:color="auto" w:fill="C6EFCE"/>
            <w:noWrap/>
          </w:tcPr>
          <w:p w14:paraId="0A6C9E1D" w14:textId="77777777" w:rsidR="00CB0FCB" w:rsidRDefault="00CB0FCB">
            <w:pPr>
              <w:spacing w:after="0" w:line="240" w:lineRule="auto"/>
              <w:rPr>
                <w:rFonts w:eastAsia="Times New Roman" w:cs="Calibri"/>
                <w:noProof/>
                <w:color w:val="006100"/>
                <w:sz w:val="18"/>
                <w:szCs w:val="18"/>
              </w:rPr>
            </w:pPr>
          </w:p>
        </w:tc>
        <w:tc>
          <w:tcPr>
            <w:tcW w:w="957" w:type="dxa"/>
            <w:tcBorders>
              <w:top w:val="nil"/>
              <w:left w:val="nil"/>
              <w:bottom w:val="single" w:sz="4" w:space="0" w:color="auto"/>
              <w:right w:val="single" w:sz="4" w:space="0" w:color="auto"/>
            </w:tcBorders>
            <w:shd w:val="clear" w:color="auto" w:fill="C6EFCE"/>
            <w:noWrap/>
          </w:tcPr>
          <w:p w14:paraId="03FA61E8"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378AAA91"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DBE59BC" w14:textId="77777777" w:rsidR="00CB0FCB" w:rsidRDefault="009D2B11">
            <w:pPr>
              <w:pStyle w:val="P68B1DB1-Normal9"/>
              <w:spacing w:after="0" w:line="240" w:lineRule="auto"/>
              <w:rPr>
                <w:rFonts w:eastAsia="Times New Roman" w:cs="Calibri"/>
                <w:noProof/>
                <w:szCs w:val="18"/>
              </w:rPr>
            </w:pPr>
            <w:r>
              <w:rPr>
                <w:noProof/>
              </w:rPr>
              <w:t>4. CET.</w:t>
            </w:r>
          </w:p>
        </w:tc>
        <w:tc>
          <w:tcPr>
            <w:tcW w:w="694" w:type="dxa"/>
            <w:tcBorders>
              <w:top w:val="nil"/>
              <w:left w:val="nil"/>
              <w:bottom w:val="single" w:sz="4" w:space="0" w:color="auto"/>
              <w:right w:val="single" w:sz="4" w:space="0" w:color="auto"/>
            </w:tcBorders>
            <w:shd w:val="clear" w:color="auto" w:fill="C6EFCE"/>
            <w:noWrap/>
          </w:tcPr>
          <w:p w14:paraId="6A857210" w14:textId="77777777" w:rsidR="00CB0FCB" w:rsidRDefault="009D2B11">
            <w:pPr>
              <w:pStyle w:val="P68B1DB1-Normal9"/>
              <w:spacing w:after="0" w:line="240" w:lineRule="auto"/>
              <w:rPr>
                <w:rFonts w:eastAsia="Times New Roman" w:cs="Calibri"/>
                <w:noProof/>
                <w:szCs w:val="18"/>
              </w:rPr>
            </w:pPr>
            <w:r>
              <w:rPr>
                <w:noProof/>
              </w:rPr>
              <w:t>2023</w:t>
            </w:r>
          </w:p>
        </w:tc>
        <w:tc>
          <w:tcPr>
            <w:tcW w:w="5173" w:type="dxa"/>
            <w:tcBorders>
              <w:top w:val="nil"/>
              <w:left w:val="nil"/>
              <w:bottom w:val="single" w:sz="4" w:space="0" w:color="auto"/>
              <w:right w:val="single" w:sz="4" w:space="0" w:color="auto"/>
            </w:tcBorders>
            <w:shd w:val="clear" w:color="auto" w:fill="C6EFCE"/>
            <w:noWrap/>
          </w:tcPr>
          <w:p w14:paraId="1C75B7D1" w14:textId="77777777" w:rsidR="00CB0FCB" w:rsidRDefault="009D2B11">
            <w:pPr>
              <w:pStyle w:val="P68B1DB1-Normal9"/>
              <w:spacing w:after="0" w:line="240" w:lineRule="auto"/>
              <w:rPr>
                <w:rFonts w:eastAsia="Times New Roman" w:cs="Calibri"/>
                <w:noProof/>
                <w:szCs w:val="18"/>
              </w:rPr>
            </w:pPr>
            <w:r>
              <w:rPr>
                <w:noProof/>
              </w:rPr>
              <w:t xml:space="preserve">Aktivizēšana </w:t>
            </w:r>
          </w:p>
          <w:p w14:paraId="6B1984E5" w14:textId="77777777" w:rsidR="00CB0FCB" w:rsidRDefault="009D2B11">
            <w:pPr>
              <w:pStyle w:val="P68B1DB1-ListParagraph20"/>
              <w:numPr>
                <w:ilvl w:val="0"/>
                <w:numId w:val="82"/>
              </w:numPr>
              <w:spacing w:after="0" w:line="240" w:lineRule="auto"/>
              <w:ind w:left="169" w:hanging="142"/>
              <w:rPr>
                <w:rFonts w:eastAsia="Times New Roman" w:cs="Calibri"/>
                <w:noProof/>
                <w:szCs w:val="18"/>
              </w:rPr>
            </w:pPr>
            <w:r>
              <w:rPr>
                <w:noProof/>
              </w:rPr>
              <w:t xml:space="preserve">MiDATA sistēma un tās savstarpējā savienojamība un trešo personu banku informācijas izmantošana, lai uzlabotu uzņēmumu atbilstību nodokļu noteikumiem, atvieglotu nodokļu deklarāciju automātisku aizpildīšanu un uzlabotu nodokļu revīziju efektivitāti. </w:t>
            </w:r>
          </w:p>
          <w:p w14:paraId="4D0C3954" w14:textId="77777777" w:rsidR="00CB0FCB" w:rsidRDefault="009D2B11">
            <w:pPr>
              <w:pStyle w:val="P68B1DB1-ListParagraph20"/>
              <w:numPr>
                <w:ilvl w:val="0"/>
                <w:numId w:val="82"/>
              </w:numPr>
              <w:spacing w:after="0" w:line="240" w:lineRule="auto"/>
              <w:ind w:left="169" w:hanging="142"/>
              <w:rPr>
                <w:rFonts w:eastAsia="Times New Roman" w:cs="Calibri"/>
                <w:noProof/>
                <w:szCs w:val="18"/>
              </w:rPr>
            </w:pPr>
            <w:r>
              <w:rPr>
                <w:noProof/>
              </w:rPr>
              <w:t xml:space="preserve">MiDATA sistēma elektroniskai grāmatvedībai, elektroniskajiem rēķiniem un visu nodokļu kases reģistru savienošanai ar tās IT sistēmām. . </w:t>
            </w:r>
          </w:p>
          <w:p w14:paraId="69003A55" w14:textId="77777777" w:rsidR="00CB0FCB" w:rsidRDefault="00CB0FCB">
            <w:pPr>
              <w:spacing w:after="0" w:line="240" w:lineRule="auto"/>
              <w:ind w:left="27"/>
              <w:rPr>
                <w:rFonts w:eastAsia="Times New Roman" w:cs="Calibri"/>
                <w:noProof/>
                <w:color w:val="006100"/>
                <w:sz w:val="18"/>
                <w:szCs w:val="18"/>
              </w:rPr>
            </w:pPr>
          </w:p>
        </w:tc>
      </w:tr>
      <w:tr w:rsidR="00CB0FCB" w14:paraId="4B314D9D"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56EE1B6" w14:textId="77777777" w:rsidR="00CB0FCB" w:rsidRDefault="009D2B11">
            <w:pPr>
              <w:pStyle w:val="P68B1DB1-Normal9"/>
              <w:spacing w:after="0" w:line="240" w:lineRule="auto"/>
              <w:rPr>
                <w:rFonts w:eastAsia="Times New Roman" w:cs="Calibri"/>
                <w:noProof/>
                <w:szCs w:val="18"/>
              </w:rPr>
            </w:pPr>
            <w:r>
              <w:rPr>
                <w:noProof/>
              </w:rPr>
              <w:t>193</w:t>
            </w:r>
          </w:p>
        </w:tc>
        <w:tc>
          <w:tcPr>
            <w:tcW w:w="1533" w:type="dxa"/>
            <w:tcBorders>
              <w:top w:val="single" w:sz="4" w:space="0" w:color="auto"/>
              <w:left w:val="nil"/>
              <w:bottom w:val="single" w:sz="4" w:space="0" w:color="auto"/>
              <w:right w:val="single" w:sz="4" w:space="0" w:color="auto"/>
            </w:tcBorders>
            <w:shd w:val="clear" w:color="auto" w:fill="C6EFCE"/>
            <w:noWrap/>
          </w:tcPr>
          <w:p w14:paraId="29D5C727"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16610_Veicināt PVN atmaksas paātrināšanu</w:t>
            </w:r>
          </w:p>
        </w:tc>
        <w:tc>
          <w:tcPr>
            <w:tcW w:w="969" w:type="dxa"/>
            <w:tcBorders>
              <w:top w:val="single" w:sz="4" w:space="0" w:color="auto"/>
              <w:left w:val="nil"/>
              <w:bottom w:val="single" w:sz="4" w:space="0" w:color="auto"/>
              <w:right w:val="single" w:sz="4" w:space="0" w:color="auto"/>
            </w:tcBorders>
            <w:shd w:val="clear" w:color="auto" w:fill="C6EFCE"/>
            <w:noWrap/>
          </w:tcPr>
          <w:p w14:paraId="0945FA5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4" w:type="dxa"/>
            <w:tcBorders>
              <w:top w:val="single" w:sz="4" w:space="0" w:color="auto"/>
              <w:left w:val="nil"/>
              <w:bottom w:val="single" w:sz="4" w:space="0" w:color="auto"/>
              <w:right w:val="single" w:sz="4" w:space="0" w:color="auto"/>
            </w:tcBorders>
            <w:shd w:val="clear" w:color="auto" w:fill="C6EFCE"/>
            <w:noWrap/>
          </w:tcPr>
          <w:p w14:paraId="5CA08C0D" w14:textId="77777777" w:rsidR="00CB0FCB" w:rsidRDefault="009D2B11">
            <w:pPr>
              <w:pStyle w:val="P68B1DB1-Normal9"/>
              <w:spacing w:after="0" w:line="240" w:lineRule="auto"/>
              <w:rPr>
                <w:rFonts w:eastAsia="Times New Roman" w:cs="Calibri"/>
                <w:noProof/>
                <w:szCs w:val="18"/>
              </w:rPr>
            </w:pPr>
            <w:r>
              <w:rPr>
                <w:noProof/>
              </w:rPr>
              <w:t>Pilnībā automatizēta PVN atmaksa — IT sistēmas darbības uzsākšana</w:t>
            </w:r>
          </w:p>
        </w:tc>
        <w:tc>
          <w:tcPr>
            <w:tcW w:w="1824" w:type="dxa"/>
            <w:tcBorders>
              <w:top w:val="single" w:sz="4" w:space="0" w:color="auto"/>
              <w:left w:val="nil"/>
              <w:bottom w:val="single" w:sz="4" w:space="0" w:color="auto"/>
              <w:right w:val="single" w:sz="4" w:space="0" w:color="auto"/>
            </w:tcBorders>
            <w:shd w:val="clear" w:color="auto" w:fill="C6EFCE"/>
            <w:noWrap/>
          </w:tcPr>
          <w:p w14:paraId="1629C962" w14:textId="77777777" w:rsidR="00CB0FCB" w:rsidRDefault="009D2B11">
            <w:pPr>
              <w:pStyle w:val="P68B1DB1-Normal9"/>
              <w:spacing w:after="0" w:line="240" w:lineRule="auto"/>
              <w:rPr>
                <w:rFonts w:eastAsia="Times New Roman" w:cs="Calibri"/>
                <w:noProof/>
                <w:szCs w:val="18"/>
              </w:rPr>
            </w:pPr>
            <w:r>
              <w:rPr>
                <w:noProof/>
              </w:rPr>
              <w:t>Neatkarīgās valsts ieņēmumu iestādes ziņojums, kas apliecina jaunās IT sistēmas darbības uzsākšanu.</w:t>
            </w:r>
          </w:p>
        </w:tc>
        <w:tc>
          <w:tcPr>
            <w:tcW w:w="866" w:type="dxa"/>
            <w:tcBorders>
              <w:top w:val="single" w:sz="4" w:space="0" w:color="auto"/>
              <w:left w:val="nil"/>
              <w:bottom w:val="single" w:sz="4" w:space="0" w:color="auto"/>
              <w:right w:val="single" w:sz="4" w:space="0" w:color="auto"/>
            </w:tcBorders>
            <w:shd w:val="clear" w:color="auto" w:fill="C6EFCE"/>
            <w:noWrap/>
          </w:tcPr>
          <w:p w14:paraId="5C1F7557" w14:textId="77777777" w:rsidR="00CB0FCB" w:rsidRDefault="00CB0FCB">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3DE5620C"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23EF3F3A"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C5957E2" w14:textId="77777777" w:rsidR="00CB0FCB" w:rsidRDefault="009D2B11">
            <w:pPr>
              <w:pStyle w:val="P68B1DB1-Normal9"/>
              <w:spacing w:after="0" w:line="240" w:lineRule="auto"/>
              <w:rPr>
                <w:rFonts w:eastAsia="Times New Roman" w:cs="Calibri"/>
                <w:noProof/>
                <w:szCs w:val="18"/>
              </w:rPr>
            </w:pPr>
            <w:r>
              <w:rPr>
                <w:noProof/>
              </w:rPr>
              <w:t>4. CET.</w:t>
            </w:r>
          </w:p>
        </w:tc>
        <w:tc>
          <w:tcPr>
            <w:tcW w:w="694" w:type="dxa"/>
            <w:tcBorders>
              <w:top w:val="single" w:sz="4" w:space="0" w:color="auto"/>
              <w:left w:val="nil"/>
              <w:bottom w:val="single" w:sz="4" w:space="0" w:color="auto"/>
              <w:right w:val="single" w:sz="4" w:space="0" w:color="auto"/>
            </w:tcBorders>
            <w:shd w:val="clear" w:color="auto" w:fill="C6EFCE"/>
            <w:noWrap/>
          </w:tcPr>
          <w:p w14:paraId="7A8D3B56" w14:textId="77777777" w:rsidR="00CB0FCB" w:rsidRDefault="009D2B11">
            <w:pPr>
              <w:pStyle w:val="P68B1DB1-Normal9"/>
              <w:spacing w:after="0" w:line="240" w:lineRule="auto"/>
              <w:rPr>
                <w:rFonts w:eastAsia="Times New Roman" w:cs="Calibri"/>
                <w:noProof/>
                <w:szCs w:val="18"/>
              </w:rPr>
            </w:pPr>
            <w:r>
              <w:rPr>
                <w:noProof/>
              </w:rPr>
              <w:t>2023</w:t>
            </w:r>
          </w:p>
        </w:tc>
        <w:tc>
          <w:tcPr>
            <w:tcW w:w="5173" w:type="dxa"/>
            <w:tcBorders>
              <w:top w:val="single" w:sz="4" w:space="0" w:color="auto"/>
              <w:left w:val="nil"/>
              <w:bottom w:val="single" w:sz="4" w:space="0" w:color="auto"/>
              <w:right w:val="single" w:sz="4" w:space="0" w:color="auto"/>
            </w:tcBorders>
            <w:shd w:val="clear" w:color="auto" w:fill="C6EFCE"/>
            <w:noWrap/>
          </w:tcPr>
          <w:p w14:paraId="172A41F7" w14:textId="77777777" w:rsidR="00CB0FCB" w:rsidRDefault="009D2B11">
            <w:pPr>
              <w:pStyle w:val="P68B1DB1-Normal9"/>
              <w:spacing w:after="0" w:line="240" w:lineRule="auto"/>
              <w:rPr>
                <w:rFonts w:eastAsia="Times New Roman" w:cs="Calibri"/>
                <w:noProof/>
                <w:szCs w:val="18"/>
              </w:rPr>
            </w:pPr>
            <w:r>
              <w:rPr>
                <w:noProof/>
              </w:rPr>
              <w:t>Pilnībā automatizētās PVN atmaksas procedūras un IT platformas īstenošana, kas ļauj visus atmaksas pieprasījumus aizpildīt elektroniski, ja tie neietilpst revīzijas izlasē riska analīzes procesā (vismaz 90 % no visiem pieprasījumiem gadā).</w:t>
            </w:r>
          </w:p>
        </w:tc>
      </w:tr>
      <w:tr w:rsidR="00CB0FCB" w14:paraId="132705E0"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D7B524F" w14:textId="77777777" w:rsidR="00CB0FCB" w:rsidRDefault="009D2B11">
            <w:pPr>
              <w:pStyle w:val="P68B1DB1-Normal9"/>
              <w:spacing w:after="0" w:line="240" w:lineRule="auto"/>
              <w:rPr>
                <w:rFonts w:eastAsia="Times New Roman" w:cs="Calibri"/>
                <w:noProof/>
                <w:szCs w:val="18"/>
              </w:rPr>
            </w:pPr>
            <w:r>
              <w:rPr>
                <w:noProof/>
              </w:rPr>
              <w:t>195.a</w:t>
            </w:r>
          </w:p>
        </w:tc>
        <w:tc>
          <w:tcPr>
            <w:tcW w:w="1533" w:type="dxa"/>
            <w:tcBorders>
              <w:top w:val="single" w:sz="4" w:space="0" w:color="auto"/>
              <w:left w:val="nil"/>
              <w:bottom w:val="single" w:sz="4" w:space="0" w:color="auto"/>
              <w:right w:val="single" w:sz="4" w:space="0" w:color="auto"/>
            </w:tcBorders>
            <w:shd w:val="clear" w:color="auto" w:fill="C6EFCE"/>
            <w:noWrap/>
          </w:tcPr>
          <w:p w14:paraId="3F11651C" w14:textId="77777777" w:rsidR="00CB0FCB" w:rsidRDefault="009D2B11">
            <w:pPr>
              <w:pStyle w:val="P68B1DB1-Normal9"/>
              <w:spacing w:after="0" w:line="240" w:lineRule="auto"/>
              <w:rPr>
                <w:rFonts w:eastAsia="Times New Roman" w:cs="Calibri"/>
                <w:noProof/>
                <w:szCs w:val="18"/>
              </w:rPr>
            </w:pPr>
            <w:r>
              <w:rPr>
                <w:noProof/>
              </w:rPr>
              <w:t xml:space="preserve">12–4.1. PUNKTS. Padarīt nodokļus labvēlīgākus izaugsmei un uzlabot nodokļu administrēšanu un nodokļu iekasēšanu </w:t>
            </w:r>
          </w:p>
          <w:p w14:paraId="1960B6CB" w14:textId="77777777" w:rsidR="00CB0FCB" w:rsidRDefault="009D2B11">
            <w:pPr>
              <w:pStyle w:val="P68B1DB1-Normal9"/>
              <w:spacing w:after="0" w:line="240" w:lineRule="auto"/>
              <w:rPr>
                <w:rFonts w:eastAsia="Times New Roman" w:cs="Calibri"/>
                <w:noProof/>
                <w:szCs w:val="18"/>
              </w:rPr>
            </w:pPr>
            <w:r>
              <w:rPr>
                <w:noProof/>
              </w:rPr>
              <w:t>— 16291_Nodokļu un muitas pārvaldes digitālā pārveide</w:t>
            </w:r>
          </w:p>
        </w:tc>
        <w:tc>
          <w:tcPr>
            <w:tcW w:w="969" w:type="dxa"/>
            <w:tcBorders>
              <w:top w:val="single" w:sz="4" w:space="0" w:color="auto"/>
              <w:left w:val="nil"/>
              <w:bottom w:val="single" w:sz="4" w:space="0" w:color="auto"/>
              <w:right w:val="single" w:sz="4" w:space="0" w:color="auto"/>
            </w:tcBorders>
            <w:shd w:val="clear" w:color="auto" w:fill="C6EFCE"/>
            <w:noWrap/>
          </w:tcPr>
          <w:p w14:paraId="2E51587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4" w:type="dxa"/>
            <w:tcBorders>
              <w:top w:val="single" w:sz="4" w:space="0" w:color="auto"/>
              <w:left w:val="nil"/>
              <w:bottom w:val="single" w:sz="4" w:space="0" w:color="auto"/>
              <w:right w:val="single" w:sz="4" w:space="0" w:color="auto"/>
            </w:tcBorders>
            <w:shd w:val="clear" w:color="auto" w:fill="C6EFCE"/>
            <w:noWrap/>
          </w:tcPr>
          <w:p w14:paraId="01BCD64F" w14:textId="77777777" w:rsidR="00CB0FCB" w:rsidRDefault="009D2B11">
            <w:pPr>
              <w:pStyle w:val="P68B1DB1-Normal9"/>
              <w:spacing w:after="0" w:line="240" w:lineRule="auto"/>
              <w:rPr>
                <w:rFonts w:eastAsia="Times New Roman" w:cs="Calibri"/>
                <w:noProof/>
                <w:szCs w:val="18"/>
              </w:rPr>
            </w:pPr>
            <w:r>
              <w:rPr>
                <w:noProof/>
              </w:rPr>
              <w:t>Apakšprojektu īstenošana</w:t>
            </w:r>
          </w:p>
        </w:tc>
        <w:tc>
          <w:tcPr>
            <w:tcW w:w="1824" w:type="dxa"/>
            <w:tcBorders>
              <w:top w:val="single" w:sz="4" w:space="0" w:color="auto"/>
              <w:left w:val="nil"/>
              <w:bottom w:val="single" w:sz="4" w:space="0" w:color="auto"/>
              <w:right w:val="single" w:sz="4" w:space="0" w:color="auto"/>
            </w:tcBorders>
            <w:shd w:val="clear" w:color="auto" w:fill="C6EFCE"/>
            <w:noWrap/>
          </w:tcPr>
          <w:p w14:paraId="447643D4" w14:textId="77777777" w:rsidR="00CB0FCB" w:rsidRDefault="009D2B11">
            <w:pPr>
              <w:pStyle w:val="P68B1DB1-Normal9"/>
              <w:spacing w:after="0" w:line="240" w:lineRule="auto"/>
              <w:rPr>
                <w:rFonts w:eastAsia="Times New Roman" w:cs="Calibri"/>
                <w:noProof/>
                <w:szCs w:val="18"/>
              </w:rPr>
            </w:pPr>
            <w:r>
              <w:rPr>
                <w:noProof/>
              </w:rPr>
              <w:t>Neatkarīgās valsts ieņēmumu iestādes ziņojums, kas apliecina abu apakšprojektu īstenošanu.</w:t>
            </w:r>
          </w:p>
        </w:tc>
        <w:tc>
          <w:tcPr>
            <w:tcW w:w="866" w:type="dxa"/>
            <w:tcBorders>
              <w:top w:val="single" w:sz="4" w:space="0" w:color="auto"/>
              <w:left w:val="nil"/>
              <w:bottom w:val="single" w:sz="4" w:space="0" w:color="auto"/>
              <w:right w:val="single" w:sz="4" w:space="0" w:color="auto"/>
            </w:tcBorders>
            <w:shd w:val="clear" w:color="auto" w:fill="C6EFCE"/>
            <w:noWrap/>
          </w:tcPr>
          <w:p w14:paraId="0814FF87" w14:textId="77777777" w:rsidR="00CB0FCB" w:rsidRDefault="00CB0FCB">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289B8A8D"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721F1903"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E0F8778" w14:textId="77777777" w:rsidR="00CB0FCB" w:rsidRDefault="009D2B11">
            <w:pPr>
              <w:pStyle w:val="P68B1DB1-Normal9"/>
              <w:spacing w:after="0" w:line="240" w:lineRule="auto"/>
              <w:rPr>
                <w:rFonts w:eastAsia="Times New Roman" w:cs="Calibri"/>
                <w:noProof/>
                <w:szCs w:val="18"/>
              </w:rPr>
            </w:pPr>
            <w:r>
              <w:rPr>
                <w:noProof/>
              </w:rPr>
              <w:t>4. CET.</w:t>
            </w:r>
          </w:p>
        </w:tc>
        <w:tc>
          <w:tcPr>
            <w:tcW w:w="694" w:type="dxa"/>
            <w:tcBorders>
              <w:top w:val="single" w:sz="4" w:space="0" w:color="auto"/>
              <w:left w:val="nil"/>
              <w:bottom w:val="single" w:sz="4" w:space="0" w:color="auto"/>
              <w:right w:val="single" w:sz="4" w:space="0" w:color="auto"/>
            </w:tcBorders>
            <w:shd w:val="clear" w:color="auto" w:fill="C6EFCE"/>
            <w:noWrap/>
          </w:tcPr>
          <w:p w14:paraId="24CCD858" w14:textId="77777777" w:rsidR="00CB0FCB" w:rsidRDefault="009D2B11">
            <w:pPr>
              <w:pStyle w:val="P68B1DB1-Normal9"/>
              <w:spacing w:after="0" w:line="240" w:lineRule="auto"/>
              <w:rPr>
                <w:rFonts w:eastAsia="Times New Roman" w:cs="Calibri"/>
                <w:noProof/>
                <w:szCs w:val="18"/>
              </w:rPr>
            </w:pPr>
            <w:r>
              <w:rPr>
                <w:noProof/>
              </w:rPr>
              <w:t>2024</w:t>
            </w:r>
          </w:p>
        </w:tc>
        <w:tc>
          <w:tcPr>
            <w:tcW w:w="5173" w:type="dxa"/>
            <w:tcBorders>
              <w:top w:val="single" w:sz="4" w:space="0" w:color="auto"/>
              <w:left w:val="nil"/>
              <w:bottom w:val="single" w:sz="4" w:space="0" w:color="auto"/>
              <w:right w:val="single" w:sz="4" w:space="0" w:color="auto"/>
            </w:tcBorders>
            <w:shd w:val="clear" w:color="auto" w:fill="C6EFCE"/>
            <w:noWrap/>
          </w:tcPr>
          <w:p w14:paraId="619461F6" w14:textId="6BFA65BA" w:rsidR="00CB0FCB" w:rsidRDefault="009D2B11">
            <w:pPr>
              <w:pStyle w:val="P68B1DB1-Normal9"/>
              <w:spacing w:after="0" w:line="240" w:lineRule="auto"/>
              <w:rPr>
                <w:rFonts w:eastAsia="Times New Roman" w:cs="Calibri"/>
                <w:noProof/>
                <w:szCs w:val="18"/>
              </w:rPr>
            </w:pPr>
            <w:r>
              <w:rPr>
                <w:noProof/>
              </w:rPr>
              <w:t xml:space="preserve">Tiek </w:t>
            </w:r>
            <w:r>
              <w:rPr>
                <w:noProof/>
                <w:szCs w:val="18"/>
              </w:rPr>
              <w:t>pabeigti</w:t>
            </w:r>
            <w:r>
              <w:rPr>
                <w:noProof/>
              </w:rPr>
              <w:t>šādi apakšprojekti:</w:t>
            </w:r>
          </w:p>
          <w:p w14:paraId="147F0AD6" w14:textId="77777777" w:rsidR="00CB0FCB" w:rsidRDefault="00CB0FCB">
            <w:pPr>
              <w:spacing w:after="0" w:line="240" w:lineRule="auto"/>
              <w:rPr>
                <w:rFonts w:eastAsia="Times New Roman" w:cs="Calibri"/>
                <w:noProof/>
                <w:color w:val="006100"/>
                <w:sz w:val="18"/>
                <w:szCs w:val="18"/>
              </w:rPr>
            </w:pPr>
          </w:p>
          <w:p w14:paraId="68CF7FDE" w14:textId="001D726E" w:rsidR="00CB0FCB" w:rsidRDefault="009D2B11">
            <w:pPr>
              <w:pStyle w:val="P68B1DB1-ListParagraph20"/>
              <w:numPr>
                <w:ilvl w:val="0"/>
                <w:numId w:val="81"/>
              </w:numPr>
              <w:spacing w:after="0" w:line="240" w:lineRule="auto"/>
              <w:rPr>
                <w:rFonts w:eastAsia="Times New Roman" w:cs="Calibri"/>
                <w:noProof/>
                <w:szCs w:val="18"/>
              </w:rPr>
            </w:pPr>
            <w:r>
              <w:rPr>
                <w:noProof/>
              </w:rPr>
              <w:t>Intervences jomā “Digitālo pamatsistēmu aizstāšana, novecojušas infrastruktūras atjaunošana un pakalpojumu sniegšanas funkcionalitātes paplašināšana”: Darbojas integrēta informācijas sistēma IAPR Finanšu pakalpojumu ģenerāldirektorātam.</w:t>
            </w:r>
          </w:p>
          <w:p w14:paraId="7B695677" w14:textId="04BBA222" w:rsidR="00CB0FCB" w:rsidRDefault="009D2B11">
            <w:pPr>
              <w:pStyle w:val="P68B1DB1-ListParagraph38"/>
              <w:numPr>
                <w:ilvl w:val="0"/>
                <w:numId w:val="81"/>
              </w:numPr>
              <w:spacing w:after="0" w:line="240" w:lineRule="auto"/>
              <w:rPr>
                <w:rFonts w:eastAsia="Times New Roman" w:cs="Calibri"/>
                <w:noProof/>
              </w:rPr>
            </w:pPr>
            <w:r>
              <w:rPr>
                <w:noProof/>
              </w:rPr>
              <w:t>Intervences jomā “Biroja un darba procesu uzlabošana”: Darbojas IAPR biroja vadības pakalpojumi/iekārtu piegāde.</w:t>
            </w:r>
          </w:p>
        </w:tc>
      </w:tr>
      <w:tr w:rsidR="00CB0FCB" w14:paraId="4F383C2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B19128D" w14:textId="77777777" w:rsidR="00CB0FCB" w:rsidRDefault="009D2B11">
            <w:pPr>
              <w:pStyle w:val="P68B1DB1-Normal9"/>
              <w:spacing w:after="0" w:line="240" w:lineRule="auto"/>
              <w:rPr>
                <w:rFonts w:eastAsia="Times New Roman" w:cs="Calibri"/>
                <w:noProof/>
                <w:szCs w:val="18"/>
              </w:rPr>
            </w:pPr>
            <w:r>
              <w:rPr>
                <w:noProof/>
              </w:rPr>
              <w:t>194</w:t>
            </w:r>
          </w:p>
        </w:tc>
        <w:tc>
          <w:tcPr>
            <w:tcW w:w="1533" w:type="dxa"/>
            <w:tcBorders>
              <w:top w:val="single" w:sz="4" w:space="0" w:color="auto"/>
              <w:left w:val="nil"/>
              <w:bottom w:val="single" w:sz="4" w:space="0" w:color="auto"/>
              <w:right w:val="single" w:sz="4" w:space="0" w:color="auto"/>
            </w:tcBorders>
            <w:shd w:val="clear" w:color="auto" w:fill="C6EFCE"/>
            <w:noWrap/>
          </w:tcPr>
          <w:p w14:paraId="6BE9A38E" w14:textId="77777777" w:rsidR="00CB0FCB" w:rsidRDefault="009D2B11">
            <w:pPr>
              <w:pStyle w:val="P68B1DB1-Normal9"/>
              <w:spacing w:after="0" w:line="240" w:lineRule="auto"/>
              <w:rPr>
                <w:rFonts w:eastAsia="Times New Roman" w:cs="Calibri"/>
                <w:noProof/>
                <w:szCs w:val="18"/>
              </w:rPr>
            </w:pPr>
            <w:r>
              <w:rPr>
                <w:noProof/>
              </w:rPr>
              <w:t xml:space="preserve">12–4.1. PUNKTS. Padarīt nodokļus labvēlīgākus izaugsmei un uzlabot nodokļu administrēšanu un nodokļu iekasēšanu </w:t>
            </w:r>
          </w:p>
          <w:p w14:paraId="7D3473D8" w14:textId="77777777" w:rsidR="00CB0FCB" w:rsidRDefault="009D2B11">
            <w:pPr>
              <w:pStyle w:val="P68B1DB1-Normal9"/>
              <w:spacing w:after="0" w:line="240" w:lineRule="auto"/>
              <w:rPr>
                <w:rFonts w:eastAsia="Times New Roman" w:cs="Calibri"/>
                <w:noProof/>
                <w:szCs w:val="18"/>
              </w:rPr>
            </w:pPr>
            <w:r>
              <w:rPr>
                <w:noProof/>
              </w:rPr>
              <w:t>— 16611_Nodokļu revīziju digitālā pārveide</w:t>
            </w:r>
          </w:p>
        </w:tc>
        <w:tc>
          <w:tcPr>
            <w:tcW w:w="969" w:type="dxa"/>
            <w:tcBorders>
              <w:top w:val="single" w:sz="4" w:space="0" w:color="auto"/>
              <w:left w:val="nil"/>
              <w:bottom w:val="single" w:sz="4" w:space="0" w:color="auto"/>
              <w:right w:val="single" w:sz="4" w:space="0" w:color="auto"/>
            </w:tcBorders>
            <w:shd w:val="clear" w:color="auto" w:fill="C6EFCE"/>
            <w:noWrap/>
          </w:tcPr>
          <w:p w14:paraId="604D300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4" w:type="dxa"/>
            <w:tcBorders>
              <w:top w:val="single" w:sz="4" w:space="0" w:color="auto"/>
              <w:left w:val="nil"/>
              <w:bottom w:val="single" w:sz="4" w:space="0" w:color="auto"/>
              <w:right w:val="single" w:sz="4" w:space="0" w:color="auto"/>
            </w:tcBorders>
            <w:shd w:val="clear" w:color="auto" w:fill="C6EFCE"/>
            <w:noWrap/>
          </w:tcPr>
          <w:p w14:paraId="0C37B763" w14:textId="77777777" w:rsidR="00CB0FCB" w:rsidRDefault="009D2B11">
            <w:pPr>
              <w:pStyle w:val="P68B1DB1-Normal9"/>
              <w:spacing w:after="0" w:line="240" w:lineRule="auto"/>
              <w:rPr>
                <w:rFonts w:eastAsia="Times New Roman" w:cs="Calibri"/>
                <w:noProof/>
                <w:szCs w:val="18"/>
              </w:rPr>
            </w:pPr>
            <w:r>
              <w:rPr>
                <w:noProof/>
              </w:rPr>
              <w:t>Nodokļu revīziju digitālās pārveides pabeigšana</w:t>
            </w:r>
          </w:p>
        </w:tc>
        <w:tc>
          <w:tcPr>
            <w:tcW w:w="1824" w:type="dxa"/>
            <w:tcBorders>
              <w:top w:val="single" w:sz="4" w:space="0" w:color="auto"/>
              <w:left w:val="nil"/>
              <w:bottom w:val="single" w:sz="4" w:space="0" w:color="auto"/>
              <w:right w:val="single" w:sz="4" w:space="0" w:color="auto"/>
            </w:tcBorders>
            <w:shd w:val="clear" w:color="auto" w:fill="C6EFCE"/>
            <w:noWrap/>
          </w:tcPr>
          <w:p w14:paraId="508311B4" w14:textId="77777777" w:rsidR="00CB0FCB" w:rsidRDefault="009D2B11">
            <w:pPr>
              <w:pStyle w:val="P68B1DB1-Normal9"/>
              <w:spacing w:after="0" w:line="240" w:lineRule="auto"/>
              <w:rPr>
                <w:rFonts w:eastAsia="Times New Roman" w:cs="Calibri"/>
                <w:noProof/>
                <w:szCs w:val="18"/>
              </w:rPr>
            </w:pPr>
            <w:r>
              <w:rPr>
                <w:noProof/>
              </w:rPr>
              <w:t>Neatkarīgās valsts ieņēmumu iestādes ziņojums, kurā apliecināta uzņēmējdarbības izlūkošanas/datu analīzes sistēmas un “ELEGXOSlive” darbības uzsākšana.</w:t>
            </w:r>
          </w:p>
          <w:p w14:paraId="4F4AFDD5" w14:textId="77777777" w:rsidR="00CB0FCB" w:rsidRDefault="00CB0FCB">
            <w:pPr>
              <w:spacing w:after="0" w:line="240" w:lineRule="auto"/>
              <w:rPr>
                <w:rFonts w:eastAsia="Times New Roman" w:cs="Calibri"/>
                <w:noProof/>
                <w:color w:val="006100"/>
                <w:sz w:val="18"/>
                <w:szCs w:val="18"/>
              </w:rPr>
            </w:pPr>
          </w:p>
        </w:tc>
        <w:tc>
          <w:tcPr>
            <w:tcW w:w="866" w:type="dxa"/>
            <w:tcBorders>
              <w:top w:val="single" w:sz="4" w:space="0" w:color="auto"/>
              <w:left w:val="nil"/>
              <w:bottom w:val="single" w:sz="4" w:space="0" w:color="auto"/>
              <w:right w:val="single" w:sz="4" w:space="0" w:color="auto"/>
            </w:tcBorders>
            <w:shd w:val="clear" w:color="auto" w:fill="C6EFCE"/>
            <w:noWrap/>
          </w:tcPr>
          <w:p w14:paraId="0AF8AD3F" w14:textId="77777777" w:rsidR="00CB0FCB" w:rsidRDefault="00CB0FCB">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011B0DB3"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05E94E45"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26C500F" w14:textId="77777777" w:rsidR="00CB0FCB" w:rsidRDefault="009D2B11">
            <w:pPr>
              <w:pStyle w:val="P68B1DB1-Normal9"/>
              <w:spacing w:after="0" w:line="240" w:lineRule="auto"/>
              <w:rPr>
                <w:rFonts w:eastAsia="Times New Roman" w:cs="Calibri"/>
                <w:noProof/>
                <w:szCs w:val="18"/>
              </w:rPr>
            </w:pPr>
            <w:r>
              <w:rPr>
                <w:noProof/>
              </w:rPr>
              <w:t>4. CET.</w:t>
            </w:r>
          </w:p>
        </w:tc>
        <w:tc>
          <w:tcPr>
            <w:tcW w:w="694" w:type="dxa"/>
            <w:tcBorders>
              <w:top w:val="single" w:sz="4" w:space="0" w:color="auto"/>
              <w:left w:val="nil"/>
              <w:bottom w:val="single" w:sz="4" w:space="0" w:color="auto"/>
              <w:right w:val="single" w:sz="4" w:space="0" w:color="auto"/>
            </w:tcBorders>
            <w:shd w:val="clear" w:color="auto" w:fill="C6EFCE"/>
            <w:noWrap/>
          </w:tcPr>
          <w:p w14:paraId="70482E1D" w14:textId="77777777" w:rsidR="00CB0FCB" w:rsidRDefault="009D2B11">
            <w:pPr>
              <w:pStyle w:val="P68B1DB1-Normal9"/>
              <w:spacing w:after="0" w:line="240" w:lineRule="auto"/>
              <w:rPr>
                <w:rFonts w:eastAsia="Times New Roman" w:cs="Calibri"/>
                <w:noProof/>
                <w:szCs w:val="18"/>
              </w:rPr>
            </w:pPr>
            <w:r>
              <w:rPr>
                <w:noProof/>
              </w:rPr>
              <w:t>2025</w:t>
            </w:r>
          </w:p>
        </w:tc>
        <w:tc>
          <w:tcPr>
            <w:tcW w:w="5173" w:type="dxa"/>
            <w:tcBorders>
              <w:top w:val="single" w:sz="4" w:space="0" w:color="auto"/>
              <w:left w:val="nil"/>
              <w:bottom w:val="single" w:sz="4" w:space="0" w:color="auto"/>
              <w:right w:val="single" w:sz="4" w:space="0" w:color="auto"/>
            </w:tcBorders>
            <w:shd w:val="clear" w:color="auto" w:fill="C6EFCE"/>
            <w:noWrap/>
          </w:tcPr>
          <w:p w14:paraId="1C1E073F" w14:textId="2D47A05C" w:rsidR="00CB0FCB" w:rsidRDefault="009D2B11">
            <w:pPr>
              <w:pStyle w:val="P68B1DB1-Normal10"/>
              <w:spacing w:after="0" w:line="240" w:lineRule="auto"/>
              <w:rPr>
                <w:rFonts w:eastAsia="Times New Roman" w:cs="Calibri"/>
                <w:noProof/>
              </w:rPr>
            </w:pPr>
            <w:r>
              <w:rPr>
                <w:noProof/>
              </w:rPr>
              <w:t xml:space="preserve">Darbojas šādas sistēmas, kas saistītas ar nodokļu revīziju digitālo pārveidi: </w:t>
            </w:r>
          </w:p>
          <w:p w14:paraId="4708C757" w14:textId="77777777" w:rsidR="00CB0FCB" w:rsidRDefault="00CB0FCB">
            <w:pPr>
              <w:spacing w:after="0" w:line="240" w:lineRule="auto"/>
              <w:rPr>
                <w:rFonts w:eastAsia="Times New Roman" w:cs="Calibri"/>
                <w:noProof/>
                <w:color w:val="006100"/>
                <w:sz w:val="18"/>
                <w:szCs w:val="18"/>
              </w:rPr>
            </w:pPr>
          </w:p>
          <w:p w14:paraId="36D42B13" w14:textId="77777777" w:rsidR="00CB0FCB" w:rsidRDefault="009D2B11">
            <w:pPr>
              <w:pStyle w:val="P68B1DB1-Normal9"/>
              <w:spacing w:after="0" w:line="240" w:lineRule="auto"/>
              <w:rPr>
                <w:rFonts w:eastAsia="Times New Roman" w:cs="Calibri"/>
                <w:noProof/>
                <w:szCs w:val="18"/>
              </w:rPr>
            </w:pPr>
            <w:r>
              <w:rPr>
                <w:noProof/>
              </w:rPr>
              <w:t xml:space="preserve">a) uzņēmējdarbības izlūkošanas/datu analīzes sistēmas uzstādīšana, sasaiste ar datu avotiem un tās aktivizēšana, tostarp i) aizdomīgu izvairīšanās no nodokļu maksāšanas un kontrabandas incidentu atklāšana reāllaikā; II) nodokļu maksātāju profilēšana un nodokļu maksātāju līdzības profilēšana; III) riska novērtēšana un riska novērtēšana; un iv) ieņēmumu un parāda prognozēšana; un </w:t>
            </w:r>
          </w:p>
          <w:p w14:paraId="048542E9" w14:textId="77777777" w:rsidR="00CB0FCB" w:rsidRDefault="00CB0FCB">
            <w:pPr>
              <w:spacing w:after="0" w:line="240" w:lineRule="auto"/>
              <w:rPr>
                <w:rFonts w:eastAsia="Times New Roman" w:cs="Calibri"/>
                <w:noProof/>
                <w:color w:val="006100"/>
                <w:sz w:val="18"/>
                <w:szCs w:val="18"/>
              </w:rPr>
            </w:pPr>
          </w:p>
          <w:p w14:paraId="0764914E" w14:textId="2FDFBF80" w:rsidR="00CB0FCB" w:rsidRDefault="009D2B11">
            <w:pPr>
              <w:pStyle w:val="P68B1DB1-Normal10"/>
              <w:spacing w:after="0" w:line="240" w:lineRule="auto"/>
              <w:rPr>
                <w:rFonts w:eastAsia="Times New Roman" w:cs="Calibri"/>
                <w:noProof/>
              </w:rPr>
            </w:pPr>
            <w:r>
              <w:rPr>
                <w:noProof/>
              </w:rPr>
              <w:t xml:space="preserve">b) Elenxis Live (“ELEGXOSlive”) sistēmas aktivizēšana. </w:t>
            </w:r>
          </w:p>
          <w:p w14:paraId="38271AB4" w14:textId="77777777" w:rsidR="00CB0FCB" w:rsidRDefault="00CB0FCB">
            <w:pPr>
              <w:spacing w:after="0" w:line="240" w:lineRule="auto"/>
              <w:rPr>
                <w:rFonts w:eastAsia="Times New Roman" w:cs="Calibri"/>
                <w:noProof/>
                <w:color w:val="006100"/>
                <w:sz w:val="18"/>
                <w:szCs w:val="18"/>
              </w:rPr>
            </w:pPr>
          </w:p>
        </w:tc>
      </w:tr>
      <w:tr w:rsidR="00CB0FCB" w14:paraId="5D3C3B5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B68E9C1" w14:textId="77777777" w:rsidR="00CB0FCB" w:rsidRDefault="009D2B11">
            <w:pPr>
              <w:pStyle w:val="P68B1DB1-Normal9"/>
              <w:spacing w:after="0" w:line="240" w:lineRule="auto"/>
              <w:rPr>
                <w:rFonts w:eastAsia="Times New Roman" w:cs="Calibri"/>
                <w:noProof/>
                <w:szCs w:val="18"/>
              </w:rPr>
            </w:pPr>
            <w:r>
              <w:rPr>
                <w:noProof/>
              </w:rPr>
              <w:t>195</w:t>
            </w:r>
          </w:p>
        </w:tc>
        <w:tc>
          <w:tcPr>
            <w:tcW w:w="1533" w:type="dxa"/>
            <w:tcBorders>
              <w:top w:val="single" w:sz="4" w:space="0" w:color="auto"/>
              <w:left w:val="nil"/>
              <w:bottom w:val="single" w:sz="4" w:space="0" w:color="auto"/>
              <w:right w:val="single" w:sz="4" w:space="0" w:color="auto"/>
            </w:tcBorders>
            <w:shd w:val="clear" w:color="auto" w:fill="C6EFCE"/>
            <w:noWrap/>
          </w:tcPr>
          <w:p w14:paraId="42DC6A6E" w14:textId="77777777" w:rsidR="00CB0FCB" w:rsidRDefault="009D2B11">
            <w:pPr>
              <w:pStyle w:val="P68B1DB1-Normal9"/>
              <w:spacing w:after="0" w:line="240" w:lineRule="auto"/>
              <w:rPr>
                <w:rFonts w:eastAsia="Times New Roman" w:cs="Calibri"/>
                <w:noProof/>
                <w:szCs w:val="18"/>
              </w:rPr>
            </w:pPr>
            <w:r>
              <w:rPr>
                <w:noProof/>
              </w:rPr>
              <w:t xml:space="preserve">12–4.1. PUNKTS. Padarīt nodokļus labvēlīgākus izaugsmei un uzlabot nodokļu administrēšanu un nodokļu iekasēšanu </w:t>
            </w:r>
          </w:p>
          <w:p w14:paraId="1CEBC538" w14:textId="77777777" w:rsidR="00CB0FCB" w:rsidRDefault="009D2B11">
            <w:pPr>
              <w:pStyle w:val="P68B1DB1-Normal9"/>
              <w:spacing w:after="0" w:line="240" w:lineRule="auto"/>
              <w:rPr>
                <w:rFonts w:eastAsia="Times New Roman" w:cs="Calibri"/>
                <w:noProof/>
                <w:szCs w:val="18"/>
              </w:rPr>
            </w:pPr>
            <w:r>
              <w:rPr>
                <w:noProof/>
              </w:rPr>
              <w:t>— 16291_Nodokļu un muitas pārvaldes digitālā pārveide</w:t>
            </w:r>
          </w:p>
        </w:tc>
        <w:tc>
          <w:tcPr>
            <w:tcW w:w="969" w:type="dxa"/>
            <w:tcBorders>
              <w:top w:val="single" w:sz="4" w:space="0" w:color="auto"/>
              <w:left w:val="nil"/>
              <w:bottom w:val="single" w:sz="4" w:space="0" w:color="auto"/>
              <w:right w:val="single" w:sz="4" w:space="0" w:color="auto"/>
            </w:tcBorders>
            <w:shd w:val="clear" w:color="auto" w:fill="C6EFCE"/>
            <w:noWrap/>
          </w:tcPr>
          <w:p w14:paraId="1BF9C53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4" w:type="dxa"/>
            <w:tcBorders>
              <w:top w:val="single" w:sz="4" w:space="0" w:color="auto"/>
              <w:left w:val="nil"/>
              <w:bottom w:val="single" w:sz="4" w:space="0" w:color="auto"/>
              <w:right w:val="single" w:sz="4" w:space="0" w:color="auto"/>
            </w:tcBorders>
            <w:shd w:val="clear" w:color="auto" w:fill="C6EFCE"/>
            <w:noWrap/>
          </w:tcPr>
          <w:p w14:paraId="580FC0F2" w14:textId="77777777" w:rsidR="00CB0FCB" w:rsidRDefault="009D2B11">
            <w:pPr>
              <w:pStyle w:val="P68B1DB1-Normal9"/>
              <w:spacing w:after="0" w:line="240" w:lineRule="auto"/>
              <w:rPr>
                <w:rFonts w:eastAsia="Times New Roman" w:cs="Calibri"/>
                <w:noProof/>
                <w:szCs w:val="18"/>
              </w:rPr>
            </w:pPr>
            <w:r>
              <w:rPr>
                <w:noProof/>
              </w:rPr>
              <w:t>Valsts ieņēmumu neatkarīgās iestādes integrētās nodokļu un revīzijas IT vides pirmā posma nodevumu pabeigšana tās digitālās pārveides ietvaros</w:t>
            </w:r>
          </w:p>
          <w:p w14:paraId="6F69E851" w14:textId="77777777" w:rsidR="00CB0FCB" w:rsidRDefault="00CB0FCB">
            <w:pPr>
              <w:spacing w:after="0" w:line="240" w:lineRule="auto"/>
              <w:rPr>
                <w:rFonts w:eastAsia="Times New Roman" w:cs="Calibri"/>
                <w:noProof/>
                <w:color w:val="006100"/>
                <w:sz w:val="18"/>
                <w:szCs w:val="18"/>
              </w:rPr>
            </w:pPr>
          </w:p>
          <w:p w14:paraId="4D02548D" w14:textId="77777777" w:rsidR="00CB0FCB" w:rsidRDefault="009D2B11">
            <w:pPr>
              <w:pStyle w:val="P68B1DB1-Normal9"/>
              <w:spacing w:after="0" w:line="240" w:lineRule="auto"/>
              <w:rPr>
                <w:rFonts w:eastAsia="Times New Roman" w:cs="Calibri"/>
                <w:noProof/>
                <w:szCs w:val="18"/>
              </w:rPr>
            </w:pPr>
            <w:r>
              <w:rPr>
                <w:noProof/>
              </w:rPr>
              <w:t xml:space="preserve">Apakšprojektu īstenošana </w:t>
            </w:r>
          </w:p>
        </w:tc>
        <w:tc>
          <w:tcPr>
            <w:tcW w:w="1824" w:type="dxa"/>
            <w:tcBorders>
              <w:top w:val="single" w:sz="4" w:space="0" w:color="auto"/>
              <w:left w:val="nil"/>
              <w:bottom w:val="single" w:sz="4" w:space="0" w:color="auto"/>
              <w:right w:val="single" w:sz="4" w:space="0" w:color="auto"/>
            </w:tcBorders>
            <w:shd w:val="clear" w:color="auto" w:fill="C6EFCE"/>
            <w:noWrap/>
          </w:tcPr>
          <w:p w14:paraId="6D727911" w14:textId="77777777" w:rsidR="00CB0FCB" w:rsidRDefault="009D2B11">
            <w:pPr>
              <w:pStyle w:val="P68B1DB1-Normal9"/>
              <w:spacing w:after="0" w:line="240" w:lineRule="auto"/>
              <w:rPr>
                <w:rFonts w:eastAsia="Times New Roman" w:cs="Calibri"/>
                <w:noProof/>
                <w:szCs w:val="18"/>
              </w:rPr>
            </w:pPr>
            <w:r>
              <w:rPr>
                <w:noProof/>
              </w:rPr>
              <w:t xml:space="preserve">Neatkarīgās valsts ieņēmumu iestādes ziņojums, kas apliecina integrētās IT vides pirmā posma nodevumu pabeigšanu. </w:t>
            </w:r>
          </w:p>
        </w:tc>
        <w:tc>
          <w:tcPr>
            <w:tcW w:w="866" w:type="dxa"/>
            <w:tcBorders>
              <w:top w:val="single" w:sz="4" w:space="0" w:color="auto"/>
              <w:left w:val="nil"/>
              <w:bottom w:val="single" w:sz="4" w:space="0" w:color="auto"/>
              <w:right w:val="single" w:sz="4" w:space="0" w:color="auto"/>
            </w:tcBorders>
            <w:shd w:val="clear" w:color="auto" w:fill="C6EFCE"/>
            <w:noWrap/>
          </w:tcPr>
          <w:p w14:paraId="5B9B64D4" w14:textId="77777777" w:rsidR="00CB0FCB" w:rsidRDefault="00CB0FCB">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73780955"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F0AE66E"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037012C" w14:textId="77777777" w:rsidR="00CB0FCB" w:rsidRDefault="009D2B11">
            <w:pPr>
              <w:pStyle w:val="P68B1DB1-Normal9"/>
              <w:spacing w:after="0" w:line="240" w:lineRule="auto"/>
              <w:rPr>
                <w:rFonts w:eastAsia="Times New Roman" w:cs="Calibri"/>
                <w:noProof/>
                <w:szCs w:val="18"/>
              </w:rPr>
            </w:pPr>
            <w:r>
              <w:rPr>
                <w:noProof/>
              </w:rPr>
              <w:t>4. CET.</w:t>
            </w:r>
          </w:p>
        </w:tc>
        <w:tc>
          <w:tcPr>
            <w:tcW w:w="694" w:type="dxa"/>
            <w:tcBorders>
              <w:top w:val="single" w:sz="4" w:space="0" w:color="auto"/>
              <w:left w:val="nil"/>
              <w:bottom w:val="single" w:sz="4" w:space="0" w:color="auto"/>
              <w:right w:val="single" w:sz="4" w:space="0" w:color="auto"/>
            </w:tcBorders>
            <w:shd w:val="clear" w:color="auto" w:fill="C6EFCE"/>
            <w:noWrap/>
          </w:tcPr>
          <w:p w14:paraId="1934CE74" w14:textId="77777777" w:rsidR="00CB0FCB" w:rsidRDefault="009D2B11">
            <w:pPr>
              <w:pStyle w:val="P68B1DB1-Normal9"/>
              <w:spacing w:after="0" w:line="240" w:lineRule="auto"/>
              <w:rPr>
                <w:rFonts w:eastAsia="Times New Roman" w:cs="Calibri"/>
                <w:noProof/>
                <w:szCs w:val="18"/>
              </w:rPr>
            </w:pPr>
            <w:r>
              <w:rPr>
                <w:noProof/>
              </w:rPr>
              <w:t>2025</w:t>
            </w:r>
          </w:p>
        </w:tc>
        <w:tc>
          <w:tcPr>
            <w:tcW w:w="5173" w:type="dxa"/>
            <w:tcBorders>
              <w:top w:val="single" w:sz="4" w:space="0" w:color="auto"/>
              <w:left w:val="nil"/>
              <w:bottom w:val="single" w:sz="4" w:space="0" w:color="auto"/>
              <w:right w:val="single" w:sz="4" w:space="0" w:color="auto"/>
            </w:tcBorders>
            <w:shd w:val="clear" w:color="auto" w:fill="C6EFCE"/>
            <w:noWrap/>
          </w:tcPr>
          <w:p w14:paraId="6409A616" w14:textId="45E70414" w:rsidR="00CB0FCB" w:rsidRDefault="009D2B11">
            <w:pPr>
              <w:pStyle w:val="P68B1DB1-Normal10"/>
              <w:spacing w:after="0" w:line="240" w:lineRule="auto"/>
              <w:rPr>
                <w:rFonts w:eastAsia="Times New Roman" w:cs="Calibri"/>
                <w:noProof/>
              </w:rPr>
            </w:pPr>
            <w:r>
              <w:rPr>
                <w:noProof/>
              </w:rPr>
              <w:t xml:space="preserve">Integrētās IT vides pirmā posma nodevumu pabeigšana (aizstāj TAXIS, TAXISnet un Elenxis). Šie nodevumi sastāv no visiem nepieciešamajiem projekta pētījumiem, pilnas datubāzes pārveidošanas un īstenošanas, datu saskarņu nodrošināšanas un pirmā posma apakšsistēmu ieviešanas (tostarp nodokļu reģistra, grāmatvedības). </w:t>
            </w:r>
          </w:p>
          <w:p w14:paraId="61358CB5" w14:textId="4A943F9E" w:rsidR="00CB0FCB" w:rsidRDefault="009D2B11">
            <w:pPr>
              <w:pStyle w:val="P68B1DB1-Normal9"/>
              <w:spacing w:after="0" w:line="240" w:lineRule="auto"/>
              <w:rPr>
                <w:rFonts w:eastAsia="Times New Roman" w:cs="Calibri"/>
                <w:noProof/>
                <w:szCs w:val="18"/>
              </w:rPr>
            </w:pPr>
            <w:r>
              <w:rPr>
                <w:noProof/>
              </w:rPr>
              <w:t>Tiek pabeigti šādi apakšprojekti:</w:t>
            </w:r>
          </w:p>
          <w:p w14:paraId="5E63D91D" w14:textId="77777777" w:rsidR="00CB0FCB" w:rsidRDefault="00CB0FCB">
            <w:pPr>
              <w:spacing w:after="0" w:line="240" w:lineRule="auto"/>
              <w:rPr>
                <w:rFonts w:eastAsia="Times New Roman" w:cs="Calibri"/>
                <w:noProof/>
                <w:color w:val="006100"/>
                <w:sz w:val="18"/>
                <w:szCs w:val="18"/>
              </w:rPr>
            </w:pPr>
          </w:p>
          <w:p w14:paraId="378D13D0" w14:textId="77777777" w:rsidR="00CB0FCB" w:rsidRDefault="009D2B11">
            <w:pPr>
              <w:pStyle w:val="P68B1DB1-Normal9"/>
              <w:spacing w:after="0" w:line="240" w:lineRule="auto"/>
              <w:rPr>
                <w:rFonts w:eastAsia="Times New Roman" w:cs="Calibri"/>
                <w:noProof/>
                <w:szCs w:val="18"/>
              </w:rPr>
            </w:pPr>
            <w:r>
              <w:rPr>
                <w:noProof/>
              </w:rPr>
              <w:t>1. Intervences jomā “Digitālo pamatsistēmu aizstāšana, novecojušas infrastruktūras atjaunošana un pakalpojumu sniegšanas funkcionalitātes paplašināšana”:</w:t>
            </w:r>
          </w:p>
          <w:p w14:paraId="7449E119" w14:textId="65D491C0" w:rsidR="00CB0FCB" w:rsidRDefault="009D2B11">
            <w:pPr>
              <w:pStyle w:val="P68B1DB1-Normal10"/>
              <w:spacing w:after="0" w:line="240" w:lineRule="auto"/>
              <w:rPr>
                <w:rFonts w:eastAsia="Times New Roman" w:cs="Calibri"/>
                <w:noProof/>
              </w:rPr>
            </w:pPr>
            <w:r>
              <w:rPr>
                <w:noProof/>
              </w:rPr>
              <w:t>Sāk darboties jaunas Integrētas informācijas sistēmas izstrāde Grieķijas Valsts ķīmijas laboratorijai;</w:t>
            </w:r>
          </w:p>
          <w:p w14:paraId="514D6222" w14:textId="26E870A2" w:rsidR="00CB0FCB" w:rsidRDefault="009D2B11">
            <w:pPr>
              <w:pStyle w:val="P68B1DB1-Normal10"/>
              <w:spacing w:after="0" w:line="240" w:lineRule="auto"/>
              <w:rPr>
                <w:rFonts w:eastAsia="Times New Roman" w:cs="Calibri"/>
                <w:noProof/>
              </w:rPr>
            </w:pPr>
            <w:r>
              <w:rPr>
                <w:noProof/>
              </w:rPr>
              <w:t>Darbojas IAPR vajadzībām paredzētā cilvēkresursu pārvaldības sistēma; un</w:t>
            </w:r>
          </w:p>
          <w:p w14:paraId="20BA9B7A" w14:textId="3E35B052" w:rsidR="00CB0FCB" w:rsidRDefault="009D2B11">
            <w:pPr>
              <w:pStyle w:val="P68B1DB1-Normal10"/>
              <w:spacing w:after="0" w:line="240" w:lineRule="auto"/>
              <w:rPr>
                <w:rFonts w:eastAsia="Times New Roman" w:cs="Calibri"/>
                <w:noProof/>
              </w:rPr>
            </w:pPr>
            <w:r>
              <w:rPr>
                <w:noProof/>
              </w:rPr>
              <w:t>Darbojas IAPR informācijas sistēmu modernizācija un uzturēšana;</w:t>
            </w:r>
          </w:p>
          <w:p w14:paraId="31EB6B17" w14:textId="77777777" w:rsidR="00CB0FCB" w:rsidRDefault="00CB0FCB">
            <w:pPr>
              <w:spacing w:after="0" w:line="240" w:lineRule="auto"/>
              <w:rPr>
                <w:rFonts w:eastAsia="Times New Roman" w:cs="Calibri"/>
                <w:noProof/>
                <w:color w:val="006100"/>
                <w:sz w:val="18"/>
                <w:szCs w:val="18"/>
              </w:rPr>
            </w:pPr>
          </w:p>
          <w:p w14:paraId="2F782E0B" w14:textId="77777777" w:rsidR="00CB0FCB" w:rsidRDefault="009D2B11">
            <w:pPr>
              <w:pStyle w:val="P68B1DB1-Normal9"/>
              <w:spacing w:after="0" w:line="240" w:lineRule="auto"/>
              <w:rPr>
                <w:rFonts w:eastAsia="Times New Roman" w:cs="Calibri"/>
                <w:noProof/>
                <w:szCs w:val="18"/>
              </w:rPr>
            </w:pPr>
            <w:r>
              <w:rPr>
                <w:noProof/>
              </w:rPr>
              <w:t>2. Sadaļā “Biroja un darba procesu uzlabošana”:</w:t>
            </w:r>
          </w:p>
          <w:p w14:paraId="308B29EC" w14:textId="2CBA1FD8" w:rsidR="00CB0FCB" w:rsidRDefault="009D2B11">
            <w:pPr>
              <w:pStyle w:val="P68B1DB1-Normal10"/>
              <w:spacing w:after="0" w:line="240" w:lineRule="auto"/>
              <w:rPr>
                <w:rFonts w:eastAsia="Times New Roman" w:cs="Calibri"/>
                <w:noProof/>
              </w:rPr>
            </w:pPr>
            <w:r>
              <w:rPr>
                <w:noProof/>
              </w:rPr>
              <w:t>— Darbojas biroja vadības pakalpojumi un programmatūra IAPR vajadzībām;</w:t>
            </w:r>
          </w:p>
          <w:p w14:paraId="65D418FA" w14:textId="7B646414" w:rsidR="00CB0FCB" w:rsidRDefault="009D2B11">
            <w:pPr>
              <w:pStyle w:val="P68B1DB1-Normal10"/>
              <w:spacing w:after="0" w:line="240" w:lineRule="auto"/>
              <w:rPr>
                <w:rFonts w:eastAsia="Times New Roman" w:cs="Calibri"/>
                <w:noProof/>
              </w:rPr>
            </w:pPr>
            <w:r>
              <w:rPr>
                <w:noProof/>
              </w:rPr>
              <w:t>— Darbojas biroja vadības pakalpojumi un programmatūra IAPR — arhīvu digitalizācijai;</w:t>
            </w:r>
          </w:p>
          <w:p w14:paraId="14CF0B49" w14:textId="77777777" w:rsidR="00CB0FCB" w:rsidRDefault="009D2B11">
            <w:pPr>
              <w:pStyle w:val="P68B1DB1-Normal9"/>
              <w:spacing w:after="0" w:line="240" w:lineRule="auto"/>
              <w:rPr>
                <w:rFonts w:eastAsia="Times New Roman" w:cs="Calibri"/>
                <w:noProof/>
                <w:szCs w:val="18"/>
              </w:rPr>
            </w:pPr>
            <w:r>
              <w:rPr>
                <w:noProof/>
              </w:rPr>
              <w:t>— It pakalpojumu pārvaldības rīki ir pilnībā darbotiesspējīgi; un</w:t>
            </w:r>
          </w:p>
          <w:p w14:paraId="65F0A88A" w14:textId="55603F76" w:rsidR="00CB0FCB" w:rsidRDefault="009D2B11">
            <w:pPr>
              <w:pStyle w:val="P68B1DB1-Normal10"/>
              <w:spacing w:after="0" w:line="240" w:lineRule="auto"/>
              <w:rPr>
                <w:rFonts w:eastAsia="Times New Roman" w:cs="Calibri"/>
                <w:noProof/>
              </w:rPr>
            </w:pPr>
            <w:r>
              <w:rPr>
                <w:noProof/>
              </w:rPr>
              <w:t>— Publisko aktīvu pārvaldības digitālo pakalpojumu modernizācija — darbojas konfigurētie transportlīdzekļi.</w:t>
            </w:r>
          </w:p>
          <w:p w14:paraId="5C7E98BD" w14:textId="77777777" w:rsidR="00CB0FCB" w:rsidRDefault="00CB0FCB">
            <w:pPr>
              <w:spacing w:after="0" w:line="240" w:lineRule="auto"/>
              <w:rPr>
                <w:rFonts w:eastAsia="Times New Roman" w:cs="Calibri"/>
                <w:noProof/>
                <w:color w:val="006100"/>
                <w:sz w:val="18"/>
                <w:szCs w:val="18"/>
              </w:rPr>
            </w:pPr>
          </w:p>
          <w:p w14:paraId="1373D197" w14:textId="172D3D4A" w:rsidR="00CB0FCB" w:rsidRDefault="009D2B11">
            <w:pPr>
              <w:pStyle w:val="P68B1DB1-Normal9"/>
              <w:spacing w:after="0" w:line="240" w:lineRule="auto"/>
              <w:rPr>
                <w:rFonts w:eastAsia="Times New Roman" w:cs="Calibri"/>
                <w:noProof/>
                <w:szCs w:val="18"/>
              </w:rPr>
            </w:pPr>
            <w:r>
              <w:rPr>
                <w:noProof/>
                <w:szCs w:val="18"/>
              </w:rPr>
              <w:t xml:space="preserve">3. Intervences jomā “Nodokļu maksātāju pakalpojumu uzlabošana” — Nodokļu maksātāju pakalpojumu centra paplašināšana un modernizācija; </w:t>
            </w:r>
            <w:r>
              <w:rPr>
                <w:noProof/>
              </w:rPr>
              <w:t>datu drošība.</w:t>
            </w:r>
          </w:p>
        </w:tc>
      </w:tr>
      <w:tr w:rsidR="00CB0FCB" w14:paraId="2A152007" w14:textId="77777777">
        <w:trPr>
          <w:trHeight w:val="73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ABD35E5" w14:textId="77777777" w:rsidR="00CB0FCB" w:rsidRDefault="009D2B11">
            <w:pPr>
              <w:pStyle w:val="P68B1DB1-Normal9"/>
              <w:spacing w:after="0" w:line="240" w:lineRule="auto"/>
              <w:rPr>
                <w:rFonts w:eastAsia="Times New Roman" w:cs="Calibri"/>
                <w:noProof/>
                <w:szCs w:val="18"/>
              </w:rPr>
            </w:pPr>
            <w:r>
              <w:rPr>
                <w:noProof/>
              </w:rPr>
              <w:t>196</w:t>
            </w:r>
          </w:p>
        </w:tc>
        <w:tc>
          <w:tcPr>
            <w:tcW w:w="1533" w:type="dxa"/>
            <w:tcBorders>
              <w:top w:val="single" w:sz="4" w:space="0" w:color="auto"/>
              <w:left w:val="nil"/>
              <w:bottom w:val="single" w:sz="4" w:space="0" w:color="auto"/>
              <w:right w:val="single" w:sz="4" w:space="0" w:color="auto"/>
            </w:tcBorders>
            <w:shd w:val="clear" w:color="auto" w:fill="C6EFCE"/>
            <w:noWrap/>
          </w:tcPr>
          <w:p w14:paraId="77C9825B" w14:textId="77777777" w:rsidR="00CB0FCB" w:rsidRDefault="009D2B11">
            <w:pPr>
              <w:pStyle w:val="P68B1DB1-Normal9"/>
              <w:spacing w:after="0" w:line="240" w:lineRule="auto"/>
              <w:rPr>
                <w:rFonts w:eastAsia="Times New Roman" w:cs="Calibri"/>
                <w:noProof/>
                <w:szCs w:val="18"/>
              </w:rPr>
            </w:pPr>
            <w:r>
              <w:rPr>
                <w:noProof/>
              </w:rPr>
              <w:t xml:space="preserve">12–4.1. PUNKTS. Padarīt nodokļus labvēlīgākus izaugsmei un uzlabot nodokļu administrēšanu un nodokļu iekasēšanu </w:t>
            </w:r>
          </w:p>
          <w:p w14:paraId="089ADA0B" w14:textId="77777777" w:rsidR="00CB0FCB" w:rsidRDefault="009D2B11">
            <w:pPr>
              <w:pStyle w:val="P68B1DB1-Normal9"/>
              <w:spacing w:after="0" w:line="240" w:lineRule="auto"/>
              <w:rPr>
                <w:rFonts w:eastAsia="Times New Roman" w:cs="Calibri"/>
                <w:noProof/>
                <w:szCs w:val="18"/>
              </w:rPr>
            </w:pPr>
            <w:r>
              <w:rPr>
                <w:noProof/>
              </w:rPr>
              <w:t>— 16291_Nodokļu un muitas pārvaldes digitālā pārveide</w:t>
            </w:r>
          </w:p>
        </w:tc>
        <w:tc>
          <w:tcPr>
            <w:tcW w:w="969" w:type="dxa"/>
            <w:tcBorders>
              <w:top w:val="single" w:sz="4" w:space="0" w:color="auto"/>
              <w:left w:val="nil"/>
              <w:bottom w:val="single" w:sz="4" w:space="0" w:color="auto"/>
              <w:right w:val="single" w:sz="4" w:space="0" w:color="auto"/>
            </w:tcBorders>
            <w:shd w:val="clear" w:color="auto" w:fill="C6EFCE"/>
            <w:noWrap/>
          </w:tcPr>
          <w:p w14:paraId="37AB8A9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24" w:type="dxa"/>
            <w:tcBorders>
              <w:top w:val="single" w:sz="4" w:space="0" w:color="auto"/>
              <w:left w:val="nil"/>
              <w:bottom w:val="single" w:sz="4" w:space="0" w:color="auto"/>
              <w:right w:val="single" w:sz="4" w:space="0" w:color="auto"/>
            </w:tcBorders>
            <w:shd w:val="clear" w:color="auto" w:fill="C6EFCE"/>
            <w:noWrap/>
          </w:tcPr>
          <w:p w14:paraId="4AEFF42E" w14:textId="77777777" w:rsidR="00CB0FCB" w:rsidRDefault="009D2B11">
            <w:pPr>
              <w:pStyle w:val="P68B1DB1-Normal9"/>
              <w:spacing w:after="0" w:line="240" w:lineRule="auto"/>
              <w:rPr>
                <w:rFonts w:eastAsia="Times New Roman" w:cs="Calibri"/>
                <w:noProof/>
                <w:szCs w:val="18"/>
              </w:rPr>
            </w:pPr>
            <w:r>
              <w:rPr>
                <w:noProof/>
              </w:rPr>
              <w:t>Komerciālo transportlīdzekļu un konteineru uzraudzības sistēmas darbības uzsākšana</w:t>
            </w:r>
          </w:p>
          <w:p w14:paraId="72776D30" w14:textId="77777777" w:rsidR="00CB0FCB" w:rsidRDefault="00CB0FCB">
            <w:pPr>
              <w:spacing w:after="0" w:line="240" w:lineRule="auto"/>
              <w:rPr>
                <w:rFonts w:eastAsia="Times New Roman" w:cs="Calibri"/>
                <w:noProof/>
                <w:color w:val="006100"/>
                <w:sz w:val="18"/>
                <w:szCs w:val="18"/>
              </w:rPr>
            </w:pPr>
          </w:p>
          <w:p w14:paraId="6AA4BA87" w14:textId="77777777" w:rsidR="00CB0FCB" w:rsidRDefault="009D2B11">
            <w:pPr>
              <w:pStyle w:val="P68B1DB1-Normal9"/>
              <w:spacing w:after="0" w:line="240" w:lineRule="auto"/>
              <w:rPr>
                <w:rFonts w:eastAsia="Times New Roman" w:cs="Calibri"/>
                <w:noProof/>
                <w:szCs w:val="18"/>
              </w:rPr>
            </w:pPr>
            <w:r>
              <w:rPr>
                <w:noProof/>
              </w:rPr>
              <w:t>Apakšprojekta īstenošana</w:t>
            </w:r>
          </w:p>
        </w:tc>
        <w:tc>
          <w:tcPr>
            <w:tcW w:w="1824" w:type="dxa"/>
            <w:tcBorders>
              <w:top w:val="single" w:sz="4" w:space="0" w:color="auto"/>
              <w:left w:val="nil"/>
              <w:bottom w:val="single" w:sz="4" w:space="0" w:color="auto"/>
              <w:right w:val="single" w:sz="4" w:space="0" w:color="auto"/>
            </w:tcBorders>
            <w:shd w:val="clear" w:color="auto" w:fill="C6EFCE"/>
            <w:noWrap/>
          </w:tcPr>
          <w:p w14:paraId="4C94C30E" w14:textId="77777777" w:rsidR="00CB0FCB" w:rsidRDefault="009D2B11">
            <w:pPr>
              <w:pStyle w:val="P68B1DB1-Normal9"/>
              <w:spacing w:after="0" w:line="240" w:lineRule="auto"/>
              <w:rPr>
                <w:rFonts w:eastAsia="Times New Roman" w:cs="Calibri"/>
                <w:noProof/>
                <w:szCs w:val="18"/>
              </w:rPr>
            </w:pPr>
            <w:r>
              <w:rPr>
                <w:noProof/>
              </w:rPr>
              <w:t xml:space="preserve">Neatkarīgās valsts ieņēmumu iestādes ziņojums, kas apliecina </w:t>
            </w:r>
          </w:p>
          <w:p w14:paraId="020BCD27" w14:textId="77777777" w:rsidR="00CB0FCB" w:rsidRDefault="009D2B11">
            <w:pPr>
              <w:pStyle w:val="P68B1DB1-Normal9"/>
              <w:spacing w:after="0" w:line="240" w:lineRule="auto"/>
              <w:rPr>
                <w:rFonts w:eastAsia="Times New Roman" w:cs="Calibri"/>
                <w:noProof/>
                <w:szCs w:val="18"/>
              </w:rPr>
            </w:pPr>
            <w:r>
              <w:rPr>
                <w:noProof/>
              </w:rPr>
              <w:t>komerciālo transportlīdzekļu un konteineru uzraudzības sistēmas ieviešana.</w:t>
            </w:r>
          </w:p>
        </w:tc>
        <w:tc>
          <w:tcPr>
            <w:tcW w:w="866" w:type="dxa"/>
            <w:tcBorders>
              <w:top w:val="single" w:sz="4" w:space="0" w:color="auto"/>
              <w:left w:val="nil"/>
              <w:bottom w:val="single" w:sz="4" w:space="0" w:color="auto"/>
              <w:right w:val="single" w:sz="4" w:space="0" w:color="auto"/>
            </w:tcBorders>
            <w:shd w:val="clear" w:color="auto" w:fill="C6EFCE"/>
            <w:noWrap/>
          </w:tcPr>
          <w:p w14:paraId="19C9F536" w14:textId="77777777" w:rsidR="00CB0FCB" w:rsidRDefault="00CB0FCB">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73D0DA41"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2E51E4F4"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6C92981" w14:textId="77777777" w:rsidR="00CB0FCB" w:rsidRDefault="009D2B11">
            <w:pPr>
              <w:pStyle w:val="P68B1DB1-Normal9"/>
              <w:spacing w:after="0" w:line="240" w:lineRule="auto"/>
              <w:rPr>
                <w:rFonts w:eastAsia="Times New Roman" w:cs="Calibri"/>
                <w:noProof/>
                <w:szCs w:val="18"/>
              </w:rPr>
            </w:pPr>
            <w:r>
              <w:rPr>
                <w:noProof/>
              </w:rPr>
              <w:t>4. CET.</w:t>
            </w:r>
          </w:p>
        </w:tc>
        <w:tc>
          <w:tcPr>
            <w:tcW w:w="694" w:type="dxa"/>
            <w:tcBorders>
              <w:top w:val="single" w:sz="4" w:space="0" w:color="auto"/>
              <w:left w:val="nil"/>
              <w:bottom w:val="single" w:sz="4" w:space="0" w:color="auto"/>
              <w:right w:val="single" w:sz="4" w:space="0" w:color="auto"/>
            </w:tcBorders>
            <w:shd w:val="clear" w:color="auto" w:fill="C6EFCE"/>
            <w:noWrap/>
          </w:tcPr>
          <w:p w14:paraId="3E49EA91" w14:textId="77777777" w:rsidR="00CB0FCB" w:rsidRDefault="009D2B11">
            <w:pPr>
              <w:pStyle w:val="P68B1DB1-Normal9"/>
              <w:spacing w:after="0" w:line="240" w:lineRule="auto"/>
              <w:rPr>
                <w:rFonts w:eastAsia="Times New Roman" w:cs="Calibri"/>
                <w:noProof/>
                <w:szCs w:val="18"/>
              </w:rPr>
            </w:pPr>
            <w:r>
              <w:rPr>
                <w:noProof/>
              </w:rPr>
              <w:t>2025</w:t>
            </w:r>
          </w:p>
        </w:tc>
        <w:tc>
          <w:tcPr>
            <w:tcW w:w="5173" w:type="dxa"/>
            <w:tcBorders>
              <w:top w:val="single" w:sz="4" w:space="0" w:color="auto"/>
              <w:left w:val="nil"/>
              <w:bottom w:val="single" w:sz="4" w:space="0" w:color="auto"/>
              <w:right w:val="single" w:sz="4" w:space="0" w:color="auto"/>
            </w:tcBorders>
            <w:shd w:val="clear" w:color="auto" w:fill="C6EFCE"/>
            <w:noWrap/>
          </w:tcPr>
          <w:p w14:paraId="34B89910" w14:textId="64C045B9" w:rsidR="00CB0FCB" w:rsidRDefault="009D2B11">
            <w:pPr>
              <w:pStyle w:val="P68B1DB1-Normal10"/>
              <w:spacing w:after="0" w:line="240" w:lineRule="auto"/>
              <w:rPr>
                <w:rFonts w:eastAsia="Times New Roman" w:cs="Calibri"/>
                <w:noProof/>
              </w:rPr>
            </w:pPr>
            <w:r>
              <w:rPr>
                <w:noProof/>
              </w:rPr>
              <w:t xml:space="preserve">Komerciālo transportlīdzekļu un konteineru uzraudzības sistēmas ieviešanas pabeigšana, pamatojoties uz interneta lietu (IoT) GPS izsekošanas risinājumu, lai veiktu izsekošanas darbības, kas atbalsta Valsts ieņēmumu neatkarīgās iestādes digitālo pārveidi, ieviešot komerciālo transportlīdzekļu un konteineru uzraudzības sistēmu. </w:t>
            </w:r>
          </w:p>
          <w:p w14:paraId="28D4D33B" w14:textId="77777777" w:rsidR="00CB0FCB" w:rsidRDefault="00CB0FCB">
            <w:pPr>
              <w:spacing w:after="0" w:line="240" w:lineRule="auto"/>
              <w:rPr>
                <w:rFonts w:eastAsia="Times New Roman" w:cs="Calibri"/>
                <w:noProof/>
                <w:color w:val="006100"/>
                <w:sz w:val="18"/>
                <w:szCs w:val="18"/>
              </w:rPr>
            </w:pPr>
          </w:p>
          <w:p w14:paraId="07B83ECD" w14:textId="3F3FB3C8" w:rsidR="00CB0FCB" w:rsidRDefault="009D2B11">
            <w:pPr>
              <w:pStyle w:val="P68B1DB1-Normal9"/>
              <w:spacing w:after="0" w:line="240" w:lineRule="auto"/>
              <w:rPr>
                <w:rFonts w:eastAsia="Times New Roman" w:cs="Calibri"/>
                <w:noProof/>
                <w:szCs w:val="18"/>
              </w:rPr>
            </w:pPr>
            <w:r>
              <w:rPr>
                <w:noProof/>
              </w:rPr>
              <w:t xml:space="preserve">Tiek </w:t>
            </w:r>
            <w:r>
              <w:rPr>
                <w:noProof/>
                <w:szCs w:val="18"/>
              </w:rPr>
              <w:t>pabeigts</w:t>
            </w:r>
            <w:r>
              <w:rPr>
                <w:noProof/>
              </w:rPr>
              <w:t>šāds apakšprojekts intervences jomā “revīzijas un kontroles digitalizācija”:</w:t>
            </w:r>
          </w:p>
          <w:p w14:paraId="424DF313" w14:textId="77777777" w:rsidR="00CB0FCB" w:rsidRDefault="00CB0FCB">
            <w:pPr>
              <w:spacing w:after="0" w:line="240" w:lineRule="auto"/>
              <w:rPr>
                <w:rFonts w:eastAsia="Times New Roman" w:cs="Calibri"/>
                <w:noProof/>
                <w:color w:val="006100"/>
                <w:sz w:val="18"/>
                <w:szCs w:val="18"/>
              </w:rPr>
            </w:pPr>
          </w:p>
          <w:p w14:paraId="4372E702" w14:textId="09E0D6E0" w:rsidR="00CB0FCB" w:rsidRDefault="009D2B11">
            <w:pPr>
              <w:pStyle w:val="P68B1DB1-Normal10"/>
              <w:spacing w:after="0" w:line="240" w:lineRule="auto"/>
              <w:rPr>
                <w:rFonts w:eastAsia="Times New Roman" w:cs="Calibri"/>
                <w:noProof/>
              </w:rPr>
            </w:pPr>
            <w:r>
              <w:rPr>
                <w:noProof/>
              </w:rPr>
              <w:t>— Uzņēmuma riska pārvaldības sistēma un IAPR darbības nepārtrauktības plāns darbojas.</w:t>
            </w:r>
          </w:p>
        </w:tc>
      </w:tr>
    </w:tbl>
    <w:p w14:paraId="2D90A432" w14:textId="77777777" w:rsidR="00CB0FCB" w:rsidRDefault="009D2B11">
      <w:pPr>
        <w:pStyle w:val="P68B1DB1-Normal6"/>
        <w:keepNext/>
        <w:keepLines/>
        <w:spacing w:before="40" w:after="0" w:line="240" w:lineRule="auto"/>
        <w:jc w:val="both"/>
        <w:outlineLvl w:val="4"/>
        <w:rPr>
          <w:rFonts w:eastAsia="Times New Roman"/>
          <w:noProof/>
        </w:rPr>
      </w:pPr>
      <w:r>
        <w:rPr>
          <w:noProof/>
        </w:rPr>
        <w:t>Grupa: Nodokļu politika</w:t>
      </w:r>
    </w:p>
    <w:p w14:paraId="20F7EB55" w14:textId="77777777" w:rsidR="00CB0FCB" w:rsidRDefault="009D2B11">
      <w:pPr>
        <w:pStyle w:val="P68B1DB1-Normal4"/>
        <w:numPr>
          <w:ilvl w:val="0"/>
          <w:numId w:val="36"/>
        </w:numPr>
        <w:spacing w:before="120" w:after="0" w:line="240" w:lineRule="auto"/>
        <w:jc w:val="both"/>
        <w:rPr>
          <w:rFonts w:cs="Times New Roman"/>
          <w:noProof/>
        </w:rPr>
      </w:pPr>
      <w:r>
        <w:rPr>
          <w:noProof/>
        </w:rPr>
        <w:t>Nodokļu tiesību aktu, noteikumu un procedūru kodifikācija un vienkāršošana (ID: 16643)</w:t>
      </w:r>
    </w:p>
    <w:p w14:paraId="620BD533" w14:textId="11A01357" w:rsidR="00CB0FCB" w:rsidRDefault="009D2B11">
      <w:pPr>
        <w:pStyle w:val="P68B1DB1-Normal4"/>
        <w:numPr>
          <w:ilvl w:val="0"/>
          <w:numId w:val="36"/>
        </w:numPr>
        <w:spacing w:before="120" w:after="0" w:line="240" w:lineRule="auto"/>
        <w:jc w:val="both"/>
        <w:rPr>
          <w:rFonts w:cs="Times New Roman"/>
          <w:noProof/>
        </w:rPr>
      </w:pPr>
      <w:r>
        <w:rPr>
          <w:noProof/>
        </w:rPr>
        <w:t>Pasākumu un stimulu pieņemšana, lai palielinātu elektronisko darījumu skaitu (ID: 16616)</w:t>
      </w:r>
    </w:p>
    <w:p w14:paraId="7AFEDDA4" w14:textId="77777777" w:rsidR="00CB0FCB" w:rsidRDefault="009D2B11">
      <w:pPr>
        <w:pStyle w:val="P68B1DB1-Normal4"/>
        <w:numPr>
          <w:ilvl w:val="0"/>
          <w:numId w:val="36"/>
        </w:numPr>
        <w:spacing w:before="120" w:after="0" w:line="240" w:lineRule="auto"/>
        <w:jc w:val="both"/>
        <w:rPr>
          <w:rFonts w:cs="Times New Roman"/>
          <w:noProof/>
        </w:rPr>
      </w:pPr>
      <w:r>
        <w:rPr>
          <w:noProof/>
        </w:rPr>
        <w:t>Super — MVU izdevumu atskaitīšana zaļās ekonomikas, enerģētikas un digitalizācijas jomā (ID: 16863)</w:t>
      </w:r>
    </w:p>
    <w:p w14:paraId="1E89CDCC" w14:textId="77777777" w:rsidR="00CB0FCB" w:rsidRDefault="009D2B11">
      <w:pPr>
        <w:pStyle w:val="P68B1DB1-Normal4"/>
        <w:numPr>
          <w:ilvl w:val="0"/>
          <w:numId w:val="36"/>
        </w:numPr>
        <w:spacing w:before="120" w:after="120" w:line="240" w:lineRule="auto"/>
        <w:jc w:val="both"/>
        <w:rPr>
          <w:rFonts w:cs="Times New Roman"/>
          <w:noProof/>
        </w:rPr>
      </w:pPr>
      <w:r>
        <w:rPr>
          <w:noProof/>
        </w:rPr>
        <w:t>Produktivitātes stimulēšanas režīms un uzņēmumu izstumšana (uzņēmumu lieluma palielināšana) (ID: 16598)</w:t>
      </w:r>
    </w:p>
    <w:p w14:paraId="27A8D045" w14:textId="29AF9315" w:rsidR="00CB0FCB" w:rsidRDefault="009D2B11">
      <w:pPr>
        <w:pStyle w:val="P68B1DB1-Normal4"/>
        <w:numPr>
          <w:ilvl w:val="0"/>
          <w:numId w:val="36"/>
        </w:numPr>
        <w:spacing w:before="120" w:after="120" w:line="240" w:lineRule="auto"/>
        <w:jc w:val="both"/>
        <w:rPr>
          <w:rFonts w:cs="Times New Roman"/>
          <w:noProof/>
        </w:rPr>
      </w:pPr>
      <w:r>
        <w:rPr>
          <w:noProof/>
        </w:rPr>
        <w:t>Izmaiņas Grieķijas nodokļu politikas satvarā (pasākums ID: 16985</w:t>
      </w:r>
    </w:p>
    <w:tbl>
      <w:tblPr>
        <w:tblW w:w="15910" w:type="dxa"/>
        <w:jc w:val="center"/>
        <w:tblLook w:val="04A0" w:firstRow="1" w:lastRow="0" w:firstColumn="1" w:lastColumn="0" w:noHBand="0" w:noVBand="1"/>
      </w:tblPr>
      <w:tblGrid>
        <w:gridCol w:w="1027"/>
        <w:gridCol w:w="1835"/>
        <w:gridCol w:w="1807"/>
        <w:gridCol w:w="1520"/>
        <w:gridCol w:w="1984"/>
        <w:gridCol w:w="866"/>
        <w:gridCol w:w="1396"/>
        <w:gridCol w:w="766"/>
        <w:gridCol w:w="1027"/>
        <w:gridCol w:w="708"/>
        <w:gridCol w:w="4830"/>
      </w:tblGrid>
      <w:tr w:rsidR="00CB0FCB" w14:paraId="5427E5CF" w14:textId="77777777">
        <w:trPr>
          <w:trHeight w:val="773"/>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DA8CD8"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5A1463"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CCCC3E"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C43BCA"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36A959"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Kvalitatīvie rādītāji </w:t>
            </w:r>
            <w:r>
              <w:rPr>
                <w:noProof/>
                <w:sz w:val="24"/>
              </w:rPr>
              <w:t xml:space="preserve"> </w:t>
            </w:r>
            <w:r>
              <w:rPr>
                <w:b/>
                <w:noProof/>
                <w:sz w:val="18"/>
              </w:rPr>
              <w:t>(atskaites punktiem)</w:t>
            </w:r>
          </w:p>
        </w:tc>
        <w:tc>
          <w:tcPr>
            <w:tcW w:w="239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10B8390"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Kvantitatīvie rādītāji </w:t>
            </w:r>
            <w:r>
              <w:rPr>
                <w:noProof/>
                <w:sz w:val="24"/>
              </w:rPr>
              <w:t xml:space="preserve"> </w:t>
            </w:r>
            <w:r>
              <w:rPr>
                <w:b/>
                <w:noProof/>
                <w:sz w:val="18"/>
              </w:rPr>
              <w:t>(mērķrādītājiem)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21C3090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8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3D3D22A" w14:textId="77777777" w:rsidR="00CB0FCB" w:rsidRDefault="009D2B11">
            <w:pPr>
              <w:pStyle w:val="P68B1DB1-Normal7"/>
              <w:spacing w:after="0" w:line="240" w:lineRule="auto"/>
              <w:jc w:val="center"/>
              <w:rPr>
                <w:noProof/>
              </w:rPr>
            </w:pPr>
            <w:r>
              <w:rPr>
                <w:noProof/>
              </w:rPr>
              <w:t>Apraksts par katru atskaites punktu un mērķrādītāju</w:t>
            </w:r>
          </w:p>
          <w:p w14:paraId="4F3DC5F5" w14:textId="77777777" w:rsidR="00CB0FCB" w:rsidRDefault="00CB0FCB">
            <w:pPr>
              <w:rPr>
                <w:rFonts w:ascii="Times New Roman" w:hAnsi="Times New Roman"/>
                <w:b/>
                <w:noProof/>
                <w:sz w:val="18"/>
              </w:rPr>
            </w:pPr>
          </w:p>
          <w:p w14:paraId="523EF41D" w14:textId="77777777" w:rsidR="00CB0FCB" w:rsidRDefault="00CB0FCB">
            <w:pPr>
              <w:rPr>
                <w:rFonts w:ascii="Times New Roman" w:eastAsia="Times New Roman" w:hAnsi="Times New Roman" w:cs="Times New Roman"/>
                <w:noProof/>
                <w:sz w:val="18"/>
                <w:szCs w:val="18"/>
              </w:rPr>
            </w:pPr>
          </w:p>
        </w:tc>
      </w:tr>
      <w:tr w:rsidR="00CB0FCB" w14:paraId="38722A83" w14:textId="77777777">
        <w:trPr>
          <w:trHeight w:val="532"/>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9A817E9" w14:textId="77777777" w:rsidR="00CB0FCB" w:rsidRDefault="00CB0FCB">
            <w:pPr>
              <w:spacing w:after="0" w:line="240" w:lineRule="auto"/>
              <w:rPr>
                <w:rFonts w:ascii="Times New Roman" w:eastAsia="Times New Roman" w:hAnsi="Times New Roman" w:cs="Times New Roman"/>
                <w:b/>
                <w:bCs/>
                <w:noProof/>
                <w:sz w:val="18"/>
                <w:szCs w:val="18"/>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60A9F3B9"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72F7F53E" w14:textId="77777777" w:rsidR="00CB0FCB" w:rsidRDefault="00CB0FCB">
            <w:pPr>
              <w:spacing w:after="0" w:line="240" w:lineRule="auto"/>
              <w:rPr>
                <w:rFonts w:ascii="Times New Roman" w:eastAsia="Times New Roman" w:hAnsi="Times New Roman" w:cs="Times New Roman"/>
                <w:b/>
                <w:bCs/>
                <w:noProof/>
                <w:sz w:val="18"/>
                <w:szCs w:val="18"/>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D884116" w14:textId="77777777" w:rsidR="00CB0FCB" w:rsidRDefault="00CB0FCB">
            <w:pPr>
              <w:spacing w:after="0" w:line="240" w:lineRule="auto"/>
              <w:rPr>
                <w:rFonts w:ascii="Times New Roman" w:eastAsia="Times New Roman" w:hAnsi="Times New Roman" w:cs="Times New Roman"/>
                <w:b/>
                <w:bCs/>
                <w:noProof/>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F35C2AE" w14:textId="77777777" w:rsidR="00CB0FCB" w:rsidRDefault="00CB0FCB">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7A7750"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3FF354"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66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D66D15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9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7A6301"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34FA1F"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830" w:type="dxa"/>
            <w:vMerge/>
            <w:tcBorders>
              <w:top w:val="single" w:sz="4" w:space="0" w:color="auto"/>
              <w:bottom w:val="single" w:sz="4" w:space="0" w:color="auto"/>
              <w:right w:val="single" w:sz="4" w:space="0" w:color="auto"/>
            </w:tcBorders>
            <w:vAlign w:val="center"/>
            <w:hideMark/>
          </w:tcPr>
          <w:p w14:paraId="016C7286"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F86B6A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ED5C766" w14:textId="77777777" w:rsidR="00CB0FCB" w:rsidRDefault="009D2B11">
            <w:pPr>
              <w:pStyle w:val="P68B1DB1-Normal9"/>
              <w:spacing w:after="0" w:line="240" w:lineRule="auto"/>
              <w:rPr>
                <w:rFonts w:eastAsia="Times New Roman" w:cs="Calibri"/>
                <w:noProof/>
                <w:szCs w:val="18"/>
              </w:rPr>
            </w:pPr>
            <w:r>
              <w:rPr>
                <w:noProof/>
              </w:rPr>
              <w:t>197</w:t>
            </w:r>
          </w:p>
          <w:p w14:paraId="3A4F50E6" w14:textId="77777777" w:rsidR="00CB0FCB" w:rsidRDefault="00CB0FCB">
            <w:pPr>
              <w:spacing w:after="0" w:line="240" w:lineRule="auto"/>
              <w:rPr>
                <w:rFonts w:eastAsia="Times New Roman" w:cs="Calibri"/>
                <w:noProof/>
                <w:color w:val="006100"/>
                <w:sz w:val="18"/>
                <w:szCs w:val="18"/>
              </w:rPr>
            </w:pPr>
          </w:p>
        </w:tc>
        <w:tc>
          <w:tcPr>
            <w:tcW w:w="1835" w:type="dxa"/>
            <w:tcBorders>
              <w:top w:val="single" w:sz="4" w:space="0" w:color="auto"/>
              <w:left w:val="nil"/>
              <w:bottom w:val="single" w:sz="4" w:space="0" w:color="auto"/>
              <w:right w:val="single" w:sz="4" w:space="0" w:color="auto"/>
            </w:tcBorders>
            <w:shd w:val="clear" w:color="auto" w:fill="C6EFCE"/>
            <w:noWrap/>
          </w:tcPr>
          <w:p w14:paraId="0FDF4DEA"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16863_Super — zaļās ekonomikas, enerģētikas un digitālās pārkārtošanās izdevumu atskaitīšana</w:t>
            </w:r>
          </w:p>
        </w:tc>
        <w:tc>
          <w:tcPr>
            <w:tcW w:w="966" w:type="dxa"/>
            <w:tcBorders>
              <w:top w:val="single" w:sz="4" w:space="0" w:color="auto"/>
              <w:left w:val="nil"/>
              <w:bottom w:val="single" w:sz="4" w:space="0" w:color="auto"/>
              <w:right w:val="single" w:sz="4" w:space="0" w:color="auto"/>
            </w:tcBorders>
            <w:shd w:val="clear" w:color="auto" w:fill="C6EFCE"/>
            <w:noWrap/>
          </w:tcPr>
          <w:p w14:paraId="04BCD2F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5AF70A9A" w14:textId="77777777" w:rsidR="00CB0FCB" w:rsidRDefault="009D2B11">
            <w:pPr>
              <w:pStyle w:val="P68B1DB1-Normal9"/>
              <w:spacing w:after="0" w:line="240" w:lineRule="auto"/>
              <w:rPr>
                <w:rFonts w:eastAsia="Times New Roman" w:cs="Calibri"/>
                <w:noProof/>
                <w:szCs w:val="18"/>
              </w:rPr>
            </w:pPr>
            <w:r>
              <w:rPr>
                <w:noProof/>
              </w:rPr>
              <w:t>Superatskaitījums MVU zaļajām un digitālajām investīcijām</w:t>
            </w:r>
          </w:p>
        </w:tc>
        <w:tc>
          <w:tcPr>
            <w:tcW w:w="1984" w:type="dxa"/>
            <w:tcBorders>
              <w:top w:val="single" w:sz="4" w:space="0" w:color="auto"/>
              <w:left w:val="nil"/>
              <w:bottom w:val="single" w:sz="4" w:space="0" w:color="auto"/>
              <w:right w:val="single" w:sz="4" w:space="0" w:color="auto"/>
            </w:tcBorders>
            <w:shd w:val="clear" w:color="auto" w:fill="C6EFCE"/>
            <w:noWrap/>
          </w:tcPr>
          <w:p w14:paraId="525E95DA" w14:textId="77777777" w:rsidR="00CB0FCB" w:rsidRDefault="009D2B11">
            <w:pPr>
              <w:pStyle w:val="P68B1DB1-Normal9"/>
              <w:spacing w:after="0" w:line="240" w:lineRule="auto"/>
              <w:rPr>
                <w:rFonts w:eastAsia="Times New Roman" w:cs="Calibri"/>
                <w:noProof/>
                <w:szCs w:val="18"/>
              </w:rPr>
            </w:pPr>
            <w:r>
              <w:rPr>
                <w:noProof/>
              </w:rPr>
              <w:t>Stājas spēkā primārie un sekundārie tiesību akti par virsatskaitīšanu attiecībā uz MVU zaļajām un digitālajām investīcijām</w:t>
            </w:r>
          </w:p>
        </w:tc>
        <w:tc>
          <w:tcPr>
            <w:tcW w:w="866" w:type="dxa"/>
            <w:tcBorders>
              <w:top w:val="single" w:sz="4" w:space="0" w:color="auto"/>
              <w:left w:val="nil"/>
              <w:bottom w:val="single" w:sz="4" w:space="0" w:color="auto"/>
              <w:right w:val="single" w:sz="4" w:space="0" w:color="auto"/>
            </w:tcBorders>
            <w:shd w:val="clear" w:color="auto" w:fill="C6EFCE"/>
            <w:noWrap/>
          </w:tcPr>
          <w:p w14:paraId="11A7B938"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A7957D5"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4C2B72F3"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39E5B5AF" w14:textId="77777777" w:rsidR="00CB0FCB" w:rsidRDefault="009D2B11">
            <w:pPr>
              <w:pStyle w:val="P68B1DB1-Normal9"/>
              <w:spacing w:after="0" w:line="240" w:lineRule="auto"/>
              <w:rPr>
                <w:rFonts w:eastAsia="Times New Roman" w:cs="Calibri"/>
                <w:noProof/>
                <w:szCs w:val="18"/>
              </w:rPr>
            </w:pPr>
            <w:r>
              <w:rPr>
                <w:noProof/>
              </w:rPr>
              <w:t>4. CET.</w:t>
            </w:r>
          </w:p>
        </w:tc>
        <w:tc>
          <w:tcPr>
            <w:tcW w:w="708" w:type="dxa"/>
            <w:tcBorders>
              <w:top w:val="single" w:sz="4" w:space="0" w:color="auto"/>
              <w:left w:val="nil"/>
              <w:bottom w:val="single" w:sz="4" w:space="0" w:color="auto"/>
              <w:right w:val="single" w:sz="4" w:space="0" w:color="auto"/>
            </w:tcBorders>
            <w:shd w:val="clear" w:color="auto" w:fill="C6EFCE"/>
            <w:noWrap/>
          </w:tcPr>
          <w:p w14:paraId="3C77D982" w14:textId="77777777" w:rsidR="00CB0FCB" w:rsidRDefault="009D2B11">
            <w:pPr>
              <w:pStyle w:val="P68B1DB1-Normal9"/>
              <w:spacing w:after="0" w:line="240" w:lineRule="auto"/>
              <w:rPr>
                <w:rFonts w:eastAsia="Times New Roman" w:cs="Calibri"/>
                <w:noProof/>
                <w:szCs w:val="18"/>
              </w:rPr>
            </w:pPr>
            <w:r>
              <w:rPr>
                <w:noProof/>
              </w:rPr>
              <w:t>2021</w:t>
            </w:r>
          </w:p>
        </w:tc>
        <w:tc>
          <w:tcPr>
            <w:tcW w:w="4830" w:type="dxa"/>
            <w:tcBorders>
              <w:top w:val="single" w:sz="4" w:space="0" w:color="auto"/>
              <w:left w:val="nil"/>
              <w:bottom w:val="single" w:sz="4" w:space="0" w:color="auto"/>
              <w:right w:val="single" w:sz="4" w:space="0" w:color="auto"/>
            </w:tcBorders>
            <w:shd w:val="clear" w:color="auto" w:fill="C6EFCE"/>
            <w:noWrap/>
          </w:tcPr>
          <w:p w14:paraId="5CE02F62" w14:textId="77777777" w:rsidR="00CB0FCB" w:rsidRDefault="009D2B11">
            <w:pPr>
              <w:pStyle w:val="P68B1DB1-Normal9"/>
              <w:spacing w:after="0" w:line="240" w:lineRule="auto"/>
              <w:rPr>
                <w:rFonts w:eastAsia="Times New Roman" w:cs="Calibri"/>
                <w:noProof/>
                <w:szCs w:val="18"/>
              </w:rPr>
            </w:pPr>
            <w:r>
              <w:rPr>
                <w:noProof/>
              </w:rPr>
              <w:t xml:space="preserve">Primāro tiesību aktu un sekundāro tiesību aktu stāšanās spēkā attiecībā uz superatskaitīšanu nodokļu vajadzībām attiecībā uz kvalificētiem MVU izdevumiem zaļajā ekonomikā un digitalizācijas ieguldījumos </w:t>
            </w:r>
          </w:p>
        </w:tc>
      </w:tr>
      <w:tr w:rsidR="00CB0FCB" w14:paraId="6A6E5D5C"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0E1A7F76" w14:textId="77777777" w:rsidR="00CB0FCB" w:rsidRDefault="009D2B11">
            <w:pPr>
              <w:pStyle w:val="P68B1DB1-Normal9"/>
              <w:spacing w:after="0" w:line="240" w:lineRule="auto"/>
              <w:rPr>
                <w:rFonts w:eastAsia="Times New Roman" w:cs="Calibri"/>
                <w:noProof/>
                <w:szCs w:val="18"/>
              </w:rPr>
            </w:pPr>
            <w:r>
              <w:rPr>
                <w:noProof/>
              </w:rPr>
              <w:t>198</w:t>
            </w:r>
          </w:p>
        </w:tc>
        <w:tc>
          <w:tcPr>
            <w:tcW w:w="1835" w:type="dxa"/>
            <w:tcBorders>
              <w:top w:val="nil"/>
              <w:left w:val="nil"/>
              <w:bottom w:val="single" w:sz="4" w:space="0" w:color="auto"/>
              <w:right w:val="single" w:sz="4" w:space="0" w:color="auto"/>
            </w:tcBorders>
            <w:shd w:val="clear" w:color="auto" w:fill="C6EFCE"/>
            <w:noWrap/>
          </w:tcPr>
          <w:p w14:paraId="29989455"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16616_Pasākumu un stimulu pieņemšana elektronisko darījumu palielināšanai</w:t>
            </w:r>
          </w:p>
        </w:tc>
        <w:tc>
          <w:tcPr>
            <w:tcW w:w="966" w:type="dxa"/>
            <w:tcBorders>
              <w:top w:val="nil"/>
              <w:left w:val="nil"/>
              <w:bottom w:val="single" w:sz="4" w:space="0" w:color="auto"/>
              <w:right w:val="single" w:sz="4" w:space="0" w:color="auto"/>
            </w:tcBorders>
            <w:shd w:val="clear" w:color="auto" w:fill="C6EFCE"/>
            <w:noWrap/>
          </w:tcPr>
          <w:p w14:paraId="5D7F38C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nil"/>
              <w:left w:val="nil"/>
              <w:bottom w:val="single" w:sz="4" w:space="0" w:color="auto"/>
              <w:right w:val="single" w:sz="4" w:space="0" w:color="auto"/>
            </w:tcBorders>
            <w:shd w:val="clear" w:color="auto" w:fill="C6EFCE"/>
            <w:noWrap/>
          </w:tcPr>
          <w:p w14:paraId="74B1F119" w14:textId="77777777" w:rsidR="00CB0FCB" w:rsidRDefault="009D2B11">
            <w:pPr>
              <w:pStyle w:val="P68B1DB1-Normal9"/>
              <w:spacing w:after="0" w:line="240" w:lineRule="auto"/>
              <w:rPr>
                <w:rFonts w:eastAsia="Times New Roman" w:cs="Calibri"/>
                <w:noProof/>
                <w:szCs w:val="18"/>
              </w:rPr>
            </w:pPr>
            <w:r>
              <w:rPr>
                <w:noProof/>
              </w:rPr>
              <w:t>Tiesību akti elektronisko darījumu veicināšanai</w:t>
            </w:r>
          </w:p>
        </w:tc>
        <w:tc>
          <w:tcPr>
            <w:tcW w:w="1984" w:type="dxa"/>
            <w:tcBorders>
              <w:top w:val="nil"/>
              <w:left w:val="nil"/>
              <w:bottom w:val="single" w:sz="4" w:space="0" w:color="auto"/>
              <w:right w:val="single" w:sz="4" w:space="0" w:color="auto"/>
            </w:tcBorders>
            <w:shd w:val="clear" w:color="auto" w:fill="C6EFCE"/>
            <w:noWrap/>
          </w:tcPr>
          <w:p w14:paraId="697B3EDF" w14:textId="77777777" w:rsidR="00CB0FCB" w:rsidRDefault="009D2B11">
            <w:pPr>
              <w:pStyle w:val="P68B1DB1-Normal9"/>
              <w:spacing w:after="0" w:line="240" w:lineRule="auto"/>
              <w:rPr>
                <w:rFonts w:eastAsia="Times New Roman" w:cs="Calibri"/>
                <w:noProof/>
                <w:szCs w:val="18"/>
              </w:rPr>
            </w:pPr>
            <w:r>
              <w:rPr>
                <w:noProof/>
              </w:rPr>
              <w:t xml:space="preserve">Stājas spēkā primārie un sekundārie tiesību akti, kas stimulē elektronisko darījumu uzlabošanu </w:t>
            </w:r>
          </w:p>
        </w:tc>
        <w:tc>
          <w:tcPr>
            <w:tcW w:w="866" w:type="dxa"/>
            <w:tcBorders>
              <w:top w:val="nil"/>
              <w:left w:val="nil"/>
              <w:bottom w:val="single" w:sz="4" w:space="0" w:color="auto"/>
              <w:right w:val="single" w:sz="4" w:space="0" w:color="auto"/>
            </w:tcBorders>
            <w:shd w:val="clear" w:color="auto" w:fill="C6EFCE"/>
            <w:noWrap/>
          </w:tcPr>
          <w:p w14:paraId="3827D557"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B304CC2" w14:textId="77777777" w:rsidR="00CB0FCB" w:rsidRDefault="00CB0FCB">
            <w:pPr>
              <w:spacing w:after="0" w:line="240" w:lineRule="auto"/>
              <w:rPr>
                <w:rFonts w:eastAsia="Times New Roman" w:cs="Calibri"/>
                <w:noProof/>
                <w:color w:val="006100"/>
                <w:sz w:val="18"/>
                <w:szCs w:val="18"/>
              </w:rPr>
            </w:pPr>
          </w:p>
        </w:tc>
        <w:tc>
          <w:tcPr>
            <w:tcW w:w="668" w:type="dxa"/>
            <w:tcBorders>
              <w:top w:val="nil"/>
              <w:left w:val="nil"/>
              <w:bottom w:val="single" w:sz="4" w:space="0" w:color="auto"/>
              <w:right w:val="single" w:sz="4" w:space="0" w:color="auto"/>
            </w:tcBorders>
            <w:shd w:val="clear" w:color="auto" w:fill="C6EFCE"/>
            <w:noWrap/>
          </w:tcPr>
          <w:p w14:paraId="36FDACBB" w14:textId="77777777" w:rsidR="00CB0FCB" w:rsidRDefault="00CB0FCB">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3CD85E52" w14:textId="77777777" w:rsidR="00CB0FCB" w:rsidRDefault="009D2B11">
            <w:pPr>
              <w:pStyle w:val="P68B1DB1-Normal9"/>
              <w:spacing w:after="0" w:line="240" w:lineRule="auto"/>
              <w:rPr>
                <w:rFonts w:eastAsia="Times New Roman" w:cs="Calibri"/>
                <w:noProof/>
                <w:szCs w:val="18"/>
              </w:rPr>
            </w:pPr>
            <w:r>
              <w:rPr>
                <w:noProof/>
              </w:rPr>
              <w:t>4. CET.</w:t>
            </w:r>
          </w:p>
        </w:tc>
        <w:tc>
          <w:tcPr>
            <w:tcW w:w="708" w:type="dxa"/>
            <w:tcBorders>
              <w:top w:val="nil"/>
              <w:left w:val="nil"/>
              <w:bottom w:val="single" w:sz="4" w:space="0" w:color="auto"/>
              <w:right w:val="single" w:sz="4" w:space="0" w:color="auto"/>
            </w:tcBorders>
            <w:shd w:val="clear" w:color="auto" w:fill="C6EFCE"/>
            <w:noWrap/>
          </w:tcPr>
          <w:p w14:paraId="53A74834" w14:textId="77777777" w:rsidR="00CB0FCB" w:rsidRDefault="009D2B11">
            <w:pPr>
              <w:pStyle w:val="P68B1DB1-Normal9"/>
              <w:spacing w:after="0" w:line="240" w:lineRule="auto"/>
              <w:rPr>
                <w:rFonts w:eastAsia="Times New Roman" w:cs="Calibri"/>
                <w:noProof/>
                <w:szCs w:val="18"/>
              </w:rPr>
            </w:pPr>
            <w:r>
              <w:rPr>
                <w:noProof/>
              </w:rPr>
              <w:t>2021</w:t>
            </w:r>
          </w:p>
        </w:tc>
        <w:tc>
          <w:tcPr>
            <w:tcW w:w="4830" w:type="dxa"/>
            <w:tcBorders>
              <w:top w:val="nil"/>
              <w:left w:val="nil"/>
              <w:bottom w:val="single" w:sz="4" w:space="0" w:color="auto"/>
              <w:right w:val="single" w:sz="4" w:space="0" w:color="auto"/>
            </w:tcBorders>
            <w:shd w:val="clear" w:color="auto" w:fill="C6EFCE"/>
            <w:noWrap/>
          </w:tcPr>
          <w:p w14:paraId="5389D99E" w14:textId="77777777" w:rsidR="00CB0FCB" w:rsidRDefault="009D2B11">
            <w:pPr>
              <w:pStyle w:val="P68B1DB1-Normal9"/>
              <w:spacing w:after="0" w:line="240" w:lineRule="auto"/>
              <w:rPr>
                <w:rFonts w:eastAsia="Times New Roman" w:cs="Calibri"/>
                <w:noProof/>
                <w:szCs w:val="18"/>
              </w:rPr>
            </w:pPr>
            <w:r>
              <w:rPr>
                <w:noProof/>
              </w:rPr>
              <w:t xml:space="preserve">Stājas spēkā grozījumi primārajā un sekundārajā tiesiskajā regulējumā, kas nodrošina īpašus stimulus elektronisko darījumu uzlabošanai </w:t>
            </w:r>
          </w:p>
        </w:tc>
      </w:tr>
      <w:tr w:rsidR="00CB0FCB" w14:paraId="14ED6130"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7007FE5" w14:textId="77777777" w:rsidR="00CB0FCB" w:rsidRDefault="009D2B11">
            <w:pPr>
              <w:pStyle w:val="P68B1DB1-Normal9"/>
              <w:spacing w:after="0" w:line="240" w:lineRule="auto"/>
              <w:rPr>
                <w:rFonts w:eastAsia="Times New Roman" w:cs="Calibri"/>
                <w:noProof/>
                <w:szCs w:val="18"/>
              </w:rPr>
            </w:pPr>
            <w:r>
              <w:rPr>
                <w:noProof/>
              </w:rPr>
              <w:t>199</w:t>
            </w:r>
          </w:p>
        </w:tc>
        <w:tc>
          <w:tcPr>
            <w:tcW w:w="1835" w:type="dxa"/>
            <w:tcBorders>
              <w:top w:val="nil"/>
              <w:left w:val="nil"/>
              <w:bottom w:val="single" w:sz="4" w:space="0" w:color="auto"/>
              <w:right w:val="single" w:sz="4" w:space="0" w:color="auto"/>
            </w:tcBorders>
            <w:shd w:val="clear" w:color="auto" w:fill="C6EFCE"/>
            <w:noWrap/>
          </w:tcPr>
          <w:p w14:paraId="59373621"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16643_nodokļu tiesību aktu kodifikācija un vienkāršošana</w:t>
            </w:r>
          </w:p>
        </w:tc>
        <w:tc>
          <w:tcPr>
            <w:tcW w:w="966" w:type="dxa"/>
            <w:tcBorders>
              <w:top w:val="nil"/>
              <w:left w:val="nil"/>
              <w:bottom w:val="single" w:sz="4" w:space="0" w:color="auto"/>
              <w:right w:val="single" w:sz="4" w:space="0" w:color="auto"/>
            </w:tcBorders>
            <w:shd w:val="clear" w:color="auto" w:fill="C6EFCE"/>
            <w:noWrap/>
          </w:tcPr>
          <w:p w14:paraId="362463D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nil"/>
              <w:left w:val="nil"/>
              <w:bottom w:val="single" w:sz="4" w:space="0" w:color="auto"/>
              <w:right w:val="single" w:sz="4" w:space="0" w:color="auto"/>
            </w:tcBorders>
            <w:shd w:val="clear" w:color="auto" w:fill="C6EFCE"/>
            <w:noWrap/>
          </w:tcPr>
          <w:p w14:paraId="2D16C609" w14:textId="77777777" w:rsidR="00CB0FCB" w:rsidRDefault="009D2B11">
            <w:pPr>
              <w:pStyle w:val="P68B1DB1-Normal9"/>
              <w:spacing w:after="0" w:line="240" w:lineRule="auto"/>
              <w:rPr>
                <w:rFonts w:eastAsia="Times New Roman" w:cs="Calibri"/>
                <w:noProof/>
                <w:szCs w:val="18"/>
              </w:rPr>
            </w:pPr>
            <w:r>
              <w:rPr>
                <w:noProof/>
              </w:rPr>
              <w:t>Nodokļu kodifikācijas grafiks</w:t>
            </w:r>
          </w:p>
        </w:tc>
        <w:tc>
          <w:tcPr>
            <w:tcW w:w="1984" w:type="dxa"/>
            <w:tcBorders>
              <w:top w:val="nil"/>
              <w:left w:val="nil"/>
              <w:bottom w:val="single" w:sz="4" w:space="0" w:color="auto"/>
              <w:right w:val="single" w:sz="4" w:space="0" w:color="auto"/>
            </w:tcBorders>
            <w:shd w:val="clear" w:color="auto" w:fill="C6EFCE"/>
            <w:noWrap/>
          </w:tcPr>
          <w:p w14:paraId="5DB81113" w14:textId="77777777" w:rsidR="00CB0FCB" w:rsidRDefault="009D2B11">
            <w:pPr>
              <w:pStyle w:val="P68B1DB1-Normal9"/>
              <w:spacing w:after="0" w:line="240" w:lineRule="auto"/>
              <w:rPr>
                <w:rFonts w:eastAsia="Times New Roman" w:cs="Calibri"/>
                <w:noProof/>
                <w:szCs w:val="18"/>
              </w:rPr>
            </w:pPr>
            <w:r>
              <w:rPr>
                <w:noProof/>
              </w:rPr>
              <w:t>Sekundāro tiesību aktu publicēšana ar komiteju izveidi un nodokļu kodifikācijas grafiku.</w:t>
            </w:r>
          </w:p>
          <w:p w14:paraId="7973DC84" w14:textId="77777777" w:rsidR="00CB0FCB" w:rsidRDefault="00CB0FCB">
            <w:pPr>
              <w:spacing w:after="0" w:line="240" w:lineRule="auto"/>
              <w:rPr>
                <w:rFonts w:eastAsia="Times New Roman" w:cs="Calibri"/>
                <w:noProof/>
                <w:color w:val="006100"/>
                <w:sz w:val="18"/>
                <w:szCs w:val="18"/>
              </w:rPr>
            </w:pPr>
          </w:p>
        </w:tc>
        <w:tc>
          <w:tcPr>
            <w:tcW w:w="866" w:type="dxa"/>
            <w:tcBorders>
              <w:top w:val="nil"/>
              <w:left w:val="nil"/>
              <w:bottom w:val="single" w:sz="4" w:space="0" w:color="auto"/>
              <w:right w:val="single" w:sz="4" w:space="0" w:color="auto"/>
            </w:tcBorders>
            <w:shd w:val="clear" w:color="auto" w:fill="C6EFCE"/>
            <w:noWrap/>
          </w:tcPr>
          <w:p w14:paraId="6CDFB341"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CECB5D4" w14:textId="77777777" w:rsidR="00CB0FCB" w:rsidRDefault="00CB0FCB">
            <w:pPr>
              <w:spacing w:after="0" w:line="240" w:lineRule="auto"/>
              <w:rPr>
                <w:rFonts w:eastAsia="Times New Roman" w:cs="Calibri"/>
                <w:noProof/>
                <w:color w:val="006100"/>
                <w:sz w:val="18"/>
                <w:szCs w:val="18"/>
              </w:rPr>
            </w:pPr>
          </w:p>
        </w:tc>
        <w:tc>
          <w:tcPr>
            <w:tcW w:w="668" w:type="dxa"/>
            <w:tcBorders>
              <w:top w:val="nil"/>
              <w:left w:val="nil"/>
              <w:bottom w:val="single" w:sz="4" w:space="0" w:color="auto"/>
              <w:right w:val="single" w:sz="4" w:space="0" w:color="auto"/>
            </w:tcBorders>
            <w:shd w:val="clear" w:color="auto" w:fill="C6EFCE"/>
            <w:noWrap/>
          </w:tcPr>
          <w:p w14:paraId="0008718B" w14:textId="77777777" w:rsidR="00CB0FCB" w:rsidRDefault="00CB0FCB">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5EF887B5" w14:textId="77777777" w:rsidR="00CB0FCB" w:rsidRDefault="009D2B11">
            <w:pPr>
              <w:pStyle w:val="P68B1DB1-Normal9"/>
              <w:spacing w:after="0" w:line="240" w:lineRule="auto"/>
              <w:rPr>
                <w:rFonts w:eastAsia="Times New Roman" w:cs="Calibri"/>
                <w:noProof/>
                <w:szCs w:val="18"/>
              </w:rPr>
            </w:pPr>
            <w:r>
              <w:rPr>
                <w:noProof/>
              </w:rPr>
              <w:t>CET.</w:t>
            </w:r>
          </w:p>
        </w:tc>
        <w:tc>
          <w:tcPr>
            <w:tcW w:w="708" w:type="dxa"/>
            <w:tcBorders>
              <w:top w:val="nil"/>
              <w:left w:val="nil"/>
              <w:bottom w:val="single" w:sz="4" w:space="0" w:color="auto"/>
              <w:right w:val="single" w:sz="4" w:space="0" w:color="auto"/>
            </w:tcBorders>
            <w:shd w:val="clear" w:color="auto" w:fill="C6EFCE"/>
            <w:noWrap/>
          </w:tcPr>
          <w:p w14:paraId="7F7B1D04" w14:textId="77777777" w:rsidR="00CB0FCB" w:rsidRDefault="009D2B11">
            <w:pPr>
              <w:pStyle w:val="P68B1DB1-Normal9"/>
              <w:spacing w:after="0" w:line="240" w:lineRule="auto"/>
              <w:rPr>
                <w:rFonts w:eastAsia="Times New Roman" w:cs="Calibri"/>
                <w:noProof/>
                <w:szCs w:val="18"/>
              </w:rPr>
            </w:pPr>
            <w:r>
              <w:rPr>
                <w:noProof/>
              </w:rPr>
              <w:t>2021</w:t>
            </w:r>
          </w:p>
        </w:tc>
        <w:tc>
          <w:tcPr>
            <w:tcW w:w="4830" w:type="dxa"/>
            <w:tcBorders>
              <w:top w:val="nil"/>
              <w:left w:val="nil"/>
              <w:bottom w:val="single" w:sz="4" w:space="0" w:color="auto"/>
              <w:right w:val="single" w:sz="4" w:space="0" w:color="auto"/>
            </w:tcBorders>
            <w:shd w:val="clear" w:color="auto" w:fill="C6EFCE"/>
            <w:noWrap/>
          </w:tcPr>
          <w:p w14:paraId="3115305E" w14:textId="77777777" w:rsidR="00CB0FCB" w:rsidRDefault="009D2B11">
            <w:pPr>
              <w:pStyle w:val="P68B1DB1-Normal9"/>
              <w:spacing w:after="0" w:line="240" w:lineRule="auto"/>
              <w:rPr>
                <w:rFonts w:eastAsia="Times New Roman" w:cs="Calibri"/>
                <w:noProof/>
                <w:szCs w:val="18"/>
              </w:rPr>
            </w:pPr>
            <w:r>
              <w:rPr>
                <w:noProof/>
              </w:rPr>
              <w:t xml:space="preserve">Visaptverošs nodokļu kodifikācijas izpildes grafiks, tostarp attiecīgo komiteju izveide, Finanšu ministrijas un IAPR detalizēts grafiks nodokļu tiesību aktu kodifikācijai un apspriešanās kārtībai. </w:t>
            </w:r>
          </w:p>
        </w:tc>
      </w:tr>
      <w:tr w:rsidR="00CB0FCB" w14:paraId="2DC6F0FB"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71B63C83" w14:textId="77777777" w:rsidR="00CB0FCB" w:rsidRDefault="009D2B11">
            <w:pPr>
              <w:pStyle w:val="P68B1DB1-Normal9"/>
              <w:spacing w:after="0" w:line="240" w:lineRule="auto"/>
              <w:rPr>
                <w:rFonts w:eastAsia="Times New Roman" w:cs="Calibri"/>
                <w:noProof/>
                <w:szCs w:val="18"/>
              </w:rPr>
            </w:pPr>
            <w:r>
              <w:rPr>
                <w:noProof/>
              </w:rPr>
              <w:t>200</w:t>
            </w:r>
          </w:p>
        </w:tc>
        <w:tc>
          <w:tcPr>
            <w:tcW w:w="1835" w:type="dxa"/>
            <w:tcBorders>
              <w:top w:val="nil"/>
              <w:left w:val="nil"/>
              <w:bottom w:val="single" w:sz="4" w:space="0" w:color="auto"/>
              <w:right w:val="single" w:sz="4" w:space="0" w:color="auto"/>
            </w:tcBorders>
            <w:shd w:val="clear" w:color="auto" w:fill="C6EFCE"/>
            <w:noWrap/>
          </w:tcPr>
          <w:p w14:paraId="773C51C4" w14:textId="77777777" w:rsidR="00CB0FCB" w:rsidRDefault="009D2B11">
            <w:pPr>
              <w:pStyle w:val="P68B1DB1-Normal9"/>
              <w:spacing w:after="0" w:line="240" w:lineRule="auto"/>
              <w:rPr>
                <w:rFonts w:eastAsia="Times New Roman" w:cs="Calibri"/>
                <w:noProof/>
                <w:szCs w:val="18"/>
              </w:rPr>
            </w:pPr>
            <w:r>
              <w:rPr>
                <w:noProof/>
              </w:rPr>
              <w:t>18–4.7. Uzlabot konkurētspēju un veicināt privātos ieguldījumus un tirdzniecību — 16598_Stimulēšanas režīms attiecībā uz ražīgumu un uzņēmumu izspiešanu (uzņēmumu lieluma palielināšana)</w:t>
            </w:r>
          </w:p>
        </w:tc>
        <w:tc>
          <w:tcPr>
            <w:tcW w:w="966" w:type="dxa"/>
            <w:tcBorders>
              <w:top w:val="nil"/>
              <w:left w:val="nil"/>
              <w:bottom w:val="single" w:sz="4" w:space="0" w:color="auto"/>
              <w:right w:val="single" w:sz="4" w:space="0" w:color="auto"/>
            </w:tcBorders>
            <w:shd w:val="clear" w:color="auto" w:fill="C6EFCE"/>
            <w:noWrap/>
          </w:tcPr>
          <w:p w14:paraId="6019C6D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nil"/>
              <w:left w:val="nil"/>
              <w:bottom w:val="single" w:sz="4" w:space="0" w:color="auto"/>
              <w:right w:val="single" w:sz="4" w:space="0" w:color="auto"/>
            </w:tcBorders>
            <w:shd w:val="clear" w:color="auto" w:fill="C6EFCE"/>
            <w:noWrap/>
          </w:tcPr>
          <w:p w14:paraId="57EECD19" w14:textId="77777777" w:rsidR="00CB0FCB" w:rsidRDefault="009D2B11">
            <w:pPr>
              <w:pStyle w:val="P68B1DB1-Normal9"/>
              <w:spacing w:after="0" w:line="240" w:lineRule="auto"/>
              <w:rPr>
                <w:rFonts w:eastAsia="Times New Roman" w:cs="Calibri"/>
                <w:noProof/>
                <w:szCs w:val="18"/>
              </w:rPr>
            </w:pPr>
            <w:r>
              <w:rPr>
                <w:noProof/>
              </w:rPr>
              <w:t>Tiesību aktu projekti, lai veicinātu izpostīšanu no uzņēmējdarbības</w:t>
            </w:r>
          </w:p>
        </w:tc>
        <w:tc>
          <w:tcPr>
            <w:tcW w:w="1984" w:type="dxa"/>
            <w:tcBorders>
              <w:top w:val="nil"/>
              <w:left w:val="nil"/>
              <w:bottom w:val="single" w:sz="4" w:space="0" w:color="auto"/>
              <w:right w:val="single" w:sz="4" w:space="0" w:color="auto"/>
            </w:tcBorders>
            <w:shd w:val="clear" w:color="auto" w:fill="C6EFCE"/>
            <w:noWrap/>
          </w:tcPr>
          <w:p w14:paraId="7F3F167D" w14:textId="77777777" w:rsidR="00CB0FCB" w:rsidRDefault="009D2B11">
            <w:pPr>
              <w:pStyle w:val="P68B1DB1-Normal9"/>
              <w:spacing w:after="0" w:line="240" w:lineRule="auto"/>
              <w:rPr>
                <w:rFonts w:eastAsia="Times New Roman" w:cs="Calibri"/>
                <w:noProof/>
                <w:szCs w:val="18"/>
              </w:rPr>
            </w:pPr>
            <w:r>
              <w:rPr>
                <w:noProof/>
              </w:rPr>
              <w:t xml:space="preserve">Primāro un sekundāro tiesību aktu projekti, lai veicinātu uzņēmumu izspiešanu. </w:t>
            </w:r>
          </w:p>
        </w:tc>
        <w:tc>
          <w:tcPr>
            <w:tcW w:w="866" w:type="dxa"/>
            <w:tcBorders>
              <w:top w:val="nil"/>
              <w:left w:val="nil"/>
              <w:bottom w:val="single" w:sz="4" w:space="0" w:color="auto"/>
              <w:right w:val="single" w:sz="4" w:space="0" w:color="auto"/>
            </w:tcBorders>
            <w:shd w:val="clear" w:color="auto" w:fill="C6EFCE"/>
            <w:noWrap/>
          </w:tcPr>
          <w:p w14:paraId="324EB485"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0701694" w14:textId="77777777" w:rsidR="00CB0FCB" w:rsidRDefault="00CB0FCB">
            <w:pPr>
              <w:spacing w:after="0" w:line="240" w:lineRule="auto"/>
              <w:rPr>
                <w:rFonts w:eastAsia="Times New Roman" w:cs="Calibri"/>
                <w:noProof/>
                <w:color w:val="006100"/>
                <w:sz w:val="18"/>
                <w:szCs w:val="18"/>
              </w:rPr>
            </w:pPr>
          </w:p>
        </w:tc>
        <w:tc>
          <w:tcPr>
            <w:tcW w:w="668" w:type="dxa"/>
            <w:tcBorders>
              <w:top w:val="nil"/>
              <w:left w:val="nil"/>
              <w:bottom w:val="single" w:sz="4" w:space="0" w:color="auto"/>
              <w:right w:val="single" w:sz="4" w:space="0" w:color="auto"/>
            </w:tcBorders>
            <w:shd w:val="clear" w:color="auto" w:fill="C6EFCE"/>
            <w:noWrap/>
          </w:tcPr>
          <w:p w14:paraId="371EF173" w14:textId="77777777" w:rsidR="00CB0FCB" w:rsidRDefault="00CB0FCB">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39219FC5" w14:textId="77777777" w:rsidR="00CB0FCB" w:rsidRDefault="009D2B11">
            <w:pPr>
              <w:pStyle w:val="P68B1DB1-Normal9"/>
              <w:spacing w:after="0" w:line="240" w:lineRule="auto"/>
              <w:rPr>
                <w:rFonts w:eastAsia="Times New Roman" w:cs="Calibri"/>
                <w:noProof/>
                <w:szCs w:val="18"/>
              </w:rPr>
            </w:pPr>
            <w:r>
              <w:rPr>
                <w:noProof/>
              </w:rPr>
              <w:t>CET.</w:t>
            </w:r>
          </w:p>
        </w:tc>
        <w:tc>
          <w:tcPr>
            <w:tcW w:w="708" w:type="dxa"/>
            <w:tcBorders>
              <w:top w:val="nil"/>
              <w:left w:val="nil"/>
              <w:bottom w:val="single" w:sz="4" w:space="0" w:color="auto"/>
              <w:right w:val="single" w:sz="4" w:space="0" w:color="auto"/>
            </w:tcBorders>
            <w:shd w:val="clear" w:color="auto" w:fill="C6EFCE"/>
            <w:noWrap/>
          </w:tcPr>
          <w:p w14:paraId="59FB1DFC" w14:textId="77777777" w:rsidR="00CB0FCB" w:rsidRDefault="009D2B11">
            <w:pPr>
              <w:pStyle w:val="P68B1DB1-Normal9"/>
              <w:spacing w:after="0" w:line="240" w:lineRule="auto"/>
              <w:rPr>
                <w:rFonts w:eastAsia="Times New Roman" w:cs="Calibri"/>
                <w:noProof/>
                <w:szCs w:val="18"/>
              </w:rPr>
            </w:pPr>
            <w:r>
              <w:rPr>
                <w:noProof/>
              </w:rPr>
              <w:t>2021</w:t>
            </w:r>
          </w:p>
        </w:tc>
        <w:tc>
          <w:tcPr>
            <w:tcW w:w="4830" w:type="dxa"/>
            <w:tcBorders>
              <w:top w:val="nil"/>
              <w:left w:val="nil"/>
              <w:bottom w:val="single" w:sz="4" w:space="0" w:color="auto"/>
              <w:right w:val="single" w:sz="4" w:space="0" w:color="auto"/>
            </w:tcBorders>
            <w:shd w:val="clear" w:color="auto" w:fill="C6EFCE"/>
            <w:noWrap/>
          </w:tcPr>
          <w:p w14:paraId="11BA2916" w14:textId="77777777" w:rsidR="00CB0FCB" w:rsidRDefault="009D2B11">
            <w:pPr>
              <w:pStyle w:val="P68B1DB1-Normal9"/>
              <w:spacing w:after="0" w:line="240" w:lineRule="auto"/>
              <w:rPr>
                <w:rFonts w:eastAsia="Times New Roman" w:cs="Calibri"/>
                <w:noProof/>
                <w:szCs w:val="18"/>
              </w:rPr>
            </w:pPr>
            <w:r>
              <w:rPr>
                <w:noProof/>
              </w:rPr>
              <w:t>Projekti apspriešanai par primārajiem un sekundārajiem tiesību aktiem, ar kuriem uzlabo tiesisko regulējumu nodokļu, finanšu un licencēšanas jomā un stimulus apvienošanai, konvertācijai un pārņemšanai</w:t>
            </w:r>
          </w:p>
        </w:tc>
      </w:tr>
      <w:tr w:rsidR="00CB0FCB" w14:paraId="21B03AF7"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417ABAB" w14:textId="77777777" w:rsidR="00CB0FCB" w:rsidRDefault="009D2B11">
            <w:pPr>
              <w:pStyle w:val="P68B1DB1-Normal9"/>
              <w:spacing w:after="0" w:line="240" w:lineRule="auto"/>
              <w:rPr>
                <w:rFonts w:eastAsia="Times New Roman" w:cs="Calibri"/>
                <w:noProof/>
                <w:szCs w:val="18"/>
              </w:rPr>
            </w:pPr>
            <w:r>
              <w:rPr>
                <w:noProof/>
              </w:rPr>
              <w:t>201</w:t>
            </w:r>
          </w:p>
        </w:tc>
        <w:tc>
          <w:tcPr>
            <w:tcW w:w="1835" w:type="dxa"/>
            <w:tcBorders>
              <w:top w:val="single" w:sz="4" w:space="0" w:color="auto"/>
              <w:left w:val="nil"/>
              <w:bottom w:val="single" w:sz="4" w:space="0" w:color="auto"/>
              <w:right w:val="single" w:sz="4" w:space="0" w:color="auto"/>
            </w:tcBorders>
            <w:shd w:val="clear" w:color="auto" w:fill="C6EFCE"/>
            <w:noWrap/>
          </w:tcPr>
          <w:p w14:paraId="5B219AD5" w14:textId="77777777" w:rsidR="00CB0FCB" w:rsidRDefault="009D2B11">
            <w:pPr>
              <w:pStyle w:val="P68B1DB1-Normal9"/>
              <w:spacing w:after="0" w:line="240" w:lineRule="auto"/>
              <w:rPr>
                <w:rFonts w:eastAsia="Times New Roman" w:cs="Calibri"/>
                <w:noProof/>
                <w:szCs w:val="18"/>
              </w:rPr>
            </w:pPr>
            <w:r>
              <w:rPr>
                <w:noProof/>
              </w:rPr>
              <w:t>18–4.7. Uzlabot konkurētspēju un veicināt privātos ieguldījumus un tirdzniecību — 16598_Stimulēšanas režīms attiecībā uz ražīgumu un uzņēmumu izspiešanu (uzņēmumu lieluma palielināšana)</w:t>
            </w:r>
          </w:p>
        </w:tc>
        <w:tc>
          <w:tcPr>
            <w:tcW w:w="966" w:type="dxa"/>
            <w:tcBorders>
              <w:top w:val="single" w:sz="4" w:space="0" w:color="auto"/>
              <w:left w:val="nil"/>
              <w:bottom w:val="single" w:sz="4" w:space="0" w:color="auto"/>
              <w:right w:val="single" w:sz="4" w:space="0" w:color="auto"/>
            </w:tcBorders>
            <w:shd w:val="clear" w:color="auto" w:fill="C6EFCE"/>
            <w:noWrap/>
          </w:tcPr>
          <w:p w14:paraId="333DC3C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638D9B49" w14:textId="77777777" w:rsidR="00CB0FCB" w:rsidRDefault="009D2B11">
            <w:pPr>
              <w:pStyle w:val="P68B1DB1-Normal9"/>
              <w:spacing w:after="0" w:line="240" w:lineRule="auto"/>
              <w:rPr>
                <w:rFonts w:eastAsia="Times New Roman" w:cs="Calibri"/>
                <w:noProof/>
                <w:szCs w:val="18"/>
              </w:rPr>
            </w:pPr>
            <w:r>
              <w:rPr>
                <w:noProof/>
              </w:rPr>
              <w:t>Tiesību akti, lai veicinātu izpostīšanu no uzņēmējdarbības</w:t>
            </w:r>
          </w:p>
        </w:tc>
        <w:tc>
          <w:tcPr>
            <w:tcW w:w="1984" w:type="dxa"/>
            <w:tcBorders>
              <w:top w:val="single" w:sz="4" w:space="0" w:color="auto"/>
              <w:left w:val="nil"/>
              <w:bottom w:val="single" w:sz="4" w:space="0" w:color="auto"/>
              <w:right w:val="single" w:sz="4" w:space="0" w:color="auto"/>
            </w:tcBorders>
            <w:shd w:val="clear" w:color="auto" w:fill="C6EFCE"/>
            <w:noWrap/>
          </w:tcPr>
          <w:p w14:paraId="4A8B3D79" w14:textId="77777777" w:rsidR="00CB0FCB" w:rsidRDefault="009D2B11">
            <w:pPr>
              <w:pStyle w:val="P68B1DB1-Normal9"/>
              <w:spacing w:after="0" w:line="240" w:lineRule="auto"/>
              <w:rPr>
                <w:rFonts w:eastAsia="Times New Roman" w:cs="Calibri"/>
                <w:noProof/>
                <w:szCs w:val="18"/>
              </w:rPr>
            </w:pPr>
            <w:r>
              <w:rPr>
                <w:noProof/>
              </w:rPr>
              <w:t>Tādu tiesību aktu stāšanās spēkā, kuru mērķis ir veicināt izvirdumu no uzņēmējdarbības</w:t>
            </w:r>
          </w:p>
        </w:tc>
        <w:tc>
          <w:tcPr>
            <w:tcW w:w="866" w:type="dxa"/>
            <w:tcBorders>
              <w:top w:val="single" w:sz="4" w:space="0" w:color="auto"/>
              <w:left w:val="nil"/>
              <w:bottom w:val="single" w:sz="4" w:space="0" w:color="auto"/>
              <w:right w:val="single" w:sz="4" w:space="0" w:color="auto"/>
            </w:tcBorders>
            <w:shd w:val="clear" w:color="auto" w:fill="C6EFCE"/>
            <w:noWrap/>
          </w:tcPr>
          <w:p w14:paraId="5AC231C2"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6FBC168"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63379C21"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76D86A9" w14:textId="77777777" w:rsidR="00CB0FCB" w:rsidRDefault="009D2B11">
            <w:pPr>
              <w:pStyle w:val="P68B1DB1-Normal9"/>
              <w:spacing w:after="0" w:line="240" w:lineRule="auto"/>
              <w:rPr>
                <w:rFonts w:eastAsia="Times New Roman" w:cs="Calibri"/>
                <w:noProof/>
                <w:szCs w:val="18"/>
              </w:rPr>
            </w:pPr>
            <w:r>
              <w:rPr>
                <w:noProof/>
              </w:rPr>
              <w:t>Q1</w:t>
            </w:r>
          </w:p>
        </w:tc>
        <w:tc>
          <w:tcPr>
            <w:tcW w:w="708" w:type="dxa"/>
            <w:tcBorders>
              <w:top w:val="single" w:sz="4" w:space="0" w:color="auto"/>
              <w:left w:val="nil"/>
              <w:bottom w:val="single" w:sz="4" w:space="0" w:color="auto"/>
              <w:right w:val="single" w:sz="4" w:space="0" w:color="auto"/>
            </w:tcBorders>
            <w:shd w:val="clear" w:color="auto" w:fill="C6EFCE"/>
            <w:noWrap/>
          </w:tcPr>
          <w:p w14:paraId="6FD3F814" w14:textId="77777777" w:rsidR="00CB0FCB" w:rsidRDefault="009D2B11">
            <w:pPr>
              <w:pStyle w:val="P68B1DB1-Normal9"/>
              <w:spacing w:after="0" w:line="240" w:lineRule="auto"/>
              <w:rPr>
                <w:rFonts w:eastAsia="Times New Roman" w:cs="Calibri"/>
                <w:noProof/>
                <w:szCs w:val="18"/>
              </w:rPr>
            </w:pPr>
            <w:r>
              <w:rPr>
                <w:noProof/>
              </w:rPr>
              <w:t>2022</w:t>
            </w:r>
          </w:p>
        </w:tc>
        <w:tc>
          <w:tcPr>
            <w:tcW w:w="4830" w:type="dxa"/>
            <w:tcBorders>
              <w:top w:val="single" w:sz="4" w:space="0" w:color="auto"/>
              <w:left w:val="nil"/>
              <w:bottom w:val="single" w:sz="4" w:space="0" w:color="auto"/>
              <w:right w:val="single" w:sz="4" w:space="0" w:color="auto"/>
            </w:tcBorders>
            <w:shd w:val="clear" w:color="auto" w:fill="C6EFCE"/>
            <w:noWrap/>
          </w:tcPr>
          <w:p w14:paraId="31E10CAE" w14:textId="77777777" w:rsidR="00CB0FCB" w:rsidRDefault="009D2B11">
            <w:pPr>
              <w:pStyle w:val="P68B1DB1-Normal9"/>
              <w:spacing w:after="0" w:line="240" w:lineRule="auto"/>
              <w:rPr>
                <w:rFonts w:eastAsia="Times New Roman" w:cs="Calibri"/>
                <w:noProof/>
                <w:szCs w:val="18"/>
              </w:rPr>
            </w:pPr>
            <w:r>
              <w:rPr>
                <w:noProof/>
              </w:rPr>
              <w:t>Stājas spēkā attiecīgie grozījumi, kas nodrošina uzlabojumus tiesiskajā regulējumā attiecībā uz nodokļiem, finansēm un licencēm un stimuliem apvienošanai, konversijai un pārņemšanai</w:t>
            </w:r>
          </w:p>
        </w:tc>
      </w:tr>
      <w:tr w:rsidR="00CB0FCB" w14:paraId="7A13112D"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0D2E1B6" w14:textId="77777777" w:rsidR="00CB0FCB" w:rsidRDefault="009D2B11">
            <w:pPr>
              <w:pStyle w:val="P68B1DB1-Normal9"/>
              <w:spacing w:after="0" w:line="240" w:lineRule="auto"/>
              <w:rPr>
                <w:rFonts w:eastAsia="Times New Roman" w:cs="Calibri"/>
                <w:noProof/>
                <w:szCs w:val="18"/>
              </w:rPr>
            </w:pPr>
            <w:r>
              <w:rPr>
                <w:noProof/>
              </w:rPr>
              <w:t>202</w:t>
            </w:r>
          </w:p>
        </w:tc>
        <w:tc>
          <w:tcPr>
            <w:tcW w:w="1835" w:type="dxa"/>
            <w:tcBorders>
              <w:top w:val="single" w:sz="4" w:space="0" w:color="auto"/>
              <w:left w:val="nil"/>
              <w:bottom w:val="single" w:sz="4" w:space="0" w:color="auto"/>
              <w:right w:val="single" w:sz="4" w:space="0" w:color="auto"/>
            </w:tcBorders>
            <w:shd w:val="clear" w:color="auto" w:fill="C6EFCE"/>
            <w:noWrap/>
          </w:tcPr>
          <w:p w14:paraId="3529BDA3" w14:textId="77777777" w:rsidR="00CB0FCB" w:rsidRDefault="009D2B11">
            <w:pPr>
              <w:pStyle w:val="P68B1DB1-Normal9"/>
              <w:spacing w:after="0" w:line="240" w:lineRule="auto"/>
              <w:rPr>
                <w:rFonts w:eastAsia="Times New Roman" w:cs="Calibri"/>
                <w:noProof/>
                <w:szCs w:val="18"/>
              </w:rPr>
            </w:pPr>
            <w:r>
              <w:rPr>
                <w:noProof/>
              </w:rPr>
              <w:t xml:space="preserve"> 4.1. Padarīt nodokļus labvēlīgākus izaugsmei un uzlabot nodokļu administrēšanu un iekasēšanu — 16643_nodokļu tiesību aktu kodifikācija un vienkāršošana</w:t>
            </w:r>
          </w:p>
        </w:tc>
        <w:tc>
          <w:tcPr>
            <w:tcW w:w="966" w:type="dxa"/>
            <w:tcBorders>
              <w:top w:val="single" w:sz="4" w:space="0" w:color="auto"/>
              <w:left w:val="nil"/>
              <w:bottom w:val="single" w:sz="4" w:space="0" w:color="auto"/>
              <w:right w:val="single" w:sz="4" w:space="0" w:color="auto"/>
            </w:tcBorders>
            <w:shd w:val="clear" w:color="auto" w:fill="C6EFCE"/>
            <w:noWrap/>
          </w:tcPr>
          <w:p w14:paraId="1D5CEAB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10A60F72" w14:textId="77777777" w:rsidR="00CB0FCB" w:rsidRDefault="009D2B11">
            <w:pPr>
              <w:pStyle w:val="P68B1DB1-Normal9"/>
              <w:spacing w:after="0" w:line="240" w:lineRule="auto"/>
              <w:rPr>
                <w:rFonts w:eastAsia="Times New Roman" w:cs="Calibri"/>
                <w:noProof/>
                <w:szCs w:val="18"/>
              </w:rPr>
            </w:pPr>
            <w:r>
              <w:rPr>
                <w:noProof/>
              </w:rPr>
              <w:t>Nodokļu kodifikācijas kapacitātes palielināšana</w:t>
            </w:r>
          </w:p>
        </w:tc>
        <w:tc>
          <w:tcPr>
            <w:tcW w:w="1984" w:type="dxa"/>
            <w:tcBorders>
              <w:top w:val="single" w:sz="4" w:space="0" w:color="auto"/>
              <w:left w:val="nil"/>
              <w:bottom w:val="single" w:sz="4" w:space="0" w:color="auto"/>
              <w:right w:val="single" w:sz="4" w:space="0" w:color="auto"/>
            </w:tcBorders>
            <w:shd w:val="clear" w:color="auto" w:fill="C6EFCE"/>
            <w:noWrap/>
          </w:tcPr>
          <w:p w14:paraId="4DAB3BC7" w14:textId="77777777" w:rsidR="00CB0FCB" w:rsidRDefault="009D2B11">
            <w:pPr>
              <w:pStyle w:val="P68B1DB1-Normal9"/>
              <w:spacing w:after="0" w:line="240" w:lineRule="auto"/>
              <w:rPr>
                <w:rFonts w:eastAsia="Times New Roman" w:cs="Calibri"/>
                <w:noProof/>
                <w:szCs w:val="18"/>
              </w:rPr>
            </w:pPr>
            <w:r>
              <w:rPr>
                <w:noProof/>
              </w:rPr>
              <w:t>Sekundāro tiesību aktu publicēšana Nodokļu kodifikācijas nodaļas izveidei Finanšu ministrijas un pakalpojumu sniegšanas direktorātā IAPR.</w:t>
            </w:r>
          </w:p>
        </w:tc>
        <w:tc>
          <w:tcPr>
            <w:tcW w:w="866" w:type="dxa"/>
            <w:tcBorders>
              <w:top w:val="single" w:sz="4" w:space="0" w:color="auto"/>
              <w:left w:val="nil"/>
              <w:bottom w:val="single" w:sz="4" w:space="0" w:color="auto"/>
              <w:right w:val="single" w:sz="4" w:space="0" w:color="auto"/>
            </w:tcBorders>
            <w:shd w:val="clear" w:color="auto" w:fill="C6EFCE"/>
            <w:noWrap/>
          </w:tcPr>
          <w:p w14:paraId="3D211BB2"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A304817"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694A7EAF"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9EAE1BA" w14:textId="77777777" w:rsidR="00CB0FCB" w:rsidRDefault="009D2B11">
            <w:pPr>
              <w:pStyle w:val="P68B1DB1-Normal9"/>
              <w:spacing w:after="0" w:line="240" w:lineRule="auto"/>
              <w:rPr>
                <w:rFonts w:eastAsia="Times New Roman" w:cs="Calibri"/>
                <w:noProof/>
                <w:szCs w:val="18"/>
              </w:rPr>
            </w:pPr>
            <w:r>
              <w:rPr>
                <w:noProof/>
              </w:rPr>
              <w:t>2. CET.</w:t>
            </w:r>
          </w:p>
        </w:tc>
        <w:tc>
          <w:tcPr>
            <w:tcW w:w="708" w:type="dxa"/>
            <w:tcBorders>
              <w:top w:val="single" w:sz="4" w:space="0" w:color="auto"/>
              <w:left w:val="nil"/>
              <w:bottom w:val="single" w:sz="4" w:space="0" w:color="auto"/>
              <w:right w:val="single" w:sz="4" w:space="0" w:color="auto"/>
            </w:tcBorders>
            <w:shd w:val="clear" w:color="auto" w:fill="C6EFCE"/>
            <w:noWrap/>
          </w:tcPr>
          <w:p w14:paraId="72E29AD2" w14:textId="77777777" w:rsidR="00CB0FCB" w:rsidRDefault="009D2B11">
            <w:pPr>
              <w:pStyle w:val="P68B1DB1-Normal9"/>
              <w:spacing w:after="0" w:line="240" w:lineRule="auto"/>
              <w:rPr>
                <w:rFonts w:eastAsia="Times New Roman" w:cs="Calibri"/>
                <w:noProof/>
                <w:szCs w:val="18"/>
              </w:rPr>
            </w:pPr>
            <w:r>
              <w:rPr>
                <w:noProof/>
              </w:rPr>
              <w:t>2022</w:t>
            </w:r>
          </w:p>
        </w:tc>
        <w:tc>
          <w:tcPr>
            <w:tcW w:w="4830" w:type="dxa"/>
            <w:tcBorders>
              <w:top w:val="single" w:sz="4" w:space="0" w:color="auto"/>
              <w:left w:val="nil"/>
              <w:bottom w:val="single" w:sz="4" w:space="0" w:color="auto"/>
              <w:right w:val="single" w:sz="4" w:space="0" w:color="auto"/>
            </w:tcBorders>
            <w:shd w:val="clear" w:color="auto" w:fill="C6EFCE"/>
            <w:noWrap/>
          </w:tcPr>
          <w:p w14:paraId="7A5A6CF6" w14:textId="77777777" w:rsidR="00CB0FCB" w:rsidRDefault="009D2B11">
            <w:pPr>
              <w:pStyle w:val="P68B1DB1-Normal9"/>
              <w:spacing w:after="0" w:line="240" w:lineRule="auto"/>
              <w:rPr>
                <w:rFonts w:eastAsia="Times New Roman" w:cs="Calibri"/>
                <w:noProof/>
                <w:szCs w:val="18"/>
              </w:rPr>
            </w:pPr>
            <w:r>
              <w:rPr>
                <w:noProof/>
              </w:rPr>
              <w:t>Finanšu ministrijā izveidot īpašu nodokļu vienību, kas būtu atbildīga par primāro nodokļu tiesību aktu un ministriju lēmumu konsolidāciju un konsekvenci; IAPR pakalpojumu sniegšanas direktorāta izveide, kas cita starpā atbild par sekundāro tiesību aktu konsolidāciju, IAPR kompetenču koordinēšanu attiecībā uz Nodokļu procedūras kodeksu un publiskās nodokļu datubāzes atjaunināšanu un uzturēšanu</w:t>
            </w:r>
          </w:p>
        </w:tc>
      </w:tr>
      <w:tr w:rsidR="00CB0FCB" w14:paraId="57E7743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886D645" w14:textId="77777777" w:rsidR="00CB0FCB" w:rsidRDefault="009D2B11">
            <w:pPr>
              <w:pStyle w:val="P68B1DB1-Normal9"/>
              <w:spacing w:after="0" w:line="240" w:lineRule="auto"/>
              <w:rPr>
                <w:rFonts w:eastAsia="Times New Roman" w:cs="Calibri"/>
                <w:noProof/>
                <w:szCs w:val="18"/>
              </w:rPr>
            </w:pPr>
            <w:r>
              <w:rPr>
                <w:noProof/>
              </w:rPr>
              <w:t>203</w:t>
            </w:r>
          </w:p>
        </w:tc>
        <w:tc>
          <w:tcPr>
            <w:tcW w:w="1835" w:type="dxa"/>
            <w:tcBorders>
              <w:top w:val="single" w:sz="4" w:space="0" w:color="auto"/>
              <w:left w:val="nil"/>
              <w:bottom w:val="single" w:sz="4" w:space="0" w:color="auto"/>
              <w:right w:val="single" w:sz="4" w:space="0" w:color="auto"/>
            </w:tcBorders>
            <w:shd w:val="clear" w:color="auto" w:fill="C6EFCE"/>
            <w:noWrap/>
          </w:tcPr>
          <w:p w14:paraId="77D6F6B2"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16643_nodokļu tiesību aktu kodifikācija un vienkāršošana</w:t>
            </w:r>
          </w:p>
        </w:tc>
        <w:tc>
          <w:tcPr>
            <w:tcW w:w="966" w:type="dxa"/>
            <w:tcBorders>
              <w:top w:val="single" w:sz="4" w:space="0" w:color="auto"/>
              <w:left w:val="nil"/>
              <w:bottom w:val="single" w:sz="4" w:space="0" w:color="auto"/>
              <w:right w:val="single" w:sz="4" w:space="0" w:color="auto"/>
            </w:tcBorders>
            <w:shd w:val="clear" w:color="auto" w:fill="C6EFCE"/>
            <w:noWrap/>
          </w:tcPr>
          <w:p w14:paraId="0CC2FE8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2FAA6DCF" w14:textId="77777777" w:rsidR="00CB0FCB" w:rsidRDefault="009D2B11">
            <w:pPr>
              <w:pStyle w:val="P68B1DB1-Normal9"/>
              <w:spacing w:after="0" w:line="240" w:lineRule="auto"/>
              <w:rPr>
                <w:rFonts w:eastAsia="Times New Roman" w:cs="Calibri"/>
                <w:noProof/>
                <w:szCs w:val="18"/>
              </w:rPr>
            </w:pPr>
            <w:r>
              <w:rPr>
                <w:noProof/>
              </w:rPr>
              <w:t>Ienākuma nodokļa un nodokļu procedūras kodu pārformulēšana</w:t>
            </w:r>
          </w:p>
        </w:tc>
        <w:tc>
          <w:tcPr>
            <w:tcW w:w="1984" w:type="dxa"/>
            <w:tcBorders>
              <w:top w:val="single" w:sz="4" w:space="0" w:color="auto"/>
              <w:left w:val="nil"/>
              <w:bottom w:val="single" w:sz="4" w:space="0" w:color="auto"/>
              <w:right w:val="single" w:sz="4" w:space="0" w:color="auto"/>
            </w:tcBorders>
            <w:shd w:val="clear" w:color="auto" w:fill="C6EFCE"/>
            <w:noWrap/>
          </w:tcPr>
          <w:p w14:paraId="38437AF6" w14:textId="77777777" w:rsidR="00CB0FCB" w:rsidRDefault="009D2B11">
            <w:pPr>
              <w:pStyle w:val="P68B1DB1-Normal9"/>
              <w:spacing w:after="0" w:line="240" w:lineRule="auto"/>
              <w:rPr>
                <w:rFonts w:eastAsia="Times New Roman" w:cs="Calibri"/>
                <w:noProof/>
                <w:szCs w:val="18"/>
              </w:rPr>
            </w:pPr>
            <w:r>
              <w:rPr>
                <w:noProof/>
              </w:rPr>
              <w:t>Ienākuma nodokļa kodeksa un Nodokļu administrācijas kodeksa kodificēto primāro un sekundāro nodokļu tiesību aktu stāšanās spēkā</w:t>
            </w:r>
          </w:p>
        </w:tc>
        <w:tc>
          <w:tcPr>
            <w:tcW w:w="866" w:type="dxa"/>
            <w:tcBorders>
              <w:top w:val="single" w:sz="4" w:space="0" w:color="auto"/>
              <w:left w:val="nil"/>
              <w:bottom w:val="single" w:sz="4" w:space="0" w:color="auto"/>
              <w:right w:val="single" w:sz="4" w:space="0" w:color="auto"/>
            </w:tcBorders>
            <w:shd w:val="clear" w:color="auto" w:fill="C6EFCE"/>
            <w:noWrap/>
          </w:tcPr>
          <w:p w14:paraId="0FD10444"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09D5076"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0E249BB5"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2D762441" w14:textId="77777777" w:rsidR="00CB0FCB" w:rsidRDefault="009D2B11">
            <w:pPr>
              <w:pStyle w:val="P68B1DB1-Normal9"/>
              <w:spacing w:after="0" w:line="240" w:lineRule="auto"/>
              <w:rPr>
                <w:rFonts w:eastAsia="Times New Roman" w:cs="Calibri"/>
                <w:noProof/>
                <w:szCs w:val="18"/>
              </w:rPr>
            </w:pPr>
            <w:r>
              <w:rPr>
                <w:noProof/>
              </w:rPr>
              <w:t>2. CET.</w:t>
            </w:r>
          </w:p>
        </w:tc>
        <w:tc>
          <w:tcPr>
            <w:tcW w:w="708" w:type="dxa"/>
            <w:tcBorders>
              <w:top w:val="single" w:sz="4" w:space="0" w:color="auto"/>
              <w:left w:val="nil"/>
              <w:bottom w:val="single" w:sz="4" w:space="0" w:color="auto"/>
              <w:right w:val="single" w:sz="4" w:space="0" w:color="auto"/>
            </w:tcBorders>
            <w:shd w:val="clear" w:color="auto" w:fill="C6EFCE"/>
            <w:noWrap/>
          </w:tcPr>
          <w:p w14:paraId="28599F9E" w14:textId="77777777" w:rsidR="00CB0FCB" w:rsidRDefault="009D2B11">
            <w:pPr>
              <w:pStyle w:val="P68B1DB1-Normal9"/>
              <w:spacing w:after="0" w:line="240" w:lineRule="auto"/>
              <w:rPr>
                <w:rFonts w:eastAsia="Times New Roman" w:cs="Calibri"/>
                <w:noProof/>
                <w:szCs w:val="18"/>
              </w:rPr>
            </w:pPr>
            <w:r>
              <w:rPr>
                <w:noProof/>
              </w:rPr>
              <w:t>2023</w:t>
            </w:r>
          </w:p>
        </w:tc>
        <w:tc>
          <w:tcPr>
            <w:tcW w:w="4830" w:type="dxa"/>
            <w:tcBorders>
              <w:top w:val="single" w:sz="4" w:space="0" w:color="auto"/>
              <w:left w:val="nil"/>
              <w:bottom w:val="single" w:sz="4" w:space="0" w:color="auto"/>
              <w:right w:val="single" w:sz="4" w:space="0" w:color="auto"/>
            </w:tcBorders>
            <w:shd w:val="clear" w:color="auto" w:fill="C6EFCE"/>
            <w:noWrap/>
          </w:tcPr>
          <w:p w14:paraId="114D2740" w14:textId="77777777" w:rsidR="00CB0FCB" w:rsidRDefault="009D2B11">
            <w:pPr>
              <w:pStyle w:val="P68B1DB1-Normal9"/>
              <w:spacing w:after="0" w:line="240" w:lineRule="auto"/>
              <w:rPr>
                <w:rFonts w:eastAsia="Times New Roman" w:cs="Calibri"/>
                <w:noProof/>
                <w:szCs w:val="18"/>
              </w:rPr>
            </w:pPr>
            <w:r>
              <w:rPr>
                <w:noProof/>
              </w:rPr>
              <w:t>Stājas spēkā kodificētais ienākuma nodokļa kodekss un Nodokļu administrācijas kodekss (primārie un sekundārie tiesību akti), lai vienkāršotu un atjauninātu tiesību aktus, ņemot vērā digitalizāciju un ES paraugpraksi</w:t>
            </w:r>
          </w:p>
        </w:tc>
      </w:tr>
      <w:tr w:rsidR="00CB0FCB" w14:paraId="159BDF17"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562B4D4" w14:textId="77777777" w:rsidR="00CB0FCB" w:rsidRDefault="009D2B11">
            <w:pPr>
              <w:pStyle w:val="P68B1DB1-Normal9"/>
              <w:spacing w:after="0" w:line="240" w:lineRule="auto"/>
              <w:rPr>
                <w:rFonts w:eastAsia="Times New Roman" w:cs="Calibri"/>
                <w:noProof/>
                <w:szCs w:val="18"/>
              </w:rPr>
            </w:pPr>
            <w:r>
              <w:rPr>
                <w:noProof/>
              </w:rPr>
              <w:t>204</w:t>
            </w:r>
          </w:p>
        </w:tc>
        <w:tc>
          <w:tcPr>
            <w:tcW w:w="1835" w:type="dxa"/>
            <w:tcBorders>
              <w:top w:val="single" w:sz="4" w:space="0" w:color="auto"/>
              <w:left w:val="nil"/>
              <w:bottom w:val="single" w:sz="4" w:space="0" w:color="auto"/>
              <w:right w:val="single" w:sz="4" w:space="0" w:color="auto"/>
            </w:tcBorders>
            <w:shd w:val="clear" w:color="auto" w:fill="C6EFCE"/>
            <w:noWrap/>
          </w:tcPr>
          <w:p w14:paraId="16C0081A"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16643_nodokļu tiesību aktu kodifikācija un vienkāršošana</w:t>
            </w:r>
          </w:p>
        </w:tc>
        <w:tc>
          <w:tcPr>
            <w:tcW w:w="966" w:type="dxa"/>
            <w:tcBorders>
              <w:top w:val="single" w:sz="4" w:space="0" w:color="auto"/>
              <w:left w:val="nil"/>
              <w:bottom w:val="single" w:sz="4" w:space="0" w:color="auto"/>
              <w:right w:val="single" w:sz="4" w:space="0" w:color="auto"/>
            </w:tcBorders>
            <w:shd w:val="clear" w:color="auto" w:fill="C6EFCE"/>
            <w:noWrap/>
          </w:tcPr>
          <w:p w14:paraId="6003942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04586E2C" w14:textId="77777777" w:rsidR="00CB0FCB" w:rsidRDefault="009D2B11">
            <w:pPr>
              <w:pStyle w:val="P68B1DB1-Normal9"/>
              <w:spacing w:after="0" w:line="240" w:lineRule="auto"/>
              <w:rPr>
                <w:rFonts w:eastAsia="Times New Roman" w:cs="Calibri"/>
                <w:noProof/>
                <w:szCs w:val="18"/>
              </w:rPr>
            </w:pPr>
            <w:r>
              <w:rPr>
                <w:noProof/>
              </w:rPr>
              <w:t>Sākotnējās nodokļu kodifikācijas un nodokļu maksātāju informācijas sistēmas pabeigšana</w:t>
            </w:r>
          </w:p>
        </w:tc>
        <w:tc>
          <w:tcPr>
            <w:tcW w:w="1984" w:type="dxa"/>
            <w:tcBorders>
              <w:top w:val="single" w:sz="4" w:space="0" w:color="auto"/>
              <w:left w:val="nil"/>
              <w:bottom w:val="single" w:sz="4" w:space="0" w:color="auto"/>
              <w:right w:val="single" w:sz="4" w:space="0" w:color="auto"/>
            </w:tcBorders>
            <w:shd w:val="clear" w:color="auto" w:fill="C6EFCE"/>
            <w:noWrap/>
          </w:tcPr>
          <w:p w14:paraId="4F875012" w14:textId="75BABBFB" w:rsidR="00CB0FCB" w:rsidRDefault="009D2B11">
            <w:pPr>
              <w:pStyle w:val="P68B1DB1-Normal9"/>
              <w:spacing w:after="0" w:line="240" w:lineRule="auto"/>
              <w:rPr>
                <w:rFonts w:eastAsia="Times New Roman" w:cs="Calibri"/>
                <w:noProof/>
                <w:szCs w:val="18"/>
              </w:rPr>
            </w:pPr>
            <w:r>
              <w:rPr>
                <w:noProof/>
              </w:rPr>
              <w:t>a</w:t>
            </w:r>
            <w:r>
              <w:rPr>
                <w:i/>
                <w:noProof/>
              </w:rPr>
              <w:t>:</w:t>
            </w:r>
            <w:r>
              <w:rPr>
                <w:noProof/>
              </w:rPr>
              <w:t xml:space="preserve"> Kodificēto primāro un sekundāro nodokļu tiesību aktu stāšanās spēkā</w:t>
            </w:r>
          </w:p>
          <w:p w14:paraId="1517A453" w14:textId="77777777" w:rsidR="00CB0FCB" w:rsidRDefault="00CB0FCB">
            <w:pPr>
              <w:spacing w:after="0" w:line="240" w:lineRule="auto"/>
              <w:rPr>
                <w:rFonts w:eastAsia="Times New Roman" w:cs="Calibri"/>
                <w:noProof/>
                <w:color w:val="006100"/>
                <w:sz w:val="18"/>
                <w:szCs w:val="18"/>
              </w:rPr>
            </w:pPr>
          </w:p>
          <w:p w14:paraId="0E58CA73" w14:textId="59B3FB0C" w:rsidR="00CB0FCB" w:rsidRDefault="009D2B11">
            <w:pPr>
              <w:pStyle w:val="P68B1DB1-Normal9"/>
              <w:spacing w:after="0" w:line="240" w:lineRule="auto"/>
              <w:rPr>
                <w:rFonts w:eastAsia="Times New Roman" w:cs="Calibri"/>
                <w:noProof/>
                <w:szCs w:val="18"/>
              </w:rPr>
            </w:pPr>
            <w:r>
              <w:rPr>
                <w:noProof/>
              </w:rPr>
              <w:t>b: Pierādījumi par nodevumu pieņemšanu par satura pārvaldības sistēmas izveidi un īpašu tīmekļa vietni nodokļu maksātāju informācijai.</w:t>
            </w:r>
          </w:p>
        </w:tc>
        <w:tc>
          <w:tcPr>
            <w:tcW w:w="866" w:type="dxa"/>
            <w:tcBorders>
              <w:top w:val="single" w:sz="4" w:space="0" w:color="auto"/>
              <w:left w:val="nil"/>
              <w:bottom w:val="single" w:sz="4" w:space="0" w:color="auto"/>
              <w:right w:val="single" w:sz="4" w:space="0" w:color="auto"/>
            </w:tcBorders>
            <w:shd w:val="clear" w:color="auto" w:fill="C6EFCE"/>
            <w:noWrap/>
          </w:tcPr>
          <w:p w14:paraId="7F5B46FC"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BBF2E00"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2054AAF7"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B2F8E09" w14:textId="77777777" w:rsidR="00CB0FCB" w:rsidRDefault="009D2B11">
            <w:pPr>
              <w:pStyle w:val="P68B1DB1-Normal9"/>
              <w:spacing w:after="0" w:line="240" w:lineRule="auto"/>
              <w:rPr>
                <w:rFonts w:eastAsia="Times New Roman" w:cs="Calibri"/>
                <w:noProof/>
                <w:szCs w:val="18"/>
              </w:rPr>
            </w:pPr>
            <w:r>
              <w:rPr>
                <w:noProof/>
              </w:rPr>
              <w:t>2. CET.</w:t>
            </w:r>
          </w:p>
        </w:tc>
        <w:tc>
          <w:tcPr>
            <w:tcW w:w="708" w:type="dxa"/>
            <w:tcBorders>
              <w:top w:val="single" w:sz="4" w:space="0" w:color="auto"/>
              <w:left w:val="nil"/>
              <w:bottom w:val="single" w:sz="4" w:space="0" w:color="auto"/>
              <w:right w:val="single" w:sz="4" w:space="0" w:color="auto"/>
            </w:tcBorders>
            <w:shd w:val="clear" w:color="auto" w:fill="C6EFCE"/>
            <w:noWrap/>
          </w:tcPr>
          <w:p w14:paraId="1A68D3FA" w14:textId="77777777" w:rsidR="00CB0FCB" w:rsidRDefault="009D2B11">
            <w:pPr>
              <w:pStyle w:val="P68B1DB1-Normal9"/>
              <w:spacing w:after="0" w:line="240" w:lineRule="auto"/>
              <w:rPr>
                <w:rFonts w:eastAsia="Times New Roman" w:cs="Calibri"/>
                <w:noProof/>
                <w:szCs w:val="18"/>
              </w:rPr>
            </w:pPr>
            <w:r>
              <w:rPr>
                <w:noProof/>
              </w:rPr>
              <w:t>2024</w:t>
            </w:r>
          </w:p>
        </w:tc>
        <w:tc>
          <w:tcPr>
            <w:tcW w:w="4830" w:type="dxa"/>
            <w:tcBorders>
              <w:top w:val="single" w:sz="4" w:space="0" w:color="auto"/>
              <w:left w:val="nil"/>
              <w:bottom w:val="single" w:sz="4" w:space="0" w:color="auto"/>
              <w:right w:val="single" w:sz="4" w:space="0" w:color="auto"/>
            </w:tcBorders>
            <w:shd w:val="clear" w:color="auto" w:fill="C6EFCE"/>
            <w:noWrap/>
          </w:tcPr>
          <w:p w14:paraId="4298D617" w14:textId="68B2E1B6" w:rsidR="00CB0FCB" w:rsidRDefault="009D2B11">
            <w:pPr>
              <w:pStyle w:val="P68B1DB1-Normal9"/>
              <w:spacing w:after="0" w:line="240" w:lineRule="auto"/>
              <w:rPr>
                <w:rFonts w:eastAsia="Times New Roman" w:cs="Calibri"/>
                <w:noProof/>
                <w:szCs w:val="18"/>
              </w:rPr>
            </w:pPr>
            <w:r>
              <w:rPr>
                <w:noProof/>
              </w:rPr>
              <w:t>stājas spēkā primāro un sekundāro tiesību aktu kodifikācija, lai vienkāršotu un atjauninātu tiesību aktus, ņemot vērā digitalizāciju un ES paraugpraksi, tostarp:</w:t>
            </w:r>
          </w:p>
          <w:p w14:paraId="7C5A1A00" w14:textId="77777777" w:rsidR="00CB0FCB" w:rsidRDefault="009D2B11">
            <w:pPr>
              <w:pStyle w:val="P68B1DB1-Normal9"/>
              <w:numPr>
                <w:ilvl w:val="0"/>
                <w:numId w:val="45"/>
              </w:numPr>
              <w:spacing w:before="120" w:after="0" w:line="259" w:lineRule="auto"/>
              <w:contextualSpacing/>
              <w:jc w:val="both"/>
              <w:rPr>
                <w:rFonts w:eastAsia="Times New Roman" w:cs="Calibri"/>
                <w:noProof/>
                <w:szCs w:val="18"/>
              </w:rPr>
            </w:pPr>
            <w:r>
              <w:rPr>
                <w:noProof/>
              </w:rPr>
              <w:t>PVN kods</w:t>
            </w:r>
          </w:p>
          <w:p w14:paraId="27A4768D" w14:textId="77777777" w:rsidR="00CB0FCB" w:rsidRDefault="009D2B11">
            <w:pPr>
              <w:pStyle w:val="P68B1DB1-Normal9"/>
              <w:numPr>
                <w:ilvl w:val="0"/>
                <w:numId w:val="45"/>
              </w:numPr>
              <w:spacing w:before="120" w:after="0" w:line="259" w:lineRule="auto"/>
              <w:contextualSpacing/>
              <w:jc w:val="both"/>
              <w:rPr>
                <w:rFonts w:eastAsia="Times New Roman" w:cs="Calibri"/>
                <w:noProof/>
                <w:szCs w:val="18"/>
              </w:rPr>
            </w:pPr>
            <w:r>
              <w:rPr>
                <w:noProof/>
              </w:rPr>
              <w:t>Zīmognodeva</w:t>
            </w:r>
          </w:p>
          <w:p w14:paraId="6B64BF22" w14:textId="77777777" w:rsidR="00CB0FCB" w:rsidRDefault="009D2B11">
            <w:pPr>
              <w:pStyle w:val="P68B1DB1-Normal9"/>
              <w:numPr>
                <w:ilvl w:val="0"/>
                <w:numId w:val="45"/>
              </w:numPr>
              <w:spacing w:before="120" w:after="0" w:line="259" w:lineRule="auto"/>
              <w:contextualSpacing/>
              <w:jc w:val="both"/>
              <w:rPr>
                <w:rFonts w:eastAsia="Times New Roman" w:cs="Calibri"/>
                <w:noProof/>
                <w:szCs w:val="18"/>
              </w:rPr>
            </w:pPr>
            <w:r>
              <w:rPr>
                <w:noProof/>
              </w:rPr>
              <w:t>Īpašuma nodokļi</w:t>
            </w:r>
          </w:p>
          <w:p w14:paraId="1305793C" w14:textId="77777777" w:rsidR="00CB0FCB" w:rsidRDefault="009D2B11">
            <w:pPr>
              <w:pStyle w:val="P68B1DB1-Normal9"/>
              <w:numPr>
                <w:ilvl w:val="0"/>
                <w:numId w:val="45"/>
              </w:numPr>
              <w:spacing w:before="120" w:after="0" w:line="259" w:lineRule="auto"/>
              <w:contextualSpacing/>
              <w:jc w:val="both"/>
              <w:rPr>
                <w:rFonts w:eastAsia="Times New Roman" w:cs="Calibri"/>
                <w:noProof/>
                <w:szCs w:val="18"/>
              </w:rPr>
            </w:pPr>
            <w:r>
              <w:rPr>
                <w:noProof/>
              </w:rPr>
              <w:t>Valsts parāda iekasēšana (KEDE)</w:t>
            </w:r>
          </w:p>
          <w:p w14:paraId="5408AC44" w14:textId="77777777" w:rsidR="00CB0FCB" w:rsidRDefault="009D2B11">
            <w:pPr>
              <w:pStyle w:val="P68B1DB1-Normal9"/>
              <w:numPr>
                <w:ilvl w:val="0"/>
                <w:numId w:val="45"/>
              </w:numPr>
              <w:spacing w:before="120" w:after="0" w:line="259" w:lineRule="auto"/>
              <w:contextualSpacing/>
              <w:jc w:val="both"/>
              <w:rPr>
                <w:rFonts w:eastAsia="Times New Roman" w:cs="Calibri"/>
                <w:noProof/>
                <w:szCs w:val="18"/>
              </w:rPr>
            </w:pPr>
            <w:r>
              <w:rPr>
                <w:noProof/>
              </w:rPr>
              <w:t>Valsts Muitas kodekss</w:t>
            </w:r>
          </w:p>
          <w:p w14:paraId="6BC592C1" w14:textId="77777777" w:rsidR="00CB0FCB" w:rsidRDefault="009D2B11">
            <w:pPr>
              <w:pStyle w:val="P68B1DB1-Normal9"/>
              <w:spacing w:after="0" w:line="240" w:lineRule="auto"/>
              <w:rPr>
                <w:rFonts w:eastAsia="Times New Roman" w:cs="Calibri"/>
                <w:noProof/>
                <w:szCs w:val="18"/>
              </w:rPr>
            </w:pPr>
            <w:r>
              <w:rPr>
                <w:noProof/>
              </w:rPr>
              <w:t>b. izveidot satura pārvaldības sistēmu un īpašu tīmekļa vietni nodokļu maksātāju informācijai.</w:t>
            </w:r>
          </w:p>
        </w:tc>
      </w:tr>
      <w:tr w:rsidR="00CB0FCB" w14:paraId="6480D29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90FEF08" w14:textId="14FB8F32" w:rsidR="00CB0FCB" w:rsidRDefault="009D2B11">
            <w:pPr>
              <w:pStyle w:val="P68B1DB1-Normal9"/>
              <w:spacing w:after="0" w:line="240" w:lineRule="auto"/>
              <w:rPr>
                <w:noProof/>
              </w:rPr>
            </w:pPr>
            <w:r>
              <w:rPr>
                <w:noProof/>
              </w:rPr>
              <w:t>204.a</w:t>
            </w:r>
          </w:p>
        </w:tc>
        <w:tc>
          <w:tcPr>
            <w:tcW w:w="1835" w:type="dxa"/>
            <w:tcBorders>
              <w:top w:val="single" w:sz="4" w:space="0" w:color="auto"/>
              <w:left w:val="nil"/>
              <w:bottom w:val="single" w:sz="4" w:space="0" w:color="auto"/>
              <w:right w:val="single" w:sz="4" w:space="0" w:color="auto"/>
            </w:tcBorders>
            <w:shd w:val="clear" w:color="auto" w:fill="C6EFCE"/>
            <w:noWrap/>
          </w:tcPr>
          <w:p w14:paraId="2351F7CD" w14:textId="48A93D7E" w:rsidR="00CB0FCB" w:rsidRDefault="009D2B11">
            <w:pPr>
              <w:pStyle w:val="P68B1DB1-Normal9"/>
              <w:spacing w:after="0" w:line="240" w:lineRule="auto"/>
              <w:rPr>
                <w:noProof/>
              </w:rPr>
            </w:pPr>
            <w:r>
              <w:rPr>
                <w:noProof/>
              </w:rPr>
              <w:t>12–4.1. PUNKTS. Padarīt nodokļus labvēlīgākus izaugsmei un uzlabot nodokļu administrēšanu un iekasēšanu — 16643_nodokļu tiesību aktu kodifikācija un vienkāršošana</w:t>
            </w:r>
          </w:p>
        </w:tc>
        <w:tc>
          <w:tcPr>
            <w:tcW w:w="966" w:type="dxa"/>
            <w:tcBorders>
              <w:top w:val="single" w:sz="4" w:space="0" w:color="auto"/>
              <w:left w:val="nil"/>
              <w:bottom w:val="single" w:sz="4" w:space="0" w:color="auto"/>
              <w:right w:val="single" w:sz="4" w:space="0" w:color="auto"/>
            </w:tcBorders>
            <w:shd w:val="clear" w:color="auto" w:fill="C6EFCE"/>
            <w:noWrap/>
          </w:tcPr>
          <w:p w14:paraId="1A9C2A8C" w14:textId="0FF7DADC" w:rsidR="00CB0FCB" w:rsidRDefault="009D2B11">
            <w:pPr>
              <w:pStyle w:val="P68B1DB1-Normal9"/>
              <w:spacing w:after="0" w:line="240" w:lineRule="auto"/>
              <w:rPr>
                <w:noProof/>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741903BD" w14:textId="5CD2833B" w:rsidR="00CB0FCB" w:rsidRDefault="009D2B11">
            <w:pPr>
              <w:pStyle w:val="P68B1DB1-Normal9"/>
              <w:spacing w:after="0" w:line="240" w:lineRule="auto"/>
              <w:rPr>
                <w:noProof/>
              </w:rPr>
            </w:pPr>
            <w:r>
              <w:rPr>
                <w:noProof/>
              </w:rPr>
              <w:t>Nodokļu maksātāju informācijas sistēmas pabeigšana</w:t>
            </w:r>
          </w:p>
        </w:tc>
        <w:tc>
          <w:tcPr>
            <w:tcW w:w="1984" w:type="dxa"/>
            <w:tcBorders>
              <w:top w:val="single" w:sz="4" w:space="0" w:color="auto"/>
              <w:left w:val="nil"/>
              <w:bottom w:val="single" w:sz="4" w:space="0" w:color="auto"/>
              <w:right w:val="single" w:sz="4" w:space="0" w:color="auto"/>
            </w:tcBorders>
            <w:shd w:val="clear" w:color="auto" w:fill="C6EFCE"/>
            <w:noWrap/>
          </w:tcPr>
          <w:p w14:paraId="7EB1636A" w14:textId="2A7CA7E5" w:rsidR="00CB0FCB" w:rsidRDefault="009D2B11">
            <w:pPr>
              <w:pStyle w:val="P68B1DB1-Normal9"/>
              <w:spacing w:after="0" w:line="240" w:lineRule="auto"/>
              <w:rPr>
                <w:noProof/>
              </w:rPr>
            </w:pPr>
            <w:r>
              <w:rPr>
                <w:noProof/>
              </w:rPr>
              <w:t>sekundāro tiesību aktu publicēšana un visaptveroša rokasgrāmata ar saitēm uz satura pārvaldības sistēmu un nodokļu maksātāju tīmekļa vietni īpašās tīmekļa vietnes izmantošanai no nodokļu maksātājiem.</w:t>
            </w:r>
          </w:p>
        </w:tc>
        <w:tc>
          <w:tcPr>
            <w:tcW w:w="866" w:type="dxa"/>
            <w:tcBorders>
              <w:top w:val="single" w:sz="4" w:space="0" w:color="auto"/>
              <w:left w:val="nil"/>
              <w:bottom w:val="single" w:sz="4" w:space="0" w:color="auto"/>
              <w:right w:val="single" w:sz="4" w:space="0" w:color="auto"/>
            </w:tcBorders>
            <w:shd w:val="clear" w:color="auto" w:fill="C6EFCE"/>
            <w:noWrap/>
          </w:tcPr>
          <w:p w14:paraId="763FE027"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B8721BF"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5A264D50"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0A70E75C" w14:textId="756BA1FE" w:rsidR="00CB0FCB" w:rsidRDefault="009D2B11">
            <w:pPr>
              <w:pStyle w:val="P68B1DB1-Normal9"/>
              <w:spacing w:after="0" w:line="240" w:lineRule="auto"/>
              <w:rPr>
                <w:noProof/>
              </w:rPr>
            </w:pPr>
            <w:r>
              <w:rPr>
                <w:noProof/>
              </w:rPr>
              <w:t>4. CET.</w:t>
            </w:r>
          </w:p>
        </w:tc>
        <w:tc>
          <w:tcPr>
            <w:tcW w:w="708" w:type="dxa"/>
            <w:tcBorders>
              <w:top w:val="single" w:sz="4" w:space="0" w:color="auto"/>
              <w:left w:val="nil"/>
              <w:bottom w:val="single" w:sz="4" w:space="0" w:color="auto"/>
              <w:right w:val="single" w:sz="4" w:space="0" w:color="auto"/>
            </w:tcBorders>
            <w:shd w:val="clear" w:color="auto" w:fill="C6EFCE"/>
            <w:noWrap/>
          </w:tcPr>
          <w:p w14:paraId="28685A1D" w14:textId="696C0A38" w:rsidR="00CB0FCB" w:rsidRDefault="009D2B11">
            <w:pPr>
              <w:pStyle w:val="P68B1DB1-Normal9"/>
              <w:spacing w:after="0" w:line="240" w:lineRule="auto"/>
              <w:rPr>
                <w:noProof/>
              </w:rPr>
            </w:pPr>
            <w:r>
              <w:rPr>
                <w:noProof/>
              </w:rPr>
              <w:t>2025</w:t>
            </w:r>
          </w:p>
        </w:tc>
        <w:tc>
          <w:tcPr>
            <w:tcW w:w="4830" w:type="dxa"/>
            <w:tcBorders>
              <w:top w:val="single" w:sz="4" w:space="0" w:color="auto"/>
              <w:left w:val="nil"/>
              <w:bottom w:val="single" w:sz="4" w:space="0" w:color="auto"/>
              <w:right w:val="single" w:sz="4" w:space="0" w:color="auto"/>
            </w:tcBorders>
            <w:shd w:val="clear" w:color="auto" w:fill="C6EFCE"/>
            <w:noWrap/>
          </w:tcPr>
          <w:p w14:paraId="4655CC06" w14:textId="328281D7" w:rsidR="00CB0FCB" w:rsidRDefault="009D2B11">
            <w:pPr>
              <w:pStyle w:val="P68B1DB1-Normal9"/>
              <w:spacing w:after="0" w:line="240" w:lineRule="auto"/>
              <w:rPr>
                <w:noProof/>
                <w:szCs w:val="18"/>
              </w:rPr>
            </w:pPr>
            <w:r>
              <w:rPr>
                <w:noProof/>
              </w:rPr>
              <w:t>Primāro un sekundāro nodokļu tiesību aktu augšupielāde Nodokļu procedūras kodeksam, Ienākuma nodokļa kodeksam, PVN kodeksam, zīmognodevai, īpašuma nodokļiem, valsts parāda iekasēšanai (KEDE) un Valsts muitas kodeksam satura pārvaldības sistēmā un tā publicēšana nodokļu maksātāju informācijai paredzētajā tīmekļa vietnē. Izveido visaptverošu rokasgrāmatu ar saitēm uz satura pārvaldības sistēmu un nodokļu maksātāju tīmekļa vietni, lai nodokļu maksātāji varētu izmantot īpašo tīmekļa vietni.</w:t>
            </w:r>
          </w:p>
        </w:tc>
      </w:tr>
      <w:tr w:rsidR="00CB0FCB" w14:paraId="7DF38A18"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7CA3B44" w14:textId="77777777" w:rsidR="00CB0FCB" w:rsidRDefault="009D2B11">
            <w:pPr>
              <w:pStyle w:val="P68B1DB1-Normal9"/>
              <w:spacing w:after="0" w:line="240" w:lineRule="auto"/>
              <w:rPr>
                <w:rFonts w:eastAsia="Times New Roman" w:cs="Calibri"/>
                <w:noProof/>
                <w:szCs w:val="18"/>
              </w:rPr>
            </w:pPr>
            <w:r>
              <w:rPr>
                <w:noProof/>
              </w:rPr>
              <w:t>337</w:t>
            </w:r>
          </w:p>
        </w:tc>
        <w:tc>
          <w:tcPr>
            <w:tcW w:w="1835" w:type="dxa"/>
            <w:tcBorders>
              <w:top w:val="single" w:sz="4" w:space="0" w:color="auto"/>
              <w:left w:val="nil"/>
              <w:bottom w:val="single" w:sz="4" w:space="0" w:color="auto"/>
              <w:right w:val="single" w:sz="4" w:space="0" w:color="auto"/>
            </w:tcBorders>
            <w:shd w:val="clear" w:color="auto" w:fill="C6EFCE"/>
            <w:noWrap/>
          </w:tcPr>
          <w:p w14:paraId="4450653D"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16985_Grozījumi Grieķijas nodokļu politikas satvarā</w:t>
            </w:r>
          </w:p>
        </w:tc>
        <w:tc>
          <w:tcPr>
            <w:tcW w:w="966" w:type="dxa"/>
            <w:tcBorders>
              <w:top w:val="single" w:sz="4" w:space="0" w:color="auto"/>
              <w:left w:val="nil"/>
              <w:bottom w:val="single" w:sz="4" w:space="0" w:color="auto"/>
              <w:right w:val="single" w:sz="4" w:space="0" w:color="auto"/>
            </w:tcBorders>
            <w:shd w:val="clear" w:color="auto" w:fill="C6EFCE"/>
            <w:noWrap/>
          </w:tcPr>
          <w:p w14:paraId="5B489E3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0BEA81A5" w14:textId="77777777" w:rsidR="00CB0FCB" w:rsidRDefault="009D2B11">
            <w:pPr>
              <w:pStyle w:val="P68B1DB1-Normal9"/>
              <w:spacing w:after="0" w:line="240" w:lineRule="auto"/>
              <w:rPr>
                <w:rFonts w:eastAsia="Times New Roman" w:cs="Calibri"/>
                <w:noProof/>
                <w:szCs w:val="18"/>
              </w:rPr>
            </w:pPr>
            <w:r>
              <w:rPr>
                <w:noProof/>
              </w:rPr>
              <w:t>Apkarot izvairīšanos no nodokļu maksāšanas un veicināt elektroniskos maksājumus.</w:t>
            </w:r>
          </w:p>
        </w:tc>
        <w:tc>
          <w:tcPr>
            <w:tcW w:w="1984" w:type="dxa"/>
            <w:tcBorders>
              <w:top w:val="single" w:sz="4" w:space="0" w:color="auto"/>
              <w:left w:val="nil"/>
              <w:bottom w:val="single" w:sz="4" w:space="0" w:color="auto"/>
              <w:right w:val="single" w:sz="4" w:space="0" w:color="auto"/>
            </w:tcBorders>
            <w:shd w:val="clear" w:color="auto" w:fill="C6EFCE"/>
            <w:noWrap/>
          </w:tcPr>
          <w:p w14:paraId="3E7C4C5E" w14:textId="77777777" w:rsidR="00CB0FCB" w:rsidRDefault="009D2B11">
            <w:pPr>
              <w:pStyle w:val="P68B1DB1-Normal9"/>
              <w:spacing w:after="0" w:line="240" w:lineRule="auto"/>
              <w:rPr>
                <w:rFonts w:eastAsia="Times New Roman" w:cs="Calibri"/>
                <w:noProof/>
                <w:szCs w:val="18"/>
              </w:rPr>
            </w:pPr>
            <w:r>
              <w:rPr>
                <w:noProof/>
              </w:rPr>
              <w:t xml:space="preserve">Pārskatīts tiesiskais regulējums, kas pieņemts, lai veicinātu elektroniskos maksājumus, stiprinātu un noteiktu jaunas miDATA ziņošanas prasības un ļautu izmantot miDATA PVN vajadzībām. </w:t>
            </w:r>
          </w:p>
          <w:p w14:paraId="418A792E" w14:textId="77777777" w:rsidR="00CB0FCB" w:rsidRDefault="009D2B11">
            <w:pPr>
              <w:pStyle w:val="P68B1DB1-Normal9"/>
              <w:spacing w:after="0" w:line="240" w:lineRule="auto"/>
              <w:rPr>
                <w:rFonts w:eastAsia="Times New Roman" w:cs="Calibri"/>
                <w:noProof/>
                <w:szCs w:val="18"/>
              </w:rPr>
            </w:pPr>
            <w:r>
              <w:rPr>
                <w:noProof/>
              </w:rPr>
              <w:t>Ziņojuma par pašnodarbināto nodokļu reformas iespējām kopija.</w:t>
            </w:r>
          </w:p>
        </w:tc>
        <w:tc>
          <w:tcPr>
            <w:tcW w:w="866" w:type="dxa"/>
            <w:tcBorders>
              <w:top w:val="single" w:sz="4" w:space="0" w:color="auto"/>
              <w:left w:val="nil"/>
              <w:bottom w:val="single" w:sz="4" w:space="0" w:color="auto"/>
              <w:right w:val="single" w:sz="4" w:space="0" w:color="auto"/>
            </w:tcBorders>
            <w:shd w:val="clear" w:color="auto" w:fill="C6EFCE"/>
            <w:noWrap/>
          </w:tcPr>
          <w:p w14:paraId="7857BB0A"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8AF6CF6"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5CF3FCCC"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1735F960" w14:textId="77777777" w:rsidR="00CB0FCB" w:rsidRDefault="009D2B11">
            <w:pPr>
              <w:pStyle w:val="P68B1DB1-Normal9"/>
              <w:spacing w:after="0" w:line="240" w:lineRule="auto"/>
              <w:rPr>
                <w:rFonts w:eastAsia="Times New Roman" w:cs="Calibri"/>
                <w:noProof/>
                <w:szCs w:val="18"/>
              </w:rPr>
            </w:pPr>
            <w:r>
              <w:rPr>
                <w:noProof/>
              </w:rPr>
              <w:t>4. CET.</w:t>
            </w:r>
          </w:p>
        </w:tc>
        <w:tc>
          <w:tcPr>
            <w:tcW w:w="708" w:type="dxa"/>
            <w:tcBorders>
              <w:top w:val="single" w:sz="4" w:space="0" w:color="auto"/>
              <w:left w:val="nil"/>
              <w:bottom w:val="single" w:sz="4" w:space="0" w:color="auto"/>
              <w:right w:val="single" w:sz="4" w:space="0" w:color="auto"/>
            </w:tcBorders>
            <w:shd w:val="clear" w:color="auto" w:fill="C6EFCE"/>
            <w:noWrap/>
          </w:tcPr>
          <w:p w14:paraId="0CAC947F" w14:textId="77777777" w:rsidR="00CB0FCB" w:rsidRDefault="009D2B11">
            <w:pPr>
              <w:pStyle w:val="P68B1DB1-Normal9"/>
              <w:spacing w:after="0" w:line="240" w:lineRule="auto"/>
              <w:rPr>
                <w:rFonts w:eastAsia="Times New Roman" w:cs="Calibri"/>
                <w:noProof/>
                <w:szCs w:val="18"/>
              </w:rPr>
            </w:pPr>
            <w:r>
              <w:rPr>
                <w:noProof/>
              </w:rPr>
              <w:t>2023</w:t>
            </w:r>
          </w:p>
        </w:tc>
        <w:tc>
          <w:tcPr>
            <w:tcW w:w="4830" w:type="dxa"/>
            <w:tcBorders>
              <w:top w:val="single" w:sz="4" w:space="0" w:color="auto"/>
              <w:left w:val="nil"/>
              <w:bottom w:val="single" w:sz="4" w:space="0" w:color="auto"/>
              <w:right w:val="single" w:sz="4" w:space="0" w:color="auto"/>
            </w:tcBorders>
            <w:shd w:val="clear" w:color="auto" w:fill="C6EFCE"/>
            <w:noWrap/>
          </w:tcPr>
          <w:p w14:paraId="53C97D97" w14:textId="51341A7C" w:rsidR="00CB0FCB" w:rsidRDefault="009D2B11">
            <w:pPr>
              <w:pStyle w:val="P68B1DB1-Normal10"/>
              <w:spacing w:after="0" w:line="240" w:lineRule="auto"/>
              <w:rPr>
                <w:rFonts w:eastAsia="Times New Roman" w:cs="Calibri"/>
                <w:noProof/>
              </w:rPr>
            </w:pPr>
            <w:r>
              <w:rPr>
                <w:noProof/>
              </w:rPr>
              <w:t xml:space="preserve">Primāro un sekundāro tiesību aktu stāšanās spēkā </w:t>
            </w:r>
          </w:p>
          <w:p w14:paraId="73E3DF32" w14:textId="77777777" w:rsidR="00CB0FCB" w:rsidRDefault="009D2B11">
            <w:pPr>
              <w:pStyle w:val="P68B1DB1-Normal9"/>
              <w:spacing w:after="0" w:line="240" w:lineRule="auto"/>
              <w:rPr>
                <w:noProof/>
              </w:rPr>
            </w:pPr>
            <w:r>
              <w:rPr>
                <w:noProof/>
              </w:rPr>
              <w:t xml:space="preserve">I) plaši paplašināt tiešo elektronisko maksājumu obligāto pieņemšanu mazumtirdzniecības tirgū; </w:t>
            </w:r>
          </w:p>
          <w:p w14:paraId="07F67D19" w14:textId="4FAA63B2" w:rsidR="00CB0FCB" w:rsidRDefault="009D2B11">
            <w:pPr>
              <w:pStyle w:val="P68B1DB1-Normal10"/>
              <w:spacing w:after="0" w:line="240" w:lineRule="auto"/>
              <w:rPr>
                <w:noProof/>
              </w:rPr>
            </w:pPr>
            <w:r>
              <w:rPr>
                <w:noProof/>
              </w:rPr>
              <w:t xml:space="preserve">II) saskaņot informācijas apmaiņas prasības maksājumu pakalpojumu sniedzējiem ar Grieķijas Bankas definīcijām; </w:t>
            </w:r>
          </w:p>
          <w:p w14:paraId="1629EC58" w14:textId="77777777" w:rsidR="00CB0FCB" w:rsidRDefault="009D2B11">
            <w:pPr>
              <w:pStyle w:val="P68B1DB1-Normal9"/>
              <w:spacing w:after="0" w:line="240" w:lineRule="auto"/>
              <w:rPr>
                <w:noProof/>
              </w:rPr>
            </w:pPr>
            <w:r>
              <w:rPr>
                <w:noProof/>
              </w:rPr>
              <w:t>III) noteikt jaunus miDATA ziņošanas pienākumus uzņēmumiem (tostarp pašnodarbinātām personām), kas jāpiemēro PVN deklarācijām; un</w:t>
            </w:r>
          </w:p>
          <w:p w14:paraId="615CB1A6" w14:textId="77777777" w:rsidR="00CB0FCB" w:rsidRDefault="009D2B11">
            <w:pPr>
              <w:pStyle w:val="P68B1DB1-Normal9"/>
              <w:spacing w:after="0" w:line="240" w:lineRule="auto"/>
              <w:rPr>
                <w:noProof/>
              </w:rPr>
            </w:pPr>
            <w:r>
              <w:rPr>
                <w:noProof/>
              </w:rPr>
              <w:t>IV) Ziņojuma par pašnodarbināto nodokļu reformas iespējām pabeigšana.</w:t>
            </w:r>
          </w:p>
          <w:p w14:paraId="3C182AA9" w14:textId="77777777" w:rsidR="00CB0FCB" w:rsidRDefault="00CB0FCB">
            <w:pPr>
              <w:spacing w:after="0" w:line="240" w:lineRule="auto"/>
              <w:rPr>
                <w:rFonts w:eastAsia="Times New Roman" w:cs="Calibri"/>
                <w:noProof/>
                <w:color w:val="006100"/>
                <w:sz w:val="18"/>
                <w:szCs w:val="18"/>
              </w:rPr>
            </w:pPr>
          </w:p>
          <w:p w14:paraId="06296AD1" w14:textId="77777777" w:rsidR="00CB0FCB" w:rsidRDefault="00CB0FCB">
            <w:pPr>
              <w:spacing w:after="0" w:line="240" w:lineRule="auto"/>
              <w:rPr>
                <w:rFonts w:eastAsia="Times New Roman" w:cs="Calibri"/>
                <w:noProof/>
                <w:color w:val="006100"/>
                <w:sz w:val="18"/>
                <w:szCs w:val="18"/>
              </w:rPr>
            </w:pPr>
          </w:p>
        </w:tc>
      </w:tr>
      <w:tr w:rsidR="00CB0FCB" w14:paraId="4415C7F1"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305C770" w14:textId="77777777" w:rsidR="00CB0FCB" w:rsidRDefault="009D2B11">
            <w:pPr>
              <w:pStyle w:val="P68B1DB1-Normal9"/>
              <w:spacing w:after="0" w:line="240" w:lineRule="auto"/>
              <w:rPr>
                <w:rFonts w:eastAsia="Times New Roman" w:cs="Calibri"/>
                <w:noProof/>
                <w:szCs w:val="18"/>
              </w:rPr>
            </w:pPr>
            <w:r>
              <w:rPr>
                <w:noProof/>
              </w:rPr>
              <w:t>338</w:t>
            </w:r>
          </w:p>
        </w:tc>
        <w:tc>
          <w:tcPr>
            <w:tcW w:w="1835" w:type="dxa"/>
            <w:tcBorders>
              <w:top w:val="single" w:sz="4" w:space="0" w:color="auto"/>
              <w:left w:val="nil"/>
              <w:bottom w:val="single" w:sz="4" w:space="0" w:color="auto"/>
              <w:right w:val="single" w:sz="4" w:space="0" w:color="auto"/>
            </w:tcBorders>
            <w:shd w:val="clear" w:color="auto" w:fill="C6EFCE"/>
            <w:noWrap/>
          </w:tcPr>
          <w:p w14:paraId="0FC0CBF6"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16985_Grozījumi Grieķijas nodokļu politikas satvarā</w:t>
            </w:r>
          </w:p>
        </w:tc>
        <w:tc>
          <w:tcPr>
            <w:tcW w:w="966" w:type="dxa"/>
            <w:tcBorders>
              <w:top w:val="single" w:sz="4" w:space="0" w:color="auto"/>
              <w:left w:val="nil"/>
              <w:bottom w:val="single" w:sz="4" w:space="0" w:color="auto"/>
              <w:right w:val="single" w:sz="4" w:space="0" w:color="auto"/>
            </w:tcBorders>
            <w:shd w:val="clear" w:color="auto" w:fill="C6EFCE"/>
            <w:noWrap/>
          </w:tcPr>
          <w:p w14:paraId="725D5FA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032B7EDC" w14:textId="77777777" w:rsidR="00CB0FCB" w:rsidRDefault="009D2B11">
            <w:pPr>
              <w:pStyle w:val="P68B1DB1-Normal9"/>
              <w:spacing w:after="0" w:line="240" w:lineRule="auto"/>
              <w:rPr>
                <w:rFonts w:eastAsia="Times New Roman" w:cs="Calibri"/>
                <w:noProof/>
                <w:szCs w:val="18"/>
              </w:rPr>
            </w:pPr>
            <w:r>
              <w:rPr>
                <w:noProof/>
              </w:rPr>
              <w:t>Reformēt pašnodarbinātu personu aplikšanu ar nodokļiem un zīmognodevu.</w:t>
            </w:r>
          </w:p>
        </w:tc>
        <w:tc>
          <w:tcPr>
            <w:tcW w:w="1984" w:type="dxa"/>
            <w:tcBorders>
              <w:top w:val="single" w:sz="4" w:space="0" w:color="auto"/>
              <w:left w:val="nil"/>
              <w:bottom w:val="single" w:sz="4" w:space="0" w:color="auto"/>
              <w:right w:val="single" w:sz="4" w:space="0" w:color="auto"/>
            </w:tcBorders>
            <w:shd w:val="clear" w:color="auto" w:fill="C6EFCE"/>
            <w:noWrap/>
          </w:tcPr>
          <w:p w14:paraId="36AE74B2" w14:textId="77777777" w:rsidR="00CB0FCB" w:rsidRDefault="009D2B11">
            <w:pPr>
              <w:pStyle w:val="P68B1DB1-Normal9"/>
              <w:spacing w:after="0" w:line="240" w:lineRule="auto"/>
              <w:rPr>
                <w:rFonts w:eastAsia="Times New Roman" w:cs="Calibri"/>
                <w:noProof/>
                <w:szCs w:val="18"/>
              </w:rPr>
            </w:pPr>
            <w:r>
              <w:rPr>
                <w:noProof/>
              </w:rPr>
              <w:t>Pārskatīts tiesiskais regulējums par nodokļiem pašnodarbinātām personām un zīmognodevas aizstāšana ar digitālo nodokli.</w:t>
            </w:r>
          </w:p>
        </w:tc>
        <w:tc>
          <w:tcPr>
            <w:tcW w:w="866" w:type="dxa"/>
            <w:tcBorders>
              <w:top w:val="single" w:sz="4" w:space="0" w:color="auto"/>
              <w:left w:val="nil"/>
              <w:bottom w:val="single" w:sz="4" w:space="0" w:color="auto"/>
              <w:right w:val="single" w:sz="4" w:space="0" w:color="auto"/>
            </w:tcBorders>
            <w:shd w:val="clear" w:color="auto" w:fill="C6EFCE"/>
            <w:noWrap/>
          </w:tcPr>
          <w:p w14:paraId="5DBFA209"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BB82E28"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03CF63D1"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4634EDA4" w14:textId="77777777" w:rsidR="00CB0FCB" w:rsidRDefault="009D2B11">
            <w:pPr>
              <w:pStyle w:val="P68B1DB1-Normal9"/>
              <w:spacing w:after="0" w:line="240" w:lineRule="auto"/>
              <w:rPr>
                <w:rFonts w:eastAsia="Times New Roman" w:cs="Calibri"/>
                <w:noProof/>
                <w:szCs w:val="18"/>
              </w:rPr>
            </w:pPr>
            <w:r>
              <w:rPr>
                <w:noProof/>
              </w:rPr>
              <w:t>2. CET.</w:t>
            </w:r>
          </w:p>
        </w:tc>
        <w:tc>
          <w:tcPr>
            <w:tcW w:w="708" w:type="dxa"/>
            <w:tcBorders>
              <w:top w:val="single" w:sz="4" w:space="0" w:color="auto"/>
              <w:left w:val="nil"/>
              <w:bottom w:val="single" w:sz="4" w:space="0" w:color="auto"/>
              <w:right w:val="single" w:sz="4" w:space="0" w:color="auto"/>
            </w:tcBorders>
            <w:shd w:val="clear" w:color="auto" w:fill="C6EFCE"/>
            <w:noWrap/>
          </w:tcPr>
          <w:p w14:paraId="778D8690" w14:textId="77777777" w:rsidR="00CB0FCB" w:rsidRDefault="009D2B11">
            <w:pPr>
              <w:pStyle w:val="P68B1DB1-Normal9"/>
              <w:spacing w:after="0" w:line="240" w:lineRule="auto"/>
              <w:rPr>
                <w:rFonts w:eastAsia="Times New Roman" w:cs="Calibri"/>
                <w:noProof/>
                <w:szCs w:val="18"/>
              </w:rPr>
            </w:pPr>
            <w:r>
              <w:rPr>
                <w:noProof/>
              </w:rPr>
              <w:t>2024</w:t>
            </w:r>
          </w:p>
        </w:tc>
        <w:tc>
          <w:tcPr>
            <w:tcW w:w="4830" w:type="dxa"/>
            <w:tcBorders>
              <w:top w:val="single" w:sz="4" w:space="0" w:color="auto"/>
              <w:left w:val="nil"/>
              <w:bottom w:val="single" w:sz="4" w:space="0" w:color="auto"/>
              <w:right w:val="single" w:sz="4" w:space="0" w:color="auto"/>
            </w:tcBorders>
            <w:shd w:val="clear" w:color="auto" w:fill="C6EFCE"/>
            <w:noWrap/>
          </w:tcPr>
          <w:p w14:paraId="0B70484A" w14:textId="77777777" w:rsidR="00CB0FCB" w:rsidRDefault="009D2B11">
            <w:pPr>
              <w:pStyle w:val="P68B1DB1-Normal9"/>
              <w:spacing w:after="0" w:line="240" w:lineRule="auto"/>
              <w:rPr>
                <w:rFonts w:eastAsia="Times New Roman" w:cs="Calibri"/>
                <w:noProof/>
                <w:szCs w:val="18"/>
              </w:rPr>
            </w:pPr>
            <w:r>
              <w:rPr>
                <w:noProof/>
              </w:rPr>
              <w:t>Stājas spēkā primārie un sekundārie tiesību akti, ar kuriem reformē pašnodarbinātu personu aplikšanu ar nodokļiem un ļauj pakāpeniski samazināt pašnodarbinātu personu pieskaitāmo nodokli (τθλος επιτηδεύματος). Tas ietver jaunu obligātu ziņošanas prasību noteikšanu par to, kā izdevumi un ieņēmumi tiek deklarēti, izmantojot miDATA.</w:t>
            </w:r>
          </w:p>
          <w:p w14:paraId="6D91E9AA" w14:textId="77777777" w:rsidR="00CB0FCB" w:rsidRDefault="00CB0FCB">
            <w:pPr>
              <w:spacing w:after="0" w:line="240" w:lineRule="auto"/>
              <w:rPr>
                <w:rFonts w:eastAsia="Times New Roman" w:cs="Calibri"/>
                <w:noProof/>
                <w:color w:val="006100"/>
                <w:sz w:val="18"/>
                <w:szCs w:val="18"/>
              </w:rPr>
            </w:pPr>
          </w:p>
          <w:p w14:paraId="11BE1419" w14:textId="77777777" w:rsidR="00CB0FCB" w:rsidRDefault="009D2B11">
            <w:pPr>
              <w:pStyle w:val="P68B1DB1-Normal9"/>
              <w:spacing w:after="0" w:line="240" w:lineRule="auto"/>
              <w:rPr>
                <w:rFonts w:eastAsia="Times New Roman" w:cs="Calibri"/>
                <w:noProof/>
                <w:szCs w:val="18"/>
              </w:rPr>
            </w:pPr>
            <w:r>
              <w:rPr>
                <w:noProof/>
              </w:rPr>
              <w:t>Stājas spēkā primārie un sekundārie tiesību akti, ar kuriem pašreizējo zīmognodevu aizstāj ar jaunu digitālo nodokli.</w:t>
            </w:r>
          </w:p>
        </w:tc>
      </w:tr>
      <w:tr w:rsidR="00CB0FCB" w14:paraId="39897E1F"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2A43F9F" w14:textId="2287EAB6" w:rsidR="00CB0FCB" w:rsidRDefault="009D2B11">
            <w:pPr>
              <w:pStyle w:val="P68B1DB1-Normal10"/>
              <w:spacing w:after="0" w:line="240" w:lineRule="auto"/>
              <w:rPr>
                <w:rFonts w:eastAsia="Times New Roman" w:cs="Calibri"/>
                <w:noProof/>
              </w:rPr>
            </w:pPr>
            <w:r>
              <w:rPr>
                <w:noProof/>
              </w:rPr>
              <w:t>339</w:t>
            </w:r>
          </w:p>
        </w:tc>
        <w:tc>
          <w:tcPr>
            <w:tcW w:w="1835" w:type="dxa"/>
            <w:tcBorders>
              <w:top w:val="single" w:sz="4" w:space="0" w:color="auto"/>
              <w:left w:val="nil"/>
              <w:bottom w:val="single" w:sz="4" w:space="0" w:color="auto"/>
              <w:right w:val="single" w:sz="4" w:space="0" w:color="auto"/>
            </w:tcBorders>
            <w:shd w:val="clear" w:color="auto" w:fill="C6EFCE"/>
            <w:noWrap/>
          </w:tcPr>
          <w:p w14:paraId="42296CC9"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16985_Grozījumi Grieķijas nodokļu politikas satvarā</w:t>
            </w:r>
          </w:p>
        </w:tc>
        <w:tc>
          <w:tcPr>
            <w:tcW w:w="966" w:type="dxa"/>
            <w:tcBorders>
              <w:top w:val="single" w:sz="4" w:space="0" w:color="auto"/>
              <w:left w:val="nil"/>
              <w:bottom w:val="single" w:sz="4" w:space="0" w:color="auto"/>
              <w:right w:val="single" w:sz="4" w:space="0" w:color="auto"/>
            </w:tcBorders>
            <w:shd w:val="clear" w:color="auto" w:fill="C6EFCE"/>
            <w:noWrap/>
          </w:tcPr>
          <w:p w14:paraId="4A3F336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75A5100C" w14:textId="77777777" w:rsidR="00CB0FCB" w:rsidRDefault="009D2B11">
            <w:pPr>
              <w:pStyle w:val="P68B1DB1-Normal9"/>
              <w:spacing w:after="0" w:line="240" w:lineRule="auto"/>
              <w:rPr>
                <w:rFonts w:eastAsia="Times New Roman" w:cs="Calibri"/>
                <w:noProof/>
                <w:szCs w:val="18"/>
              </w:rPr>
            </w:pPr>
            <w:r>
              <w:rPr>
                <w:noProof/>
              </w:rPr>
              <w:t>Stiprināt Neatkarīgās valsts ieņēmumu iestādes (IAPR) darbības autonomiju</w:t>
            </w:r>
          </w:p>
        </w:tc>
        <w:tc>
          <w:tcPr>
            <w:tcW w:w="1984" w:type="dxa"/>
            <w:tcBorders>
              <w:top w:val="single" w:sz="4" w:space="0" w:color="auto"/>
              <w:left w:val="nil"/>
              <w:bottom w:val="single" w:sz="4" w:space="0" w:color="auto"/>
              <w:right w:val="single" w:sz="4" w:space="0" w:color="auto"/>
            </w:tcBorders>
            <w:shd w:val="clear" w:color="auto" w:fill="C6EFCE"/>
            <w:noWrap/>
          </w:tcPr>
          <w:p w14:paraId="58659DAF" w14:textId="77777777" w:rsidR="00CB0FCB" w:rsidRDefault="009D2B11">
            <w:pPr>
              <w:pStyle w:val="P68B1DB1-Normal9"/>
              <w:spacing w:after="0" w:line="240" w:lineRule="auto"/>
              <w:rPr>
                <w:rFonts w:eastAsia="Times New Roman" w:cs="Calibri"/>
                <w:noProof/>
                <w:szCs w:val="18"/>
              </w:rPr>
            </w:pPr>
            <w:r>
              <w:rPr>
                <w:noProof/>
              </w:rPr>
              <w:t>Pārskatīts tiesiskais regulējums, lai precizētu IAPR un Digitālās pārvaldības ministrijas kompetenci.</w:t>
            </w:r>
          </w:p>
          <w:p w14:paraId="4D5F3032" w14:textId="77777777" w:rsidR="00CB0FCB" w:rsidRDefault="00CB0FCB">
            <w:pPr>
              <w:spacing w:after="0" w:line="240" w:lineRule="auto"/>
              <w:rPr>
                <w:rFonts w:eastAsia="Times New Roman" w:cs="Calibri"/>
                <w:noProof/>
                <w:color w:val="006100"/>
                <w:sz w:val="18"/>
                <w:szCs w:val="18"/>
              </w:rPr>
            </w:pPr>
          </w:p>
          <w:p w14:paraId="57C8BE09" w14:textId="77777777" w:rsidR="00CB0FCB" w:rsidRDefault="009D2B11">
            <w:pPr>
              <w:pStyle w:val="P68B1DB1-Normal9"/>
              <w:spacing w:after="0" w:line="240" w:lineRule="auto"/>
              <w:rPr>
                <w:rFonts w:eastAsia="Times New Roman" w:cs="Calibri"/>
                <w:noProof/>
                <w:szCs w:val="18"/>
              </w:rPr>
            </w:pPr>
            <w:r>
              <w:rPr>
                <w:noProof/>
              </w:rPr>
              <w:t>IAPR lēmums, ar ko nosaka jaunus galvenos IAPR snieguma rādītājus.</w:t>
            </w:r>
          </w:p>
          <w:p w14:paraId="4B2F513C" w14:textId="77777777" w:rsidR="00CB0FCB" w:rsidRDefault="00CB0FCB">
            <w:pPr>
              <w:spacing w:after="0" w:line="240" w:lineRule="auto"/>
              <w:rPr>
                <w:rFonts w:eastAsia="Times New Roman" w:cs="Calibri"/>
                <w:noProof/>
                <w:color w:val="006100"/>
                <w:sz w:val="18"/>
                <w:szCs w:val="18"/>
              </w:rPr>
            </w:pPr>
          </w:p>
          <w:p w14:paraId="714C4F33" w14:textId="11A0ACA9" w:rsidR="00CB0FCB" w:rsidRDefault="009D2B11">
            <w:pPr>
              <w:pStyle w:val="P68B1DB1-Normal10"/>
              <w:spacing w:after="0" w:line="240" w:lineRule="auto"/>
              <w:rPr>
                <w:noProof/>
              </w:rPr>
            </w:pPr>
            <w:r>
              <w:rPr>
                <w:noProof/>
              </w:rPr>
              <w:t xml:space="preserve">Pakalpojumu līmeņa vienošanās parakstīšana, tostarp pienākums sagatavot gada īstenošanas ziņojumu, sākot no nākamā gada. </w:t>
            </w:r>
          </w:p>
        </w:tc>
        <w:tc>
          <w:tcPr>
            <w:tcW w:w="866" w:type="dxa"/>
            <w:tcBorders>
              <w:top w:val="single" w:sz="4" w:space="0" w:color="auto"/>
              <w:left w:val="nil"/>
              <w:bottom w:val="single" w:sz="4" w:space="0" w:color="auto"/>
              <w:right w:val="single" w:sz="4" w:space="0" w:color="auto"/>
            </w:tcBorders>
            <w:shd w:val="clear" w:color="auto" w:fill="C6EFCE"/>
            <w:noWrap/>
          </w:tcPr>
          <w:p w14:paraId="178740A8"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AC81A83"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29ADF73F"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11F2F5B2" w14:textId="77777777" w:rsidR="00CB0FCB" w:rsidRDefault="009D2B11">
            <w:pPr>
              <w:pStyle w:val="P68B1DB1-Normal9"/>
              <w:spacing w:after="0" w:line="240" w:lineRule="auto"/>
              <w:rPr>
                <w:rFonts w:eastAsia="Times New Roman" w:cs="Calibri"/>
                <w:noProof/>
                <w:szCs w:val="18"/>
              </w:rPr>
            </w:pPr>
            <w:r>
              <w:rPr>
                <w:noProof/>
              </w:rPr>
              <w:t>2. CET.</w:t>
            </w:r>
          </w:p>
        </w:tc>
        <w:tc>
          <w:tcPr>
            <w:tcW w:w="708" w:type="dxa"/>
            <w:tcBorders>
              <w:top w:val="single" w:sz="4" w:space="0" w:color="auto"/>
              <w:left w:val="nil"/>
              <w:bottom w:val="single" w:sz="4" w:space="0" w:color="auto"/>
              <w:right w:val="single" w:sz="4" w:space="0" w:color="auto"/>
            </w:tcBorders>
            <w:shd w:val="clear" w:color="auto" w:fill="C6EFCE"/>
            <w:noWrap/>
          </w:tcPr>
          <w:p w14:paraId="30C85DEB" w14:textId="77777777" w:rsidR="00CB0FCB" w:rsidRDefault="009D2B11">
            <w:pPr>
              <w:pStyle w:val="P68B1DB1-Normal9"/>
              <w:spacing w:after="0" w:line="240" w:lineRule="auto"/>
              <w:rPr>
                <w:rFonts w:eastAsia="Times New Roman" w:cs="Calibri"/>
                <w:noProof/>
                <w:szCs w:val="18"/>
              </w:rPr>
            </w:pPr>
            <w:r>
              <w:rPr>
                <w:noProof/>
              </w:rPr>
              <w:t>2024</w:t>
            </w:r>
          </w:p>
        </w:tc>
        <w:tc>
          <w:tcPr>
            <w:tcW w:w="4830" w:type="dxa"/>
            <w:tcBorders>
              <w:top w:val="single" w:sz="4" w:space="0" w:color="auto"/>
              <w:left w:val="nil"/>
              <w:bottom w:val="single" w:sz="4" w:space="0" w:color="auto"/>
              <w:right w:val="single" w:sz="4" w:space="0" w:color="auto"/>
            </w:tcBorders>
            <w:shd w:val="clear" w:color="auto" w:fill="C6EFCE"/>
            <w:noWrap/>
          </w:tcPr>
          <w:p w14:paraId="11C7D950" w14:textId="68E860F4" w:rsidR="00CB0FCB" w:rsidRDefault="009D2B11">
            <w:pPr>
              <w:pStyle w:val="P68B1DB1-Normal10"/>
              <w:spacing w:after="0" w:line="240" w:lineRule="auto"/>
              <w:rPr>
                <w:noProof/>
              </w:rPr>
            </w:pPr>
            <w:r>
              <w:rPr>
                <w:noProof/>
              </w:rPr>
              <w:t>Stājas spēkā veicinošie tiesību akti un parakstīts visaptverošs pakalpojumu līmeņa nolīgums, kas apstiprina pienākumus un resursu sadali starp IAPR un Digitālās pārvaldības ministriju attiecībā uz skaitļošanas un glabāšanas programmatūras licencēm, tīmekļa pakalpojumiem un datubāzu pārvaldību. Pakalpojumu līmeņa nolīgumā iekļauj noteikumu, ka abas iestādes kopīgi sagatavo gada īstenošanas ziņojumu, sākot no nākamā gada.</w:t>
            </w:r>
          </w:p>
          <w:p w14:paraId="3AE89CD7" w14:textId="77777777" w:rsidR="00CB0FCB" w:rsidRDefault="00CB0FCB">
            <w:pPr>
              <w:spacing w:after="0" w:line="240" w:lineRule="auto"/>
              <w:rPr>
                <w:rFonts w:eastAsia="Times New Roman" w:cs="Calibri"/>
                <w:noProof/>
                <w:color w:val="006100"/>
                <w:sz w:val="18"/>
                <w:szCs w:val="18"/>
              </w:rPr>
            </w:pPr>
          </w:p>
          <w:p w14:paraId="2F7F165B" w14:textId="5C2035BF" w:rsidR="00CB0FCB" w:rsidRDefault="009D2B11">
            <w:pPr>
              <w:pStyle w:val="P68B1DB1-Normal10"/>
              <w:spacing w:after="0" w:line="240" w:lineRule="auto"/>
              <w:rPr>
                <w:rFonts w:eastAsia="Times New Roman" w:cs="Calibri"/>
                <w:noProof/>
              </w:rPr>
            </w:pPr>
            <w:r>
              <w:rPr>
                <w:noProof/>
              </w:rPr>
              <w:t>IAPR lēmums, ar ko attiecībā uz IAPR nosaka jaunus galvenos snieguma rādītājus, tostarp par revīzijas efektivitāti; un ii) ieviest ikgadēju(-us) klientu apmierinātības apsekojumu(-us).</w:t>
            </w:r>
          </w:p>
        </w:tc>
      </w:tr>
      <w:tr w:rsidR="00CB0FCB" w14:paraId="0DA0987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AB835AA" w14:textId="77777777" w:rsidR="00CB0FCB" w:rsidRDefault="009D2B11">
            <w:pPr>
              <w:pStyle w:val="P68B1DB1-Normal9"/>
              <w:spacing w:after="0" w:line="240" w:lineRule="auto"/>
              <w:rPr>
                <w:rFonts w:eastAsia="Times New Roman" w:cs="Calibri"/>
                <w:noProof/>
                <w:szCs w:val="18"/>
              </w:rPr>
            </w:pPr>
            <w:r>
              <w:rPr>
                <w:noProof/>
              </w:rPr>
              <w:t>340</w:t>
            </w:r>
          </w:p>
        </w:tc>
        <w:tc>
          <w:tcPr>
            <w:tcW w:w="1835" w:type="dxa"/>
            <w:tcBorders>
              <w:top w:val="single" w:sz="4" w:space="0" w:color="auto"/>
              <w:left w:val="nil"/>
              <w:bottom w:val="single" w:sz="4" w:space="0" w:color="auto"/>
              <w:right w:val="single" w:sz="4" w:space="0" w:color="auto"/>
            </w:tcBorders>
            <w:shd w:val="clear" w:color="auto" w:fill="C6EFCE"/>
            <w:noWrap/>
          </w:tcPr>
          <w:p w14:paraId="37EFA2C2" w14:textId="77777777" w:rsidR="00CB0FCB" w:rsidRDefault="009D2B11">
            <w:pPr>
              <w:pStyle w:val="P68B1DB1-Normal9"/>
              <w:spacing w:after="0" w:line="240" w:lineRule="auto"/>
              <w:rPr>
                <w:rFonts w:eastAsia="Times New Roman" w:cs="Calibri"/>
                <w:noProof/>
                <w:szCs w:val="18"/>
              </w:rPr>
            </w:pPr>
            <w:r>
              <w:rPr>
                <w:noProof/>
              </w:rPr>
              <w:t>12–4.1. PUNKTS. Padarīt nodokļus labvēlīgākus izaugsmei un uzlabot nodokļu administrēšanu un iekasēšanu — 16985_Grozījumi Grieķijas nodokļu politikas satvarā</w:t>
            </w:r>
          </w:p>
        </w:tc>
        <w:tc>
          <w:tcPr>
            <w:tcW w:w="966" w:type="dxa"/>
            <w:tcBorders>
              <w:top w:val="single" w:sz="4" w:space="0" w:color="auto"/>
              <w:left w:val="nil"/>
              <w:bottom w:val="single" w:sz="4" w:space="0" w:color="auto"/>
              <w:right w:val="single" w:sz="4" w:space="0" w:color="auto"/>
            </w:tcBorders>
            <w:shd w:val="clear" w:color="auto" w:fill="C6EFCE"/>
            <w:noWrap/>
          </w:tcPr>
          <w:p w14:paraId="7F43CAC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76" w:type="dxa"/>
            <w:tcBorders>
              <w:top w:val="single" w:sz="4" w:space="0" w:color="auto"/>
              <w:left w:val="nil"/>
              <w:bottom w:val="single" w:sz="4" w:space="0" w:color="auto"/>
              <w:right w:val="single" w:sz="4" w:space="0" w:color="auto"/>
            </w:tcBorders>
            <w:shd w:val="clear" w:color="auto" w:fill="C6EFCE"/>
            <w:noWrap/>
          </w:tcPr>
          <w:p w14:paraId="66C85B56" w14:textId="77777777" w:rsidR="00CB0FCB" w:rsidRDefault="009D2B11">
            <w:pPr>
              <w:pStyle w:val="P68B1DB1-Normal9"/>
              <w:spacing w:after="0" w:line="240" w:lineRule="auto"/>
              <w:rPr>
                <w:rFonts w:eastAsia="Times New Roman" w:cs="Calibri"/>
                <w:noProof/>
                <w:szCs w:val="18"/>
              </w:rPr>
            </w:pPr>
            <w:r>
              <w:rPr>
                <w:noProof/>
              </w:rPr>
              <w:t xml:space="preserve">Apkarot izvairīšanos no nodokļu maksāšanas, izmantojot miDATA ienākuma nodokļa vajadzībām. </w:t>
            </w:r>
          </w:p>
        </w:tc>
        <w:tc>
          <w:tcPr>
            <w:tcW w:w="1984" w:type="dxa"/>
            <w:tcBorders>
              <w:top w:val="single" w:sz="4" w:space="0" w:color="auto"/>
              <w:left w:val="nil"/>
              <w:bottom w:val="single" w:sz="4" w:space="0" w:color="auto"/>
              <w:right w:val="single" w:sz="4" w:space="0" w:color="auto"/>
            </w:tcBorders>
            <w:shd w:val="clear" w:color="auto" w:fill="C6EFCE"/>
            <w:noWrap/>
          </w:tcPr>
          <w:p w14:paraId="2F64E110" w14:textId="5ABAC9BC" w:rsidR="00CB0FCB" w:rsidRDefault="009D2B11">
            <w:pPr>
              <w:pStyle w:val="P68B1DB1-Normal9"/>
              <w:spacing w:after="0" w:line="240" w:lineRule="auto"/>
              <w:rPr>
                <w:rFonts w:eastAsia="Times New Roman" w:cs="Calibri"/>
                <w:noProof/>
                <w:szCs w:val="18"/>
              </w:rPr>
            </w:pPr>
            <w:r>
              <w:rPr>
                <w:noProof/>
              </w:rPr>
              <w:t>Pārskatīts tiesiskais regulējums, kas pieņemts, lai noteiktu jaunas miDATA ziņošanas prasības un ļautu izmantot miDATA ienākuma nodokļa vajadzībām.</w:t>
            </w:r>
          </w:p>
        </w:tc>
        <w:tc>
          <w:tcPr>
            <w:tcW w:w="866" w:type="dxa"/>
            <w:tcBorders>
              <w:top w:val="single" w:sz="4" w:space="0" w:color="auto"/>
              <w:left w:val="nil"/>
              <w:bottom w:val="single" w:sz="4" w:space="0" w:color="auto"/>
              <w:right w:val="single" w:sz="4" w:space="0" w:color="auto"/>
            </w:tcBorders>
            <w:shd w:val="clear" w:color="auto" w:fill="C6EFCE"/>
            <w:noWrap/>
          </w:tcPr>
          <w:p w14:paraId="4C1AEF17"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0531BC0" w14:textId="77777777" w:rsidR="00CB0FCB" w:rsidRDefault="00CB0FCB">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4F5C58C9"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24C6EE2A" w14:textId="4ADA19F9" w:rsidR="00CB0FCB" w:rsidRDefault="009D2B11">
            <w:pPr>
              <w:pStyle w:val="P68B1DB1-Normal9"/>
              <w:spacing w:after="0" w:line="240" w:lineRule="auto"/>
              <w:rPr>
                <w:rFonts w:eastAsia="Times New Roman" w:cs="Calibri"/>
                <w:noProof/>
                <w:szCs w:val="18"/>
              </w:rPr>
            </w:pPr>
            <w:r>
              <w:rPr>
                <w:noProof/>
              </w:rPr>
              <w:t>2. CET.</w:t>
            </w:r>
          </w:p>
        </w:tc>
        <w:tc>
          <w:tcPr>
            <w:tcW w:w="708" w:type="dxa"/>
            <w:tcBorders>
              <w:top w:val="single" w:sz="4" w:space="0" w:color="auto"/>
              <w:left w:val="nil"/>
              <w:bottom w:val="single" w:sz="4" w:space="0" w:color="auto"/>
              <w:right w:val="single" w:sz="4" w:space="0" w:color="auto"/>
            </w:tcBorders>
            <w:shd w:val="clear" w:color="auto" w:fill="C6EFCE"/>
            <w:noWrap/>
          </w:tcPr>
          <w:p w14:paraId="7EAB7E3F" w14:textId="77777777" w:rsidR="00CB0FCB" w:rsidRDefault="009D2B11">
            <w:pPr>
              <w:pStyle w:val="P68B1DB1-Normal9"/>
              <w:spacing w:after="0" w:line="240" w:lineRule="auto"/>
              <w:rPr>
                <w:rFonts w:eastAsia="Times New Roman" w:cs="Calibri"/>
                <w:noProof/>
                <w:szCs w:val="18"/>
              </w:rPr>
            </w:pPr>
            <w:r>
              <w:rPr>
                <w:noProof/>
              </w:rPr>
              <w:t>2024</w:t>
            </w:r>
          </w:p>
        </w:tc>
        <w:tc>
          <w:tcPr>
            <w:tcW w:w="4830" w:type="dxa"/>
            <w:tcBorders>
              <w:top w:val="single" w:sz="4" w:space="0" w:color="auto"/>
              <w:left w:val="nil"/>
              <w:bottom w:val="single" w:sz="4" w:space="0" w:color="auto"/>
              <w:right w:val="single" w:sz="4" w:space="0" w:color="auto"/>
            </w:tcBorders>
            <w:shd w:val="clear" w:color="auto" w:fill="C6EFCE"/>
            <w:noWrap/>
          </w:tcPr>
          <w:p w14:paraId="1417318C" w14:textId="77777777" w:rsidR="00CB0FCB" w:rsidRDefault="009D2B11">
            <w:pPr>
              <w:pStyle w:val="P68B1DB1-Normal9"/>
              <w:spacing w:after="0" w:line="240" w:lineRule="auto"/>
              <w:rPr>
                <w:rFonts w:eastAsia="Times New Roman" w:cs="Calibri"/>
                <w:noProof/>
                <w:szCs w:val="18"/>
              </w:rPr>
            </w:pPr>
            <w:r>
              <w:rPr>
                <w:noProof/>
              </w:rPr>
              <w:t xml:space="preserve">Primāro un sekundāro tiesību aktu stāšanās spēkā </w:t>
            </w:r>
          </w:p>
          <w:p w14:paraId="58D488AC" w14:textId="0401D36F" w:rsidR="00CB0FCB" w:rsidRDefault="009D2B11">
            <w:pPr>
              <w:pStyle w:val="P68B1DB1-Normal9"/>
              <w:spacing w:after="0" w:line="240" w:lineRule="auto"/>
              <w:rPr>
                <w:rFonts w:eastAsia="Times New Roman" w:cs="Calibri"/>
                <w:noProof/>
                <w:szCs w:val="18"/>
              </w:rPr>
            </w:pPr>
            <w:r>
              <w:rPr>
                <w:noProof/>
              </w:rPr>
              <w:t xml:space="preserve">iespēja ienākuma nodokļa deklarācijās izmantot miDATA ziņojumus par uzņēmumiem (tostarp pašnodarbinātām personām). </w:t>
            </w:r>
          </w:p>
          <w:p w14:paraId="6C8C0CE4" w14:textId="3D47B7E2" w:rsidR="00CB0FCB" w:rsidRDefault="009D2B11">
            <w:pPr>
              <w:pStyle w:val="P68B1DB1-Normal9"/>
              <w:spacing w:after="0" w:line="240" w:lineRule="auto"/>
              <w:rPr>
                <w:rFonts w:eastAsia="Times New Roman" w:cs="Calibri"/>
                <w:noProof/>
                <w:szCs w:val="18"/>
              </w:rPr>
            </w:pPr>
            <w:r>
              <w:rPr>
                <w:noProof/>
              </w:rPr>
              <w:t>.</w:t>
            </w:r>
          </w:p>
          <w:p w14:paraId="53D781EF" w14:textId="77777777" w:rsidR="00CB0FCB" w:rsidRDefault="00CB0FCB">
            <w:pPr>
              <w:spacing w:after="0" w:line="240" w:lineRule="auto"/>
              <w:rPr>
                <w:rFonts w:eastAsia="Times New Roman" w:cs="Calibri"/>
                <w:noProof/>
                <w:color w:val="006100"/>
                <w:sz w:val="18"/>
                <w:szCs w:val="18"/>
              </w:rPr>
            </w:pPr>
          </w:p>
        </w:tc>
      </w:tr>
    </w:tbl>
    <w:p w14:paraId="084D627C"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17"/>
          <w:headerReference w:type="default" r:id="rId218"/>
          <w:footerReference w:type="even" r:id="rId219"/>
          <w:footerReference w:type="default" r:id="rId220"/>
          <w:headerReference w:type="first" r:id="rId221"/>
          <w:footerReference w:type="first" r:id="rId222"/>
          <w:pgSz w:w="16839" w:h="11907" w:orient="landscape"/>
          <w:pgMar w:top="720" w:right="720" w:bottom="720" w:left="720" w:header="709" w:footer="75" w:gutter="0"/>
          <w:cols w:space="720"/>
          <w:docGrid w:linePitch="360"/>
        </w:sectPr>
      </w:pPr>
    </w:p>
    <w:p w14:paraId="1BC7EF6A" w14:textId="77777777" w:rsidR="00CB0FCB" w:rsidRDefault="009D2B11">
      <w:pPr>
        <w:pStyle w:val="P68B1DB1-Normal2"/>
        <w:spacing w:before="120" w:after="120" w:line="240" w:lineRule="auto"/>
        <w:ind w:firstLine="6"/>
        <w:jc w:val="both"/>
        <w:outlineLvl w:val="3"/>
        <w:rPr>
          <w:rFonts w:cs="Times New Roman"/>
          <w:bCs/>
          <w:noProof/>
        </w:rPr>
      </w:pPr>
      <w:r>
        <w:rPr>
          <w:noProof/>
        </w:rPr>
        <w:t>M. 4.2. KOMPONENTS: MODERNIZĒT VALSTS PĀRVALDI, TOSTARP PAĀTRINOT PUBLISKO INVESTĪCIJU ĪSTENOŠANU, UZLABOJOT PUBLISKĀ IEPIRKUMA REGULĒJUMU, VEICOT SPĒJU VEIDOŠANAS PASĀKUMUS UN APKAROJOT KORUPCIJU</w:t>
      </w:r>
    </w:p>
    <w:p w14:paraId="60386A1B" w14:textId="77777777" w:rsidR="00CB0FCB" w:rsidRDefault="009D2B11">
      <w:pPr>
        <w:pStyle w:val="P68B1DB1-Normal4"/>
        <w:spacing w:before="120" w:after="120" w:line="240" w:lineRule="auto"/>
        <w:jc w:val="both"/>
        <w:rPr>
          <w:rFonts w:cs="Times New Roman"/>
          <w:noProof/>
        </w:rPr>
      </w:pPr>
      <w:r>
        <w:rPr>
          <w:noProof/>
        </w:rPr>
        <w:t>Šis Grieķijas atveseļošanas un noturības plāna komponents ietver plašu reformu kopumu, kā arī investīcijas valsts pārvaldes darbībā, lai uzlabotu politikas izstrādi un īstenošanu. Komponents ietver pasākumus valsts pārvaldes modernizācijai, veicot īpašas darbības, lai stiprinātu politikas plānošanu un koordināciju un cilvēkresursu pārvaldību, kā arī lai pabeigtu valsts kadastra izveidi, kas, paredzams, nodrošinās efektīvu zemes reģistru sistēmu un juridisko noteiktību attiecībā uz īpašumtiesībām. Citu pasākumu mērķis ir novērst publisko investīciju (tostarp korupcijas) projektu nesagatavošanu un vēl vairāk uzlabot publisko finanšu pārvaldības jomu. Šīs reformas un investīcijas palīdz risināt problēmas, kas saistītas ar a) digitālo publisko pārvaldi. Šis komponents palīdz īstenot konkrētai valstij adresētos ieteikumus par publiskajām un privātajām investīcijām (2020. gada konkrētai valstij adresētais ieteikums Nr. 3), strukturālajām reformām, kuru mērķis ir uzlabot ekonomikas darbību (2020. gada konkrētai valstij adresētais ieteikums Nr. 4) un pabeigt vēl neīstenoto kadastra reformu, kas tiek īstenota pastiprinātas uzraudzības ietvaros (2022. gada konkrētai valstij adresētais ieteikums Nr. 3 un 2023. gada konkrētai valstij adresētais ieteikums Nr. 3.).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6F4B7B47"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M.1. </w:t>
      </w:r>
      <w:r>
        <w:rPr>
          <w:noProof/>
        </w:rPr>
        <w:t xml:space="preserve"> </w:t>
      </w:r>
      <w:r>
        <w:rPr>
          <w:rFonts w:ascii="Times New Roman" w:hAnsi="Times New Roman"/>
          <w:b/>
          <w:noProof/>
          <w:sz w:val="24"/>
          <w:u w:val="single"/>
        </w:rPr>
        <w:t>Reformu un investīciju apraksts neatmaksājamam finansiālajam atbalstam</w:t>
      </w:r>
    </w:p>
    <w:p w14:paraId="3DC53B1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Valsts pārvaldes reforma (pasākums ID 16972)</w:t>
      </w:r>
    </w:p>
    <w:p w14:paraId="5278DB90" w14:textId="77777777" w:rsidR="00CB0FCB" w:rsidRDefault="009D2B11">
      <w:pPr>
        <w:pStyle w:val="P68B1DB1-Normal4"/>
        <w:spacing w:before="120" w:after="120" w:line="240" w:lineRule="auto"/>
        <w:jc w:val="both"/>
        <w:rPr>
          <w:rFonts w:cs="Times New Roman"/>
          <w:noProof/>
        </w:rPr>
      </w:pPr>
      <w:r>
        <w:rPr>
          <w:noProof/>
        </w:rPr>
        <w:t>Šīs reformas mērķis ir turpināt centienus modernizēt valsts pārvaldi un ieguldīt tās cilvēkresursos, īstenojot šādas darbības:</w:t>
      </w:r>
    </w:p>
    <w:p w14:paraId="018C06F9" w14:textId="77777777" w:rsidR="00CB0FCB" w:rsidRDefault="009D2B11">
      <w:pPr>
        <w:pStyle w:val="P68B1DB1-Normal4"/>
        <w:numPr>
          <w:ilvl w:val="0"/>
          <w:numId w:val="58"/>
        </w:numPr>
        <w:spacing w:before="120" w:after="120" w:line="240" w:lineRule="auto"/>
        <w:ind w:left="360"/>
        <w:jc w:val="both"/>
        <w:rPr>
          <w:rFonts w:cs="Times New Roman"/>
          <w:noProof/>
        </w:rPr>
      </w:pPr>
      <w:r>
        <w:rPr>
          <w:noProof/>
        </w:rPr>
        <w:t xml:space="preserve">Pārskatītā tiesiskā regulējuma stāšanās spēkā, lai racionalizētu pienākumu sadalījumu starp centrālo, reģionālo un vietējo līmeni un attiecīgajiem pārvaldības satvariem; </w:t>
      </w:r>
    </w:p>
    <w:p w14:paraId="73F421E5" w14:textId="6E960967" w:rsidR="00CB0FCB" w:rsidRDefault="009D2B11">
      <w:pPr>
        <w:pStyle w:val="P68B1DB1-Normal4"/>
        <w:numPr>
          <w:ilvl w:val="0"/>
          <w:numId w:val="58"/>
        </w:numPr>
        <w:spacing w:before="120" w:after="120" w:line="240" w:lineRule="auto"/>
        <w:ind w:left="360"/>
        <w:jc w:val="both"/>
        <w:rPr>
          <w:rFonts w:cs="Times New Roman"/>
          <w:noProof/>
        </w:rPr>
      </w:pPr>
      <w:r>
        <w:rPr>
          <w:noProof/>
        </w:rPr>
        <w:t xml:space="preserve">Tādas informācijas sistēmas darbības uzsākšana, kas atbalsta stratēģisko darbaspēka plānošanas satvaru, izmantojot mākslīgo intelektu; </w:t>
      </w:r>
    </w:p>
    <w:p w14:paraId="77C54B2B" w14:textId="0FBFB7E3" w:rsidR="00CB0FCB" w:rsidRDefault="009D2B11">
      <w:pPr>
        <w:pStyle w:val="P68B1DB1-Normal4"/>
        <w:numPr>
          <w:ilvl w:val="0"/>
          <w:numId w:val="58"/>
        </w:numPr>
        <w:spacing w:before="120" w:after="120" w:line="240" w:lineRule="auto"/>
        <w:ind w:left="360"/>
        <w:jc w:val="both"/>
        <w:rPr>
          <w:rFonts w:cs="Times New Roman"/>
          <w:noProof/>
        </w:rPr>
      </w:pPr>
      <w:r>
        <w:rPr>
          <w:noProof/>
        </w:rPr>
        <w:t>Likumdošanas iniciatīva par darbā pieņemšanas procedūru paātrināšanu publiskajā sektorā, pamatojoties uz Likumu Nr. 4765/2021, un jaunās integrētās informācijas sistēmas darbības sākšana Augstākajai civildienesta personāla atlases padomei (ASEP), lai varētu veikt digitālās atlases procedūras;</w:t>
      </w:r>
    </w:p>
    <w:p w14:paraId="66E1BB76" w14:textId="48FE4466" w:rsidR="00CB0FCB" w:rsidRDefault="009D2B11">
      <w:pPr>
        <w:pStyle w:val="P68B1DB1-Normal4"/>
        <w:numPr>
          <w:ilvl w:val="0"/>
          <w:numId w:val="58"/>
        </w:numPr>
        <w:spacing w:before="120" w:after="120" w:line="240" w:lineRule="auto"/>
        <w:ind w:left="360"/>
        <w:jc w:val="both"/>
        <w:rPr>
          <w:rFonts w:cs="Times New Roman"/>
          <w:noProof/>
        </w:rPr>
      </w:pPr>
      <w:r>
        <w:rPr>
          <w:noProof/>
        </w:rPr>
        <w:t xml:space="preserve">Kvalifikācijas celšana/pārkvalifikācija valsts pārvaldē, pabeidzot ierēdņu apmācību ar vismaz 225000 dalībnieku; </w:t>
      </w:r>
    </w:p>
    <w:p w14:paraId="7CE18E08" w14:textId="77777777" w:rsidR="00CB0FCB" w:rsidRDefault="009D2B11">
      <w:pPr>
        <w:pStyle w:val="P68B1DB1-Normal4"/>
        <w:numPr>
          <w:ilvl w:val="0"/>
          <w:numId w:val="58"/>
        </w:numPr>
        <w:spacing w:before="120" w:after="120" w:line="240" w:lineRule="auto"/>
        <w:ind w:left="360"/>
        <w:jc w:val="both"/>
        <w:rPr>
          <w:rFonts w:cs="Times New Roman"/>
          <w:noProof/>
        </w:rPr>
      </w:pPr>
      <w:r>
        <w:rPr>
          <w:noProof/>
        </w:rPr>
        <w:t>Ieviest ierēdņu atalgojuma sistēmu, kas saistīta ar mērķu noteikšanas pārvaldības sistēmu un kas pilnībā atbilst vienotajai algu sistēmai (Likums Nr. 4354/2015), neparedzot nekādus izņēmumus. Rezultāti, kas gūti izmēģinājuma shēmā, kura paredzēta līdz 6000 ierēdņiem, palīdz veikt plašāku pētījumu, lai sniegtu norādījumus par atlīdzības sistēmas izveidi, kas jāievieš līdz 2023. gada 31. decembrim.</w:t>
      </w:r>
    </w:p>
    <w:p w14:paraId="7412C5E2" w14:textId="77777777" w:rsidR="00CB0FCB" w:rsidRDefault="009D2B11">
      <w:pPr>
        <w:pStyle w:val="P68B1DB1-Normal4"/>
        <w:spacing w:before="120" w:after="120" w:line="240" w:lineRule="auto"/>
        <w:jc w:val="both"/>
        <w:rPr>
          <w:rFonts w:cs="Times New Roman"/>
          <w:noProof/>
        </w:rPr>
      </w:pPr>
      <w:r>
        <w:rPr>
          <w:noProof/>
        </w:rPr>
        <w:t>Reformas īstenošanu pabeidz līdz 2025. gada 31. decembrim.</w:t>
      </w:r>
    </w:p>
    <w:p w14:paraId="0F3E6E6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Nelikumīgas tirdzniecības apkarošana un intelektuālā īpašuma aizsardzība (pasākums ID 16703)</w:t>
      </w:r>
    </w:p>
    <w:p w14:paraId="691E56A2" w14:textId="77777777" w:rsidR="00CB0FCB" w:rsidRDefault="009D2B11">
      <w:pPr>
        <w:pStyle w:val="P68B1DB1-Normal4"/>
        <w:spacing w:before="120" w:after="120" w:line="240" w:lineRule="auto"/>
        <w:jc w:val="both"/>
        <w:rPr>
          <w:rFonts w:cs="Times New Roman"/>
          <w:noProof/>
        </w:rPr>
      </w:pPr>
      <w:r>
        <w:rPr>
          <w:noProof/>
        </w:rPr>
        <w:t>Reformas mērķis ir stiprināt reakciju pret nelikumīgu tirdzniecību, stiprinot Starpiestāžu tirgus kontroles nodaļu (DIMEA) ar personāla apmācību, atbilstīgām IT sistēmām un aprīkojumu. Reformas īstenošanu pabeidz līdz 2025. gada 31. decembrim.</w:t>
      </w:r>
    </w:p>
    <w:p w14:paraId="4BEE704C"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Valsts pretkorupcijas regulējuma stiprināšana (pasākums ID 16952)</w:t>
      </w:r>
    </w:p>
    <w:p w14:paraId="1556FF95" w14:textId="410FDD9B" w:rsidR="00CB0FCB" w:rsidRDefault="009D2B11">
      <w:pPr>
        <w:pStyle w:val="P68B1DB1-Normal4"/>
        <w:spacing w:before="120" w:after="120" w:line="240" w:lineRule="auto"/>
        <w:jc w:val="both"/>
        <w:rPr>
          <w:rFonts w:cs="Times New Roman"/>
          <w:noProof/>
        </w:rPr>
      </w:pPr>
      <w:r>
        <w:rPr>
          <w:noProof/>
        </w:rPr>
        <w:t>Šīs reformas mērķis ir atklāt un novērst korupciju, un tā ietver šādas darbības, kas jāīsteno Valsts pārredzamības iestādei: stiprināt revīzijas sistēmu krāpšanas un korupcijas atklāšanai; II) regulatīva iejaukšanās galvenajās politikas jomās, proti, trauksmes cēlēju aizsardzība, lobēšana un interešu konflikti; III) iekšējās kontroles sistēmas stiprināšana un integritātes konsultantu valsts tīkla izveide valsts pārvaldē; IV) ētikas un deontoloģijas kodeksu izstrāde un disciplināro procesu pārskatīšana; V) iniciatīvas, kuru mērķis ir palielināt informētību par krāpšanu un korupciju; VI) pieņemt Valsts pretkorupcijas rīcības plānu 2022.–2025. gadam; un vii) projekti aģentūras digitālās un infrastruktūras jaudas finansēšanai. Reformas īstenošanu pabeidz līdz 2025. gada 31. decembrim.</w:t>
      </w:r>
    </w:p>
    <w:p w14:paraId="4597C727"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Uzlabot valsts atbalsta tīklu (pasākums ID 16701)</w:t>
      </w:r>
    </w:p>
    <w:p w14:paraId="6ABFFCB4" w14:textId="77777777" w:rsidR="00CB0FCB" w:rsidRDefault="009D2B11">
      <w:pPr>
        <w:pStyle w:val="P68B1DB1-Normal4"/>
        <w:spacing w:before="120" w:after="120" w:line="240" w:lineRule="auto"/>
        <w:jc w:val="both"/>
        <w:rPr>
          <w:rFonts w:cs="Times New Roman"/>
          <w:noProof/>
        </w:rPr>
      </w:pPr>
      <w:r>
        <w:rPr>
          <w:noProof/>
        </w:rPr>
        <w:t>Ar šo reformu pārskatīs Grieķijas valsts atbalsta tiesisko regulējumu un stiprinās valsts atbalsta vienību tīkla spējas ministrijās, galvenokārt modernizējot Centrālo valsts atbalsta IT sistēmu, ar ko izveido digitālu valsts atbalsta lietu bibliotēku, iekštīkla saziņas platformu un datu analīzes rīkus. Reformas īstenošanu pabeidz līdz 2024. gada 31. decembrim.</w:t>
      </w:r>
    </w:p>
    <w:p w14:paraId="624E87EA"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NILL/TFN regulējuma uzlabošana (pasākums ID 16702)</w:t>
      </w:r>
    </w:p>
    <w:p w14:paraId="79C105E1" w14:textId="755EE16D" w:rsidR="00CB0FCB" w:rsidRDefault="009D2B11">
      <w:pPr>
        <w:pStyle w:val="P68B1DB1-Normal4"/>
        <w:spacing w:before="120" w:after="120" w:line="240" w:lineRule="auto"/>
        <w:jc w:val="both"/>
        <w:rPr>
          <w:rFonts w:cs="Times New Roman"/>
          <w:noProof/>
        </w:rPr>
      </w:pPr>
      <w:r>
        <w:rPr>
          <w:noProof/>
        </w:rPr>
        <w:t>Reforma attiecas uz digitālās platformas izveidi tiesu, uzraudzības un tiesībaizsardzības iestāžu rīcībā esošo statistikas datu vākšanai un faktisko īpašnieku centrālā reģistra uzlabošanu, lai atvieglotu kompetento iestāžu tiešu piekļuvi informācijai par faktiskajiem īpašniekiem. Reformas īstenošanu pabeidz līdz 2024. gada 30. jūnijam.</w:t>
      </w:r>
    </w:p>
    <w:p w14:paraId="7D0B7BD3"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Grāmatvedības reforma (pasākums ID 16974)</w:t>
      </w:r>
    </w:p>
    <w:p w14:paraId="3C9A4DDB" w14:textId="77777777" w:rsidR="00CB0FCB" w:rsidRDefault="009D2B11">
      <w:pPr>
        <w:pStyle w:val="P68B1DB1-Normal4"/>
        <w:spacing w:before="120" w:after="120" w:line="240" w:lineRule="auto"/>
        <w:jc w:val="both"/>
        <w:rPr>
          <w:rFonts w:cs="Times New Roman"/>
          <w:noProof/>
        </w:rPr>
      </w:pPr>
      <w:r>
        <w:rPr>
          <w:noProof/>
        </w:rPr>
        <w:t>Ar reformu tiek īstenota pakāpeniska pāreja no pārveidotas naudas uz uzkrājumu grāmatvedību un konsolidētiem finanšu pārskatiem vispārējā valdībā. Tas ietver uzkrājumu grāmatvedības politikas pieņemšanu, attiecīgā personāla apmācību un valdības uzņēmumu resursu plānošanas (GOV-ERP) izstrādi un ieviešanu. Jaunās IT sistēmas mērķis ir paplašināt un tehnoloģiski modernizēt pašreizējo integrēto fiskālās politikas informācijas sistēmu (OPSDP), lai apmierinātu centrālās pārvaldes publisko finanšu pārvaldības vajadzības. Rezultāts ir jauna Integrētās finanšu pārvaldības informācijas sistēma (GOV-ERP). Reformas īstenošanu pabeidz līdz 2025. gada 31. decembrim.</w:t>
      </w:r>
    </w:p>
    <w:p w14:paraId="06A99C4F"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Mūsdienīga institucionālā sistēma valsts uzņēmumiem (pasākums ID 16657)</w:t>
      </w:r>
    </w:p>
    <w:p w14:paraId="33DE3CB2" w14:textId="77777777" w:rsidR="00CB0FCB" w:rsidRDefault="009D2B11">
      <w:pPr>
        <w:pStyle w:val="P68B1DB1-Normal4"/>
        <w:spacing w:before="120" w:after="120" w:line="240" w:lineRule="auto"/>
        <w:jc w:val="both"/>
        <w:rPr>
          <w:rFonts w:cs="Times New Roman"/>
          <w:noProof/>
        </w:rPr>
      </w:pPr>
      <w:r>
        <w:rPr>
          <w:noProof/>
        </w:rPr>
        <w:t>Ar šo reformu tiek izveidots mūsdienīgs tiesiskais regulējums valsts uzņēmumu un organizāciju darbībai un pārvaldībai. Tajā nosaka korporatīvās pārvaldības pamatnostādnes un īpašus noteikumus valsts uzņēmumu pārvaldībai, piemēram, priekšsēdētāja, izpilddirektoru un izpilddirektoru iecelšanu valdē, kā arī noteikumus par iekšējās revīzijas komiteju izveidi, lai nodrošinātu pārredzamību. Ar reformu arī izveido digitālu reģistru, lai reģistrētu visus uzņēmumus, organizācijas un visas citas juridiskās personas, kurās valsts piedalās, veicinot valsts līdzdalības efektīvu uzraudzību un kontroli. Reformas īstenošanu pabeidz līdz 2022. gada 31. decembrim.</w:t>
      </w:r>
    </w:p>
    <w:p w14:paraId="6FCB42C4"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Efektīva korupcijas apkarošana (pasākums ID 16978)</w:t>
      </w:r>
    </w:p>
    <w:p w14:paraId="63CD4BB1" w14:textId="77777777" w:rsidR="00CB0FCB" w:rsidRDefault="009D2B11">
      <w:pPr>
        <w:pStyle w:val="P68B1DB1-Normal4"/>
        <w:spacing w:before="120" w:after="120" w:line="240" w:lineRule="auto"/>
        <w:jc w:val="both"/>
        <w:rPr>
          <w:rFonts w:cs="Times New Roman"/>
          <w:noProof/>
        </w:rPr>
      </w:pPr>
      <w:r>
        <w:rPr>
          <w:noProof/>
        </w:rPr>
        <w:t xml:space="preserve">Ar reformu tiks veikti vairāki grozījumi Grieķijas tiesiskajā regulējumā, lai uzlabotu tiesisko reakciju uz korupciju. Konkrētāk, tā aptver četras jomas: I) aktīvu deklarācijas; II) to personu aizsardzība, kuras ziņo par Savienības tiesību aktu pārkāpumiem; III) Kriminālkodekss un Kriminālprocesa kodekss; un iv) </w:t>
      </w:r>
      <w:r>
        <w:rPr>
          <w:noProof/>
          <w:color w:val="000000"/>
        </w:rPr>
        <w:t>ar politiskajām partijām saistīto tiesību aktu kodifikāciju</w:t>
      </w:r>
      <w:r>
        <w:rPr>
          <w:noProof/>
        </w:rPr>
        <w:t>. Reformas īstenošanu pabeidz līdz 2022. gada 30. septembrim.</w:t>
      </w:r>
    </w:p>
    <w:p w14:paraId="55DDB41E"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Fiskālās pārvaldības un uzraudzības pārveide pārvaldībā un elektronisko rēķinu sagatavošanā (pasākums ID 16705)</w:t>
      </w:r>
    </w:p>
    <w:p w14:paraId="3553D58A" w14:textId="2B49FD21" w:rsidR="00CB0FCB" w:rsidRDefault="009D2B11">
      <w:pPr>
        <w:pStyle w:val="P68B1DB1-Normal4"/>
        <w:spacing w:before="120" w:after="120" w:line="240" w:lineRule="auto"/>
        <w:jc w:val="both"/>
        <w:rPr>
          <w:rFonts w:cs="Times New Roman"/>
          <w:noProof/>
        </w:rPr>
      </w:pPr>
      <w:r>
        <w:rPr>
          <w:noProof/>
        </w:rPr>
        <w:t>Investīcija uzlabo publisko finanšu pārvaldības efektivitāti, a) izveidojot mūsdienīgu un funkcionālu valdības uzņēmumu resursu plānošanas sistēmu (ERP) centrālajai pārvaldei; paātrināt e-rēķinu ieviešanu publiskā iepirkuma procesos pēc līguma slēgšanas tiesību piešķiršanas. Investīciju īstenošanu pabeidz līdz 2025. gada 31. decembrim.</w:t>
      </w:r>
    </w:p>
    <w:p w14:paraId="6C33E586"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Modernizēt Grieķijas Noguldījumu un aizdevumu fondu (pasākums ID 16940)</w:t>
      </w:r>
    </w:p>
    <w:p w14:paraId="1DF93015" w14:textId="77777777" w:rsidR="00CB0FCB" w:rsidRDefault="009D2B11">
      <w:pPr>
        <w:pStyle w:val="P68B1DB1-Normal4"/>
        <w:spacing w:before="120" w:after="120" w:line="240" w:lineRule="auto"/>
        <w:jc w:val="both"/>
        <w:rPr>
          <w:rFonts w:cs="Times New Roman"/>
          <w:noProof/>
        </w:rPr>
      </w:pPr>
      <w:r>
        <w:rPr>
          <w:noProof/>
        </w:rPr>
        <w:t>Investīcija palielina Grieķijas Sūtījumu noguldījumu un aizdevumu fonda (CDLF) darbības efektivitāti, uzlabojot tā digitālās spējas, jo īpaši pabeidzot šādus apakšprojektus: I) aizdevumu un saistīto datņu un arhīvu digitalizāciju un iekļaušanu jaunā dokumentu pārvaldības sistēmā; II) integrētas informācijas sistēmas (IIS) ieviešana, iii) uzņēmumu resursu plānošanas (ERP) informācijas sistēmas nodrošināšana; IV) pārvaldītu drukāšanas pakalpojumu sniegšana; un v) cilvēkresursu pārvaldības sistēma (HRMS). Reformas īstenošanu pabeidz līdz 2025. gada 30. jūnijam.</w:t>
      </w:r>
    </w:p>
    <w:p w14:paraId="7BB64667"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Publiskā iepirkuma jomas profesionalizācija (pasākums ID 16711)</w:t>
      </w:r>
    </w:p>
    <w:p w14:paraId="1AB7E724" w14:textId="5080B6C6" w:rsidR="00CB0FCB" w:rsidRDefault="009D2B11">
      <w:pPr>
        <w:pStyle w:val="P68B1DB1-Normal5"/>
        <w:spacing w:before="120" w:after="120" w:line="240" w:lineRule="auto"/>
        <w:jc w:val="both"/>
        <w:rPr>
          <w:rFonts w:cs="Times New Roman"/>
          <w:noProof/>
        </w:rPr>
      </w:pPr>
      <w:r>
        <w:rPr>
          <w:noProof/>
        </w:rPr>
        <w:t>Reformas mērķis ir uzlabot publiskā iepirkuma regulējumu Grieķijā un atbalstīt pašreizējo trūkumu novēršanu. Reforma ietver visu četru valsts publiskā iepirkuma stratēģijas 2021.–2025. gadam pīlāru īstenošanu: I) publiskā iepirkuma tiesiskā regulējuma reforma, tostarp sekundāro tiesību aktu stāšanās spēkā, lai pilnībā īstenotu jauno publiskā iepirkuma tiesisko regulējumu, darbības tiesiskā regulējuma turpmākai vienkāršošanai un uzlabošanai un publiskā iepirkuma sistēmas efektīvas īstenošanas un noturības nodrošināšanai; II) publiskā iepirkuma jomas digitālā pārveide un “no gala līdz galam” e-iepirkums, tostarp informācijas sistēmu, datu analīzes un publiskā un privātā sektora sinerģijas izvērtēšana un pārveidošana (atbalstīts ar pasākuma “16736 Jaunas publiskā iepirkuma sistēmas” darbībām); III) plašāki stratēģiskie mērķi un politikas iniciatīvas, piemēram, zaļais iepirkums, iepirkums2inovācijas, infrastruktūras modernizācija, MVU piekļuve iepirkumam, iepirkums kā sviras instruments, resursu efektīva izmantošana un sociālais iepirkums); IV) publiskā iepirkuma pārvaldības sistēma (publiskajā iepirkumā iesaistītā personāla uzraudzība, īstenošanas uzraudzība, revīzija un profesionalizācija).</w:t>
      </w:r>
    </w:p>
    <w:p w14:paraId="38653992" w14:textId="3301FB3E" w:rsidR="00CB0FCB" w:rsidRDefault="009D2B11">
      <w:pPr>
        <w:pStyle w:val="P68B1DB1-Normal4"/>
        <w:spacing w:before="120" w:after="120" w:line="240" w:lineRule="auto"/>
        <w:jc w:val="both"/>
        <w:rPr>
          <w:rFonts w:cs="Times New Roman"/>
          <w:noProof/>
        </w:rPr>
      </w:pPr>
      <w:r>
        <w:rPr>
          <w:noProof/>
        </w:rPr>
        <w:t>To vēl vairāk atbalsta publiskā iepirkuma jomā iesaistīto ierēdņu apmācības un norādījumu nodrošināšana, sertifikācijas procedūru pieņemšana šiem profesionāļiem, atsevišķu profesionālā darba plūsmu izveide un stimulu paketes pieņemšana, kvalifikācijas/karjeras nodrošināšana šādiem darbiniekiem; un pabeigt padziļinātu pētījumu par tā Attīstības ministrijas Publiskā iepirkuma ģenerāldirektorāta struktūru un pienākumu reorganizāciju, kura kompetencē ir veikt centralizētas iepirkuma procedūras valsts līmenī. Stimulu shēma pilnībā atbilst vienotajai algu sistēmai (Likums Nr. 4354/2015), neparedzot nekādus atbrīvojumus. Reformas īstenošanu pabeidz līdz 2025. gada 31. decembrim.</w:t>
      </w:r>
    </w:p>
    <w:p w14:paraId="7749792E"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Politikas plānošanas un koordinācijas uzlabošana (pasākums ID 16981)</w:t>
      </w:r>
    </w:p>
    <w:p w14:paraId="58BAD651" w14:textId="77777777" w:rsidR="00CB0FCB" w:rsidRDefault="009D2B11">
      <w:pPr>
        <w:pStyle w:val="P68B1DB1-Normal4"/>
        <w:spacing w:before="120" w:after="120" w:line="240" w:lineRule="auto"/>
        <w:jc w:val="both"/>
        <w:rPr>
          <w:rFonts w:cs="Times New Roman"/>
          <w:noProof/>
        </w:rPr>
      </w:pPr>
      <w:r>
        <w:rPr>
          <w:noProof/>
        </w:rPr>
        <w:t>Reforma stiprina centrālās administrācijas politikas koordināciju, plānošanu un politikas izstrādi. Konkrēti īstenojamie pasākumi ir i) uzraudzības mehānisma izveide, lai sekotu līdzi tam, vai ir pieņemti sekundārie tiesību akti, kā noteikts primārajos tiesību aktos; elektroniskas platformas izveide, lai atvieglotu ietekmes novērtējuma pabeigšanu, papildinot katru likumprojektu; un iii) uzsākt mācību programmu un ar to saistītu akreditācijas procedūru civildienesta ierēdņiem, lai uzlabotu sagatavoto ietekmes novērtējumu kvalitāti. Mācību programmā ir uzņemti vismaz 100 civildienesta ierēdņi, lai to sāktu 2022. gada 4. ceturksnī. Reformas īstenošanu pabeidz līdz 2023. gada 30. jūnijam.</w:t>
      </w:r>
    </w:p>
    <w:p w14:paraId="12BCBDF7"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Valsts kadastra aizpildīšana (pasākuma ID: 16986)</w:t>
      </w:r>
    </w:p>
    <w:p w14:paraId="6DD06CB7" w14:textId="7DB5E80F" w:rsidR="00CB0FCB" w:rsidRDefault="009D2B11">
      <w:pPr>
        <w:pStyle w:val="P68B1DB1-Normal4"/>
        <w:spacing w:before="120" w:after="120" w:line="240" w:lineRule="auto"/>
        <w:jc w:val="both"/>
        <w:rPr>
          <w:rFonts w:cs="Times New Roman"/>
          <w:noProof/>
          <w:szCs w:val="24"/>
        </w:rPr>
      </w:pPr>
      <w:r>
        <w:rPr>
          <w:noProof/>
        </w:rPr>
        <w:t>Reforma pabeidz valsts kadastra izveidi ar mērķi uzlabot Grieķijas uzņēmējdarbības vidi, uzlabojot nekustamā īpašuma darījumu efektivitāti un stiprinot juridisko noteiktību attiecībā uz īpašumtiesībām. No 2023. gada oktobra 76,93 % īpašuma tiesību visā Grieķijā ir kartēti. Konkrētāk, reforma pabeidz kadastrālo kartēšanu visā Grieķijā, proti, augšupielādējot publiskai to īpašumtiesību parādīšanai, kuras tiek vāktas vai apstrādātas. Turklāt reformas rezultātā notiks pilnīga pāreja no agrākās nekustamā īpašuma reģistrācijas sistēmas, izmantojot veco hipotēku biroju struktūru, uz jauno aģentūru “Hellenic Cadastre”. Līdz 2023. gada 31. oktobrim bija slēgti 165 vecie hipotēku biroji, un līdz 2023. gada 1. novembrim bija atvērti un darbojas 14 reģionālie kadastrālie biroji un 57 filiāles. Īstenojot reformu, Grieķijā tiek atvērti un darbojas visi 17 reģionālie kadastrālie biroji un 75 filiāles saskaņā ar Likumu Nr. 4512/2018, un visi 388 vecie hipotēku biroji ir slēgti. Reformas īstenošanu pabeidz līdz 2025. gada 30. jūnijam.</w:t>
      </w:r>
    </w:p>
    <w:p w14:paraId="6FE7AD53" w14:textId="77777777" w:rsidR="00CB0FCB" w:rsidRDefault="00CB0FCB">
      <w:pPr>
        <w:spacing w:before="120" w:after="120" w:line="240" w:lineRule="auto"/>
        <w:ind w:left="709"/>
        <w:jc w:val="both"/>
        <w:rPr>
          <w:rFonts w:ascii="Times New Roman" w:hAnsi="Times New Roman" w:cs="Times New Roman"/>
          <w:i/>
          <w:iCs/>
          <w:noProof/>
          <w:color w:val="4F81BD"/>
          <w:sz w:val="24"/>
        </w:rPr>
      </w:pPr>
    </w:p>
    <w:p w14:paraId="25F14B4E" w14:textId="77777777" w:rsidR="00CB0FCB" w:rsidRDefault="00CB0FCB">
      <w:pPr>
        <w:spacing w:before="120" w:after="120" w:line="240" w:lineRule="auto"/>
        <w:ind w:left="709"/>
        <w:jc w:val="both"/>
        <w:rPr>
          <w:rFonts w:ascii="Times New Roman" w:hAnsi="Times New Roman" w:cs="Times New Roman"/>
          <w:noProof/>
          <w:sz w:val="24"/>
        </w:rPr>
      </w:pPr>
    </w:p>
    <w:p w14:paraId="34E2B672"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23"/>
          <w:headerReference w:type="default" r:id="rId224"/>
          <w:footerReference w:type="even" r:id="rId225"/>
          <w:footerReference w:type="default" r:id="rId226"/>
          <w:headerReference w:type="first" r:id="rId227"/>
          <w:footerReference w:type="first" r:id="rId228"/>
          <w:pgSz w:w="11907" w:h="16839"/>
          <w:pgMar w:top="1134" w:right="1417" w:bottom="1134" w:left="1417" w:header="709" w:footer="709" w:gutter="0"/>
          <w:cols w:space="720"/>
          <w:docGrid w:linePitch="360"/>
        </w:sectPr>
      </w:pPr>
    </w:p>
    <w:p w14:paraId="787DF559"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M.2.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133A518B" w14:textId="77777777" w:rsidR="00CB0FCB" w:rsidRDefault="00CB0FCB">
      <w:pPr>
        <w:rPr>
          <w:noProof/>
        </w:rPr>
      </w:pPr>
    </w:p>
    <w:p w14:paraId="3F56FEDD" w14:textId="77777777" w:rsidR="00CB0FCB" w:rsidRDefault="009D2B11">
      <w:pPr>
        <w:pStyle w:val="P68B1DB1-Normal6"/>
        <w:keepNext/>
        <w:keepLines/>
        <w:spacing w:before="40" w:after="0" w:line="240" w:lineRule="auto"/>
        <w:jc w:val="both"/>
        <w:outlineLvl w:val="4"/>
        <w:rPr>
          <w:noProof/>
        </w:rPr>
      </w:pPr>
      <w:r>
        <w:rPr>
          <w:noProof/>
        </w:rPr>
        <w:t xml:space="preserve">Galvenā reforma Nr. 9: Valsts pārvaldes reforma </w:t>
      </w:r>
    </w:p>
    <w:p w14:paraId="077C3510"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W w:w="15871" w:type="dxa"/>
        <w:jc w:val="center"/>
        <w:tblLook w:val="04A0" w:firstRow="1" w:lastRow="0" w:firstColumn="1" w:lastColumn="0" w:noHBand="0" w:noVBand="1"/>
      </w:tblPr>
      <w:tblGrid>
        <w:gridCol w:w="1027"/>
        <w:gridCol w:w="1527"/>
        <w:gridCol w:w="1807"/>
        <w:gridCol w:w="1289"/>
        <w:gridCol w:w="1713"/>
        <w:gridCol w:w="1195"/>
        <w:gridCol w:w="1396"/>
        <w:gridCol w:w="805"/>
        <w:gridCol w:w="1027"/>
        <w:gridCol w:w="827"/>
        <w:gridCol w:w="4819"/>
      </w:tblGrid>
      <w:tr w:rsidR="00CB0FCB" w14:paraId="0E7454FB" w14:textId="77777777">
        <w:trPr>
          <w:trHeight w:val="648"/>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0C52F2"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D6E73A"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7189B1"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289" w:type="dxa"/>
            <w:vMerge w:val="restart"/>
            <w:tcBorders>
              <w:top w:val="single" w:sz="4" w:space="0" w:color="auto"/>
              <w:left w:val="nil"/>
              <w:bottom w:val="single" w:sz="4" w:space="0" w:color="auto"/>
              <w:right w:val="single" w:sz="4" w:space="0" w:color="auto"/>
            </w:tcBorders>
            <w:shd w:val="clear" w:color="auto" w:fill="BDD7EE"/>
            <w:vAlign w:val="center"/>
            <w:hideMark/>
          </w:tcPr>
          <w:p w14:paraId="6BBC1B2C"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6B58F4"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Kvalitatīvie rādītāji </w:t>
            </w:r>
            <w:r>
              <w:rPr>
                <w:noProof/>
                <w:sz w:val="24"/>
              </w:rPr>
              <w:t xml:space="preserve"> </w:t>
            </w:r>
            <w:r>
              <w:rPr>
                <w:b/>
                <w:noProof/>
                <w:sz w:val="18"/>
              </w:rPr>
              <w:t>(atskaites punktiem)</w:t>
            </w:r>
          </w:p>
        </w:tc>
        <w:tc>
          <w:tcPr>
            <w:tcW w:w="2857" w:type="dxa"/>
            <w:gridSpan w:val="3"/>
            <w:tcBorders>
              <w:top w:val="single" w:sz="4" w:space="0" w:color="auto"/>
              <w:left w:val="nil"/>
              <w:bottom w:val="single" w:sz="4" w:space="0" w:color="auto"/>
              <w:right w:val="single" w:sz="4" w:space="0" w:color="auto"/>
            </w:tcBorders>
            <w:shd w:val="clear" w:color="auto" w:fill="BDD7EE"/>
            <w:vAlign w:val="center"/>
            <w:hideMark/>
          </w:tcPr>
          <w:p w14:paraId="734046C1"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Kvantitatīvie rādītāji </w:t>
            </w:r>
            <w:r>
              <w:rPr>
                <w:noProof/>
                <w:sz w:val="24"/>
              </w:rPr>
              <w:t xml:space="preserve"> </w:t>
            </w:r>
            <w:r>
              <w:rPr>
                <w:b/>
                <w:noProof/>
                <w:sz w:val="18"/>
              </w:rPr>
              <w:t>(mērķrādītājiem)</w:t>
            </w:r>
          </w:p>
        </w:tc>
        <w:tc>
          <w:tcPr>
            <w:tcW w:w="1673" w:type="dxa"/>
            <w:gridSpan w:val="2"/>
            <w:tcBorders>
              <w:top w:val="single" w:sz="4" w:space="0" w:color="auto"/>
              <w:left w:val="nil"/>
              <w:bottom w:val="single" w:sz="4" w:space="0" w:color="auto"/>
              <w:right w:val="single" w:sz="4" w:space="0" w:color="auto"/>
            </w:tcBorders>
            <w:shd w:val="clear" w:color="auto" w:fill="BDD7EE"/>
            <w:vAlign w:val="center"/>
            <w:hideMark/>
          </w:tcPr>
          <w:p w14:paraId="03E74A36"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16A2E7"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1E25DE45" w14:textId="77777777">
        <w:trPr>
          <w:trHeight w:val="562"/>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FECEB97" w14:textId="77777777" w:rsidR="00CB0FCB" w:rsidRDefault="00CB0FCB">
            <w:pPr>
              <w:spacing w:after="0" w:line="240" w:lineRule="auto"/>
              <w:rPr>
                <w:rFonts w:ascii="Times New Roman" w:eastAsia="Times New Roman" w:hAnsi="Times New Roman" w:cs="Times New Roman"/>
                <w:b/>
                <w:bCs/>
                <w:noProof/>
                <w:sz w:val="18"/>
                <w:szCs w:val="18"/>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5F16C17E"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0709DD1D" w14:textId="77777777" w:rsidR="00CB0FCB" w:rsidRDefault="00CB0FCB">
            <w:pPr>
              <w:spacing w:after="0" w:line="240" w:lineRule="auto"/>
              <w:rPr>
                <w:rFonts w:ascii="Times New Roman" w:eastAsia="Times New Roman" w:hAnsi="Times New Roman" w:cs="Times New Roman"/>
                <w:b/>
                <w:bCs/>
                <w:noProof/>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207448F3" w14:textId="77777777" w:rsidR="00CB0FCB" w:rsidRDefault="00CB0FCB">
            <w:pPr>
              <w:spacing w:after="0" w:line="240" w:lineRule="auto"/>
              <w:rPr>
                <w:rFonts w:ascii="Times New Roman" w:eastAsia="Times New Roman" w:hAnsi="Times New Roman" w:cs="Times New Roman"/>
                <w:b/>
                <w:bCs/>
                <w:noProof/>
                <w:sz w:val="18"/>
                <w:szCs w:val="18"/>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281F5A96" w14:textId="77777777" w:rsidR="00CB0FCB" w:rsidRDefault="00CB0FCB">
            <w:pPr>
              <w:spacing w:after="0" w:line="240" w:lineRule="auto"/>
              <w:rPr>
                <w:rFonts w:ascii="Times New Roman" w:eastAsia="Times New Roman" w:hAnsi="Times New Roman" w:cs="Times New Roman"/>
                <w:b/>
                <w:bCs/>
                <w:noProof/>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5E2EAD5"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nil"/>
              <w:left w:val="nil"/>
              <w:bottom w:val="single" w:sz="4" w:space="0" w:color="auto"/>
              <w:right w:val="single" w:sz="4" w:space="0" w:color="auto"/>
            </w:tcBorders>
            <w:shd w:val="clear" w:color="auto" w:fill="BDD7EE"/>
            <w:vAlign w:val="center"/>
            <w:hideMark/>
          </w:tcPr>
          <w:p w14:paraId="7D57CC03"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05" w:type="dxa"/>
            <w:tcBorders>
              <w:top w:val="nil"/>
              <w:left w:val="nil"/>
              <w:bottom w:val="single" w:sz="4" w:space="0" w:color="auto"/>
              <w:right w:val="single" w:sz="4" w:space="0" w:color="auto"/>
            </w:tcBorders>
            <w:shd w:val="clear" w:color="auto" w:fill="BDD7EE"/>
            <w:vAlign w:val="center"/>
            <w:hideMark/>
          </w:tcPr>
          <w:p w14:paraId="2C3A78BE"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46" w:type="dxa"/>
            <w:tcBorders>
              <w:top w:val="nil"/>
              <w:left w:val="nil"/>
              <w:bottom w:val="single" w:sz="4" w:space="0" w:color="auto"/>
              <w:right w:val="single" w:sz="4" w:space="0" w:color="auto"/>
            </w:tcBorders>
            <w:shd w:val="clear" w:color="auto" w:fill="BDD7EE"/>
            <w:vAlign w:val="center"/>
            <w:hideMark/>
          </w:tcPr>
          <w:p w14:paraId="5A36C8FE"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827" w:type="dxa"/>
            <w:tcBorders>
              <w:top w:val="nil"/>
              <w:left w:val="nil"/>
              <w:bottom w:val="single" w:sz="4" w:space="0" w:color="auto"/>
              <w:right w:val="single" w:sz="4" w:space="0" w:color="auto"/>
            </w:tcBorders>
            <w:shd w:val="clear" w:color="auto" w:fill="BDD7EE"/>
            <w:vAlign w:val="center"/>
            <w:hideMark/>
          </w:tcPr>
          <w:p w14:paraId="02C9AC6B"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819" w:type="dxa"/>
            <w:vMerge/>
            <w:tcBorders>
              <w:top w:val="single" w:sz="4" w:space="0" w:color="auto"/>
              <w:bottom w:val="single" w:sz="4" w:space="0" w:color="auto"/>
              <w:right w:val="single" w:sz="4" w:space="0" w:color="auto"/>
            </w:tcBorders>
            <w:vAlign w:val="center"/>
            <w:hideMark/>
          </w:tcPr>
          <w:p w14:paraId="0DE826D1"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5BEFEF1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DCCCC58" w14:textId="77777777" w:rsidR="00CB0FCB" w:rsidRDefault="009D2B11">
            <w:pPr>
              <w:pStyle w:val="P68B1DB1-Normal9"/>
              <w:spacing w:after="0" w:line="240" w:lineRule="auto"/>
              <w:rPr>
                <w:rFonts w:eastAsia="Times New Roman" w:cs="Calibri"/>
                <w:noProof/>
                <w:szCs w:val="18"/>
              </w:rPr>
            </w:pPr>
            <w:r>
              <w:rPr>
                <w:noProof/>
              </w:rPr>
              <w:t>205</w:t>
            </w:r>
          </w:p>
        </w:tc>
        <w:tc>
          <w:tcPr>
            <w:tcW w:w="1527" w:type="dxa"/>
            <w:tcBorders>
              <w:top w:val="single" w:sz="4" w:space="0" w:color="auto"/>
              <w:left w:val="nil"/>
              <w:bottom w:val="single" w:sz="4" w:space="0" w:color="auto"/>
              <w:right w:val="single" w:sz="4" w:space="0" w:color="auto"/>
            </w:tcBorders>
            <w:shd w:val="clear" w:color="auto" w:fill="C6EFCE"/>
            <w:noWrap/>
          </w:tcPr>
          <w:p w14:paraId="24C80631"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16972_Valsts pārvaldes reforma</w:t>
            </w:r>
          </w:p>
        </w:tc>
        <w:tc>
          <w:tcPr>
            <w:tcW w:w="966" w:type="dxa"/>
            <w:tcBorders>
              <w:top w:val="single" w:sz="4" w:space="0" w:color="auto"/>
              <w:left w:val="nil"/>
              <w:bottom w:val="single" w:sz="4" w:space="0" w:color="auto"/>
              <w:right w:val="single" w:sz="4" w:space="0" w:color="auto"/>
            </w:tcBorders>
            <w:shd w:val="clear" w:color="auto" w:fill="C6EFCE"/>
            <w:noWrap/>
          </w:tcPr>
          <w:p w14:paraId="28A23E7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89" w:type="dxa"/>
            <w:tcBorders>
              <w:top w:val="single" w:sz="4" w:space="0" w:color="auto"/>
              <w:left w:val="nil"/>
              <w:bottom w:val="single" w:sz="4" w:space="0" w:color="auto"/>
              <w:right w:val="single" w:sz="4" w:space="0" w:color="auto"/>
            </w:tcBorders>
            <w:shd w:val="clear" w:color="auto" w:fill="C6EFCE"/>
            <w:noWrap/>
          </w:tcPr>
          <w:p w14:paraId="7342818A" w14:textId="77777777" w:rsidR="00CB0FCB" w:rsidRDefault="009D2B11">
            <w:pPr>
              <w:pStyle w:val="P68B1DB1-Normal9"/>
              <w:spacing w:after="0" w:line="240" w:lineRule="auto"/>
              <w:rPr>
                <w:rFonts w:eastAsia="Times New Roman" w:cs="Calibri"/>
                <w:noProof/>
                <w:szCs w:val="18"/>
              </w:rPr>
            </w:pPr>
            <w:r>
              <w:rPr>
                <w:noProof/>
              </w:rPr>
              <w:t>Valsts pārvalde — sistēmas “izpilde-maksāšana” ieviešana</w:t>
            </w:r>
          </w:p>
          <w:p w14:paraId="59707B13" w14:textId="77777777" w:rsidR="00CB0FCB" w:rsidRDefault="00CB0FCB">
            <w:pPr>
              <w:spacing w:after="0" w:line="240" w:lineRule="auto"/>
              <w:rPr>
                <w:rFonts w:eastAsia="Times New Roman" w:cs="Calibri"/>
                <w:noProof/>
                <w:color w:val="006100"/>
                <w:sz w:val="18"/>
                <w:szCs w:val="18"/>
              </w:rPr>
            </w:pPr>
          </w:p>
        </w:tc>
        <w:tc>
          <w:tcPr>
            <w:tcW w:w="1713" w:type="dxa"/>
            <w:tcBorders>
              <w:top w:val="single" w:sz="4" w:space="0" w:color="auto"/>
              <w:left w:val="nil"/>
              <w:bottom w:val="single" w:sz="4" w:space="0" w:color="auto"/>
              <w:right w:val="single" w:sz="4" w:space="0" w:color="auto"/>
            </w:tcBorders>
            <w:shd w:val="clear" w:color="auto" w:fill="C6EFCE"/>
            <w:noWrap/>
          </w:tcPr>
          <w:p w14:paraId="4B2E7021" w14:textId="77777777" w:rsidR="00CB0FCB" w:rsidRDefault="009D2B11">
            <w:pPr>
              <w:pStyle w:val="P68B1DB1-Normal9"/>
              <w:spacing w:after="0" w:line="240" w:lineRule="auto"/>
              <w:rPr>
                <w:rFonts w:eastAsia="Times New Roman" w:cs="Calibri"/>
                <w:noProof/>
                <w:szCs w:val="18"/>
              </w:rPr>
            </w:pPr>
            <w:r>
              <w:rPr>
                <w:noProof/>
              </w:rPr>
              <w:t xml:space="preserve">Stājas spēkā primārie tiesību akti, ar ko izveido izmēģinājuma atalgošanas sistēmu. </w:t>
            </w:r>
          </w:p>
        </w:tc>
        <w:tc>
          <w:tcPr>
            <w:tcW w:w="1195" w:type="dxa"/>
            <w:tcBorders>
              <w:top w:val="single" w:sz="4" w:space="0" w:color="auto"/>
              <w:left w:val="nil"/>
              <w:bottom w:val="single" w:sz="4" w:space="0" w:color="auto"/>
              <w:right w:val="single" w:sz="4" w:space="0" w:color="auto"/>
            </w:tcBorders>
            <w:shd w:val="clear" w:color="auto" w:fill="C6EFCE"/>
            <w:noWrap/>
          </w:tcPr>
          <w:p w14:paraId="4F906EDD"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2F9FC0F" w14:textId="77777777" w:rsidR="00CB0FCB" w:rsidRDefault="00CB0FCB">
            <w:pPr>
              <w:spacing w:after="0" w:line="240" w:lineRule="auto"/>
              <w:rPr>
                <w:rFonts w:eastAsia="Times New Roman" w:cs="Calibri"/>
                <w:noProof/>
                <w:color w:val="006100"/>
                <w:sz w:val="18"/>
                <w:szCs w:val="18"/>
              </w:rPr>
            </w:pPr>
          </w:p>
        </w:tc>
        <w:tc>
          <w:tcPr>
            <w:tcW w:w="805" w:type="dxa"/>
            <w:tcBorders>
              <w:top w:val="nil"/>
              <w:left w:val="nil"/>
              <w:bottom w:val="single" w:sz="4" w:space="0" w:color="auto"/>
              <w:right w:val="single" w:sz="4" w:space="0" w:color="auto"/>
            </w:tcBorders>
            <w:shd w:val="clear" w:color="auto" w:fill="C6EFCE"/>
            <w:noWrap/>
          </w:tcPr>
          <w:p w14:paraId="7B47BB3D"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9E713AA" w14:textId="77777777" w:rsidR="00CB0FCB" w:rsidRDefault="009D2B11">
            <w:pPr>
              <w:pStyle w:val="P68B1DB1-Normal9"/>
              <w:spacing w:after="0" w:line="240" w:lineRule="auto"/>
              <w:rPr>
                <w:rFonts w:eastAsia="Times New Roman" w:cs="Calibri"/>
                <w:noProof/>
                <w:szCs w:val="18"/>
              </w:rPr>
            </w:pPr>
            <w:r>
              <w:rPr>
                <w:noProof/>
              </w:rPr>
              <w:t>2. CET.</w:t>
            </w:r>
          </w:p>
        </w:tc>
        <w:tc>
          <w:tcPr>
            <w:tcW w:w="827" w:type="dxa"/>
            <w:tcBorders>
              <w:top w:val="nil"/>
              <w:left w:val="nil"/>
              <w:bottom w:val="single" w:sz="4" w:space="0" w:color="auto"/>
              <w:right w:val="single" w:sz="4" w:space="0" w:color="auto"/>
            </w:tcBorders>
            <w:shd w:val="clear" w:color="auto" w:fill="C6EFCE"/>
            <w:noWrap/>
          </w:tcPr>
          <w:p w14:paraId="00EA2805" w14:textId="77777777" w:rsidR="00CB0FCB" w:rsidRDefault="009D2B11">
            <w:pPr>
              <w:pStyle w:val="P68B1DB1-Normal9"/>
              <w:spacing w:after="0" w:line="240" w:lineRule="auto"/>
              <w:rPr>
                <w:rFonts w:eastAsia="Times New Roman" w:cs="Calibri"/>
                <w:noProof/>
                <w:szCs w:val="18"/>
              </w:rPr>
            </w:pPr>
            <w:r>
              <w:rPr>
                <w:noProof/>
              </w:rPr>
              <w:t>2022</w:t>
            </w:r>
          </w:p>
        </w:tc>
        <w:tc>
          <w:tcPr>
            <w:tcW w:w="4819" w:type="dxa"/>
            <w:tcBorders>
              <w:top w:val="single" w:sz="4" w:space="0" w:color="auto"/>
              <w:left w:val="nil"/>
              <w:bottom w:val="single" w:sz="4" w:space="0" w:color="auto"/>
              <w:right w:val="single" w:sz="4" w:space="0" w:color="auto"/>
            </w:tcBorders>
            <w:shd w:val="clear" w:color="auto" w:fill="C6EFCE"/>
            <w:noWrap/>
          </w:tcPr>
          <w:p w14:paraId="320DF154" w14:textId="77777777" w:rsidR="00CB0FCB" w:rsidRDefault="009D2B11">
            <w:pPr>
              <w:pStyle w:val="P68B1DB1-Normal9"/>
              <w:spacing w:after="0" w:line="240" w:lineRule="auto"/>
              <w:rPr>
                <w:rFonts w:eastAsia="Times New Roman" w:cs="Calibri"/>
                <w:noProof/>
                <w:szCs w:val="18"/>
              </w:rPr>
            </w:pPr>
            <w:r>
              <w:rPr>
                <w:noProof/>
              </w:rPr>
              <w:t>Stājas spēkā primārie tiesību akti, ar kuriem ievieš sistēmu, lai noteiktu skaitu izmēģinājuma vienību un līdz 6000 ierēdņu maksātu par sniegumu, kas tiks izmantots plašākā reformā, ar kuru ievieš mērķu noteikšanas pārvaldības sistēmu (sk. 2023. gada 4. ceturkšņa atskaites punktu). Izmēģinājuma projekts attiecas uz ierēdņiem, kas iesaistīti atveseļošanas un noturības plāna īstenošanā. Sistēmas galvenās iezīmes atbilst vienotajai algu sistēmai (Likums Nr. 4354/2015).</w:t>
            </w:r>
          </w:p>
        </w:tc>
      </w:tr>
      <w:tr w:rsidR="00CB0FCB" w14:paraId="47E15C2D"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1EB541CE" w14:textId="77777777" w:rsidR="00CB0FCB" w:rsidRDefault="009D2B11">
            <w:pPr>
              <w:pStyle w:val="P68B1DB1-Normal9"/>
              <w:spacing w:after="0" w:line="240" w:lineRule="auto"/>
              <w:rPr>
                <w:rFonts w:eastAsia="Times New Roman" w:cs="Calibri"/>
                <w:noProof/>
                <w:szCs w:val="18"/>
              </w:rPr>
            </w:pPr>
            <w:r>
              <w:rPr>
                <w:noProof/>
              </w:rPr>
              <w:t>206</w:t>
            </w:r>
          </w:p>
        </w:tc>
        <w:tc>
          <w:tcPr>
            <w:tcW w:w="1527" w:type="dxa"/>
            <w:tcBorders>
              <w:top w:val="nil"/>
              <w:left w:val="nil"/>
              <w:bottom w:val="single" w:sz="4" w:space="0" w:color="auto"/>
              <w:right w:val="single" w:sz="4" w:space="0" w:color="auto"/>
            </w:tcBorders>
            <w:shd w:val="clear" w:color="auto" w:fill="C6EFCE"/>
            <w:noWrap/>
          </w:tcPr>
          <w:p w14:paraId="2AAA4D36"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16972_Valsts pārvaldes reforma</w:t>
            </w:r>
          </w:p>
        </w:tc>
        <w:tc>
          <w:tcPr>
            <w:tcW w:w="966" w:type="dxa"/>
            <w:tcBorders>
              <w:top w:val="nil"/>
              <w:left w:val="nil"/>
              <w:bottom w:val="single" w:sz="4" w:space="0" w:color="auto"/>
              <w:right w:val="single" w:sz="4" w:space="0" w:color="auto"/>
            </w:tcBorders>
            <w:shd w:val="clear" w:color="auto" w:fill="C6EFCE"/>
            <w:noWrap/>
          </w:tcPr>
          <w:p w14:paraId="6260CE2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89" w:type="dxa"/>
            <w:tcBorders>
              <w:top w:val="nil"/>
              <w:left w:val="nil"/>
              <w:bottom w:val="single" w:sz="4" w:space="0" w:color="auto"/>
              <w:right w:val="single" w:sz="4" w:space="0" w:color="auto"/>
            </w:tcBorders>
            <w:shd w:val="clear" w:color="auto" w:fill="C6EFCE"/>
            <w:noWrap/>
          </w:tcPr>
          <w:p w14:paraId="36D0CD10" w14:textId="77777777" w:rsidR="00CB0FCB" w:rsidRDefault="009D2B11">
            <w:pPr>
              <w:pStyle w:val="P68B1DB1-Normal9"/>
              <w:spacing w:after="0" w:line="240" w:lineRule="auto"/>
              <w:rPr>
                <w:rFonts w:eastAsia="Times New Roman" w:cs="Calibri"/>
                <w:noProof/>
                <w:szCs w:val="18"/>
              </w:rPr>
            </w:pPr>
            <w:r>
              <w:rPr>
                <w:noProof/>
              </w:rPr>
              <w:t>Valsts pārvalde — tiesiskais regulējums pilnvaru precizēšanai</w:t>
            </w:r>
          </w:p>
        </w:tc>
        <w:tc>
          <w:tcPr>
            <w:tcW w:w="1713" w:type="dxa"/>
            <w:tcBorders>
              <w:top w:val="nil"/>
              <w:left w:val="nil"/>
              <w:bottom w:val="single" w:sz="4" w:space="0" w:color="auto"/>
              <w:right w:val="single" w:sz="4" w:space="0" w:color="auto"/>
            </w:tcBorders>
            <w:shd w:val="clear" w:color="auto" w:fill="C6EFCE"/>
            <w:noWrap/>
          </w:tcPr>
          <w:p w14:paraId="0357A912" w14:textId="77777777" w:rsidR="00CB0FCB" w:rsidRDefault="009D2B11">
            <w:pPr>
              <w:pStyle w:val="P68B1DB1-Normal9"/>
              <w:spacing w:after="0" w:line="240" w:lineRule="auto"/>
              <w:rPr>
                <w:rFonts w:eastAsia="Times New Roman" w:cs="Calibri"/>
                <w:noProof/>
                <w:szCs w:val="18"/>
              </w:rPr>
            </w:pPr>
            <w:r>
              <w:rPr>
                <w:noProof/>
              </w:rPr>
              <w:t xml:space="preserve">Stājas spēkā tiesību normas, ar kurām groza valsts pārvaldes iestāžu tiesisko regulējumu centrālā, reģionālā un vietējā līmenī. </w:t>
            </w:r>
          </w:p>
        </w:tc>
        <w:tc>
          <w:tcPr>
            <w:tcW w:w="1195" w:type="dxa"/>
            <w:tcBorders>
              <w:top w:val="nil"/>
              <w:left w:val="nil"/>
              <w:bottom w:val="single" w:sz="4" w:space="0" w:color="auto"/>
              <w:right w:val="single" w:sz="4" w:space="0" w:color="auto"/>
            </w:tcBorders>
            <w:shd w:val="clear" w:color="auto" w:fill="C6EFCE"/>
            <w:noWrap/>
          </w:tcPr>
          <w:p w14:paraId="54FDCB3D"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76AC9BD" w14:textId="77777777" w:rsidR="00CB0FCB" w:rsidRDefault="00CB0FCB">
            <w:pPr>
              <w:spacing w:after="0" w:line="240" w:lineRule="auto"/>
              <w:rPr>
                <w:rFonts w:eastAsia="Times New Roman" w:cs="Calibri"/>
                <w:noProof/>
                <w:color w:val="006100"/>
                <w:sz w:val="18"/>
                <w:szCs w:val="18"/>
              </w:rPr>
            </w:pPr>
          </w:p>
        </w:tc>
        <w:tc>
          <w:tcPr>
            <w:tcW w:w="805" w:type="dxa"/>
            <w:tcBorders>
              <w:top w:val="nil"/>
              <w:left w:val="nil"/>
              <w:bottom w:val="single" w:sz="4" w:space="0" w:color="auto"/>
              <w:right w:val="single" w:sz="4" w:space="0" w:color="auto"/>
            </w:tcBorders>
            <w:shd w:val="clear" w:color="auto" w:fill="C6EFCE"/>
            <w:noWrap/>
          </w:tcPr>
          <w:p w14:paraId="46CA24B0"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3EE4349" w14:textId="77777777" w:rsidR="00CB0FCB" w:rsidRDefault="009D2B11">
            <w:pPr>
              <w:pStyle w:val="P68B1DB1-Normal9"/>
              <w:spacing w:after="0" w:line="240" w:lineRule="auto"/>
              <w:rPr>
                <w:rFonts w:eastAsia="Times New Roman" w:cs="Calibri"/>
                <w:noProof/>
                <w:szCs w:val="18"/>
              </w:rPr>
            </w:pPr>
            <w:r>
              <w:rPr>
                <w:noProof/>
              </w:rPr>
              <w:t>CET.</w:t>
            </w:r>
          </w:p>
        </w:tc>
        <w:tc>
          <w:tcPr>
            <w:tcW w:w="827" w:type="dxa"/>
            <w:tcBorders>
              <w:top w:val="nil"/>
              <w:left w:val="nil"/>
              <w:bottom w:val="single" w:sz="4" w:space="0" w:color="auto"/>
              <w:right w:val="single" w:sz="4" w:space="0" w:color="auto"/>
            </w:tcBorders>
            <w:shd w:val="clear" w:color="auto" w:fill="C6EFCE"/>
            <w:noWrap/>
          </w:tcPr>
          <w:p w14:paraId="76982F11" w14:textId="77777777" w:rsidR="00CB0FCB" w:rsidRDefault="009D2B11">
            <w:pPr>
              <w:pStyle w:val="P68B1DB1-Normal9"/>
              <w:spacing w:after="0" w:line="240" w:lineRule="auto"/>
              <w:rPr>
                <w:rFonts w:eastAsia="Times New Roman" w:cs="Calibri"/>
                <w:noProof/>
                <w:szCs w:val="18"/>
              </w:rPr>
            </w:pPr>
            <w:r>
              <w:rPr>
                <w:noProof/>
              </w:rPr>
              <w:t>2022</w:t>
            </w:r>
          </w:p>
        </w:tc>
        <w:tc>
          <w:tcPr>
            <w:tcW w:w="4819" w:type="dxa"/>
            <w:tcBorders>
              <w:top w:val="nil"/>
              <w:left w:val="nil"/>
              <w:bottom w:val="single" w:sz="4" w:space="0" w:color="auto"/>
              <w:right w:val="single" w:sz="4" w:space="0" w:color="auto"/>
            </w:tcBorders>
            <w:shd w:val="clear" w:color="auto" w:fill="C6EFCE"/>
            <w:noWrap/>
          </w:tcPr>
          <w:p w14:paraId="4752A06D" w14:textId="77777777" w:rsidR="00CB0FCB" w:rsidRDefault="009D2B11">
            <w:pPr>
              <w:pStyle w:val="P68B1DB1-Normal9"/>
              <w:spacing w:after="0" w:line="240" w:lineRule="auto"/>
              <w:rPr>
                <w:rFonts w:eastAsia="Times New Roman" w:cs="Calibri"/>
                <w:noProof/>
                <w:szCs w:val="18"/>
              </w:rPr>
            </w:pPr>
            <w:r>
              <w:rPr>
                <w:noProof/>
              </w:rPr>
              <w:t>Stājas spēkā pārskatītie primārie un sekundārie tiesību akti, lai izveidotu daudzlīmeņu pārvaldības piešķiršanas sistēmu, kuras mērķis ir precizēt atbildību starp visiem publiskās pārvaldes līmeņiem un novērst pārklāšanos. Pārskatītajā tiesiskajā regulējumā nosaka katra subjekta atbildības jomas, kas saistītas ar plānošanu un īstenošanu, tostarp attiecībā uz tādām funkcijām kā resursu nodrošināšana un uzraudzības un izvērtēšanas pienākumi.</w:t>
            </w:r>
          </w:p>
        </w:tc>
      </w:tr>
      <w:tr w:rsidR="00CB0FCB" w14:paraId="6350578F"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B99F760" w14:textId="77777777" w:rsidR="00CB0FCB" w:rsidRDefault="009D2B11">
            <w:pPr>
              <w:pStyle w:val="P68B1DB1-Normal9"/>
              <w:spacing w:after="0" w:line="240" w:lineRule="auto"/>
              <w:rPr>
                <w:rFonts w:eastAsia="Times New Roman" w:cs="Calibri"/>
                <w:noProof/>
                <w:szCs w:val="18"/>
              </w:rPr>
            </w:pPr>
            <w:r>
              <w:rPr>
                <w:noProof/>
              </w:rPr>
              <w:t>207</w:t>
            </w:r>
          </w:p>
        </w:tc>
        <w:tc>
          <w:tcPr>
            <w:tcW w:w="1527" w:type="dxa"/>
            <w:tcBorders>
              <w:top w:val="nil"/>
              <w:left w:val="nil"/>
              <w:bottom w:val="single" w:sz="4" w:space="0" w:color="auto"/>
              <w:right w:val="single" w:sz="4" w:space="0" w:color="auto"/>
            </w:tcBorders>
            <w:shd w:val="clear" w:color="auto" w:fill="C6EFCE"/>
            <w:noWrap/>
          </w:tcPr>
          <w:p w14:paraId="4CB3ED39"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16972_Valsts pārvaldes reforma</w:t>
            </w:r>
          </w:p>
        </w:tc>
        <w:tc>
          <w:tcPr>
            <w:tcW w:w="966" w:type="dxa"/>
            <w:tcBorders>
              <w:top w:val="nil"/>
              <w:left w:val="nil"/>
              <w:bottom w:val="single" w:sz="4" w:space="0" w:color="auto"/>
              <w:right w:val="single" w:sz="4" w:space="0" w:color="auto"/>
            </w:tcBorders>
            <w:shd w:val="clear" w:color="auto" w:fill="C6EFCE"/>
            <w:noWrap/>
          </w:tcPr>
          <w:p w14:paraId="2DA08B42"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89" w:type="dxa"/>
            <w:tcBorders>
              <w:top w:val="nil"/>
              <w:left w:val="nil"/>
              <w:bottom w:val="single" w:sz="4" w:space="0" w:color="auto"/>
              <w:right w:val="single" w:sz="4" w:space="0" w:color="auto"/>
            </w:tcBorders>
            <w:shd w:val="clear" w:color="auto" w:fill="C6EFCE"/>
            <w:noWrap/>
          </w:tcPr>
          <w:p w14:paraId="030B3DDE" w14:textId="77777777" w:rsidR="00CB0FCB" w:rsidRDefault="009D2B11">
            <w:pPr>
              <w:pStyle w:val="P68B1DB1-Normal9"/>
              <w:spacing w:after="0" w:line="240" w:lineRule="auto"/>
              <w:rPr>
                <w:rFonts w:eastAsia="Times New Roman" w:cs="Calibri"/>
                <w:noProof/>
                <w:szCs w:val="18"/>
              </w:rPr>
            </w:pPr>
            <w:r>
              <w:rPr>
                <w:noProof/>
              </w:rPr>
              <w:t>Valsts pārvalde — jauna atalgošanas sistēma</w:t>
            </w:r>
          </w:p>
        </w:tc>
        <w:tc>
          <w:tcPr>
            <w:tcW w:w="1713" w:type="dxa"/>
            <w:tcBorders>
              <w:top w:val="nil"/>
              <w:left w:val="nil"/>
              <w:bottom w:val="single" w:sz="4" w:space="0" w:color="auto"/>
              <w:right w:val="single" w:sz="4" w:space="0" w:color="auto"/>
            </w:tcBorders>
            <w:shd w:val="clear" w:color="auto" w:fill="C6EFCE"/>
            <w:noWrap/>
          </w:tcPr>
          <w:p w14:paraId="61512DC9" w14:textId="77777777" w:rsidR="00CB0FCB" w:rsidRDefault="009D2B11">
            <w:pPr>
              <w:pStyle w:val="P68B1DB1-Normal9"/>
              <w:spacing w:after="0" w:line="240" w:lineRule="auto"/>
              <w:rPr>
                <w:rFonts w:eastAsia="Times New Roman" w:cs="Calibri"/>
                <w:noProof/>
                <w:szCs w:val="18"/>
              </w:rPr>
            </w:pPr>
            <w:r>
              <w:rPr>
                <w:noProof/>
              </w:rPr>
              <w:t>Stājas spēkā primārie tiesību akti, ar kuriem izveido atlīdzības sistēmu.</w:t>
            </w:r>
          </w:p>
        </w:tc>
        <w:tc>
          <w:tcPr>
            <w:tcW w:w="1195" w:type="dxa"/>
            <w:tcBorders>
              <w:top w:val="nil"/>
              <w:left w:val="nil"/>
              <w:bottom w:val="single" w:sz="4" w:space="0" w:color="auto"/>
              <w:right w:val="single" w:sz="4" w:space="0" w:color="auto"/>
            </w:tcBorders>
            <w:shd w:val="clear" w:color="auto" w:fill="C6EFCE"/>
            <w:noWrap/>
          </w:tcPr>
          <w:p w14:paraId="02566472"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47582D86" w14:textId="77777777" w:rsidR="00CB0FCB" w:rsidRDefault="00CB0FCB">
            <w:pPr>
              <w:spacing w:after="0" w:line="240" w:lineRule="auto"/>
              <w:rPr>
                <w:rFonts w:eastAsia="Times New Roman" w:cs="Calibri"/>
                <w:noProof/>
                <w:color w:val="006100"/>
                <w:sz w:val="18"/>
                <w:szCs w:val="18"/>
              </w:rPr>
            </w:pPr>
          </w:p>
        </w:tc>
        <w:tc>
          <w:tcPr>
            <w:tcW w:w="805" w:type="dxa"/>
            <w:tcBorders>
              <w:top w:val="nil"/>
              <w:left w:val="nil"/>
              <w:bottom w:val="single" w:sz="4" w:space="0" w:color="auto"/>
              <w:right w:val="single" w:sz="4" w:space="0" w:color="auto"/>
            </w:tcBorders>
            <w:shd w:val="clear" w:color="auto" w:fill="C6EFCE"/>
            <w:noWrap/>
          </w:tcPr>
          <w:p w14:paraId="1CD74BCB"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A837AA0" w14:textId="77777777" w:rsidR="00CB0FCB" w:rsidRDefault="009D2B11">
            <w:pPr>
              <w:pStyle w:val="P68B1DB1-Normal9"/>
              <w:spacing w:after="0" w:line="240" w:lineRule="auto"/>
              <w:rPr>
                <w:rFonts w:eastAsia="Times New Roman" w:cs="Calibri"/>
                <w:noProof/>
                <w:szCs w:val="18"/>
              </w:rPr>
            </w:pPr>
            <w:r>
              <w:rPr>
                <w:noProof/>
              </w:rPr>
              <w:t>4. CET.</w:t>
            </w:r>
          </w:p>
        </w:tc>
        <w:tc>
          <w:tcPr>
            <w:tcW w:w="827" w:type="dxa"/>
            <w:tcBorders>
              <w:top w:val="nil"/>
              <w:left w:val="nil"/>
              <w:bottom w:val="single" w:sz="4" w:space="0" w:color="auto"/>
              <w:right w:val="single" w:sz="4" w:space="0" w:color="auto"/>
            </w:tcBorders>
            <w:shd w:val="clear" w:color="auto" w:fill="C6EFCE"/>
            <w:noWrap/>
          </w:tcPr>
          <w:p w14:paraId="7103F15D" w14:textId="77777777" w:rsidR="00CB0FCB" w:rsidRDefault="009D2B11">
            <w:pPr>
              <w:pStyle w:val="P68B1DB1-Normal9"/>
              <w:spacing w:after="0" w:line="240" w:lineRule="auto"/>
              <w:rPr>
                <w:rFonts w:eastAsia="Times New Roman" w:cs="Calibri"/>
                <w:noProof/>
                <w:szCs w:val="18"/>
              </w:rPr>
            </w:pPr>
            <w:r>
              <w:rPr>
                <w:noProof/>
              </w:rPr>
              <w:t>2023</w:t>
            </w:r>
          </w:p>
        </w:tc>
        <w:tc>
          <w:tcPr>
            <w:tcW w:w="4819" w:type="dxa"/>
            <w:tcBorders>
              <w:top w:val="nil"/>
              <w:left w:val="nil"/>
              <w:bottom w:val="single" w:sz="4" w:space="0" w:color="auto"/>
              <w:right w:val="single" w:sz="4" w:space="0" w:color="auto"/>
            </w:tcBorders>
            <w:shd w:val="clear" w:color="auto" w:fill="C6EFCE"/>
            <w:noWrap/>
          </w:tcPr>
          <w:p w14:paraId="3F4F6130" w14:textId="77777777" w:rsidR="00CB0FCB" w:rsidRDefault="009D2B11">
            <w:pPr>
              <w:pStyle w:val="P68B1DB1-Normal9"/>
              <w:spacing w:after="0" w:line="240" w:lineRule="auto"/>
              <w:rPr>
                <w:rFonts w:eastAsia="Times New Roman" w:cs="Calibri"/>
                <w:noProof/>
                <w:szCs w:val="18"/>
              </w:rPr>
            </w:pPr>
            <w:r>
              <w:rPr>
                <w:noProof/>
              </w:rPr>
              <w:t>Stājas spēkā primārie tiesību akti, ar ko ievieš mērķu noteikšanas pārvaldības sistēmu, kuras mērķis ir taisnīgi un konsekventi atalgot valsts organizācijas pēc iepriekš noteikto mērķu sasniegšanas. Sistēmas galvenās iezīmes atbilst vienotajai algu sistēmai (Likums Nr. 4354/2015).</w:t>
            </w:r>
          </w:p>
        </w:tc>
      </w:tr>
      <w:tr w:rsidR="00CB0FCB" w14:paraId="3A2D56EC"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1C3C0316" w14:textId="77777777" w:rsidR="00CB0FCB" w:rsidRDefault="009D2B11">
            <w:pPr>
              <w:pStyle w:val="P68B1DB1-Normal9"/>
              <w:spacing w:after="0" w:line="240" w:lineRule="auto"/>
              <w:rPr>
                <w:rFonts w:eastAsia="Times New Roman" w:cs="Calibri"/>
                <w:noProof/>
                <w:szCs w:val="18"/>
              </w:rPr>
            </w:pPr>
            <w:r>
              <w:rPr>
                <w:noProof/>
              </w:rPr>
              <w:t>208</w:t>
            </w:r>
          </w:p>
        </w:tc>
        <w:tc>
          <w:tcPr>
            <w:tcW w:w="1527" w:type="dxa"/>
            <w:tcBorders>
              <w:top w:val="nil"/>
              <w:left w:val="nil"/>
              <w:bottom w:val="single" w:sz="4" w:space="0" w:color="auto"/>
              <w:right w:val="single" w:sz="4" w:space="0" w:color="auto"/>
            </w:tcBorders>
            <w:shd w:val="clear" w:color="auto" w:fill="C6EFCE"/>
            <w:noWrap/>
          </w:tcPr>
          <w:p w14:paraId="454F1951"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16972_Valsts pārvaldes reforma</w:t>
            </w:r>
          </w:p>
        </w:tc>
        <w:tc>
          <w:tcPr>
            <w:tcW w:w="966" w:type="dxa"/>
            <w:tcBorders>
              <w:top w:val="nil"/>
              <w:left w:val="nil"/>
              <w:bottom w:val="single" w:sz="4" w:space="0" w:color="auto"/>
              <w:right w:val="single" w:sz="4" w:space="0" w:color="auto"/>
            </w:tcBorders>
            <w:shd w:val="clear" w:color="auto" w:fill="C6EFCE"/>
            <w:noWrap/>
          </w:tcPr>
          <w:p w14:paraId="068B065B" w14:textId="77777777" w:rsidR="00CB0FCB" w:rsidRDefault="009D2B11">
            <w:pPr>
              <w:pStyle w:val="P68B1DB1-Normal9"/>
              <w:spacing w:after="0" w:line="240" w:lineRule="auto"/>
              <w:rPr>
                <w:rFonts w:eastAsia="Times New Roman" w:cs="Calibri"/>
                <w:noProof/>
                <w:szCs w:val="18"/>
              </w:rPr>
            </w:pPr>
            <w:r>
              <w:rPr>
                <w:noProof/>
              </w:rPr>
              <w:t>Mērķa</w:t>
            </w:r>
          </w:p>
        </w:tc>
        <w:tc>
          <w:tcPr>
            <w:tcW w:w="1289" w:type="dxa"/>
            <w:tcBorders>
              <w:top w:val="nil"/>
              <w:left w:val="nil"/>
              <w:bottom w:val="single" w:sz="4" w:space="0" w:color="auto"/>
              <w:right w:val="single" w:sz="4" w:space="0" w:color="auto"/>
            </w:tcBorders>
            <w:shd w:val="clear" w:color="auto" w:fill="C6EFCE"/>
            <w:noWrap/>
          </w:tcPr>
          <w:p w14:paraId="1E7F80F1" w14:textId="77777777" w:rsidR="00CB0FCB" w:rsidRDefault="009D2B11">
            <w:pPr>
              <w:pStyle w:val="P68B1DB1-Normal9"/>
              <w:spacing w:after="0" w:line="240" w:lineRule="auto"/>
              <w:rPr>
                <w:rFonts w:eastAsia="Times New Roman" w:cs="Calibri"/>
                <w:noProof/>
                <w:szCs w:val="18"/>
              </w:rPr>
            </w:pPr>
            <w:r>
              <w:rPr>
                <w:noProof/>
              </w:rPr>
              <w:t>Valsts pārvalde — ierēdņu mācību pabeigšana</w:t>
            </w:r>
          </w:p>
          <w:p w14:paraId="1C8253A7" w14:textId="77777777" w:rsidR="00CB0FCB" w:rsidRDefault="00CB0FCB">
            <w:pPr>
              <w:spacing w:after="0" w:line="240" w:lineRule="auto"/>
              <w:rPr>
                <w:rFonts w:eastAsia="Times New Roman" w:cs="Calibri"/>
                <w:noProof/>
                <w:color w:val="006100"/>
                <w:sz w:val="18"/>
                <w:szCs w:val="18"/>
              </w:rPr>
            </w:pPr>
          </w:p>
          <w:p w14:paraId="4ECFE6B0" w14:textId="77777777" w:rsidR="00CB0FCB" w:rsidRDefault="009D2B11">
            <w:pPr>
              <w:pStyle w:val="P68B1DB1-Normal9"/>
              <w:spacing w:after="0" w:line="240" w:lineRule="auto"/>
              <w:rPr>
                <w:rFonts w:eastAsia="Times New Roman" w:cs="Calibri"/>
                <w:noProof/>
                <w:szCs w:val="18"/>
              </w:rPr>
            </w:pPr>
            <w:r>
              <w:rPr>
                <w:noProof/>
              </w:rPr>
              <w:t>Ar darbā pieņemšanas procedūrām un darbaspēka stratēģisko plānošanu saistīto akceptu pabeigšana</w:t>
            </w:r>
          </w:p>
        </w:tc>
        <w:tc>
          <w:tcPr>
            <w:tcW w:w="1713" w:type="dxa"/>
            <w:tcBorders>
              <w:top w:val="nil"/>
              <w:left w:val="nil"/>
              <w:bottom w:val="single" w:sz="4" w:space="0" w:color="auto"/>
              <w:right w:val="single" w:sz="4" w:space="0" w:color="auto"/>
            </w:tcBorders>
            <w:shd w:val="clear" w:color="auto" w:fill="C6EFCE"/>
            <w:noWrap/>
          </w:tcPr>
          <w:p w14:paraId="18D1D08C" w14:textId="77777777" w:rsidR="00CB0FCB" w:rsidRDefault="00CB0FCB">
            <w:pPr>
              <w:spacing w:after="0" w:line="240" w:lineRule="auto"/>
              <w:rPr>
                <w:rFonts w:eastAsia="Times New Roman" w:cs="Calibri"/>
                <w:noProof/>
                <w:color w:val="006100"/>
                <w:sz w:val="18"/>
                <w:szCs w:val="18"/>
              </w:rPr>
            </w:pPr>
          </w:p>
        </w:tc>
        <w:tc>
          <w:tcPr>
            <w:tcW w:w="1195" w:type="dxa"/>
            <w:tcBorders>
              <w:top w:val="nil"/>
              <w:left w:val="nil"/>
              <w:bottom w:val="single" w:sz="4" w:space="0" w:color="auto"/>
              <w:right w:val="single" w:sz="4" w:space="0" w:color="auto"/>
            </w:tcBorders>
            <w:shd w:val="clear" w:color="auto" w:fill="C6EFCE"/>
            <w:noWrap/>
          </w:tcPr>
          <w:p w14:paraId="443A3FD5" w14:textId="77777777" w:rsidR="00CB0FCB" w:rsidRDefault="009D2B11">
            <w:pPr>
              <w:pStyle w:val="P68B1DB1-Normal9"/>
              <w:spacing w:after="0" w:line="240" w:lineRule="auto"/>
              <w:rPr>
                <w:rFonts w:eastAsia="Times New Roman" w:cs="Calibri"/>
                <w:noProof/>
                <w:szCs w:val="18"/>
              </w:rPr>
            </w:pPr>
            <w:r>
              <w:rPr>
                <w:noProof/>
              </w:rPr>
              <w:t>To dalībnieku skaits, kuri pabeiguši mācību programmas.</w:t>
            </w:r>
          </w:p>
        </w:tc>
        <w:tc>
          <w:tcPr>
            <w:tcW w:w="857" w:type="dxa"/>
            <w:tcBorders>
              <w:top w:val="nil"/>
              <w:left w:val="nil"/>
              <w:bottom w:val="single" w:sz="4" w:space="0" w:color="auto"/>
              <w:right w:val="single" w:sz="4" w:space="0" w:color="auto"/>
            </w:tcBorders>
            <w:shd w:val="clear" w:color="auto" w:fill="C6EFCE"/>
            <w:noWrap/>
          </w:tcPr>
          <w:p w14:paraId="09AFB855" w14:textId="77777777" w:rsidR="00CB0FCB" w:rsidRDefault="009D2B11">
            <w:pPr>
              <w:pStyle w:val="P68B1DB1-Normal9"/>
              <w:spacing w:after="0" w:line="240" w:lineRule="auto"/>
              <w:rPr>
                <w:rFonts w:eastAsia="Times New Roman" w:cs="Calibri"/>
                <w:noProof/>
                <w:szCs w:val="18"/>
              </w:rPr>
            </w:pPr>
            <w:r>
              <w:rPr>
                <w:noProof/>
              </w:rPr>
              <w:t>0</w:t>
            </w:r>
          </w:p>
        </w:tc>
        <w:tc>
          <w:tcPr>
            <w:tcW w:w="805" w:type="dxa"/>
            <w:tcBorders>
              <w:top w:val="nil"/>
              <w:left w:val="nil"/>
              <w:bottom w:val="single" w:sz="4" w:space="0" w:color="auto"/>
              <w:right w:val="single" w:sz="4" w:space="0" w:color="auto"/>
            </w:tcBorders>
            <w:shd w:val="clear" w:color="auto" w:fill="C6EFCE"/>
            <w:noWrap/>
          </w:tcPr>
          <w:p w14:paraId="353F4236" w14:textId="46947811" w:rsidR="00CB0FCB" w:rsidRDefault="009D2B11">
            <w:pPr>
              <w:pStyle w:val="P68B1DB1-Normal9"/>
              <w:spacing w:after="0" w:line="240" w:lineRule="auto"/>
              <w:rPr>
                <w:rFonts w:eastAsia="Times New Roman" w:cs="Calibri"/>
                <w:noProof/>
                <w:szCs w:val="18"/>
              </w:rPr>
            </w:pPr>
            <w:r>
              <w:rPr>
                <w:noProof/>
              </w:rPr>
              <w:t>225 000</w:t>
            </w:r>
          </w:p>
        </w:tc>
        <w:tc>
          <w:tcPr>
            <w:tcW w:w="846" w:type="dxa"/>
            <w:tcBorders>
              <w:top w:val="nil"/>
              <w:left w:val="nil"/>
              <w:bottom w:val="single" w:sz="4" w:space="0" w:color="auto"/>
              <w:right w:val="single" w:sz="4" w:space="0" w:color="auto"/>
            </w:tcBorders>
            <w:shd w:val="clear" w:color="auto" w:fill="C6EFCE"/>
            <w:noWrap/>
          </w:tcPr>
          <w:p w14:paraId="56DBE756" w14:textId="77777777" w:rsidR="00CB0FCB" w:rsidRDefault="009D2B11">
            <w:pPr>
              <w:pStyle w:val="P68B1DB1-Normal9"/>
              <w:spacing w:after="0" w:line="240" w:lineRule="auto"/>
              <w:rPr>
                <w:rFonts w:eastAsia="Times New Roman" w:cs="Calibri"/>
                <w:noProof/>
                <w:szCs w:val="18"/>
              </w:rPr>
            </w:pPr>
            <w:r>
              <w:rPr>
                <w:noProof/>
              </w:rPr>
              <w:t>4. CET.</w:t>
            </w:r>
          </w:p>
        </w:tc>
        <w:tc>
          <w:tcPr>
            <w:tcW w:w="827" w:type="dxa"/>
            <w:tcBorders>
              <w:top w:val="nil"/>
              <w:left w:val="nil"/>
              <w:bottom w:val="single" w:sz="4" w:space="0" w:color="auto"/>
              <w:right w:val="single" w:sz="4" w:space="0" w:color="auto"/>
            </w:tcBorders>
            <w:shd w:val="clear" w:color="auto" w:fill="C6EFCE"/>
            <w:noWrap/>
          </w:tcPr>
          <w:p w14:paraId="4D46A04A" w14:textId="77777777" w:rsidR="00CB0FCB" w:rsidRDefault="009D2B11">
            <w:pPr>
              <w:pStyle w:val="P68B1DB1-Normal9"/>
              <w:spacing w:after="0" w:line="240" w:lineRule="auto"/>
              <w:rPr>
                <w:rFonts w:eastAsia="Times New Roman" w:cs="Calibri"/>
                <w:noProof/>
                <w:szCs w:val="18"/>
              </w:rPr>
            </w:pPr>
            <w:r>
              <w:rPr>
                <w:noProof/>
              </w:rPr>
              <w:t>2025</w:t>
            </w:r>
          </w:p>
        </w:tc>
        <w:tc>
          <w:tcPr>
            <w:tcW w:w="4819" w:type="dxa"/>
            <w:tcBorders>
              <w:top w:val="nil"/>
              <w:left w:val="nil"/>
              <w:bottom w:val="single" w:sz="4" w:space="0" w:color="auto"/>
              <w:right w:val="single" w:sz="4" w:space="0" w:color="auto"/>
            </w:tcBorders>
            <w:shd w:val="clear" w:color="auto" w:fill="C6EFCE"/>
            <w:noWrap/>
          </w:tcPr>
          <w:p w14:paraId="29800CC1" w14:textId="48CEFE50" w:rsidR="00CB0FCB" w:rsidRDefault="009D2B11">
            <w:pPr>
              <w:pStyle w:val="P68B1DB1-Normal9"/>
              <w:spacing w:after="0" w:line="240" w:lineRule="auto"/>
              <w:rPr>
                <w:rFonts w:eastAsia="Times New Roman" w:cs="Calibri"/>
                <w:noProof/>
                <w:szCs w:val="18"/>
              </w:rPr>
            </w:pPr>
            <w:r>
              <w:rPr>
                <w:noProof/>
              </w:rPr>
              <w:t xml:space="preserve">Valsts ierēdņu pārkvalifikācijas un prasmju pilnveides apmācības pabeigšana ar vismaz 225000 dalībnieku. </w:t>
            </w:r>
          </w:p>
          <w:p w14:paraId="307601BC" w14:textId="13D91A56" w:rsidR="00CB0FCB" w:rsidRDefault="009D2B11">
            <w:pPr>
              <w:pStyle w:val="P68B1DB1-Normal9"/>
              <w:spacing w:after="0" w:line="240" w:lineRule="auto"/>
              <w:rPr>
                <w:rFonts w:eastAsia="Times New Roman" w:cs="Calibri"/>
                <w:noProof/>
                <w:szCs w:val="18"/>
              </w:rPr>
            </w:pPr>
            <w:r>
              <w:rPr>
                <w:noProof/>
              </w:rPr>
              <w:t>Pabeigt darbības, kuru mērķis ir i) stāties spēkā tiesību aktiem par darbā pieņemšanas procedūru paātrināšanu publiskajā sektorā, pamatojoties uz Likumu Nr. 4765/2021, un sākt darboties jauna Augstākās civildienesta personāla atlases padomes (ASEP) informācijas sistēma; un ii) tādas informācijas sistēmas darbības uzsākšana, kas atbalsta stratēģisko darbaspēka plānošanas satvaru, izmantojot mākslīgo intelektu.</w:t>
            </w:r>
          </w:p>
        </w:tc>
      </w:tr>
    </w:tbl>
    <w:p w14:paraId="786C7C77" w14:textId="77777777" w:rsidR="00CB0FCB" w:rsidRDefault="00CB0FCB">
      <w:pPr>
        <w:spacing w:before="120" w:after="120" w:line="240" w:lineRule="auto"/>
        <w:jc w:val="both"/>
        <w:rPr>
          <w:rFonts w:ascii="Times New Roman" w:hAnsi="Times New Roman" w:cs="Times New Roman"/>
          <w:noProof/>
          <w:sz w:val="24"/>
          <w:szCs w:val="24"/>
        </w:rPr>
      </w:pPr>
    </w:p>
    <w:p w14:paraId="74EFCE2C" w14:textId="77777777" w:rsidR="00CB0FCB" w:rsidRDefault="009D2B11">
      <w:pPr>
        <w:pStyle w:val="P68B1DB1-Normal6"/>
        <w:keepNext/>
        <w:keepLines/>
        <w:spacing w:before="40" w:after="0" w:line="240" w:lineRule="auto"/>
        <w:jc w:val="both"/>
        <w:outlineLvl w:val="4"/>
        <w:rPr>
          <w:rFonts w:eastAsia="Times New Roman"/>
          <w:noProof/>
        </w:rPr>
      </w:pPr>
      <w:r>
        <w:rPr>
          <w:noProof/>
        </w:rPr>
        <w:t>Grupa: Cīņa pret nelikumīgi iegūtu līdzekļu legalizāciju un korupciju</w:t>
      </w:r>
    </w:p>
    <w:p w14:paraId="2EC57262" w14:textId="77777777" w:rsidR="00CB0FCB" w:rsidRDefault="009D2B11">
      <w:pPr>
        <w:pStyle w:val="P68B1DB1-Normal4"/>
        <w:numPr>
          <w:ilvl w:val="0"/>
          <w:numId w:val="28"/>
        </w:numPr>
        <w:spacing w:before="120" w:after="0" w:line="240" w:lineRule="auto"/>
        <w:jc w:val="both"/>
        <w:rPr>
          <w:rFonts w:cs="Times New Roman"/>
          <w:noProof/>
        </w:rPr>
      </w:pPr>
      <w:r>
        <w:rPr>
          <w:noProof/>
        </w:rPr>
        <w:t>NILL/TFN regulējuma uzlabošana (ID: 16702)</w:t>
      </w:r>
    </w:p>
    <w:p w14:paraId="67C1F1F1" w14:textId="77777777" w:rsidR="00CB0FCB" w:rsidRDefault="009D2B11">
      <w:pPr>
        <w:pStyle w:val="P68B1DB1-Normal4"/>
        <w:numPr>
          <w:ilvl w:val="0"/>
          <w:numId w:val="28"/>
        </w:numPr>
        <w:spacing w:before="120" w:after="0" w:line="240" w:lineRule="auto"/>
        <w:jc w:val="both"/>
        <w:rPr>
          <w:rFonts w:cs="Times New Roman"/>
          <w:noProof/>
        </w:rPr>
      </w:pPr>
      <w:r>
        <w:rPr>
          <w:noProof/>
        </w:rPr>
        <w:t>Nelikumīgas tirdzniecības apkarošana un intelektuālā īpašuma aizsardzība (ID: 16703)</w:t>
      </w:r>
    </w:p>
    <w:p w14:paraId="166B8A50" w14:textId="77777777" w:rsidR="00CB0FCB" w:rsidRDefault="009D2B11">
      <w:pPr>
        <w:pStyle w:val="P68B1DB1-Normal4"/>
        <w:numPr>
          <w:ilvl w:val="0"/>
          <w:numId w:val="28"/>
        </w:numPr>
        <w:spacing w:before="120" w:after="0" w:line="240" w:lineRule="auto"/>
        <w:jc w:val="both"/>
        <w:rPr>
          <w:rFonts w:cs="Times New Roman"/>
          <w:noProof/>
        </w:rPr>
      </w:pPr>
      <w:r>
        <w:rPr>
          <w:noProof/>
        </w:rPr>
        <w:t>Valsts pretkorupcijas regulējuma stiprināšana (ID: 16952)</w:t>
      </w:r>
    </w:p>
    <w:p w14:paraId="36A5D7C9" w14:textId="77777777" w:rsidR="00CB0FCB" w:rsidRDefault="009D2B11">
      <w:pPr>
        <w:pStyle w:val="P68B1DB1-Normal4"/>
        <w:numPr>
          <w:ilvl w:val="0"/>
          <w:numId w:val="28"/>
        </w:numPr>
        <w:spacing w:before="120" w:after="0" w:line="240" w:lineRule="auto"/>
        <w:jc w:val="both"/>
        <w:rPr>
          <w:rFonts w:cs="Times New Roman"/>
          <w:noProof/>
        </w:rPr>
      </w:pPr>
      <w:r>
        <w:rPr>
          <w:noProof/>
        </w:rPr>
        <w:t>Efektīva korupcijas apkarošana (ID: 16978)</w:t>
      </w:r>
    </w:p>
    <w:p w14:paraId="3D728563" w14:textId="577773AD" w:rsidR="00CB0FCB" w:rsidRDefault="009D2B11">
      <w:pPr>
        <w:pStyle w:val="NormalWeb"/>
        <w:rPr>
          <w:noProof/>
        </w:rPr>
      </w:pPr>
      <w:r>
        <w:rPr>
          <w:noProof/>
        </w:rPr>
        <w:br w:type="page"/>
      </w:r>
    </w:p>
    <w:p w14:paraId="1C9D8779" w14:textId="77777777" w:rsidR="00CB0FCB" w:rsidRDefault="00CB0FCB">
      <w:pPr>
        <w:spacing w:before="120" w:after="120" w:line="240" w:lineRule="auto"/>
        <w:jc w:val="both"/>
        <w:rPr>
          <w:rFonts w:ascii="Times New Roman" w:hAnsi="Times New Roman" w:cs="Times New Roman"/>
          <w:noProof/>
          <w:sz w:val="24"/>
          <w:szCs w:val="24"/>
        </w:rPr>
      </w:pPr>
    </w:p>
    <w:tbl>
      <w:tblPr>
        <w:tblW w:w="15878" w:type="dxa"/>
        <w:jc w:val="center"/>
        <w:tblLook w:val="04A0" w:firstRow="1" w:lastRow="0" w:firstColumn="1" w:lastColumn="0" w:noHBand="0" w:noVBand="1"/>
      </w:tblPr>
      <w:tblGrid>
        <w:gridCol w:w="1027"/>
        <w:gridCol w:w="1797"/>
        <w:gridCol w:w="1807"/>
        <w:gridCol w:w="1393"/>
        <w:gridCol w:w="1534"/>
        <w:gridCol w:w="933"/>
        <w:gridCol w:w="1396"/>
        <w:gridCol w:w="766"/>
        <w:gridCol w:w="1027"/>
        <w:gridCol w:w="708"/>
        <w:gridCol w:w="5110"/>
      </w:tblGrid>
      <w:tr w:rsidR="00CB0FCB" w14:paraId="4EE2DDFE" w14:textId="77777777">
        <w:trPr>
          <w:trHeight w:val="774"/>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D740E23"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84F597E"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728E528"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93" w:type="dxa"/>
            <w:vMerge w:val="restart"/>
            <w:tcBorders>
              <w:top w:val="single" w:sz="4" w:space="0" w:color="auto"/>
              <w:left w:val="nil"/>
              <w:bottom w:val="single" w:sz="4" w:space="0" w:color="000000"/>
              <w:right w:val="single" w:sz="4" w:space="0" w:color="auto"/>
            </w:tcBorders>
            <w:shd w:val="clear" w:color="auto" w:fill="BDD7EE"/>
            <w:vAlign w:val="center"/>
            <w:hideMark/>
          </w:tcPr>
          <w:p w14:paraId="36EBF3B8"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4F19890"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Kvalitatīvie rādītāji </w:t>
            </w:r>
            <w:r>
              <w:rPr>
                <w:noProof/>
                <w:sz w:val="24"/>
              </w:rPr>
              <w:t xml:space="preserve"> </w:t>
            </w:r>
            <w:r>
              <w:rPr>
                <w:b/>
                <w:noProof/>
                <w:sz w:val="18"/>
              </w:rPr>
              <w:t>(atskaites punktiem)</w:t>
            </w:r>
          </w:p>
        </w:tc>
        <w:tc>
          <w:tcPr>
            <w:tcW w:w="2492" w:type="dxa"/>
            <w:gridSpan w:val="3"/>
            <w:tcBorders>
              <w:top w:val="single" w:sz="4" w:space="0" w:color="auto"/>
              <w:left w:val="nil"/>
              <w:bottom w:val="single" w:sz="4" w:space="0" w:color="auto"/>
              <w:right w:val="single" w:sz="4" w:space="0" w:color="auto"/>
            </w:tcBorders>
            <w:shd w:val="clear" w:color="auto" w:fill="BDD7EE"/>
            <w:vAlign w:val="center"/>
            <w:hideMark/>
          </w:tcPr>
          <w:p w14:paraId="13768111"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Kvantitatīvie rādītāji </w:t>
            </w:r>
            <w:r>
              <w:rPr>
                <w:noProof/>
                <w:sz w:val="24"/>
              </w:rPr>
              <w:t xml:space="preserve"> </w:t>
            </w:r>
            <w:r>
              <w:rPr>
                <w:b/>
                <w:noProof/>
                <w:sz w:val="18"/>
              </w:rPr>
              <w:t>(mērķrādītājiem)</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444217D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5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9A0C9E"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16E4C4A6" w14:textId="77777777">
        <w:trPr>
          <w:trHeight w:val="532"/>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14:paraId="706B35E2" w14:textId="77777777" w:rsidR="00CB0FCB" w:rsidRDefault="00CB0FCB">
            <w:pPr>
              <w:spacing w:after="0" w:line="240" w:lineRule="auto"/>
              <w:rPr>
                <w:rFonts w:ascii="Times New Roman" w:eastAsia="Times New Roman" w:hAnsi="Times New Roman" w:cs="Times New Roman"/>
                <w:b/>
                <w:bCs/>
                <w:noProof/>
                <w:sz w:val="18"/>
                <w:szCs w:val="18"/>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14:paraId="5BFF0C6C"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628C65AC" w14:textId="77777777" w:rsidR="00CB0FCB" w:rsidRDefault="00CB0FCB">
            <w:pPr>
              <w:spacing w:after="0" w:line="240" w:lineRule="auto"/>
              <w:rPr>
                <w:rFonts w:ascii="Times New Roman" w:eastAsia="Times New Roman" w:hAnsi="Times New Roman" w:cs="Times New Roman"/>
                <w:b/>
                <w:bCs/>
                <w:noProof/>
                <w:sz w:val="18"/>
                <w:szCs w:val="18"/>
              </w:rPr>
            </w:pPr>
          </w:p>
        </w:tc>
        <w:tc>
          <w:tcPr>
            <w:tcW w:w="1393" w:type="dxa"/>
            <w:vMerge/>
            <w:tcBorders>
              <w:top w:val="single" w:sz="4" w:space="0" w:color="auto"/>
              <w:left w:val="nil"/>
              <w:bottom w:val="single" w:sz="4" w:space="0" w:color="000000"/>
              <w:right w:val="single" w:sz="4" w:space="0" w:color="auto"/>
            </w:tcBorders>
            <w:vAlign w:val="center"/>
            <w:hideMark/>
          </w:tcPr>
          <w:p w14:paraId="3F255A8A" w14:textId="77777777" w:rsidR="00CB0FCB" w:rsidRDefault="00CB0FCB">
            <w:pPr>
              <w:spacing w:after="0" w:line="240" w:lineRule="auto"/>
              <w:rPr>
                <w:rFonts w:ascii="Times New Roman" w:eastAsia="Times New Roman" w:hAnsi="Times New Roman" w:cs="Times New Roman"/>
                <w:b/>
                <w:bCs/>
                <w:noProof/>
                <w:sz w:val="18"/>
                <w:szCs w:val="18"/>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170F3EEC" w14:textId="77777777" w:rsidR="00CB0FCB" w:rsidRDefault="00CB0FCB">
            <w:pPr>
              <w:spacing w:after="0" w:line="240" w:lineRule="auto"/>
              <w:rPr>
                <w:rFonts w:ascii="Times New Roman" w:eastAsia="Times New Roman" w:hAnsi="Times New Roman" w:cs="Times New Roman"/>
                <w:b/>
                <w:bCs/>
                <w:noProof/>
                <w:sz w:val="18"/>
                <w:szCs w:val="18"/>
              </w:rPr>
            </w:pPr>
          </w:p>
        </w:tc>
        <w:tc>
          <w:tcPr>
            <w:tcW w:w="933" w:type="dxa"/>
            <w:tcBorders>
              <w:top w:val="nil"/>
              <w:left w:val="nil"/>
              <w:bottom w:val="single" w:sz="4" w:space="0" w:color="auto"/>
              <w:right w:val="single" w:sz="4" w:space="0" w:color="auto"/>
            </w:tcBorders>
            <w:shd w:val="clear" w:color="auto" w:fill="BDD7EE"/>
            <w:vAlign w:val="center"/>
            <w:hideMark/>
          </w:tcPr>
          <w:p w14:paraId="3EED8E98"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nil"/>
              <w:left w:val="nil"/>
              <w:bottom w:val="single" w:sz="4" w:space="0" w:color="auto"/>
              <w:right w:val="single" w:sz="4" w:space="0" w:color="auto"/>
            </w:tcBorders>
            <w:shd w:val="clear" w:color="auto" w:fill="BDD7EE"/>
            <w:vAlign w:val="center"/>
            <w:hideMark/>
          </w:tcPr>
          <w:p w14:paraId="3A84332A"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02" w:type="dxa"/>
            <w:tcBorders>
              <w:top w:val="nil"/>
              <w:left w:val="nil"/>
              <w:bottom w:val="single" w:sz="4" w:space="0" w:color="auto"/>
              <w:right w:val="single" w:sz="4" w:space="0" w:color="auto"/>
            </w:tcBorders>
            <w:shd w:val="clear" w:color="auto" w:fill="BDD7EE"/>
            <w:vAlign w:val="center"/>
            <w:hideMark/>
          </w:tcPr>
          <w:p w14:paraId="7CAB92D8"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51" w:type="dxa"/>
            <w:tcBorders>
              <w:top w:val="nil"/>
              <w:left w:val="nil"/>
              <w:bottom w:val="single" w:sz="4" w:space="0" w:color="auto"/>
              <w:right w:val="single" w:sz="4" w:space="0" w:color="auto"/>
            </w:tcBorders>
            <w:shd w:val="clear" w:color="auto" w:fill="BDD7EE"/>
            <w:vAlign w:val="center"/>
            <w:hideMark/>
          </w:tcPr>
          <w:p w14:paraId="5D2D5856"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8" w:type="dxa"/>
            <w:tcBorders>
              <w:top w:val="nil"/>
              <w:left w:val="nil"/>
              <w:bottom w:val="single" w:sz="4" w:space="0" w:color="auto"/>
              <w:right w:val="single" w:sz="4" w:space="0" w:color="auto"/>
            </w:tcBorders>
            <w:shd w:val="clear" w:color="auto" w:fill="BDD7EE"/>
            <w:vAlign w:val="center"/>
            <w:hideMark/>
          </w:tcPr>
          <w:p w14:paraId="2FA2BC6D"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5110" w:type="dxa"/>
            <w:vMerge/>
            <w:tcBorders>
              <w:top w:val="single" w:sz="4" w:space="0" w:color="auto"/>
              <w:left w:val="single" w:sz="4" w:space="0" w:color="auto"/>
              <w:bottom w:val="single" w:sz="4" w:space="0" w:color="auto"/>
              <w:right w:val="single" w:sz="4" w:space="0" w:color="auto"/>
            </w:tcBorders>
            <w:vAlign w:val="center"/>
            <w:hideMark/>
          </w:tcPr>
          <w:p w14:paraId="11236BA1"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3E136397"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6158E0E1" w14:textId="77777777" w:rsidR="00CB0FCB" w:rsidRDefault="009D2B11">
            <w:pPr>
              <w:pStyle w:val="P68B1DB1-Normal9"/>
              <w:spacing w:after="0" w:line="240" w:lineRule="auto"/>
              <w:rPr>
                <w:rFonts w:eastAsia="Times New Roman" w:cs="Calibri"/>
                <w:noProof/>
                <w:szCs w:val="18"/>
              </w:rPr>
            </w:pPr>
            <w:r>
              <w:rPr>
                <w:noProof/>
              </w:rPr>
              <w:t>209</w:t>
            </w:r>
          </w:p>
        </w:tc>
        <w:tc>
          <w:tcPr>
            <w:tcW w:w="1797" w:type="dxa"/>
            <w:tcBorders>
              <w:top w:val="nil"/>
              <w:left w:val="nil"/>
              <w:bottom w:val="single" w:sz="4" w:space="0" w:color="auto"/>
              <w:right w:val="single" w:sz="4" w:space="0" w:color="auto"/>
            </w:tcBorders>
            <w:shd w:val="clear" w:color="auto" w:fill="C6EFCE"/>
            <w:noWrap/>
          </w:tcPr>
          <w:p w14:paraId="29B80A01"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16978_Efektīva korupcijas apkarošana</w:t>
            </w:r>
          </w:p>
        </w:tc>
        <w:tc>
          <w:tcPr>
            <w:tcW w:w="966" w:type="dxa"/>
            <w:tcBorders>
              <w:top w:val="nil"/>
              <w:left w:val="nil"/>
              <w:bottom w:val="single" w:sz="4" w:space="0" w:color="auto"/>
              <w:right w:val="single" w:sz="4" w:space="0" w:color="auto"/>
            </w:tcBorders>
            <w:shd w:val="clear" w:color="auto" w:fill="C6EFCE"/>
            <w:noWrap/>
          </w:tcPr>
          <w:p w14:paraId="1464A24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3" w:type="dxa"/>
            <w:tcBorders>
              <w:top w:val="nil"/>
              <w:left w:val="nil"/>
              <w:bottom w:val="single" w:sz="4" w:space="0" w:color="auto"/>
              <w:right w:val="single" w:sz="4" w:space="0" w:color="auto"/>
            </w:tcBorders>
            <w:shd w:val="clear" w:color="auto" w:fill="C6EFCE"/>
            <w:noWrap/>
          </w:tcPr>
          <w:p w14:paraId="73B2566E" w14:textId="77777777" w:rsidR="00CB0FCB" w:rsidRDefault="009D2B11">
            <w:pPr>
              <w:pStyle w:val="P68B1DB1-Normal9"/>
              <w:spacing w:after="0" w:line="240" w:lineRule="auto"/>
              <w:rPr>
                <w:rFonts w:eastAsia="Times New Roman" w:cs="Calibri"/>
                <w:noProof/>
                <w:szCs w:val="18"/>
              </w:rPr>
            </w:pPr>
            <w:r>
              <w:rPr>
                <w:noProof/>
              </w:rPr>
              <w:t>Aktīvu deklarācijas un politiskās partijas</w:t>
            </w:r>
          </w:p>
        </w:tc>
        <w:tc>
          <w:tcPr>
            <w:tcW w:w="1534" w:type="dxa"/>
            <w:tcBorders>
              <w:top w:val="nil"/>
              <w:left w:val="nil"/>
              <w:bottom w:val="single" w:sz="4" w:space="0" w:color="auto"/>
              <w:right w:val="single" w:sz="4" w:space="0" w:color="auto"/>
            </w:tcBorders>
            <w:shd w:val="clear" w:color="auto" w:fill="C6EFCE"/>
            <w:noWrap/>
          </w:tcPr>
          <w:p w14:paraId="1BAAB598" w14:textId="77777777" w:rsidR="00CB0FCB" w:rsidRDefault="009D2B11">
            <w:pPr>
              <w:pStyle w:val="P68B1DB1-Normal9"/>
              <w:spacing w:after="0" w:line="240" w:lineRule="auto"/>
              <w:rPr>
                <w:rFonts w:eastAsia="Times New Roman" w:cs="Calibri"/>
                <w:noProof/>
                <w:szCs w:val="18"/>
              </w:rPr>
            </w:pPr>
            <w:r>
              <w:rPr>
                <w:noProof/>
              </w:rPr>
              <w:t>Jaunu tiesību aktu stāšanās spēkā</w:t>
            </w:r>
          </w:p>
        </w:tc>
        <w:tc>
          <w:tcPr>
            <w:tcW w:w="933" w:type="dxa"/>
            <w:tcBorders>
              <w:top w:val="nil"/>
              <w:left w:val="nil"/>
              <w:bottom w:val="single" w:sz="4" w:space="0" w:color="auto"/>
              <w:right w:val="single" w:sz="4" w:space="0" w:color="auto"/>
            </w:tcBorders>
            <w:shd w:val="clear" w:color="auto" w:fill="C6EFCE"/>
            <w:noWrap/>
          </w:tcPr>
          <w:p w14:paraId="7F0556F7"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AE63E44" w14:textId="77777777" w:rsidR="00CB0FCB" w:rsidRDefault="00CB0FCB">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3DEF65FC"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4283FA1" w14:textId="77777777" w:rsidR="00CB0FCB" w:rsidRDefault="009D2B11">
            <w:pPr>
              <w:pStyle w:val="P68B1DB1-Normal9"/>
              <w:spacing w:after="0" w:line="240" w:lineRule="auto"/>
              <w:rPr>
                <w:rFonts w:eastAsia="Times New Roman" w:cs="Calibri"/>
                <w:noProof/>
                <w:szCs w:val="18"/>
              </w:rPr>
            </w:pPr>
            <w:r>
              <w:rPr>
                <w:noProof/>
              </w:rPr>
              <w:t>CET.</w:t>
            </w:r>
          </w:p>
        </w:tc>
        <w:tc>
          <w:tcPr>
            <w:tcW w:w="708" w:type="dxa"/>
            <w:tcBorders>
              <w:top w:val="nil"/>
              <w:left w:val="nil"/>
              <w:bottom w:val="single" w:sz="4" w:space="0" w:color="auto"/>
              <w:right w:val="single" w:sz="4" w:space="0" w:color="auto"/>
            </w:tcBorders>
            <w:shd w:val="clear" w:color="auto" w:fill="C6EFCE"/>
            <w:noWrap/>
          </w:tcPr>
          <w:p w14:paraId="371DB71D" w14:textId="77777777" w:rsidR="00CB0FCB" w:rsidRDefault="009D2B11">
            <w:pPr>
              <w:pStyle w:val="P68B1DB1-Normal9"/>
              <w:spacing w:after="0" w:line="240" w:lineRule="auto"/>
              <w:rPr>
                <w:rFonts w:eastAsia="Times New Roman" w:cs="Calibri"/>
                <w:noProof/>
                <w:szCs w:val="18"/>
              </w:rPr>
            </w:pPr>
            <w:r>
              <w:rPr>
                <w:noProof/>
              </w:rPr>
              <w:t>2022</w:t>
            </w:r>
          </w:p>
        </w:tc>
        <w:tc>
          <w:tcPr>
            <w:tcW w:w="5110" w:type="dxa"/>
            <w:tcBorders>
              <w:top w:val="nil"/>
              <w:left w:val="nil"/>
              <w:bottom w:val="single" w:sz="4" w:space="0" w:color="auto"/>
              <w:right w:val="single" w:sz="4" w:space="0" w:color="auto"/>
            </w:tcBorders>
            <w:shd w:val="clear" w:color="auto" w:fill="C6EFCE"/>
            <w:noWrap/>
          </w:tcPr>
          <w:p w14:paraId="0A06B326" w14:textId="77777777" w:rsidR="00CB0FCB" w:rsidRDefault="009D2B11">
            <w:pPr>
              <w:pStyle w:val="P68B1DB1-Normal9"/>
              <w:spacing w:after="0" w:line="240" w:lineRule="auto"/>
              <w:rPr>
                <w:rFonts w:eastAsia="Times New Roman" w:cs="Calibri"/>
                <w:noProof/>
                <w:szCs w:val="18"/>
              </w:rPr>
            </w:pPr>
            <w:r>
              <w:rPr>
                <w:noProof/>
              </w:rPr>
              <w:t xml:space="preserve">Jauno tiesību aktu stāšanās spēkā attiecībā uz: I) aktīvu deklarācijas; II) un tiesību aktu par politiskajām partijām kodifikāciju. </w:t>
            </w:r>
          </w:p>
        </w:tc>
      </w:tr>
      <w:tr w:rsidR="00CB0FCB" w14:paraId="49850913"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08E066D5" w14:textId="77777777" w:rsidR="00CB0FCB" w:rsidRDefault="009D2B11">
            <w:pPr>
              <w:pStyle w:val="P68B1DB1-Normal9"/>
              <w:spacing w:after="0" w:line="240" w:lineRule="auto"/>
              <w:rPr>
                <w:rFonts w:eastAsia="Times New Roman" w:cs="Calibri"/>
                <w:noProof/>
                <w:szCs w:val="18"/>
              </w:rPr>
            </w:pPr>
            <w:r>
              <w:rPr>
                <w:noProof/>
              </w:rPr>
              <w:t>210</w:t>
            </w:r>
          </w:p>
        </w:tc>
        <w:tc>
          <w:tcPr>
            <w:tcW w:w="1797" w:type="dxa"/>
            <w:tcBorders>
              <w:top w:val="nil"/>
              <w:left w:val="nil"/>
              <w:bottom w:val="single" w:sz="4" w:space="0" w:color="auto"/>
              <w:right w:val="single" w:sz="4" w:space="0" w:color="auto"/>
            </w:tcBorders>
            <w:shd w:val="clear" w:color="auto" w:fill="C6EFCE"/>
            <w:noWrap/>
          </w:tcPr>
          <w:p w14:paraId="23D5BE17"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16952_ Valsts pretkorupcijas regulējuma stiprināšana, veicot mērķtiecīgus pasākumus atklāšanas, novēršanas un izpratnes veicināšanas jomā</w:t>
            </w:r>
          </w:p>
        </w:tc>
        <w:tc>
          <w:tcPr>
            <w:tcW w:w="966" w:type="dxa"/>
            <w:tcBorders>
              <w:top w:val="nil"/>
              <w:left w:val="nil"/>
              <w:bottom w:val="single" w:sz="4" w:space="0" w:color="auto"/>
              <w:right w:val="single" w:sz="4" w:space="0" w:color="auto"/>
            </w:tcBorders>
            <w:shd w:val="clear" w:color="auto" w:fill="C6EFCE"/>
            <w:noWrap/>
          </w:tcPr>
          <w:p w14:paraId="59EA417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3" w:type="dxa"/>
            <w:tcBorders>
              <w:top w:val="nil"/>
              <w:left w:val="nil"/>
              <w:bottom w:val="single" w:sz="4" w:space="0" w:color="auto"/>
              <w:right w:val="single" w:sz="4" w:space="0" w:color="auto"/>
            </w:tcBorders>
            <w:shd w:val="clear" w:color="auto" w:fill="C6EFCE"/>
            <w:noWrap/>
          </w:tcPr>
          <w:p w14:paraId="0ADF16AE" w14:textId="77777777" w:rsidR="00CB0FCB" w:rsidRDefault="009D2B11">
            <w:pPr>
              <w:pStyle w:val="P68B1DB1-Normal9"/>
              <w:spacing w:after="0" w:line="240" w:lineRule="auto"/>
              <w:rPr>
                <w:rFonts w:eastAsia="Times New Roman" w:cs="Calibri"/>
                <w:noProof/>
                <w:szCs w:val="18"/>
              </w:rPr>
            </w:pPr>
            <w:r>
              <w:rPr>
                <w:noProof/>
              </w:rPr>
              <w:t>Valsts pretkorupcijas rīcības plāns</w:t>
            </w:r>
          </w:p>
        </w:tc>
        <w:tc>
          <w:tcPr>
            <w:tcW w:w="1534" w:type="dxa"/>
            <w:tcBorders>
              <w:top w:val="nil"/>
              <w:left w:val="nil"/>
              <w:bottom w:val="single" w:sz="4" w:space="0" w:color="auto"/>
              <w:right w:val="single" w:sz="4" w:space="0" w:color="auto"/>
            </w:tcBorders>
            <w:shd w:val="clear" w:color="auto" w:fill="C6EFCE"/>
            <w:noWrap/>
          </w:tcPr>
          <w:p w14:paraId="2B75C284" w14:textId="77777777" w:rsidR="00CB0FCB" w:rsidRDefault="009D2B11">
            <w:pPr>
              <w:pStyle w:val="P68B1DB1-Normal9"/>
              <w:spacing w:after="0" w:line="240" w:lineRule="auto"/>
              <w:rPr>
                <w:rFonts w:eastAsia="Times New Roman" w:cs="Calibri"/>
                <w:noProof/>
                <w:szCs w:val="18"/>
              </w:rPr>
            </w:pPr>
            <w:r>
              <w:rPr>
                <w:noProof/>
              </w:rPr>
              <w:t>Valsts pārredzamības iestāde pieņem Valsts pretkorupcijas rīcības plānu 2022.–2025. gadam</w:t>
            </w:r>
          </w:p>
        </w:tc>
        <w:tc>
          <w:tcPr>
            <w:tcW w:w="933" w:type="dxa"/>
            <w:tcBorders>
              <w:top w:val="nil"/>
              <w:left w:val="nil"/>
              <w:bottom w:val="single" w:sz="4" w:space="0" w:color="auto"/>
              <w:right w:val="single" w:sz="4" w:space="0" w:color="auto"/>
            </w:tcBorders>
            <w:shd w:val="clear" w:color="auto" w:fill="C6EFCE"/>
            <w:noWrap/>
          </w:tcPr>
          <w:p w14:paraId="5FB4095C"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8D7EC3C" w14:textId="77777777" w:rsidR="00CB0FCB" w:rsidRDefault="00CB0FCB">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2E8E7D29"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B644CB0" w14:textId="77777777" w:rsidR="00CB0FCB" w:rsidRDefault="009D2B11">
            <w:pPr>
              <w:pStyle w:val="P68B1DB1-Normal9"/>
              <w:spacing w:after="0" w:line="240" w:lineRule="auto"/>
              <w:rPr>
                <w:rFonts w:eastAsia="Times New Roman" w:cs="Calibri"/>
                <w:noProof/>
                <w:szCs w:val="18"/>
              </w:rPr>
            </w:pPr>
            <w:r>
              <w:rPr>
                <w:noProof/>
              </w:rPr>
              <w:t>CET.</w:t>
            </w:r>
          </w:p>
        </w:tc>
        <w:tc>
          <w:tcPr>
            <w:tcW w:w="708" w:type="dxa"/>
            <w:tcBorders>
              <w:top w:val="nil"/>
              <w:left w:val="nil"/>
              <w:bottom w:val="single" w:sz="4" w:space="0" w:color="auto"/>
              <w:right w:val="single" w:sz="4" w:space="0" w:color="auto"/>
            </w:tcBorders>
            <w:shd w:val="clear" w:color="auto" w:fill="C6EFCE"/>
            <w:noWrap/>
          </w:tcPr>
          <w:p w14:paraId="41DEB7A8" w14:textId="77777777" w:rsidR="00CB0FCB" w:rsidRDefault="009D2B11">
            <w:pPr>
              <w:pStyle w:val="P68B1DB1-Normal9"/>
              <w:spacing w:after="0" w:line="240" w:lineRule="auto"/>
              <w:rPr>
                <w:rFonts w:eastAsia="Times New Roman" w:cs="Calibri"/>
                <w:noProof/>
                <w:szCs w:val="18"/>
              </w:rPr>
            </w:pPr>
            <w:r>
              <w:rPr>
                <w:noProof/>
              </w:rPr>
              <w:t>2022</w:t>
            </w:r>
          </w:p>
        </w:tc>
        <w:tc>
          <w:tcPr>
            <w:tcW w:w="5110" w:type="dxa"/>
            <w:tcBorders>
              <w:top w:val="nil"/>
              <w:left w:val="nil"/>
              <w:bottom w:val="single" w:sz="4" w:space="0" w:color="auto"/>
              <w:right w:val="single" w:sz="4" w:space="0" w:color="auto"/>
            </w:tcBorders>
            <w:shd w:val="clear" w:color="auto" w:fill="C6EFCE"/>
            <w:noWrap/>
          </w:tcPr>
          <w:p w14:paraId="183878F5" w14:textId="77777777" w:rsidR="00CB0FCB" w:rsidRDefault="009D2B11">
            <w:pPr>
              <w:pStyle w:val="P68B1DB1-Normal9"/>
              <w:spacing w:after="0" w:line="240" w:lineRule="auto"/>
              <w:rPr>
                <w:rFonts w:eastAsia="Times New Roman" w:cs="Calibri"/>
                <w:noProof/>
                <w:szCs w:val="18"/>
              </w:rPr>
            </w:pPr>
            <w:r>
              <w:rPr>
                <w:noProof/>
              </w:rPr>
              <w:t>Valsts pārredzamības iestāde pieņem Valsts pretkorupcijas rīcības plānu 2022.–2025. gadam, tostarp precizē: I) darbības pārredzamības un pārskatatbildības uzlabošanai valsts pārvaldē; II) mērķtiecīgas intervences, lai atklātu un novērstu korupciju augsta riska jomās (tostarp, piemēram, veselības, publisko finanšu, investīciju jomā); III) nepieciešamās regulatīvās intervences atsevišķās politikas jomās.</w:t>
            </w:r>
          </w:p>
        </w:tc>
      </w:tr>
      <w:tr w:rsidR="00CB0FCB" w14:paraId="51B17C04"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0FB9EEFA" w14:textId="77777777" w:rsidR="00CB0FCB" w:rsidRDefault="009D2B11">
            <w:pPr>
              <w:pStyle w:val="P68B1DB1-Normal9"/>
              <w:spacing w:after="0" w:line="240" w:lineRule="auto"/>
              <w:rPr>
                <w:rFonts w:eastAsia="Times New Roman" w:cs="Calibri"/>
                <w:noProof/>
                <w:szCs w:val="18"/>
              </w:rPr>
            </w:pPr>
            <w:r>
              <w:rPr>
                <w:noProof/>
              </w:rPr>
              <w:t>211</w:t>
            </w:r>
          </w:p>
        </w:tc>
        <w:tc>
          <w:tcPr>
            <w:tcW w:w="1797" w:type="dxa"/>
            <w:tcBorders>
              <w:top w:val="nil"/>
              <w:left w:val="nil"/>
              <w:bottom w:val="single" w:sz="4" w:space="0" w:color="auto"/>
              <w:right w:val="single" w:sz="4" w:space="0" w:color="auto"/>
            </w:tcBorders>
            <w:shd w:val="clear" w:color="auto" w:fill="C6EFCE"/>
            <w:noWrap/>
          </w:tcPr>
          <w:p w14:paraId="6B11B4D3"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16952_ Valsts pretkorupcijas regulējuma stiprināšana, veicot mērķtiecīgus pasākumus atklāšanas, novēršanas un izpratnes veicināšanas jomā</w:t>
            </w:r>
          </w:p>
        </w:tc>
        <w:tc>
          <w:tcPr>
            <w:tcW w:w="966" w:type="dxa"/>
            <w:tcBorders>
              <w:top w:val="nil"/>
              <w:left w:val="nil"/>
              <w:bottom w:val="single" w:sz="4" w:space="0" w:color="auto"/>
              <w:right w:val="single" w:sz="4" w:space="0" w:color="auto"/>
            </w:tcBorders>
            <w:shd w:val="clear" w:color="auto" w:fill="C6EFCE"/>
            <w:noWrap/>
          </w:tcPr>
          <w:p w14:paraId="2152F1D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3" w:type="dxa"/>
            <w:tcBorders>
              <w:top w:val="nil"/>
              <w:left w:val="nil"/>
              <w:bottom w:val="single" w:sz="4" w:space="0" w:color="auto"/>
              <w:right w:val="single" w:sz="4" w:space="0" w:color="auto"/>
            </w:tcBorders>
            <w:shd w:val="clear" w:color="auto" w:fill="C6EFCE"/>
            <w:noWrap/>
          </w:tcPr>
          <w:p w14:paraId="0614DA97" w14:textId="77777777" w:rsidR="00CB0FCB" w:rsidRDefault="009D2B11">
            <w:pPr>
              <w:pStyle w:val="P68B1DB1-Normal9"/>
              <w:spacing w:after="0" w:line="240" w:lineRule="auto"/>
              <w:rPr>
                <w:rFonts w:eastAsia="Times New Roman" w:cs="Calibri"/>
                <w:noProof/>
                <w:szCs w:val="18"/>
              </w:rPr>
            </w:pPr>
            <w:r>
              <w:rPr>
                <w:noProof/>
              </w:rPr>
              <w:t>Iekšējās kontroles tiesību aktu īstenošana</w:t>
            </w:r>
          </w:p>
        </w:tc>
        <w:tc>
          <w:tcPr>
            <w:tcW w:w="1534" w:type="dxa"/>
            <w:tcBorders>
              <w:top w:val="nil"/>
              <w:left w:val="nil"/>
              <w:bottom w:val="single" w:sz="4" w:space="0" w:color="auto"/>
              <w:right w:val="single" w:sz="4" w:space="0" w:color="auto"/>
            </w:tcBorders>
            <w:shd w:val="clear" w:color="auto" w:fill="C6EFCE"/>
            <w:noWrap/>
          </w:tcPr>
          <w:p w14:paraId="691294A4" w14:textId="462CE818" w:rsidR="00CB0FCB" w:rsidRDefault="009D2B11">
            <w:pPr>
              <w:pStyle w:val="P68B1DB1-Normal9"/>
              <w:spacing w:after="0" w:line="240" w:lineRule="auto"/>
              <w:rPr>
                <w:rFonts w:eastAsia="Times New Roman" w:cs="Calibri"/>
                <w:noProof/>
                <w:szCs w:val="18"/>
              </w:rPr>
            </w:pPr>
            <w:r>
              <w:rPr>
                <w:noProof/>
              </w:rPr>
              <w:t>Valsts pārredzamības iestādes ziņojums par izveidotajām iekšējās kontroles sistēmām</w:t>
            </w:r>
          </w:p>
          <w:p w14:paraId="08DD43DA" w14:textId="77777777" w:rsidR="00CB0FCB" w:rsidRDefault="009D2B11">
            <w:pPr>
              <w:pStyle w:val="P68B1DB1-Normal9"/>
              <w:spacing w:after="0" w:line="240" w:lineRule="auto"/>
              <w:rPr>
                <w:rFonts w:eastAsia="Times New Roman" w:cs="Calibri"/>
                <w:noProof/>
                <w:szCs w:val="18"/>
              </w:rPr>
            </w:pPr>
            <w:r>
              <w:rPr>
                <w:noProof/>
              </w:rPr>
              <w:t>Izdotie normatīvie akti</w:t>
            </w:r>
          </w:p>
          <w:p w14:paraId="2B80C7BB" w14:textId="77777777" w:rsidR="00CB0FCB" w:rsidRDefault="009D2B11">
            <w:pPr>
              <w:pStyle w:val="P68B1DB1-Normal9"/>
              <w:spacing w:after="0" w:line="240" w:lineRule="auto"/>
              <w:rPr>
                <w:rFonts w:eastAsia="Times New Roman" w:cs="Calibri"/>
                <w:noProof/>
                <w:szCs w:val="18"/>
              </w:rPr>
            </w:pPr>
            <w:r>
              <w:rPr>
                <w:noProof/>
              </w:rPr>
              <w:t xml:space="preserve">Pieņemts kopīgs ministru lēmums </w:t>
            </w:r>
          </w:p>
        </w:tc>
        <w:tc>
          <w:tcPr>
            <w:tcW w:w="933" w:type="dxa"/>
            <w:tcBorders>
              <w:top w:val="nil"/>
              <w:left w:val="nil"/>
              <w:bottom w:val="single" w:sz="4" w:space="0" w:color="auto"/>
              <w:right w:val="single" w:sz="4" w:space="0" w:color="auto"/>
            </w:tcBorders>
            <w:shd w:val="clear" w:color="auto" w:fill="C6EFCE"/>
            <w:noWrap/>
          </w:tcPr>
          <w:p w14:paraId="067B19FE"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3BA0DC92" w14:textId="77777777" w:rsidR="00CB0FCB" w:rsidRDefault="00CB0FCB">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253AA8D4"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566B940C" w14:textId="77777777" w:rsidR="00CB0FCB" w:rsidRDefault="009D2B11">
            <w:pPr>
              <w:pStyle w:val="P68B1DB1-Normal9"/>
              <w:spacing w:after="0" w:line="240" w:lineRule="auto"/>
              <w:rPr>
                <w:rFonts w:eastAsia="Times New Roman" w:cs="Calibri"/>
                <w:noProof/>
                <w:szCs w:val="18"/>
              </w:rPr>
            </w:pPr>
            <w:r>
              <w:rPr>
                <w:noProof/>
              </w:rPr>
              <w:t>4. CET.</w:t>
            </w:r>
          </w:p>
        </w:tc>
        <w:tc>
          <w:tcPr>
            <w:tcW w:w="708" w:type="dxa"/>
            <w:tcBorders>
              <w:top w:val="nil"/>
              <w:left w:val="nil"/>
              <w:bottom w:val="single" w:sz="4" w:space="0" w:color="auto"/>
              <w:right w:val="single" w:sz="4" w:space="0" w:color="auto"/>
            </w:tcBorders>
            <w:shd w:val="clear" w:color="auto" w:fill="C6EFCE"/>
            <w:noWrap/>
          </w:tcPr>
          <w:p w14:paraId="781B71B0" w14:textId="77777777" w:rsidR="00CB0FCB" w:rsidRDefault="009D2B11">
            <w:pPr>
              <w:pStyle w:val="P68B1DB1-Normal9"/>
              <w:spacing w:after="0" w:line="240" w:lineRule="auto"/>
              <w:rPr>
                <w:rFonts w:eastAsia="Times New Roman" w:cs="Calibri"/>
                <w:noProof/>
                <w:szCs w:val="18"/>
              </w:rPr>
            </w:pPr>
            <w:r>
              <w:rPr>
                <w:noProof/>
              </w:rPr>
              <w:t>2022</w:t>
            </w:r>
          </w:p>
        </w:tc>
        <w:tc>
          <w:tcPr>
            <w:tcW w:w="5110" w:type="dxa"/>
            <w:tcBorders>
              <w:top w:val="nil"/>
              <w:left w:val="nil"/>
              <w:bottom w:val="single" w:sz="4" w:space="0" w:color="auto"/>
              <w:right w:val="single" w:sz="4" w:space="0" w:color="auto"/>
            </w:tcBorders>
            <w:shd w:val="clear" w:color="auto" w:fill="C6EFCE"/>
            <w:noWrap/>
          </w:tcPr>
          <w:p w14:paraId="4FE56B44" w14:textId="77777777" w:rsidR="00CB0FCB" w:rsidRDefault="009D2B11">
            <w:pPr>
              <w:pStyle w:val="P68B1DB1-Normal9"/>
              <w:spacing w:after="0" w:line="240" w:lineRule="auto"/>
              <w:rPr>
                <w:rFonts w:eastAsia="Times New Roman" w:cs="Calibri"/>
                <w:noProof/>
                <w:szCs w:val="18"/>
              </w:rPr>
            </w:pPr>
            <w:r>
              <w:rPr>
                <w:noProof/>
              </w:rPr>
              <w:t>Jaunā likuma par iekšējo kontroli valsts pārvaldē īstenošana, tostarp: I) iekšējās revīzijas nodaļu izveide nozaru ministrijās; normatīvo aktu izdošana, lai izveidotu iekšējās revīzijas struktūrvienības un revīzijas komitejas pašvaldību struktūrvienībās (1.</w:t>
            </w:r>
            <w:r>
              <w:rPr>
                <w:noProof/>
                <w:vertAlign w:val="superscript"/>
              </w:rPr>
              <w:t>un</w:t>
            </w:r>
            <w:r>
              <w:rPr>
                <w:noProof/>
              </w:rPr>
              <w:t xml:space="preserve"> 2.</w:t>
            </w:r>
            <w:r>
              <w:rPr>
                <w:noProof/>
                <w:vertAlign w:val="superscript"/>
              </w:rPr>
              <w:t>grāds</w:t>
            </w:r>
            <w:r>
              <w:rPr>
                <w:noProof/>
              </w:rPr>
              <w:t>), universitātēs, slimnīcās — veselības aprūpes struktūrvienībās, neatkarīgās iestādēs un pašvaldību struktūru juridiskajās personās; III) kopīga ministru lēmuma izdošanu, lai noteiktu kritērijus iekšējās revīzijas nodaļu sadarbībai ar ārējiem ekspertiem.</w:t>
            </w:r>
          </w:p>
          <w:p w14:paraId="2F50F322" w14:textId="77777777" w:rsidR="00CB0FCB" w:rsidRDefault="00CB0FCB">
            <w:pPr>
              <w:spacing w:after="0" w:line="240" w:lineRule="auto"/>
              <w:rPr>
                <w:rFonts w:eastAsia="Times New Roman" w:cs="Calibri"/>
                <w:noProof/>
                <w:color w:val="006100"/>
                <w:sz w:val="18"/>
                <w:szCs w:val="18"/>
              </w:rPr>
            </w:pPr>
          </w:p>
          <w:p w14:paraId="4F8C3A9D" w14:textId="77777777" w:rsidR="00CB0FCB" w:rsidRDefault="009D2B11">
            <w:pPr>
              <w:pStyle w:val="P68B1DB1-Normal9"/>
              <w:spacing w:after="0" w:line="240" w:lineRule="auto"/>
              <w:rPr>
                <w:rFonts w:eastAsia="Times New Roman" w:cs="Calibri"/>
                <w:noProof/>
                <w:szCs w:val="18"/>
              </w:rPr>
            </w:pPr>
            <w:r>
              <w:rPr>
                <w:noProof/>
              </w:rPr>
              <w:t xml:space="preserve">Valsts pārredzamības iestāde sadarbībā ar Iekšlietu ministriju nodrošina pārraudzību un norādījumus vispārējās valdības struktūrām, lai ieviestu saskaņotu un funkcionējošu iekšējās kontroles sistēmu. Valsts pārredzamības iestāde veicina iekšējās kontroles sistēmas pamatelementu izmēģinājuma pašnovērtējumu. Grieķijas Revīzijas palāta savā gada darba plānā ir iekļāvusi revīzijas iekšējās kontroles pasākumu novērtēšanai vispārējās valdības struktūrās. </w:t>
            </w:r>
          </w:p>
        </w:tc>
      </w:tr>
      <w:tr w:rsidR="00CB0FCB" w14:paraId="6A9FDC4F"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7B88373B" w14:textId="37C83FAD" w:rsidR="00CB0FCB" w:rsidRDefault="009D2B11">
            <w:pPr>
              <w:pStyle w:val="P68B1DB1-Normal9"/>
              <w:spacing w:after="0" w:line="240" w:lineRule="auto"/>
              <w:rPr>
                <w:noProof/>
              </w:rPr>
            </w:pPr>
            <w:r>
              <w:rPr>
                <w:noProof/>
              </w:rPr>
              <w:t>211.a</w:t>
            </w:r>
          </w:p>
        </w:tc>
        <w:tc>
          <w:tcPr>
            <w:tcW w:w="1797" w:type="dxa"/>
            <w:tcBorders>
              <w:top w:val="nil"/>
              <w:left w:val="nil"/>
              <w:bottom w:val="single" w:sz="4" w:space="0" w:color="auto"/>
              <w:right w:val="single" w:sz="4" w:space="0" w:color="auto"/>
            </w:tcBorders>
            <w:shd w:val="clear" w:color="auto" w:fill="C6EFCE"/>
            <w:noWrap/>
          </w:tcPr>
          <w:p w14:paraId="33BBBCD5" w14:textId="7E071C92" w:rsidR="00CB0FCB" w:rsidRDefault="009D2B11">
            <w:pPr>
              <w:pStyle w:val="P68B1DB1-Normal9"/>
              <w:spacing w:after="0" w:line="240" w:lineRule="auto"/>
              <w:rPr>
                <w:noProof/>
              </w:rPr>
            </w:pPr>
            <w:r>
              <w:rPr>
                <w:noProof/>
              </w:rPr>
              <w:t>13–4.2. Modernizēt valsts pārvaldi, tostarp paātrinot publisko investīciju īstenošanu, uzlabojot publiskā iepirkuma regulējumu, spēju veidošanas pasākumus un korupcijas apkarošanu — 16952_ Valsts pretkorupcijas regulējuma stiprināšana, veicot mērķtiecīgus pasākumus atklāšanas, novēršanas un izpratnes veicināšanas jomā</w:t>
            </w:r>
          </w:p>
        </w:tc>
        <w:tc>
          <w:tcPr>
            <w:tcW w:w="966" w:type="dxa"/>
            <w:tcBorders>
              <w:top w:val="nil"/>
              <w:left w:val="nil"/>
              <w:bottom w:val="single" w:sz="4" w:space="0" w:color="auto"/>
              <w:right w:val="single" w:sz="4" w:space="0" w:color="auto"/>
            </w:tcBorders>
            <w:shd w:val="clear" w:color="auto" w:fill="C6EFCE"/>
            <w:noWrap/>
          </w:tcPr>
          <w:p w14:paraId="44480E85" w14:textId="44A6F54E" w:rsidR="00CB0FCB" w:rsidRDefault="009D2B11">
            <w:pPr>
              <w:pStyle w:val="P68B1DB1-Normal9"/>
              <w:spacing w:after="0" w:line="240" w:lineRule="auto"/>
              <w:rPr>
                <w:noProof/>
              </w:rPr>
            </w:pPr>
            <w:r>
              <w:rPr>
                <w:noProof/>
              </w:rPr>
              <w:t>Atskaites punkts</w:t>
            </w:r>
          </w:p>
        </w:tc>
        <w:tc>
          <w:tcPr>
            <w:tcW w:w="1393" w:type="dxa"/>
            <w:tcBorders>
              <w:top w:val="nil"/>
              <w:left w:val="nil"/>
              <w:bottom w:val="single" w:sz="4" w:space="0" w:color="auto"/>
              <w:right w:val="single" w:sz="4" w:space="0" w:color="auto"/>
            </w:tcBorders>
            <w:shd w:val="clear" w:color="auto" w:fill="C6EFCE"/>
            <w:noWrap/>
          </w:tcPr>
          <w:p w14:paraId="1B61E7AD" w14:textId="5FA40A55" w:rsidR="00CB0FCB" w:rsidRDefault="009D2B11">
            <w:pPr>
              <w:pStyle w:val="P68B1DB1-Normal9"/>
              <w:spacing w:after="0" w:line="240" w:lineRule="auto"/>
              <w:rPr>
                <w:noProof/>
              </w:rPr>
            </w:pPr>
            <w:r>
              <w:rPr>
                <w:noProof/>
              </w:rPr>
              <w:t>Valsts pārredzamības iestādes projektu pabeigšana</w:t>
            </w:r>
          </w:p>
        </w:tc>
        <w:tc>
          <w:tcPr>
            <w:tcW w:w="1534" w:type="dxa"/>
            <w:tcBorders>
              <w:top w:val="nil"/>
              <w:left w:val="nil"/>
              <w:bottom w:val="single" w:sz="4" w:space="0" w:color="auto"/>
              <w:right w:val="single" w:sz="4" w:space="0" w:color="auto"/>
            </w:tcBorders>
            <w:shd w:val="clear" w:color="auto" w:fill="C6EFCE"/>
            <w:noWrap/>
          </w:tcPr>
          <w:p w14:paraId="160185C8" w14:textId="5C2A53F4" w:rsidR="00CB0FCB" w:rsidRDefault="009D2B11">
            <w:pPr>
              <w:pStyle w:val="P68B1DB1-Normal9"/>
              <w:spacing w:after="0" w:line="240" w:lineRule="auto"/>
              <w:rPr>
                <w:noProof/>
              </w:rPr>
            </w:pPr>
            <w:r>
              <w:rPr>
                <w:noProof/>
              </w:rPr>
              <w:t>Pieņemšanas apliecinājums</w:t>
            </w:r>
          </w:p>
        </w:tc>
        <w:tc>
          <w:tcPr>
            <w:tcW w:w="933" w:type="dxa"/>
            <w:tcBorders>
              <w:top w:val="nil"/>
              <w:left w:val="nil"/>
              <w:bottom w:val="single" w:sz="4" w:space="0" w:color="auto"/>
              <w:right w:val="single" w:sz="4" w:space="0" w:color="auto"/>
            </w:tcBorders>
            <w:shd w:val="clear" w:color="auto" w:fill="C6EFCE"/>
            <w:noWrap/>
          </w:tcPr>
          <w:p w14:paraId="53760A65"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2799C21" w14:textId="77777777" w:rsidR="00CB0FCB" w:rsidRDefault="00CB0FCB">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3E679D38"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807314E" w14:textId="1906AEBF" w:rsidR="00CB0FCB" w:rsidRDefault="009D2B11">
            <w:pPr>
              <w:pStyle w:val="P68B1DB1-Normal9"/>
              <w:spacing w:after="0" w:line="240" w:lineRule="auto"/>
              <w:rPr>
                <w:noProof/>
              </w:rPr>
            </w:pPr>
            <w:r>
              <w:rPr>
                <w:noProof/>
              </w:rPr>
              <w:t>4. CET.</w:t>
            </w:r>
          </w:p>
        </w:tc>
        <w:tc>
          <w:tcPr>
            <w:tcW w:w="708" w:type="dxa"/>
            <w:tcBorders>
              <w:top w:val="nil"/>
              <w:left w:val="nil"/>
              <w:bottom w:val="single" w:sz="4" w:space="0" w:color="auto"/>
              <w:right w:val="single" w:sz="4" w:space="0" w:color="auto"/>
            </w:tcBorders>
            <w:shd w:val="clear" w:color="auto" w:fill="C6EFCE"/>
            <w:noWrap/>
          </w:tcPr>
          <w:p w14:paraId="36FB4D83" w14:textId="2F7EC384" w:rsidR="00CB0FCB" w:rsidRDefault="009D2B11">
            <w:pPr>
              <w:pStyle w:val="P68B1DB1-Normal9"/>
              <w:spacing w:after="0" w:line="240" w:lineRule="auto"/>
              <w:rPr>
                <w:noProof/>
              </w:rPr>
            </w:pPr>
            <w:r>
              <w:rPr>
                <w:noProof/>
              </w:rPr>
              <w:t>2025</w:t>
            </w:r>
          </w:p>
        </w:tc>
        <w:tc>
          <w:tcPr>
            <w:tcW w:w="5110" w:type="dxa"/>
            <w:tcBorders>
              <w:top w:val="nil"/>
              <w:left w:val="nil"/>
              <w:bottom w:val="single" w:sz="4" w:space="0" w:color="auto"/>
              <w:right w:val="single" w:sz="4" w:space="0" w:color="auto"/>
            </w:tcBorders>
            <w:shd w:val="clear" w:color="auto" w:fill="C6EFCE"/>
            <w:noWrap/>
          </w:tcPr>
          <w:p w14:paraId="61D95BB3" w14:textId="32F6393A" w:rsidR="00CB0FCB" w:rsidRDefault="009D2B11">
            <w:pPr>
              <w:pStyle w:val="P68B1DB1-Normal9"/>
              <w:spacing w:after="0" w:line="240" w:lineRule="auto"/>
              <w:rPr>
                <w:noProof/>
              </w:rPr>
            </w:pPr>
            <w:r>
              <w:rPr>
                <w:noProof/>
              </w:rPr>
              <w:t>Tādu projektu pabeigšana, kas attiecas uz valsts pārredzamības iestādes digitālajām un infrastruktūras jaudām.</w:t>
            </w:r>
          </w:p>
        </w:tc>
      </w:tr>
      <w:tr w:rsidR="00CB0FCB" w14:paraId="2960A67F"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0EF7D45" w14:textId="77777777" w:rsidR="00CB0FCB" w:rsidRDefault="009D2B11">
            <w:pPr>
              <w:pStyle w:val="P68B1DB1-Normal9"/>
              <w:spacing w:after="0" w:line="240" w:lineRule="auto"/>
              <w:rPr>
                <w:rFonts w:eastAsia="Times New Roman" w:cs="Calibri"/>
                <w:noProof/>
                <w:szCs w:val="18"/>
              </w:rPr>
            </w:pPr>
            <w:r>
              <w:rPr>
                <w:noProof/>
              </w:rPr>
              <w:t>212</w:t>
            </w:r>
          </w:p>
        </w:tc>
        <w:tc>
          <w:tcPr>
            <w:tcW w:w="1797" w:type="dxa"/>
            <w:tcBorders>
              <w:top w:val="nil"/>
              <w:left w:val="nil"/>
              <w:bottom w:val="single" w:sz="4" w:space="0" w:color="auto"/>
              <w:right w:val="single" w:sz="4" w:space="0" w:color="auto"/>
            </w:tcBorders>
            <w:shd w:val="clear" w:color="auto" w:fill="C6EFCE"/>
            <w:noWrap/>
          </w:tcPr>
          <w:p w14:paraId="1EA59569"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16702_Uzlabot NILL/TFN regulējumu</w:t>
            </w:r>
          </w:p>
        </w:tc>
        <w:tc>
          <w:tcPr>
            <w:tcW w:w="966" w:type="dxa"/>
            <w:tcBorders>
              <w:top w:val="nil"/>
              <w:left w:val="nil"/>
              <w:bottom w:val="single" w:sz="4" w:space="0" w:color="auto"/>
              <w:right w:val="single" w:sz="4" w:space="0" w:color="auto"/>
            </w:tcBorders>
            <w:shd w:val="clear" w:color="auto" w:fill="C6EFCE"/>
            <w:noWrap/>
          </w:tcPr>
          <w:p w14:paraId="5161B2B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3" w:type="dxa"/>
            <w:tcBorders>
              <w:top w:val="nil"/>
              <w:left w:val="nil"/>
              <w:bottom w:val="single" w:sz="4" w:space="0" w:color="auto"/>
              <w:right w:val="single" w:sz="4" w:space="0" w:color="auto"/>
            </w:tcBorders>
            <w:shd w:val="clear" w:color="auto" w:fill="C6EFCE"/>
            <w:noWrap/>
          </w:tcPr>
          <w:p w14:paraId="2C11DA98" w14:textId="77777777" w:rsidR="00CB0FCB" w:rsidRDefault="009D2B11">
            <w:pPr>
              <w:pStyle w:val="P68B1DB1-Normal9"/>
              <w:spacing w:after="0" w:line="240" w:lineRule="auto"/>
              <w:rPr>
                <w:rFonts w:eastAsia="Times New Roman" w:cs="Calibri"/>
                <w:noProof/>
                <w:szCs w:val="18"/>
              </w:rPr>
            </w:pPr>
            <w:r>
              <w:rPr>
                <w:noProof/>
              </w:rPr>
              <w:t>Uzlabots regulējums nelikumīgi iegūtu līdzekļu legalizācijas novēršanai un terorisma finansēšanas apkarošanai (CFT)</w:t>
            </w:r>
          </w:p>
        </w:tc>
        <w:tc>
          <w:tcPr>
            <w:tcW w:w="1534" w:type="dxa"/>
            <w:tcBorders>
              <w:top w:val="nil"/>
              <w:left w:val="nil"/>
              <w:bottom w:val="single" w:sz="4" w:space="0" w:color="auto"/>
              <w:right w:val="single" w:sz="4" w:space="0" w:color="auto"/>
            </w:tcBorders>
            <w:shd w:val="clear" w:color="auto" w:fill="C6EFCE"/>
            <w:noWrap/>
          </w:tcPr>
          <w:p w14:paraId="43FBB0F7" w14:textId="77777777" w:rsidR="00CB0FCB" w:rsidRDefault="009D2B11">
            <w:pPr>
              <w:pStyle w:val="P68B1DB1-Normal9"/>
              <w:spacing w:after="0" w:line="240" w:lineRule="auto"/>
              <w:rPr>
                <w:rFonts w:eastAsia="Times New Roman" w:cs="Calibri"/>
                <w:noProof/>
                <w:szCs w:val="18"/>
              </w:rPr>
            </w:pPr>
            <w:r>
              <w:rPr>
                <w:noProof/>
              </w:rPr>
              <w:t>Izveidota statistikas datu vākšanas platforma; pabeigti uzlabojumi faktisko īpašnieku īpašajā reģistrā</w:t>
            </w:r>
          </w:p>
        </w:tc>
        <w:tc>
          <w:tcPr>
            <w:tcW w:w="933" w:type="dxa"/>
            <w:tcBorders>
              <w:top w:val="nil"/>
              <w:left w:val="nil"/>
              <w:bottom w:val="single" w:sz="4" w:space="0" w:color="auto"/>
              <w:right w:val="single" w:sz="4" w:space="0" w:color="auto"/>
            </w:tcBorders>
            <w:shd w:val="clear" w:color="auto" w:fill="C6EFCE"/>
            <w:noWrap/>
          </w:tcPr>
          <w:p w14:paraId="29C0D2F7" w14:textId="77777777" w:rsidR="00CB0FCB" w:rsidRDefault="009D2B11">
            <w:pPr>
              <w:pStyle w:val="P68B1DB1-Normal4"/>
              <w:spacing w:after="0" w:line="240" w:lineRule="auto"/>
              <w:rPr>
                <w:rFonts w:eastAsia="Times New Roman" w:cs="Calibri"/>
                <w:noProof/>
                <w:color w:val="006100"/>
                <w:sz w:val="18"/>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tcPr>
          <w:p w14:paraId="656A2266" w14:textId="77777777" w:rsidR="00CB0FCB" w:rsidRDefault="009D2B11">
            <w:pPr>
              <w:pStyle w:val="P68B1DB1-Normal4"/>
              <w:spacing w:after="0" w:line="240" w:lineRule="auto"/>
              <w:rPr>
                <w:rFonts w:eastAsia="Times New Roman" w:cs="Calibri"/>
                <w:noProof/>
                <w:color w:val="006100"/>
                <w:sz w:val="18"/>
                <w:szCs w:val="18"/>
              </w:rPr>
            </w:pPr>
            <w:r>
              <w:rPr>
                <w:noProof/>
              </w:rPr>
              <w:t xml:space="preserve"> </w:t>
            </w:r>
          </w:p>
        </w:tc>
        <w:tc>
          <w:tcPr>
            <w:tcW w:w="702" w:type="dxa"/>
            <w:tcBorders>
              <w:top w:val="nil"/>
              <w:left w:val="nil"/>
              <w:bottom w:val="single" w:sz="4" w:space="0" w:color="auto"/>
              <w:right w:val="single" w:sz="4" w:space="0" w:color="auto"/>
            </w:tcBorders>
            <w:shd w:val="clear" w:color="auto" w:fill="C6EFCE"/>
            <w:noWrap/>
          </w:tcPr>
          <w:p w14:paraId="33B686A3"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7C57DE0C" w14:textId="77777777" w:rsidR="00CB0FCB" w:rsidRDefault="009D2B11">
            <w:pPr>
              <w:pStyle w:val="P68B1DB1-Normal9"/>
              <w:spacing w:after="0" w:line="240" w:lineRule="auto"/>
              <w:rPr>
                <w:rFonts w:eastAsia="Times New Roman" w:cs="Calibri"/>
                <w:noProof/>
                <w:szCs w:val="18"/>
              </w:rPr>
            </w:pPr>
            <w:r>
              <w:rPr>
                <w:noProof/>
              </w:rPr>
              <w:t>2. CET.</w:t>
            </w:r>
          </w:p>
        </w:tc>
        <w:tc>
          <w:tcPr>
            <w:tcW w:w="708" w:type="dxa"/>
            <w:tcBorders>
              <w:top w:val="nil"/>
              <w:left w:val="nil"/>
              <w:bottom w:val="single" w:sz="4" w:space="0" w:color="auto"/>
              <w:right w:val="single" w:sz="4" w:space="0" w:color="auto"/>
            </w:tcBorders>
            <w:shd w:val="clear" w:color="auto" w:fill="C6EFCE"/>
            <w:noWrap/>
          </w:tcPr>
          <w:p w14:paraId="51EE7376" w14:textId="77777777" w:rsidR="00CB0FCB" w:rsidRDefault="009D2B11">
            <w:pPr>
              <w:pStyle w:val="P68B1DB1-Normal9"/>
              <w:spacing w:after="0" w:line="240" w:lineRule="auto"/>
              <w:rPr>
                <w:rFonts w:eastAsia="Times New Roman" w:cs="Calibri"/>
                <w:noProof/>
                <w:szCs w:val="18"/>
              </w:rPr>
            </w:pPr>
            <w:r>
              <w:rPr>
                <w:noProof/>
              </w:rPr>
              <w:t>2024</w:t>
            </w:r>
          </w:p>
        </w:tc>
        <w:tc>
          <w:tcPr>
            <w:tcW w:w="5110" w:type="dxa"/>
            <w:tcBorders>
              <w:top w:val="nil"/>
              <w:left w:val="nil"/>
              <w:bottom w:val="single" w:sz="4" w:space="0" w:color="auto"/>
              <w:right w:val="single" w:sz="4" w:space="0" w:color="auto"/>
            </w:tcBorders>
            <w:shd w:val="clear" w:color="auto" w:fill="C6EFCE"/>
            <w:noWrap/>
          </w:tcPr>
          <w:p w14:paraId="43D04E82" w14:textId="1C9DDB34" w:rsidR="00CB0FCB" w:rsidRDefault="009D2B11">
            <w:pPr>
              <w:pStyle w:val="P68B1DB1-Normal9"/>
              <w:spacing w:after="0" w:line="240" w:lineRule="auto"/>
              <w:rPr>
                <w:rFonts w:eastAsia="Times New Roman" w:cs="Calibri"/>
                <w:noProof/>
                <w:szCs w:val="18"/>
              </w:rPr>
            </w:pPr>
            <w:r>
              <w:rPr>
                <w:noProof/>
              </w:rPr>
              <w:t>I) Izveidot platformu valstu kompetento iestāžu (t. i., tiesu, uzraudzības un tiesībaizsardzības iestāžu) rīcībā esošo statistikas datu vākšanai; faktisko īpašnieku centrālā reģistra uzlabošana, lai atvieglotu kompetento iestāžu tiešu piekļuvi šādai informācijai; faktisko īpašnieku centrālā reģistra savienošana ar attiecīgajiem ES dalībvalstu reģistriem, izmantojot attiecīgo ES platformu.</w:t>
            </w:r>
          </w:p>
        </w:tc>
      </w:tr>
      <w:tr w:rsidR="00CB0FCB" w14:paraId="558D4344"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7BE024BC" w14:textId="77777777" w:rsidR="00CB0FCB" w:rsidRDefault="009D2B11">
            <w:pPr>
              <w:pStyle w:val="P68B1DB1-Normal9"/>
              <w:spacing w:after="0" w:line="240" w:lineRule="auto"/>
              <w:rPr>
                <w:rFonts w:eastAsia="Times New Roman" w:cs="Calibri"/>
                <w:noProof/>
                <w:szCs w:val="18"/>
              </w:rPr>
            </w:pPr>
            <w:r>
              <w:rPr>
                <w:noProof/>
              </w:rPr>
              <w:t>213</w:t>
            </w:r>
          </w:p>
        </w:tc>
        <w:tc>
          <w:tcPr>
            <w:tcW w:w="1797" w:type="dxa"/>
            <w:tcBorders>
              <w:top w:val="nil"/>
              <w:left w:val="nil"/>
              <w:bottom w:val="single" w:sz="4" w:space="0" w:color="auto"/>
              <w:right w:val="single" w:sz="4" w:space="0" w:color="auto"/>
            </w:tcBorders>
            <w:shd w:val="clear" w:color="auto" w:fill="C6EFCE"/>
            <w:noWrap/>
          </w:tcPr>
          <w:p w14:paraId="60EE2EE4"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16703_Cīņa pret nelikumīgu tirdzniecību un intelektuālā īpašuma aizsardzība</w:t>
            </w:r>
          </w:p>
        </w:tc>
        <w:tc>
          <w:tcPr>
            <w:tcW w:w="966" w:type="dxa"/>
            <w:tcBorders>
              <w:top w:val="nil"/>
              <w:left w:val="nil"/>
              <w:bottom w:val="single" w:sz="4" w:space="0" w:color="auto"/>
              <w:right w:val="single" w:sz="4" w:space="0" w:color="auto"/>
            </w:tcBorders>
            <w:shd w:val="clear" w:color="auto" w:fill="C6EFCE"/>
            <w:noWrap/>
          </w:tcPr>
          <w:p w14:paraId="2C89BE9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3" w:type="dxa"/>
            <w:tcBorders>
              <w:top w:val="nil"/>
              <w:left w:val="nil"/>
              <w:bottom w:val="single" w:sz="4" w:space="0" w:color="auto"/>
              <w:right w:val="single" w:sz="4" w:space="0" w:color="auto"/>
            </w:tcBorders>
            <w:shd w:val="clear" w:color="auto" w:fill="C6EFCE"/>
            <w:noWrap/>
          </w:tcPr>
          <w:p w14:paraId="3B607D12" w14:textId="77777777" w:rsidR="00CB0FCB" w:rsidRDefault="009D2B11">
            <w:pPr>
              <w:pStyle w:val="P68B1DB1-Normal9"/>
              <w:spacing w:after="0" w:line="240" w:lineRule="auto"/>
              <w:rPr>
                <w:rFonts w:eastAsia="Times New Roman" w:cs="Calibri"/>
                <w:noProof/>
                <w:szCs w:val="18"/>
              </w:rPr>
            </w:pPr>
            <w:r>
              <w:rPr>
                <w:noProof/>
              </w:rPr>
              <w:t>Nelegālās tirdzniecības apkarošana — IT sistēmas un kontroles stacijas</w:t>
            </w:r>
          </w:p>
        </w:tc>
        <w:tc>
          <w:tcPr>
            <w:tcW w:w="1534" w:type="dxa"/>
            <w:tcBorders>
              <w:top w:val="nil"/>
              <w:left w:val="nil"/>
              <w:bottom w:val="single" w:sz="4" w:space="0" w:color="auto"/>
              <w:right w:val="single" w:sz="4" w:space="0" w:color="auto"/>
            </w:tcBorders>
            <w:shd w:val="clear" w:color="auto" w:fill="C6EFCE"/>
            <w:noWrap/>
          </w:tcPr>
          <w:p w14:paraId="7FAADE72" w14:textId="6DB37D15" w:rsidR="00CB0FCB" w:rsidRDefault="009D2B11">
            <w:pPr>
              <w:pStyle w:val="P68B1DB1-Normal9"/>
              <w:spacing w:after="0" w:line="240" w:lineRule="auto"/>
              <w:rPr>
                <w:rFonts w:eastAsia="Times New Roman" w:cs="Calibri"/>
                <w:noProof/>
                <w:szCs w:val="18"/>
              </w:rPr>
            </w:pPr>
            <w:r>
              <w:rPr>
                <w:noProof/>
              </w:rPr>
              <w:t>Darbojas IT sistēma un jauni kontrolpunkti; ir pabeigta personāla apmācība</w:t>
            </w:r>
          </w:p>
        </w:tc>
        <w:tc>
          <w:tcPr>
            <w:tcW w:w="933" w:type="dxa"/>
            <w:tcBorders>
              <w:top w:val="nil"/>
              <w:left w:val="nil"/>
              <w:bottom w:val="single" w:sz="4" w:space="0" w:color="auto"/>
              <w:right w:val="single" w:sz="4" w:space="0" w:color="auto"/>
            </w:tcBorders>
            <w:shd w:val="clear" w:color="auto" w:fill="C6EFCE"/>
            <w:noWrap/>
          </w:tcPr>
          <w:p w14:paraId="5924C37C"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26C407D" w14:textId="77777777" w:rsidR="00CB0FCB" w:rsidRDefault="00CB0FCB">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3DF2F073"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BFF3B21" w14:textId="77777777" w:rsidR="00CB0FCB" w:rsidRDefault="009D2B11">
            <w:pPr>
              <w:pStyle w:val="P68B1DB1-Normal9"/>
              <w:spacing w:after="0" w:line="240" w:lineRule="auto"/>
              <w:rPr>
                <w:rFonts w:eastAsia="Times New Roman" w:cs="Calibri"/>
                <w:noProof/>
                <w:szCs w:val="18"/>
              </w:rPr>
            </w:pPr>
            <w:r>
              <w:rPr>
                <w:noProof/>
              </w:rPr>
              <w:t>2. CET.</w:t>
            </w:r>
          </w:p>
        </w:tc>
        <w:tc>
          <w:tcPr>
            <w:tcW w:w="708" w:type="dxa"/>
            <w:tcBorders>
              <w:top w:val="nil"/>
              <w:left w:val="nil"/>
              <w:bottom w:val="single" w:sz="4" w:space="0" w:color="auto"/>
              <w:right w:val="single" w:sz="4" w:space="0" w:color="auto"/>
            </w:tcBorders>
            <w:shd w:val="clear" w:color="auto" w:fill="C6EFCE"/>
            <w:noWrap/>
          </w:tcPr>
          <w:p w14:paraId="798C222C" w14:textId="77777777" w:rsidR="00CB0FCB" w:rsidRDefault="009D2B11">
            <w:pPr>
              <w:pStyle w:val="P68B1DB1-Normal9"/>
              <w:spacing w:after="0" w:line="240" w:lineRule="auto"/>
              <w:rPr>
                <w:rFonts w:eastAsia="Times New Roman" w:cs="Calibri"/>
                <w:noProof/>
                <w:szCs w:val="18"/>
              </w:rPr>
            </w:pPr>
            <w:r>
              <w:rPr>
                <w:noProof/>
              </w:rPr>
              <w:t>2025</w:t>
            </w:r>
          </w:p>
        </w:tc>
        <w:tc>
          <w:tcPr>
            <w:tcW w:w="5110" w:type="dxa"/>
            <w:tcBorders>
              <w:top w:val="nil"/>
              <w:left w:val="nil"/>
              <w:bottom w:val="single" w:sz="4" w:space="0" w:color="auto"/>
              <w:right w:val="single" w:sz="4" w:space="0" w:color="auto"/>
            </w:tcBorders>
            <w:shd w:val="clear" w:color="auto" w:fill="C6EFCE"/>
            <w:noWrap/>
          </w:tcPr>
          <w:p w14:paraId="1007F33D" w14:textId="4D25C6F6" w:rsidR="00CB0FCB" w:rsidRDefault="009D2B11">
            <w:pPr>
              <w:pStyle w:val="P68B1DB1-Normal9"/>
              <w:spacing w:after="0" w:line="240" w:lineRule="auto"/>
              <w:rPr>
                <w:noProof/>
              </w:rPr>
            </w:pPr>
            <w:r>
              <w:rPr>
                <w:noProof/>
              </w:rPr>
              <w:t xml:space="preserve">— Informācijas sistēmas darbības uzsākšana kontrolei, lai apkarotu cilvēku tirdzniecību un kontrolētu preču un pakalpojumu apriti. Ar loģistikas aprīkojumu stiprina tirgus kontroles starpaģentūru vienības (DIMEA), tostarp perifērās infrastruktūras, darbības spējas. </w:t>
            </w:r>
          </w:p>
          <w:p w14:paraId="1C0B2B60" w14:textId="3D4EA475" w:rsidR="00CB0FCB" w:rsidRDefault="009D2B11">
            <w:pPr>
              <w:pStyle w:val="P68B1DB1-Normal9"/>
              <w:spacing w:after="0" w:line="240" w:lineRule="auto"/>
              <w:rPr>
                <w:rFonts w:eastAsia="Times New Roman" w:cs="Calibri"/>
                <w:noProof/>
                <w:szCs w:val="18"/>
              </w:rPr>
            </w:pPr>
            <w:r>
              <w:rPr>
                <w:noProof/>
              </w:rPr>
              <w:t>— Komponenta pabeigšana jaunu kontrolpunktu izveidei, lai apkarotu nelikumīgu tirdzniecību, izmantojot 10 saliekamās būvkonstrukcijas (ISOBOX).</w:t>
            </w:r>
          </w:p>
          <w:p w14:paraId="738BCEE6" w14:textId="77777777" w:rsidR="00CB0FCB" w:rsidRDefault="009D2B11">
            <w:pPr>
              <w:pStyle w:val="P68B1DB1-Normal9"/>
              <w:spacing w:after="0" w:line="240" w:lineRule="auto"/>
              <w:rPr>
                <w:rFonts w:eastAsia="Times New Roman" w:cs="Calibri"/>
                <w:noProof/>
                <w:szCs w:val="18"/>
              </w:rPr>
            </w:pPr>
            <w:r>
              <w:rPr>
                <w:noProof/>
              </w:rPr>
              <w:t>Nepieciešamās personāla apmācības pabeigšana par IT sistēmu un aprīkojuma darbību.</w:t>
            </w:r>
          </w:p>
        </w:tc>
      </w:tr>
    </w:tbl>
    <w:p w14:paraId="275A6F55" w14:textId="77777777" w:rsidR="00CB0FCB" w:rsidRDefault="00CB0FCB">
      <w:pPr>
        <w:spacing w:before="120" w:after="120" w:line="240" w:lineRule="auto"/>
        <w:jc w:val="both"/>
        <w:rPr>
          <w:rFonts w:ascii="Times New Roman" w:hAnsi="Times New Roman" w:cs="Times New Roman"/>
          <w:noProof/>
          <w:sz w:val="24"/>
          <w:szCs w:val="24"/>
        </w:rPr>
      </w:pPr>
    </w:p>
    <w:p w14:paraId="536DCB5F" w14:textId="77777777" w:rsidR="00CB0FCB" w:rsidRDefault="009D2B11">
      <w:pPr>
        <w:pStyle w:val="P68B1DB1-Normal6"/>
        <w:keepNext/>
        <w:keepLines/>
        <w:spacing w:before="40" w:after="0" w:line="240" w:lineRule="auto"/>
        <w:jc w:val="both"/>
        <w:outlineLvl w:val="4"/>
        <w:rPr>
          <w:rFonts w:eastAsia="Times New Roman"/>
          <w:noProof/>
        </w:rPr>
      </w:pPr>
      <w:r>
        <w:rPr>
          <w:noProof/>
        </w:rPr>
        <w:t>Grupa: Valsts pārvaldes uzlabošana</w:t>
      </w:r>
    </w:p>
    <w:p w14:paraId="361FDDE5" w14:textId="77777777" w:rsidR="00CB0FCB" w:rsidRDefault="009D2B11">
      <w:pPr>
        <w:pStyle w:val="P68B1DB1-Normal4"/>
        <w:numPr>
          <w:ilvl w:val="0"/>
          <w:numId w:val="28"/>
        </w:numPr>
        <w:spacing w:before="120" w:after="0" w:line="240" w:lineRule="auto"/>
        <w:jc w:val="both"/>
        <w:rPr>
          <w:rFonts w:cs="Times New Roman"/>
          <w:noProof/>
        </w:rPr>
      </w:pPr>
      <w:r>
        <w:rPr>
          <w:noProof/>
        </w:rPr>
        <w:t>GOV-ERP (ID: 16705)</w:t>
      </w:r>
    </w:p>
    <w:p w14:paraId="7F90609F" w14:textId="77777777" w:rsidR="00CB0FCB" w:rsidRDefault="009D2B11">
      <w:pPr>
        <w:pStyle w:val="P68B1DB1-Normal4"/>
        <w:numPr>
          <w:ilvl w:val="0"/>
          <w:numId w:val="28"/>
        </w:numPr>
        <w:spacing w:before="120" w:after="0" w:line="240" w:lineRule="auto"/>
        <w:jc w:val="both"/>
        <w:rPr>
          <w:rFonts w:cs="Times New Roman"/>
          <w:noProof/>
        </w:rPr>
      </w:pPr>
      <w:r>
        <w:rPr>
          <w:noProof/>
        </w:rPr>
        <w:t>Grāmatvedības reforma (ID: 16974)</w:t>
      </w:r>
    </w:p>
    <w:p w14:paraId="60D7AA12" w14:textId="77777777" w:rsidR="00CB0FCB" w:rsidRDefault="009D2B11">
      <w:pPr>
        <w:pStyle w:val="P68B1DB1-Normal4"/>
        <w:numPr>
          <w:ilvl w:val="0"/>
          <w:numId w:val="28"/>
        </w:numPr>
        <w:spacing w:before="120" w:after="0" w:line="240" w:lineRule="auto"/>
        <w:jc w:val="both"/>
        <w:rPr>
          <w:rFonts w:cs="Times New Roman"/>
          <w:noProof/>
        </w:rPr>
      </w:pPr>
      <w:r>
        <w:rPr>
          <w:noProof/>
        </w:rPr>
        <w:t>Mūsdienīga institucionālā sistēma valsts uzņēmumiem (ID: 16657)</w:t>
      </w:r>
    </w:p>
    <w:p w14:paraId="4CA46D8C" w14:textId="77777777" w:rsidR="00CB0FCB" w:rsidRDefault="009D2B11">
      <w:pPr>
        <w:pStyle w:val="P68B1DB1-Normal4"/>
        <w:numPr>
          <w:ilvl w:val="0"/>
          <w:numId w:val="28"/>
        </w:numPr>
        <w:spacing w:before="120" w:after="0" w:line="240" w:lineRule="auto"/>
        <w:jc w:val="both"/>
        <w:rPr>
          <w:rFonts w:cs="Times New Roman"/>
          <w:noProof/>
        </w:rPr>
      </w:pPr>
      <w:r>
        <w:rPr>
          <w:noProof/>
        </w:rPr>
        <w:t>Uzlabot valsts atbalsta tīklu (ID: 16701)</w:t>
      </w:r>
    </w:p>
    <w:p w14:paraId="5B0B7B1C" w14:textId="77777777" w:rsidR="00CB0FCB" w:rsidRDefault="009D2B11">
      <w:pPr>
        <w:pStyle w:val="P68B1DB1-Normal4"/>
        <w:numPr>
          <w:ilvl w:val="0"/>
          <w:numId w:val="28"/>
        </w:numPr>
        <w:spacing w:before="120" w:after="0" w:line="240" w:lineRule="auto"/>
        <w:jc w:val="both"/>
        <w:rPr>
          <w:rFonts w:cs="Times New Roman"/>
          <w:noProof/>
        </w:rPr>
      </w:pPr>
      <w:r>
        <w:rPr>
          <w:noProof/>
        </w:rPr>
        <w:t>Modernizēt Grieķijas Noguldījumu un aizdevumu fondu (ID: 16940)</w:t>
      </w:r>
    </w:p>
    <w:p w14:paraId="627EC68C" w14:textId="77777777" w:rsidR="00CB0FCB" w:rsidRDefault="009D2B11">
      <w:pPr>
        <w:pStyle w:val="P68B1DB1-Normal4"/>
        <w:numPr>
          <w:ilvl w:val="0"/>
          <w:numId w:val="28"/>
        </w:numPr>
        <w:spacing w:before="120" w:after="0" w:line="240" w:lineRule="auto"/>
        <w:jc w:val="both"/>
        <w:rPr>
          <w:rFonts w:cs="Times New Roman"/>
          <w:noProof/>
        </w:rPr>
      </w:pPr>
      <w:r>
        <w:rPr>
          <w:noProof/>
        </w:rPr>
        <w:t>Publiskā iepirkuma jomas profesionalizācija (ID: 16711)</w:t>
      </w:r>
    </w:p>
    <w:p w14:paraId="3493DFD9" w14:textId="77777777" w:rsidR="00CB0FCB" w:rsidRDefault="009D2B11">
      <w:pPr>
        <w:pStyle w:val="P68B1DB1-Normal4"/>
        <w:numPr>
          <w:ilvl w:val="0"/>
          <w:numId w:val="28"/>
        </w:numPr>
        <w:spacing w:before="120" w:after="0" w:line="240" w:lineRule="auto"/>
        <w:jc w:val="both"/>
        <w:rPr>
          <w:rFonts w:cs="Times New Roman"/>
          <w:noProof/>
        </w:rPr>
      </w:pPr>
      <w:r>
        <w:rPr>
          <w:noProof/>
        </w:rPr>
        <w:t>Valsts kadastra aizpildīšana (ID: 16986)</w:t>
      </w:r>
    </w:p>
    <w:p w14:paraId="27FF4C65" w14:textId="77777777" w:rsidR="00CB0FCB" w:rsidRDefault="00CB0FCB">
      <w:pPr>
        <w:spacing w:after="0" w:line="240" w:lineRule="auto"/>
        <w:ind w:left="720"/>
        <w:jc w:val="both"/>
        <w:rPr>
          <w:rFonts w:ascii="Times New Roman" w:hAnsi="Times New Roman" w:cs="Times New Roman"/>
          <w:noProof/>
          <w:sz w:val="24"/>
        </w:rPr>
      </w:pPr>
    </w:p>
    <w:tbl>
      <w:tblPr>
        <w:tblW w:w="15871" w:type="dxa"/>
        <w:jc w:val="center"/>
        <w:tblLook w:val="04A0" w:firstRow="1" w:lastRow="0" w:firstColumn="1" w:lastColumn="0" w:noHBand="0" w:noVBand="1"/>
      </w:tblPr>
      <w:tblGrid>
        <w:gridCol w:w="1027"/>
        <w:gridCol w:w="2146"/>
        <w:gridCol w:w="1807"/>
        <w:gridCol w:w="2181"/>
        <w:gridCol w:w="1552"/>
        <w:gridCol w:w="1401"/>
        <w:gridCol w:w="1396"/>
        <w:gridCol w:w="876"/>
        <w:gridCol w:w="1027"/>
        <w:gridCol w:w="673"/>
        <w:gridCol w:w="3847"/>
      </w:tblGrid>
      <w:tr w:rsidR="00CB0FCB" w14:paraId="4F5C4EA5" w14:textId="77777777">
        <w:trPr>
          <w:trHeight w:val="640"/>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2279E3"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AABFF9"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A938A61"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712" w:type="dxa"/>
            <w:vMerge w:val="restart"/>
            <w:tcBorders>
              <w:top w:val="single" w:sz="4" w:space="0" w:color="auto"/>
              <w:left w:val="nil"/>
              <w:bottom w:val="single" w:sz="4" w:space="0" w:color="auto"/>
              <w:right w:val="single" w:sz="4" w:space="0" w:color="auto"/>
            </w:tcBorders>
            <w:shd w:val="clear" w:color="auto" w:fill="BDD7EE"/>
            <w:vAlign w:val="center"/>
            <w:hideMark/>
          </w:tcPr>
          <w:p w14:paraId="59305353"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F977D0"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Kvalitatīvie rādītāji </w:t>
            </w:r>
            <w:r>
              <w:rPr>
                <w:noProof/>
                <w:sz w:val="24"/>
              </w:rPr>
              <w:t xml:space="preserve"> </w:t>
            </w:r>
            <w:r>
              <w:rPr>
                <w:b/>
                <w:noProof/>
                <w:sz w:val="18"/>
              </w:rPr>
              <w:t>(atskaites punktiem)</w:t>
            </w:r>
          </w:p>
        </w:tc>
        <w:tc>
          <w:tcPr>
            <w:tcW w:w="3005" w:type="dxa"/>
            <w:gridSpan w:val="3"/>
            <w:tcBorders>
              <w:top w:val="single" w:sz="4" w:space="0" w:color="auto"/>
              <w:left w:val="nil"/>
              <w:bottom w:val="single" w:sz="4" w:space="0" w:color="auto"/>
              <w:right w:val="single" w:sz="4" w:space="0" w:color="auto"/>
            </w:tcBorders>
            <w:shd w:val="clear" w:color="auto" w:fill="BDD7EE"/>
            <w:vAlign w:val="center"/>
            <w:hideMark/>
          </w:tcPr>
          <w:p w14:paraId="5676262D"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Kvantitatīvie rādītāji </w:t>
            </w:r>
            <w:r>
              <w:rPr>
                <w:noProof/>
                <w:sz w:val="24"/>
              </w:rPr>
              <w:t xml:space="preserve"> </w:t>
            </w:r>
            <w:r>
              <w:rPr>
                <w:b/>
                <w:noProof/>
                <w:sz w:val="18"/>
              </w:rPr>
              <w:t>(mērķrādītājiem)</w:t>
            </w:r>
          </w:p>
        </w:tc>
        <w:tc>
          <w:tcPr>
            <w:tcW w:w="1519" w:type="dxa"/>
            <w:gridSpan w:val="2"/>
            <w:tcBorders>
              <w:top w:val="single" w:sz="4" w:space="0" w:color="auto"/>
              <w:left w:val="nil"/>
              <w:bottom w:val="single" w:sz="4" w:space="0" w:color="auto"/>
              <w:right w:val="single" w:sz="4" w:space="0" w:color="auto"/>
            </w:tcBorders>
            <w:shd w:val="clear" w:color="auto" w:fill="BDD7EE"/>
            <w:vAlign w:val="center"/>
            <w:hideMark/>
          </w:tcPr>
          <w:p w14:paraId="0DA36E5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8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CD6303"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41F94AAD" w14:textId="77777777">
        <w:trPr>
          <w:trHeight w:val="554"/>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341E0A4" w14:textId="77777777" w:rsidR="00CB0FCB" w:rsidRDefault="00CB0FCB">
            <w:pPr>
              <w:spacing w:after="0" w:line="240" w:lineRule="auto"/>
              <w:rPr>
                <w:rFonts w:ascii="Times New Roman" w:eastAsia="Times New Roman" w:hAnsi="Times New Roman" w:cs="Times New Roman"/>
                <w:b/>
                <w:bCs/>
                <w:noProof/>
                <w:sz w:val="18"/>
                <w:szCs w:val="18"/>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3153BF1B" w14:textId="77777777" w:rsidR="00CB0FCB" w:rsidRDefault="00CB0FCB">
            <w:pPr>
              <w:spacing w:after="0" w:line="240" w:lineRule="auto"/>
              <w:rPr>
                <w:rFonts w:ascii="Times New Roman" w:eastAsia="Times New Roman" w:hAnsi="Times New Roman" w:cs="Times New Roman"/>
                <w:b/>
                <w:bCs/>
                <w:noProof/>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74D74C3E" w14:textId="77777777" w:rsidR="00CB0FCB" w:rsidRDefault="00CB0FCB">
            <w:pPr>
              <w:spacing w:after="0" w:line="240" w:lineRule="auto"/>
              <w:rPr>
                <w:rFonts w:ascii="Times New Roman" w:eastAsia="Times New Roman" w:hAnsi="Times New Roman" w:cs="Times New Roman"/>
                <w:b/>
                <w:bCs/>
                <w:noProof/>
                <w:sz w:val="18"/>
                <w:szCs w:val="18"/>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0294D3C6" w14:textId="77777777" w:rsidR="00CB0FCB" w:rsidRDefault="00CB0FCB">
            <w:pPr>
              <w:spacing w:after="0" w:line="240" w:lineRule="auto"/>
              <w:rPr>
                <w:rFonts w:ascii="Times New Roman" w:eastAsia="Times New Roman" w:hAnsi="Times New Roman" w:cs="Times New Roman"/>
                <w:b/>
                <w:bCs/>
                <w:noProof/>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228D001D" w14:textId="77777777" w:rsidR="00CB0FCB" w:rsidRDefault="00CB0FCB">
            <w:pPr>
              <w:spacing w:after="0" w:line="240" w:lineRule="auto"/>
              <w:rPr>
                <w:rFonts w:ascii="Times New Roman" w:eastAsia="Times New Roman" w:hAnsi="Times New Roman" w:cs="Times New Roman"/>
                <w:b/>
                <w:bCs/>
                <w:noProof/>
                <w:sz w:val="18"/>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4A2052"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1003" w:type="dxa"/>
            <w:tcBorders>
              <w:top w:val="single" w:sz="4" w:space="0" w:color="auto"/>
              <w:left w:val="nil"/>
              <w:bottom w:val="single" w:sz="4" w:space="0" w:color="auto"/>
              <w:right w:val="single" w:sz="4" w:space="0" w:color="auto"/>
            </w:tcBorders>
            <w:shd w:val="clear" w:color="auto" w:fill="BDD7EE"/>
            <w:vAlign w:val="center"/>
            <w:hideMark/>
          </w:tcPr>
          <w:p w14:paraId="34C6B4B8"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76" w:type="dxa"/>
            <w:tcBorders>
              <w:top w:val="single" w:sz="4" w:space="0" w:color="auto"/>
              <w:left w:val="nil"/>
              <w:bottom w:val="single" w:sz="4" w:space="0" w:color="auto"/>
              <w:right w:val="single" w:sz="4" w:space="0" w:color="auto"/>
            </w:tcBorders>
            <w:shd w:val="clear" w:color="auto" w:fill="BDD7EE"/>
            <w:vAlign w:val="center"/>
            <w:hideMark/>
          </w:tcPr>
          <w:p w14:paraId="460FC2E5"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65B4B30A"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673" w:type="dxa"/>
            <w:tcBorders>
              <w:top w:val="single" w:sz="4" w:space="0" w:color="auto"/>
              <w:left w:val="nil"/>
              <w:bottom w:val="single" w:sz="4" w:space="0" w:color="auto"/>
              <w:right w:val="single" w:sz="4" w:space="0" w:color="auto"/>
            </w:tcBorders>
            <w:shd w:val="clear" w:color="auto" w:fill="BDD7EE"/>
            <w:vAlign w:val="center"/>
            <w:hideMark/>
          </w:tcPr>
          <w:p w14:paraId="60457D64"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847" w:type="dxa"/>
            <w:vMerge/>
            <w:tcBorders>
              <w:top w:val="single" w:sz="4" w:space="0" w:color="auto"/>
              <w:bottom w:val="single" w:sz="4" w:space="0" w:color="auto"/>
              <w:right w:val="single" w:sz="4" w:space="0" w:color="auto"/>
            </w:tcBorders>
            <w:vAlign w:val="center"/>
            <w:hideMark/>
          </w:tcPr>
          <w:p w14:paraId="64E861B5"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169475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3B2943C" w14:textId="77777777" w:rsidR="00CB0FCB" w:rsidRDefault="009D2B11">
            <w:pPr>
              <w:pStyle w:val="P68B1DB1-Normal9"/>
              <w:spacing w:after="0" w:line="240" w:lineRule="auto"/>
              <w:rPr>
                <w:rFonts w:eastAsia="Times New Roman" w:cs="Calibri"/>
                <w:noProof/>
                <w:szCs w:val="18"/>
              </w:rPr>
            </w:pPr>
            <w:r>
              <w:rPr>
                <w:noProof/>
              </w:rPr>
              <w:t>214</w:t>
            </w:r>
          </w:p>
        </w:tc>
        <w:tc>
          <w:tcPr>
            <w:tcW w:w="2146" w:type="dxa"/>
            <w:tcBorders>
              <w:top w:val="single" w:sz="4" w:space="0" w:color="auto"/>
              <w:left w:val="nil"/>
              <w:bottom w:val="single" w:sz="4" w:space="0" w:color="auto"/>
              <w:right w:val="single" w:sz="4" w:space="0" w:color="auto"/>
            </w:tcBorders>
            <w:shd w:val="clear" w:color="auto" w:fill="C6EFCE"/>
            <w:noWrap/>
          </w:tcPr>
          <w:p w14:paraId="44ED7CEA"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16701_Uzlabot valsts atbalsta tīklu</w:t>
            </w:r>
          </w:p>
        </w:tc>
        <w:tc>
          <w:tcPr>
            <w:tcW w:w="1063" w:type="dxa"/>
            <w:tcBorders>
              <w:top w:val="single" w:sz="4" w:space="0" w:color="auto"/>
              <w:left w:val="nil"/>
              <w:bottom w:val="single" w:sz="4" w:space="0" w:color="auto"/>
              <w:right w:val="single" w:sz="4" w:space="0" w:color="auto"/>
            </w:tcBorders>
            <w:shd w:val="clear" w:color="auto" w:fill="C6EFCE"/>
            <w:noWrap/>
          </w:tcPr>
          <w:p w14:paraId="65DE02E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12" w:type="dxa"/>
            <w:tcBorders>
              <w:top w:val="single" w:sz="4" w:space="0" w:color="auto"/>
              <w:left w:val="nil"/>
              <w:bottom w:val="single" w:sz="4" w:space="0" w:color="auto"/>
              <w:right w:val="single" w:sz="4" w:space="0" w:color="auto"/>
            </w:tcBorders>
            <w:shd w:val="clear" w:color="auto" w:fill="C6EFCE"/>
            <w:noWrap/>
          </w:tcPr>
          <w:p w14:paraId="11227FB0" w14:textId="77777777" w:rsidR="00CB0FCB" w:rsidRDefault="009D2B11">
            <w:pPr>
              <w:pStyle w:val="P68B1DB1-Normal9"/>
              <w:spacing w:after="0" w:line="240" w:lineRule="auto"/>
              <w:rPr>
                <w:rFonts w:eastAsia="Times New Roman" w:cs="Calibri"/>
                <w:noProof/>
                <w:szCs w:val="18"/>
              </w:rPr>
            </w:pPr>
            <w:r>
              <w:rPr>
                <w:noProof/>
              </w:rPr>
              <w:t>Uzlabots valsts atbalsta tīkls</w:t>
            </w:r>
          </w:p>
        </w:tc>
        <w:tc>
          <w:tcPr>
            <w:tcW w:w="1552" w:type="dxa"/>
            <w:tcBorders>
              <w:top w:val="single" w:sz="4" w:space="0" w:color="auto"/>
              <w:left w:val="nil"/>
              <w:bottom w:val="single" w:sz="4" w:space="0" w:color="auto"/>
              <w:right w:val="single" w:sz="4" w:space="0" w:color="auto"/>
            </w:tcBorders>
            <w:shd w:val="clear" w:color="auto" w:fill="C6EFCE"/>
            <w:noWrap/>
          </w:tcPr>
          <w:p w14:paraId="73892AA6" w14:textId="77777777" w:rsidR="00CB0FCB" w:rsidRDefault="009D2B11">
            <w:pPr>
              <w:pStyle w:val="P68B1DB1-Normal9"/>
              <w:spacing w:after="0" w:line="240" w:lineRule="auto"/>
              <w:rPr>
                <w:rFonts w:eastAsia="Times New Roman" w:cs="Calibri"/>
                <w:noProof/>
                <w:szCs w:val="18"/>
              </w:rPr>
            </w:pPr>
            <w:r>
              <w:rPr>
                <w:noProof/>
              </w:rPr>
              <w:t>Uzlabotās valsts atbalsta sistēmas stāšanās spēkā</w:t>
            </w:r>
          </w:p>
        </w:tc>
        <w:tc>
          <w:tcPr>
            <w:tcW w:w="1126" w:type="dxa"/>
            <w:tcBorders>
              <w:top w:val="single" w:sz="4" w:space="0" w:color="auto"/>
              <w:left w:val="nil"/>
              <w:bottom w:val="single" w:sz="4" w:space="0" w:color="auto"/>
              <w:right w:val="single" w:sz="4" w:space="0" w:color="auto"/>
            </w:tcBorders>
            <w:shd w:val="clear" w:color="auto" w:fill="C6EFCE"/>
            <w:noWrap/>
          </w:tcPr>
          <w:p w14:paraId="7036067B" w14:textId="77777777" w:rsidR="00CB0FCB" w:rsidRDefault="00CB0FCB">
            <w:pPr>
              <w:spacing w:after="0" w:line="240" w:lineRule="auto"/>
              <w:rPr>
                <w:rFonts w:eastAsia="Times New Roman" w:cs="Calibri"/>
                <w:noProof/>
                <w:color w:val="006100"/>
                <w:sz w:val="18"/>
                <w:szCs w:val="18"/>
              </w:rPr>
            </w:pPr>
          </w:p>
        </w:tc>
        <w:tc>
          <w:tcPr>
            <w:tcW w:w="1003" w:type="dxa"/>
            <w:tcBorders>
              <w:top w:val="single" w:sz="4" w:space="0" w:color="auto"/>
              <w:left w:val="nil"/>
              <w:bottom w:val="single" w:sz="4" w:space="0" w:color="auto"/>
              <w:right w:val="single" w:sz="4" w:space="0" w:color="auto"/>
            </w:tcBorders>
            <w:shd w:val="clear" w:color="auto" w:fill="C6EFCE"/>
            <w:noWrap/>
          </w:tcPr>
          <w:p w14:paraId="63A39757" w14:textId="77777777" w:rsidR="00CB0FCB" w:rsidRDefault="00CB0FCB">
            <w:pPr>
              <w:spacing w:after="0" w:line="240" w:lineRule="auto"/>
              <w:rPr>
                <w:rFonts w:eastAsia="Times New Roman" w:cs="Calibri"/>
                <w:noProof/>
                <w:color w:val="006100"/>
                <w:sz w:val="18"/>
                <w:szCs w:val="18"/>
              </w:rPr>
            </w:pPr>
          </w:p>
        </w:tc>
        <w:tc>
          <w:tcPr>
            <w:tcW w:w="876" w:type="dxa"/>
            <w:tcBorders>
              <w:top w:val="single" w:sz="4" w:space="0" w:color="auto"/>
              <w:left w:val="nil"/>
              <w:bottom w:val="single" w:sz="4" w:space="0" w:color="auto"/>
              <w:right w:val="single" w:sz="4" w:space="0" w:color="auto"/>
            </w:tcBorders>
            <w:shd w:val="clear" w:color="auto" w:fill="C6EFCE"/>
            <w:noWrap/>
          </w:tcPr>
          <w:p w14:paraId="15F1CBC9"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8239610"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single" w:sz="4" w:space="0" w:color="auto"/>
              <w:left w:val="nil"/>
              <w:bottom w:val="single" w:sz="4" w:space="0" w:color="auto"/>
              <w:right w:val="single" w:sz="4" w:space="0" w:color="auto"/>
            </w:tcBorders>
            <w:shd w:val="clear" w:color="auto" w:fill="C6EFCE"/>
            <w:noWrap/>
          </w:tcPr>
          <w:p w14:paraId="0840DEEC" w14:textId="77777777" w:rsidR="00CB0FCB" w:rsidRDefault="009D2B11">
            <w:pPr>
              <w:pStyle w:val="P68B1DB1-Normal9"/>
              <w:spacing w:after="0" w:line="240" w:lineRule="auto"/>
              <w:rPr>
                <w:rFonts w:eastAsia="Times New Roman" w:cs="Calibri"/>
                <w:noProof/>
                <w:szCs w:val="18"/>
              </w:rPr>
            </w:pPr>
            <w:r>
              <w:rPr>
                <w:noProof/>
              </w:rPr>
              <w:t>2022</w:t>
            </w:r>
          </w:p>
        </w:tc>
        <w:tc>
          <w:tcPr>
            <w:tcW w:w="3847" w:type="dxa"/>
            <w:tcBorders>
              <w:top w:val="single" w:sz="4" w:space="0" w:color="auto"/>
              <w:left w:val="nil"/>
              <w:bottom w:val="single" w:sz="4" w:space="0" w:color="auto"/>
              <w:right w:val="single" w:sz="4" w:space="0" w:color="auto"/>
            </w:tcBorders>
            <w:shd w:val="clear" w:color="auto" w:fill="C6EFCE"/>
            <w:noWrap/>
          </w:tcPr>
          <w:p w14:paraId="3BB4C7FF" w14:textId="77777777" w:rsidR="00CB0FCB" w:rsidRDefault="009D2B11">
            <w:pPr>
              <w:pStyle w:val="P68B1DB1-Normal9"/>
              <w:spacing w:after="0" w:line="240" w:lineRule="auto"/>
              <w:rPr>
                <w:rFonts w:eastAsia="Times New Roman" w:cs="Calibri"/>
                <w:noProof/>
                <w:szCs w:val="18"/>
              </w:rPr>
            </w:pPr>
            <w:r>
              <w:rPr>
                <w:noProof/>
              </w:rPr>
              <w:t>Stājas spēkā grozījumi valsts atbalsta tiesiskajā regulējumā attiecībā uz centrālā valsts atbalsta tīkla (CESANET) darbību, lai stiprinātu Centrālās valsts atbalsta vienības un decentralizēto valsts atbalsta vienību kompetences</w:t>
            </w:r>
          </w:p>
        </w:tc>
      </w:tr>
      <w:tr w:rsidR="00CB0FCB" w14:paraId="43726A4E"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5EE1EBC7" w14:textId="77777777" w:rsidR="00CB0FCB" w:rsidRDefault="009D2B11">
            <w:pPr>
              <w:pStyle w:val="P68B1DB1-Normal9"/>
              <w:spacing w:after="0" w:line="240" w:lineRule="auto"/>
              <w:rPr>
                <w:rFonts w:eastAsia="Times New Roman" w:cs="Calibri"/>
                <w:noProof/>
                <w:szCs w:val="18"/>
              </w:rPr>
            </w:pPr>
            <w:r>
              <w:rPr>
                <w:noProof/>
              </w:rPr>
              <w:t>215</w:t>
            </w:r>
          </w:p>
        </w:tc>
        <w:tc>
          <w:tcPr>
            <w:tcW w:w="2146" w:type="dxa"/>
            <w:tcBorders>
              <w:top w:val="nil"/>
              <w:left w:val="nil"/>
              <w:bottom w:val="single" w:sz="4" w:space="0" w:color="auto"/>
              <w:right w:val="single" w:sz="4" w:space="0" w:color="auto"/>
            </w:tcBorders>
            <w:shd w:val="clear" w:color="auto" w:fill="C6EFCE"/>
            <w:noWrap/>
          </w:tcPr>
          <w:p w14:paraId="1C1F2D14"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16981_Politikas plānošanas un koordinācijas uzlabošana</w:t>
            </w:r>
          </w:p>
        </w:tc>
        <w:tc>
          <w:tcPr>
            <w:tcW w:w="1063" w:type="dxa"/>
            <w:tcBorders>
              <w:top w:val="nil"/>
              <w:left w:val="nil"/>
              <w:bottom w:val="single" w:sz="4" w:space="0" w:color="auto"/>
              <w:right w:val="single" w:sz="4" w:space="0" w:color="auto"/>
            </w:tcBorders>
            <w:shd w:val="clear" w:color="auto" w:fill="C6EFCE"/>
            <w:noWrap/>
          </w:tcPr>
          <w:p w14:paraId="73110E7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12" w:type="dxa"/>
            <w:tcBorders>
              <w:top w:val="nil"/>
              <w:left w:val="nil"/>
              <w:bottom w:val="single" w:sz="4" w:space="0" w:color="auto"/>
              <w:right w:val="single" w:sz="4" w:space="0" w:color="auto"/>
            </w:tcBorders>
            <w:shd w:val="clear" w:color="auto" w:fill="C6EFCE"/>
            <w:noWrap/>
          </w:tcPr>
          <w:p w14:paraId="7063C509" w14:textId="77777777" w:rsidR="00CB0FCB" w:rsidRDefault="009D2B11">
            <w:pPr>
              <w:pStyle w:val="P68B1DB1-Normal9"/>
              <w:spacing w:after="0" w:line="240" w:lineRule="auto"/>
              <w:rPr>
                <w:rFonts w:eastAsia="Times New Roman" w:cs="Calibri"/>
                <w:noProof/>
                <w:szCs w:val="18"/>
              </w:rPr>
            </w:pPr>
            <w:r>
              <w:rPr>
                <w:noProof/>
              </w:rPr>
              <w:t>Politikas plānošana un koordinācija — ietekmes novērtējums</w:t>
            </w:r>
          </w:p>
        </w:tc>
        <w:tc>
          <w:tcPr>
            <w:tcW w:w="1552" w:type="dxa"/>
            <w:tcBorders>
              <w:top w:val="nil"/>
              <w:left w:val="nil"/>
              <w:bottom w:val="single" w:sz="4" w:space="0" w:color="auto"/>
              <w:right w:val="single" w:sz="4" w:space="0" w:color="auto"/>
            </w:tcBorders>
            <w:shd w:val="clear" w:color="auto" w:fill="C6EFCE"/>
            <w:noWrap/>
          </w:tcPr>
          <w:p w14:paraId="3E8AEF45" w14:textId="77777777" w:rsidR="00CB0FCB" w:rsidRDefault="009D2B11">
            <w:pPr>
              <w:pStyle w:val="P68B1DB1-Normal9"/>
              <w:spacing w:after="0" w:line="240" w:lineRule="auto"/>
              <w:rPr>
                <w:rFonts w:eastAsia="Times New Roman" w:cs="Calibri"/>
                <w:noProof/>
                <w:szCs w:val="18"/>
              </w:rPr>
            </w:pPr>
            <w:r>
              <w:rPr>
                <w:noProof/>
              </w:rPr>
              <w:t>Uzsākta mācību programma, kurā piedalās 100 ierēdņi.</w:t>
            </w:r>
          </w:p>
        </w:tc>
        <w:tc>
          <w:tcPr>
            <w:tcW w:w="1126" w:type="dxa"/>
            <w:tcBorders>
              <w:top w:val="nil"/>
              <w:left w:val="nil"/>
              <w:bottom w:val="single" w:sz="4" w:space="0" w:color="auto"/>
              <w:right w:val="single" w:sz="4" w:space="0" w:color="auto"/>
            </w:tcBorders>
            <w:shd w:val="clear" w:color="auto" w:fill="C6EFCE"/>
            <w:noWrap/>
          </w:tcPr>
          <w:p w14:paraId="7309ED6D" w14:textId="77777777" w:rsidR="00CB0FCB" w:rsidRDefault="00CB0FCB">
            <w:pPr>
              <w:spacing w:after="0" w:line="240" w:lineRule="auto"/>
              <w:rPr>
                <w:rFonts w:eastAsia="Times New Roman" w:cs="Calibri"/>
                <w:noProof/>
                <w:color w:val="006100"/>
                <w:sz w:val="18"/>
                <w:szCs w:val="18"/>
              </w:rPr>
            </w:pPr>
          </w:p>
        </w:tc>
        <w:tc>
          <w:tcPr>
            <w:tcW w:w="1003" w:type="dxa"/>
            <w:tcBorders>
              <w:top w:val="nil"/>
              <w:left w:val="nil"/>
              <w:bottom w:val="single" w:sz="4" w:space="0" w:color="auto"/>
              <w:right w:val="single" w:sz="4" w:space="0" w:color="auto"/>
            </w:tcBorders>
            <w:shd w:val="clear" w:color="auto" w:fill="C6EFCE"/>
            <w:noWrap/>
          </w:tcPr>
          <w:p w14:paraId="5EE653C0" w14:textId="77777777" w:rsidR="00CB0FCB" w:rsidRDefault="00CB0FCB">
            <w:pPr>
              <w:spacing w:after="0" w:line="240" w:lineRule="auto"/>
              <w:rPr>
                <w:rFonts w:eastAsia="Times New Roman" w:cs="Calibri"/>
                <w:noProof/>
                <w:color w:val="006100"/>
                <w:sz w:val="18"/>
                <w:szCs w:val="18"/>
              </w:rPr>
            </w:pPr>
          </w:p>
        </w:tc>
        <w:tc>
          <w:tcPr>
            <w:tcW w:w="876" w:type="dxa"/>
            <w:tcBorders>
              <w:top w:val="nil"/>
              <w:left w:val="nil"/>
              <w:bottom w:val="single" w:sz="4" w:space="0" w:color="auto"/>
              <w:right w:val="single" w:sz="4" w:space="0" w:color="auto"/>
            </w:tcBorders>
            <w:shd w:val="clear" w:color="auto" w:fill="C6EFCE"/>
            <w:noWrap/>
          </w:tcPr>
          <w:p w14:paraId="4527CEFB"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233C520B"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nil"/>
              <w:left w:val="nil"/>
              <w:bottom w:val="single" w:sz="4" w:space="0" w:color="auto"/>
              <w:right w:val="single" w:sz="4" w:space="0" w:color="auto"/>
            </w:tcBorders>
            <w:shd w:val="clear" w:color="auto" w:fill="C6EFCE"/>
            <w:noWrap/>
          </w:tcPr>
          <w:p w14:paraId="5C24482F" w14:textId="77777777" w:rsidR="00CB0FCB" w:rsidRDefault="009D2B11">
            <w:pPr>
              <w:pStyle w:val="P68B1DB1-Normal9"/>
              <w:spacing w:after="0" w:line="240" w:lineRule="auto"/>
              <w:rPr>
                <w:rFonts w:eastAsia="Times New Roman" w:cs="Calibri"/>
                <w:noProof/>
                <w:szCs w:val="18"/>
              </w:rPr>
            </w:pPr>
            <w:r>
              <w:rPr>
                <w:noProof/>
              </w:rPr>
              <w:t>2022</w:t>
            </w:r>
          </w:p>
        </w:tc>
        <w:tc>
          <w:tcPr>
            <w:tcW w:w="3847" w:type="dxa"/>
            <w:tcBorders>
              <w:top w:val="nil"/>
              <w:left w:val="nil"/>
              <w:bottom w:val="single" w:sz="4" w:space="0" w:color="auto"/>
              <w:right w:val="single" w:sz="4" w:space="0" w:color="auto"/>
            </w:tcBorders>
            <w:shd w:val="clear" w:color="auto" w:fill="C6EFCE"/>
            <w:noWrap/>
          </w:tcPr>
          <w:p w14:paraId="76F22B42" w14:textId="77777777" w:rsidR="00CB0FCB" w:rsidRDefault="009D2B11">
            <w:pPr>
              <w:pStyle w:val="P68B1DB1-Normal9"/>
              <w:spacing w:after="0" w:line="240" w:lineRule="auto"/>
              <w:rPr>
                <w:rFonts w:eastAsia="Times New Roman" w:cs="Calibri"/>
                <w:noProof/>
                <w:szCs w:val="18"/>
              </w:rPr>
            </w:pPr>
            <w:r>
              <w:rPr>
                <w:noProof/>
              </w:rPr>
              <w:t xml:space="preserve">Pēc tam, kad ir izveidota elektroniskā platforma ietekmes novērtēšanai, tiek uzsākta apmācības programma un ar to saistītā akreditācijas procedūra ar vismaz 100 reģistrētiem ierēdņiem, tostarp ierēdņiem, kas atlasīti “izpildfilijām” (Likums Nr. 4622/2019, 104. pants), lai uzlabotu sagatavoto ietekmes novērtējumu kvalitāti un atvieglotu elektroniskās platformas izmantošanu. </w:t>
            </w:r>
          </w:p>
        </w:tc>
      </w:tr>
      <w:tr w:rsidR="00CB0FCB" w14:paraId="115239D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1764F866" w14:textId="77777777" w:rsidR="00CB0FCB" w:rsidRDefault="009D2B11">
            <w:pPr>
              <w:pStyle w:val="P68B1DB1-Normal9"/>
              <w:spacing w:line="240" w:lineRule="auto"/>
              <w:rPr>
                <w:rFonts w:eastAsia="Times New Roman" w:cs="Calibri"/>
                <w:noProof/>
                <w:szCs w:val="18"/>
              </w:rPr>
            </w:pPr>
            <w:r>
              <w:rPr>
                <w:noProof/>
              </w:rPr>
              <w:t>216.a</w:t>
            </w:r>
          </w:p>
        </w:tc>
        <w:tc>
          <w:tcPr>
            <w:tcW w:w="2146" w:type="dxa"/>
            <w:tcBorders>
              <w:top w:val="nil"/>
              <w:left w:val="nil"/>
              <w:bottom w:val="single" w:sz="4" w:space="0" w:color="auto"/>
              <w:right w:val="single" w:sz="4" w:space="0" w:color="auto"/>
            </w:tcBorders>
            <w:shd w:val="clear" w:color="auto" w:fill="C6EFCE"/>
            <w:noWrap/>
          </w:tcPr>
          <w:p w14:paraId="179A0E2A" w14:textId="77777777" w:rsidR="00CB0FCB" w:rsidRDefault="009D2B11">
            <w:pPr>
              <w:pStyle w:val="P68B1DB1-Normal9"/>
              <w:spacing w:line="240" w:lineRule="auto"/>
              <w:rPr>
                <w:rFonts w:eastAsia="Times New Roman" w:cs="Calibri"/>
                <w:noProof/>
                <w:szCs w:val="18"/>
              </w:rPr>
            </w:pPr>
            <w:r>
              <w:rPr>
                <w:noProof/>
              </w:rPr>
              <w:t xml:space="preserve">13–4.2. Modernizēt valsts pārvaldi, tostarp paātrinot publisko investīciju īstenošanu, uzlabojot publiskā iepirkuma regulējumu, spēju veidošanas pasākumus un korupcijas apkarošanu — 16711_Publiskā iepirkuma jomas profesionalizācija  </w:t>
            </w:r>
          </w:p>
        </w:tc>
        <w:tc>
          <w:tcPr>
            <w:tcW w:w="1063" w:type="dxa"/>
            <w:tcBorders>
              <w:top w:val="nil"/>
              <w:left w:val="nil"/>
              <w:bottom w:val="single" w:sz="4" w:space="0" w:color="auto"/>
              <w:right w:val="single" w:sz="4" w:space="0" w:color="auto"/>
            </w:tcBorders>
            <w:shd w:val="clear" w:color="auto" w:fill="C6EFCE"/>
            <w:noWrap/>
          </w:tcPr>
          <w:p w14:paraId="0C1E2213" w14:textId="77777777" w:rsidR="00CB0FCB" w:rsidRDefault="009D2B11">
            <w:pPr>
              <w:pStyle w:val="P68B1DB1-Normal9"/>
              <w:spacing w:line="240" w:lineRule="auto"/>
              <w:rPr>
                <w:rFonts w:eastAsia="Times New Roman" w:cs="Calibri"/>
                <w:noProof/>
                <w:szCs w:val="18"/>
              </w:rPr>
            </w:pPr>
            <w:r>
              <w:rPr>
                <w:noProof/>
              </w:rPr>
              <w:t>Atskaites punkts</w:t>
            </w:r>
          </w:p>
        </w:tc>
        <w:tc>
          <w:tcPr>
            <w:tcW w:w="1712" w:type="dxa"/>
            <w:tcBorders>
              <w:top w:val="nil"/>
              <w:left w:val="nil"/>
              <w:bottom w:val="single" w:sz="4" w:space="0" w:color="auto"/>
              <w:right w:val="single" w:sz="4" w:space="0" w:color="auto"/>
            </w:tcBorders>
            <w:shd w:val="clear" w:color="auto" w:fill="C6EFCE"/>
            <w:noWrap/>
          </w:tcPr>
          <w:p w14:paraId="7B0DEAF2" w14:textId="77777777" w:rsidR="00CB0FCB" w:rsidRDefault="009D2B11">
            <w:pPr>
              <w:pStyle w:val="P68B1DB1-Normal9"/>
              <w:spacing w:line="240" w:lineRule="auto"/>
              <w:rPr>
                <w:rFonts w:eastAsia="Times New Roman" w:cs="Calibri"/>
                <w:noProof/>
                <w:szCs w:val="18"/>
              </w:rPr>
            </w:pPr>
            <w:r>
              <w:rPr>
                <w:noProof/>
              </w:rPr>
              <w:t>Grozījumi Valsts publiskā iepirkuma stratēģijā 2021.–2025. gadam</w:t>
            </w:r>
          </w:p>
        </w:tc>
        <w:tc>
          <w:tcPr>
            <w:tcW w:w="1552" w:type="dxa"/>
            <w:tcBorders>
              <w:top w:val="nil"/>
              <w:left w:val="nil"/>
              <w:bottom w:val="single" w:sz="4" w:space="0" w:color="auto"/>
              <w:right w:val="single" w:sz="4" w:space="0" w:color="auto"/>
            </w:tcBorders>
            <w:shd w:val="clear" w:color="auto" w:fill="C6EFCE"/>
            <w:noWrap/>
          </w:tcPr>
          <w:p w14:paraId="5FFB4105" w14:textId="77777777" w:rsidR="00CB0FCB" w:rsidRDefault="009D2B11">
            <w:pPr>
              <w:pStyle w:val="P68B1DB1-Normal9"/>
              <w:spacing w:line="240" w:lineRule="auto"/>
              <w:rPr>
                <w:rFonts w:eastAsia="Times New Roman" w:cs="Calibri"/>
                <w:noProof/>
                <w:szCs w:val="18"/>
              </w:rPr>
            </w:pPr>
            <w:r>
              <w:rPr>
                <w:noProof/>
              </w:rPr>
              <w:t>Grozījumi valsts publiskā iepirkuma stratēģijā stājas spēkā ar sekundāro tiesību aktu</w:t>
            </w:r>
          </w:p>
          <w:p w14:paraId="44FA4770" w14:textId="77777777" w:rsidR="00CB0FCB" w:rsidRDefault="00CB0FCB">
            <w:pPr>
              <w:spacing w:line="240" w:lineRule="auto"/>
              <w:rPr>
                <w:rFonts w:eastAsia="Times New Roman" w:cs="Calibri"/>
                <w:noProof/>
                <w:color w:val="006100"/>
                <w:sz w:val="18"/>
                <w:szCs w:val="18"/>
              </w:rPr>
            </w:pPr>
          </w:p>
        </w:tc>
        <w:tc>
          <w:tcPr>
            <w:tcW w:w="1126" w:type="dxa"/>
            <w:tcBorders>
              <w:top w:val="nil"/>
              <w:left w:val="nil"/>
              <w:bottom w:val="single" w:sz="4" w:space="0" w:color="auto"/>
              <w:right w:val="single" w:sz="4" w:space="0" w:color="auto"/>
            </w:tcBorders>
            <w:shd w:val="clear" w:color="auto" w:fill="C6EFCE"/>
            <w:noWrap/>
          </w:tcPr>
          <w:p w14:paraId="50937FBC" w14:textId="77777777" w:rsidR="00CB0FCB" w:rsidRDefault="00CB0FCB">
            <w:pPr>
              <w:spacing w:line="240" w:lineRule="auto"/>
              <w:rPr>
                <w:rFonts w:eastAsia="Times New Roman" w:cs="Calibri"/>
                <w:noProof/>
                <w:color w:val="006100"/>
                <w:sz w:val="18"/>
                <w:szCs w:val="18"/>
              </w:rPr>
            </w:pPr>
          </w:p>
        </w:tc>
        <w:tc>
          <w:tcPr>
            <w:tcW w:w="1003" w:type="dxa"/>
            <w:tcBorders>
              <w:top w:val="nil"/>
              <w:left w:val="nil"/>
              <w:bottom w:val="single" w:sz="4" w:space="0" w:color="auto"/>
              <w:right w:val="single" w:sz="4" w:space="0" w:color="auto"/>
            </w:tcBorders>
            <w:shd w:val="clear" w:color="auto" w:fill="C6EFCE"/>
            <w:noWrap/>
          </w:tcPr>
          <w:p w14:paraId="4598264A" w14:textId="77777777" w:rsidR="00CB0FCB" w:rsidRDefault="00CB0FCB">
            <w:pPr>
              <w:spacing w:line="240" w:lineRule="auto"/>
              <w:rPr>
                <w:rFonts w:eastAsia="Times New Roman" w:cs="Calibri"/>
                <w:noProof/>
                <w:color w:val="006100"/>
                <w:sz w:val="18"/>
                <w:szCs w:val="18"/>
              </w:rPr>
            </w:pPr>
          </w:p>
        </w:tc>
        <w:tc>
          <w:tcPr>
            <w:tcW w:w="876" w:type="dxa"/>
            <w:tcBorders>
              <w:top w:val="nil"/>
              <w:left w:val="nil"/>
              <w:bottom w:val="single" w:sz="4" w:space="0" w:color="auto"/>
              <w:right w:val="single" w:sz="4" w:space="0" w:color="auto"/>
            </w:tcBorders>
            <w:shd w:val="clear" w:color="auto" w:fill="C6EFCE"/>
            <w:noWrap/>
          </w:tcPr>
          <w:p w14:paraId="7901BA4C" w14:textId="77777777" w:rsidR="00CB0FCB" w:rsidRDefault="00CB0FCB">
            <w:pPr>
              <w:spacing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254F882" w14:textId="77777777" w:rsidR="00CB0FCB" w:rsidRDefault="009D2B11">
            <w:pPr>
              <w:pStyle w:val="P68B1DB1-Normal9"/>
              <w:spacing w:line="240" w:lineRule="auto"/>
              <w:rPr>
                <w:rFonts w:eastAsia="Times New Roman" w:cs="Calibri"/>
                <w:noProof/>
                <w:szCs w:val="18"/>
              </w:rPr>
            </w:pPr>
            <w:r>
              <w:rPr>
                <w:noProof/>
              </w:rPr>
              <w:t>4. CET.</w:t>
            </w:r>
          </w:p>
        </w:tc>
        <w:tc>
          <w:tcPr>
            <w:tcW w:w="673" w:type="dxa"/>
            <w:tcBorders>
              <w:top w:val="nil"/>
              <w:left w:val="nil"/>
              <w:bottom w:val="single" w:sz="4" w:space="0" w:color="auto"/>
              <w:right w:val="single" w:sz="4" w:space="0" w:color="auto"/>
            </w:tcBorders>
            <w:shd w:val="clear" w:color="auto" w:fill="C6EFCE"/>
            <w:noWrap/>
          </w:tcPr>
          <w:p w14:paraId="20CE79A8" w14:textId="77777777" w:rsidR="00CB0FCB" w:rsidRDefault="009D2B11">
            <w:pPr>
              <w:pStyle w:val="P68B1DB1-Normal9"/>
              <w:spacing w:line="240" w:lineRule="auto"/>
              <w:rPr>
                <w:rFonts w:eastAsia="Times New Roman" w:cs="Calibri"/>
                <w:noProof/>
                <w:szCs w:val="18"/>
              </w:rPr>
            </w:pPr>
            <w:r>
              <w:rPr>
                <w:noProof/>
              </w:rPr>
              <w:t>2023</w:t>
            </w:r>
          </w:p>
        </w:tc>
        <w:tc>
          <w:tcPr>
            <w:tcW w:w="3847" w:type="dxa"/>
            <w:tcBorders>
              <w:top w:val="nil"/>
              <w:left w:val="nil"/>
              <w:bottom w:val="single" w:sz="4" w:space="0" w:color="auto"/>
              <w:right w:val="single" w:sz="4" w:space="0" w:color="auto"/>
            </w:tcBorders>
            <w:shd w:val="clear" w:color="auto" w:fill="C6EFCE"/>
            <w:noWrap/>
          </w:tcPr>
          <w:p w14:paraId="2C1DE11F" w14:textId="77777777" w:rsidR="00CB0FCB" w:rsidRDefault="009D2B11">
            <w:pPr>
              <w:pStyle w:val="P68B1DB1-Normal9"/>
              <w:spacing w:line="240" w:lineRule="auto"/>
              <w:rPr>
                <w:rFonts w:eastAsia="Times New Roman" w:cs="Calibri"/>
                <w:noProof/>
                <w:szCs w:val="18"/>
              </w:rPr>
            </w:pPr>
            <w:r>
              <w:rPr>
                <w:noProof/>
              </w:rPr>
              <w:t>Grozītās valsts publiskā iepirkuma stratēģijas 2021.–2025. gadam stāšanās spēkā ar sekundārajiem tiesību aktiem</w:t>
            </w:r>
          </w:p>
        </w:tc>
      </w:tr>
      <w:tr w:rsidR="00CB0FCB" w14:paraId="0CF8858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1A824700" w14:textId="464F1E8A" w:rsidR="00CB0FCB" w:rsidRDefault="009D2B11">
            <w:pPr>
              <w:pStyle w:val="P68B1DB1-Normal9"/>
              <w:spacing w:after="0" w:line="240" w:lineRule="auto"/>
              <w:rPr>
                <w:rFonts w:eastAsia="Times New Roman" w:cs="Calibri"/>
                <w:noProof/>
                <w:szCs w:val="18"/>
              </w:rPr>
            </w:pPr>
            <w:r>
              <w:rPr>
                <w:noProof/>
              </w:rPr>
              <w:t>216</w:t>
            </w:r>
          </w:p>
        </w:tc>
        <w:tc>
          <w:tcPr>
            <w:tcW w:w="2146" w:type="dxa"/>
            <w:tcBorders>
              <w:top w:val="nil"/>
              <w:left w:val="nil"/>
              <w:bottom w:val="single" w:sz="4" w:space="0" w:color="auto"/>
              <w:right w:val="single" w:sz="4" w:space="0" w:color="auto"/>
            </w:tcBorders>
            <w:shd w:val="clear" w:color="auto" w:fill="C6EFCE"/>
            <w:noWrap/>
            <w:hideMark/>
          </w:tcPr>
          <w:p w14:paraId="12EA8692"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16711_Publiskā iepirkuma jomas profesionalizācija</w:t>
            </w:r>
          </w:p>
        </w:tc>
        <w:tc>
          <w:tcPr>
            <w:tcW w:w="1063" w:type="dxa"/>
            <w:tcBorders>
              <w:top w:val="nil"/>
              <w:left w:val="nil"/>
              <w:bottom w:val="single" w:sz="4" w:space="0" w:color="auto"/>
              <w:right w:val="single" w:sz="4" w:space="0" w:color="auto"/>
            </w:tcBorders>
            <w:shd w:val="clear" w:color="auto" w:fill="C6EFCE"/>
            <w:noWrap/>
            <w:hideMark/>
          </w:tcPr>
          <w:p w14:paraId="4A39520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12" w:type="dxa"/>
            <w:tcBorders>
              <w:top w:val="nil"/>
              <w:left w:val="nil"/>
              <w:bottom w:val="single" w:sz="4" w:space="0" w:color="auto"/>
              <w:right w:val="single" w:sz="4" w:space="0" w:color="auto"/>
            </w:tcBorders>
            <w:shd w:val="clear" w:color="auto" w:fill="C6EFCE"/>
            <w:noWrap/>
            <w:hideMark/>
          </w:tcPr>
          <w:p w14:paraId="140C98DC" w14:textId="77777777" w:rsidR="00CB0FCB" w:rsidRDefault="009D2B11">
            <w:pPr>
              <w:pStyle w:val="P68B1DB1-Normal9"/>
              <w:spacing w:after="0" w:line="240" w:lineRule="auto"/>
              <w:rPr>
                <w:rFonts w:eastAsia="Times New Roman" w:cs="Calibri"/>
                <w:noProof/>
                <w:szCs w:val="18"/>
              </w:rPr>
            </w:pPr>
            <w:r>
              <w:rPr>
                <w:noProof/>
              </w:rPr>
              <w:t>Publiskā iepirkuma jomas profesionalizācija — jauni tiesību akti</w:t>
            </w:r>
          </w:p>
        </w:tc>
        <w:tc>
          <w:tcPr>
            <w:tcW w:w="1552" w:type="dxa"/>
            <w:tcBorders>
              <w:top w:val="nil"/>
              <w:left w:val="nil"/>
              <w:bottom w:val="single" w:sz="4" w:space="0" w:color="auto"/>
              <w:right w:val="single" w:sz="4" w:space="0" w:color="auto"/>
            </w:tcBorders>
            <w:shd w:val="clear" w:color="auto" w:fill="C6EFCE"/>
            <w:noWrap/>
            <w:hideMark/>
          </w:tcPr>
          <w:p w14:paraId="4250D9E2" w14:textId="77777777" w:rsidR="00CB0FCB" w:rsidRDefault="009D2B11">
            <w:pPr>
              <w:pStyle w:val="P68B1DB1-Normal9"/>
              <w:spacing w:after="0" w:line="240" w:lineRule="auto"/>
              <w:rPr>
                <w:rFonts w:eastAsia="Times New Roman" w:cs="Calibri"/>
                <w:noProof/>
                <w:szCs w:val="18"/>
              </w:rPr>
            </w:pPr>
            <w:r>
              <w:rPr>
                <w:noProof/>
              </w:rPr>
              <w:t>Ir stājušies spēkā jauni tiesību akti; padziļināts pētījums pabeigts</w:t>
            </w:r>
          </w:p>
        </w:tc>
        <w:tc>
          <w:tcPr>
            <w:tcW w:w="1126" w:type="dxa"/>
            <w:tcBorders>
              <w:top w:val="nil"/>
              <w:left w:val="nil"/>
              <w:bottom w:val="single" w:sz="4" w:space="0" w:color="auto"/>
              <w:right w:val="single" w:sz="4" w:space="0" w:color="auto"/>
            </w:tcBorders>
            <w:shd w:val="clear" w:color="auto" w:fill="C6EFCE"/>
            <w:noWrap/>
            <w:hideMark/>
          </w:tcPr>
          <w:p w14:paraId="32C38227"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1003" w:type="dxa"/>
            <w:tcBorders>
              <w:top w:val="nil"/>
              <w:left w:val="nil"/>
              <w:bottom w:val="single" w:sz="4" w:space="0" w:color="auto"/>
              <w:right w:val="single" w:sz="4" w:space="0" w:color="auto"/>
            </w:tcBorders>
            <w:shd w:val="clear" w:color="auto" w:fill="C6EFCE"/>
            <w:noWrap/>
            <w:hideMark/>
          </w:tcPr>
          <w:p w14:paraId="1164DDD9"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76" w:type="dxa"/>
            <w:tcBorders>
              <w:top w:val="nil"/>
              <w:left w:val="nil"/>
              <w:bottom w:val="single" w:sz="4" w:space="0" w:color="auto"/>
              <w:right w:val="single" w:sz="4" w:space="0" w:color="auto"/>
            </w:tcBorders>
            <w:shd w:val="clear" w:color="auto" w:fill="C6EFCE"/>
            <w:noWrap/>
            <w:hideMark/>
          </w:tcPr>
          <w:p w14:paraId="659F92D7"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46" w:type="dxa"/>
            <w:tcBorders>
              <w:top w:val="nil"/>
              <w:left w:val="nil"/>
              <w:bottom w:val="single" w:sz="4" w:space="0" w:color="auto"/>
              <w:right w:val="single" w:sz="4" w:space="0" w:color="auto"/>
            </w:tcBorders>
            <w:shd w:val="clear" w:color="auto" w:fill="C6EFCE"/>
            <w:noWrap/>
            <w:hideMark/>
          </w:tcPr>
          <w:p w14:paraId="35D1271C" w14:textId="77777777" w:rsidR="00CB0FCB" w:rsidRDefault="009D2B11">
            <w:pPr>
              <w:pStyle w:val="P68B1DB1-Normal9"/>
              <w:spacing w:after="0" w:line="240" w:lineRule="auto"/>
              <w:rPr>
                <w:rFonts w:eastAsia="Times New Roman" w:cs="Calibri"/>
                <w:noProof/>
                <w:szCs w:val="18"/>
              </w:rPr>
            </w:pPr>
            <w:r>
              <w:rPr>
                <w:noProof/>
              </w:rPr>
              <w:t>2. CET.</w:t>
            </w:r>
          </w:p>
        </w:tc>
        <w:tc>
          <w:tcPr>
            <w:tcW w:w="673" w:type="dxa"/>
            <w:tcBorders>
              <w:top w:val="nil"/>
              <w:left w:val="nil"/>
              <w:bottom w:val="single" w:sz="4" w:space="0" w:color="auto"/>
              <w:right w:val="single" w:sz="4" w:space="0" w:color="auto"/>
            </w:tcBorders>
            <w:shd w:val="clear" w:color="auto" w:fill="C6EFCE"/>
            <w:noWrap/>
            <w:hideMark/>
          </w:tcPr>
          <w:p w14:paraId="33D63151" w14:textId="77777777" w:rsidR="00CB0FCB" w:rsidRDefault="009D2B11">
            <w:pPr>
              <w:pStyle w:val="P68B1DB1-Normal9"/>
              <w:spacing w:after="0" w:line="240" w:lineRule="auto"/>
              <w:rPr>
                <w:rFonts w:eastAsia="Times New Roman" w:cs="Calibri"/>
                <w:noProof/>
                <w:szCs w:val="18"/>
              </w:rPr>
            </w:pPr>
            <w:r>
              <w:rPr>
                <w:noProof/>
              </w:rPr>
              <w:t>2024</w:t>
            </w:r>
          </w:p>
        </w:tc>
        <w:tc>
          <w:tcPr>
            <w:tcW w:w="3847" w:type="dxa"/>
            <w:tcBorders>
              <w:top w:val="nil"/>
              <w:left w:val="nil"/>
              <w:bottom w:val="single" w:sz="4" w:space="0" w:color="auto"/>
              <w:right w:val="single" w:sz="4" w:space="0" w:color="auto"/>
            </w:tcBorders>
            <w:shd w:val="clear" w:color="auto" w:fill="C6EFCE"/>
            <w:noWrap/>
            <w:hideMark/>
          </w:tcPr>
          <w:p w14:paraId="3B2EC997" w14:textId="48D91847" w:rsidR="00CB0FCB" w:rsidRDefault="009D2B11">
            <w:pPr>
              <w:pStyle w:val="P68B1DB1-Normal9"/>
              <w:spacing w:after="0" w:line="240" w:lineRule="auto"/>
              <w:rPr>
                <w:rFonts w:eastAsia="Times New Roman" w:cs="Calibri"/>
                <w:noProof/>
                <w:szCs w:val="18"/>
              </w:rPr>
            </w:pPr>
            <w:r>
              <w:rPr>
                <w:noProof/>
              </w:rPr>
              <w:t>I) Stājas spēkā jauni tiesību akti, kas paredz profesionālā darba plūsmas darbiniekiem, kuri nodarbojas ar publisko iepirkumu, īpašām prasmju grupām un finansiālu un nefinansiālu stimulu pieņemšanu pilnīgā saskaņā ar vienoto algu sistēmu (Likums Nr. 4354/2015), neparedzot nekādus izņēmumus. Finansiālu un nefinansiālu stimulu pieņemšana var aizkavēties spēkā stāšanās; padziļināta pētījuma pabeigšana, lai reorganizētu Attīstības ministrijas Publiskā iepirkuma ģenerāldirektorāta struktūru un pienākumus, kura kompetencē ir veikt centralizētas iepirkuma procedūras valsts līmenī.</w:t>
            </w:r>
          </w:p>
        </w:tc>
      </w:tr>
      <w:tr w:rsidR="00CB0FCB" w14:paraId="61020C0A"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3527D740" w14:textId="64536906" w:rsidR="00CB0FCB" w:rsidRDefault="009D2B11">
            <w:pPr>
              <w:pStyle w:val="P68B1DB1-Normal9"/>
              <w:spacing w:after="0" w:line="240" w:lineRule="auto"/>
              <w:rPr>
                <w:rFonts w:eastAsia="Times New Roman" w:cs="Calibri"/>
                <w:noProof/>
                <w:szCs w:val="18"/>
              </w:rPr>
            </w:pPr>
            <w:r>
              <w:rPr>
                <w:noProof/>
              </w:rPr>
              <w:t>217</w:t>
            </w:r>
          </w:p>
        </w:tc>
        <w:tc>
          <w:tcPr>
            <w:tcW w:w="2146" w:type="dxa"/>
            <w:tcBorders>
              <w:top w:val="nil"/>
              <w:left w:val="nil"/>
              <w:bottom w:val="single" w:sz="4" w:space="0" w:color="auto"/>
              <w:right w:val="single" w:sz="4" w:space="0" w:color="auto"/>
            </w:tcBorders>
            <w:shd w:val="clear" w:color="auto" w:fill="C6EFCE"/>
            <w:noWrap/>
            <w:hideMark/>
          </w:tcPr>
          <w:p w14:paraId="54797D1A"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16940_Modernizēt Grieķijas Sūtījumu noguldījumu un aizdevumu fondu </w:t>
            </w:r>
          </w:p>
        </w:tc>
        <w:tc>
          <w:tcPr>
            <w:tcW w:w="1063" w:type="dxa"/>
            <w:tcBorders>
              <w:top w:val="nil"/>
              <w:left w:val="nil"/>
              <w:bottom w:val="single" w:sz="4" w:space="0" w:color="auto"/>
              <w:right w:val="single" w:sz="4" w:space="0" w:color="auto"/>
            </w:tcBorders>
            <w:shd w:val="clear" w:color="auto" w:fill="C6EFCE"/>
            <w:noWrap/>
            <w:hideMark/>
          </w:tcPr>
          <w:p w14:paraId="53C139E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12" w:type="dxa"/>
            <w:tcBorders>
              <w:top w:val="nil"/>
              <w:left w:val="nil"/>
              <w:bottom w:val="single" w:sz="4" w:space="0" w:color="auto"/>
              <w:right w:val="single" w:sz="4" w:space="0" w:color="auto"/>
            </w:tcBorders>
            <w:shd w:val="clear" w:color="auto" w:fill="C6EFCE"/>
            <w:noWrap/>
            <w:hideMark/>
          </w:tcPr>
          <w:p w14:paraId="36D6CBCD" w14:textId="77777777" w:rsidR="00CB0FCB" w:rsidRDefault="009D2B11">
            <w:pPr>
              <w:pStyle w:val="P68B1DB1-Normal9"/>
              <w:spacing w:after="0" w:line="240" w:lineRule="auto"/>
              <w:rPr>
                <w:rFonts w:eastAsia="Times New Roman" w:cs="Calibri"/>
                <w:noProof/>
                <w:szCs w:val="18"/>
              </w:rPr>
            </w:pPr>
            <w:r>
              <w:rPr>
                <w:noProof/>
              </w:rPr>
              <w:t>Visu Grieķijas Sūtījumu noguldījumu un aizdevumu fonda apakšprojektu pabeigšana</w:t>
            </w:r>
          </w:p>
        </w:tc>
        <w:tc>
          <w:tcPr>
            <w:tcW w:w="1552" w:type="dxa"/>
            <w:tcBorders>
              <w:top w:val="nil"/>
              <w:left w:val="nil"/>
              <w:bottom w:val="single" w:sz="4" w:space="0" w:color="auto"/>
              <w:right w:val="single" w:sz="4" w:space="0" w:color="auto"/>
            </w:tcBorders>
            <w:shd w:val="clear" w:color="auto" w:fill="C6EFCE"/>
            <w:noWrap/>
            <w:hideMark/>
          </w:tcPr>
          <w:p w14:paraId="6955477E" w14:textId="77777777" w:rsidR="00CB0FCB" w:rsidRDefault="009D2B11">
            <w:pPr>
              <w:pStyle w:val="P68B1DB1-Normal9"/>
              <w:spacing w:after="0" w:line="240" w:lineRule="auto"/>
              <w:rPr>
                <w:rFonts w:eastAsia="Times New Roman" w:cs="Calibri"/>
                <w:noProof/>
                <w:szCs w:val="18"/>
              </w:rPr>
            </w:pPr>
            <w:r>
              <w:rPr>
                <w:noProof/>
              </w:rPr>
              <w:t>Grieķijas Noguldījumu un aizdevumu fonda ziņojums, kas apliecina apakšprojektu pabeigšanu.</w:t>
            </w:r>
          </w:p>
        </w:tc>
        <w:tc>
          <w:tcPr>
            <w:tcW w:w="1126" w:type="dxa"/>
            <w:tcBorders>
              <w:top w:val="nil"/>
              <w:left w:val="nil"/>
              <w:bottom w:val="single" w:sz="4" w:space="0" w:color="auto"/>
              <w:right w:val="single" w:sz="4" w:space="0" w:color="auto"/>
            </w:tcBorders>
            <w:shd w:val="clear" w:color="auto" w:fill="C6EFCE"/>
            <w:noWrap/>
            <w:hideMark/>
          </w:tcPr>
          <w:p w14:paraId="07A4ACAE" w14:textId="77777777" w:rsidR="00CB0FCB" w:rsidRDefault="00CB0FCB">
            <w:pPr>
              <w:spacing w:after="0" w:line="240" w:lineRule="auto"/>
              <w:rPr>
                <w:rFonts w:eastAsia="Times New Roman" w:cs="Calibri"/>
                <w:noProof/>
                <w:color w:val="006100"/>
                <w:sz w:val="18"/>
                <w:szCs w:val="18"/>
              </w:rPr>
            </w:pPr>
          </w:p>
        </w:tc>
        <w:tc>
          <w:tcPr>
            <w:tcW w:w="1003" w:type="dxa"/>
            <w:tcBorders>
              <w:top w:val="nil"/>
              <w:left w:val="nil"/>
              <w:bottom w:val="single" w:sz="4" w:space="0" w:color="auto"/>
              <w:right w:val="single" w:sz="4" w:space="0" w:color="auto"/>
            </w:tcBorders>
            <w:shd w:val="clear" w:color="auto" w:fill="C6EFCE"/>
            <w:noWrap/>
            <w:hideMark/>
          </w:tcPr>
          <w:p w14:paraId="53814502"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76" w:type="dxa"/>
            <w:tcBorders>
              <w:top w:val="nil"/>
              <w:left w:val="nil"/>
              <w:bottom w:val="single" w:sz="4" w:space="0" w:color="auto"/>
              <w:right w:val="single" w:sz="4" w:space="0" w:color="auto"/>
            </w:tcBorders>
            <w:shd w:val="clear" w:color="auto" w:fill="C6EFCE"/>
            <w:noWrap/>
            <w:hideMark/>
          </w:tcPr>
          <w:p w14:paraId="2141479A"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hideMark/>
          </w:tcPr>
          <w:p w14:paraId="6064ABAC" w14:textId="77777777" w:rsidR="00CB0FCB" w:rsidRDefault="009D2B11">
            <w:pPr>
              <w:pStyle w:val="P68B1DB1-Normal9"/>
              <w:spacing w:after="0" w:line="240" w:lineRule="auto"/>
              <w:rPr>
                <w:rFonts w:eastAsia="Times New Roman" w:cs="Calibri"/>
                <w:noProof/>
                <w:szCs w:val="18"/>
              </w:rPr>
            </w:pPr>
            <w:r>
              <w:rPr>
                <w:noProof/>
              </w:rPr>
              <w:t>2. CET.</w:t>
            </w:r>
          </w:p>
        </w:tc>
        <w:tc>
          <w:tcPr>
            <w:tcW w:w="673" w:type="dxa"/>
            <w:tcBorders>
              <w:top w:val="nil"/>
              <w:left w:val="nil"/>
              <w:bottom w:val="single" w:sz="4" w:space="0" w:color="auto"/>
              <w:right w:val="single" w:sz="4" w:space="0" w:color="auto"/>
            </w:tcBorders>
            <w:shd w:val="clear" w:color="auto" w:fill="C6EFCE"/>
            <w:noWrap/>
            <w:hideMark/>
          </w:tcPr>
          <w:p w14:paraId="111ABF54" w14:textId="77777777" w:rsidR="00CB0FCB" w:rsidRDefault="009D2B11">
            <w:pPr>
              <w:pStyle w:val="P68B1DB1-Normal9"/>
              <w:spacing w:after="0" w:line="240" w:lineRule="auto"/>
              <w:rPr>
                <w:rFonts w:eastAsia="Times New Roman" w:cs="Calibri"/>
                <w:noProof/>
                <w:szCs w:val="18"/>
              </w:rPr>
            </w:pPr>
            <w:r>
              <w:rPr>
                <w:noProof/>
              </w:rPr>
              <w:t>2025</w:t>
            </w:r>
          </w:p>
        </w:tc>
        <w:tc>
          <w:tcPr>
            <w:tcW w:w="3847" w:type="dxa"/>
            <w:tcBorders>
              <w:top w:val="nil"/>
              <w:left w:val="nil"/>
              <w:bottom w:val="single" w:sz="4" w:space="0" w:color="auto"/>
              <w:right w:val="single" w:sz="4" w:space="0" w:color="auto"/>
            </w:tcBorders>
            <w:shd w:val="clear" w:color="auto" w:fill="C6EFCE"/>
            <w:noWrap/>
            <w:hideMark/>
          </w:tcPr>
          <w:p w14:paraId="4A2AA4D3" w14:textId="77777777" w:rsidR="00CB0FCB" w:rsidRDefault="009D2B11">
            <w:pPr>
              <w:pStyle w:val="P68B1DB1-Normal9"/>
              <w:spacing w:after="0" w:line="240" w:lineRule="auto"/>
              <w:rPr>
                <w:rFonts w:eastAsia="Times New Roman" w:cs="Calibri"/>
                <w:noProof/>
                <w:szCs w:val="18"/>
              </w:rPr>
            </w:pPr>
            <w:r>
              <w:rPr>
                <w:noProof/>
              </w:rPr>
              <w:t>Visu Grieķijas Sūtījumu noguldījumu un aizdevumu fonda apakšprojektu pabeigšana: I) arhīva digitalizācijas un dokumentu pārvaldības sistēma; II) Integrēta informācijas sistēma; III) ERP informācijas sistēma; IV) pārvaldītie drukāšanas pakalpojumi; V) Cilvēkresursu pārvaldības sistēma.</w:t>
            </w:r>
          </w:p>
        </w:tc>
      </w:tr>
      <w:tr w:rsidR="00CB0FCB" w14:paraId="0146CC1B"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hideMark/>
          </w:tcPr>
          <w:p w14:paraId="2694D039" w14:textId="6EF103A9" w:rsidR="00CB0FCB" w:rsidRDefault="009D2B11">
            <w:pPr>
              <w:pStyle w:val="P68B1DB1-Normal9"/>
              <w:spacing w:after="0" w:line="240" w:lineRule="auto"/>
              <w:rPr>
                <w:rFonts w:eastAsia="Times New Roman" w:cs="Calibri"/>
                <w:noProof/>
                <w:szCs w:val="18"/>
              </w:rPr>
            </w:pPr>
            <w:r>
              <w:rPr>
                <w:noProof/>
              </w:rPr>
              <w:t>218</w:t>
            </w:r>
          </w:p>
        </w:tc>
        <w:tc>
          <w:tcPr>
            <w:tcW w:w="2146" w:type="dxa"/>
            <w:tcBorders>
              <w:top w:val="single" w:sz="4" w:space="0" w:color="auto"/>
              <w:left w:val="single" w:sz="4" w:space="0" w:color="auto"/>
              <w:bottom w:val="single" w:sz="4" w:space="0" w:color="auto"/>
              <w:right w:val="single" w:sz="4" w:space="0" w:color="auto"/>
            </w:tcBorders>
            <w:shd w:val="clear" w:color="auto" w:fill="C6EFCE"/>
            <w:noWrap/>
            <w:hideMark/>
          </w:tcPr>
          <w:p w14:paraId="3604E676"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16711_Publiskā iepirkuma jomas profesionalizācija</w:t>
            </w:r>
          </w:p>
        </w:tc>
        <w:tc>
          <w:tcPr>
            <w:tcW w:w="1063" w:type="dxa"/>
            <w:tcBorders>
              <w:top w:val="single" w:sz="4" w:space="0" w:color="auto"/>
              <w:left w:val="single" w:sz="4" w:space="0" w:color="auto"/>
              <w:bottom w:val="single" w:sz="4" w:space="0" w:color="auto"/>
              <w:right w:val="single" w:sz="4" w:space="0" w:color="auto"/>
            </w:tcBorders>
            <w:shd w:val="clear" w:color="auto" w:fill="C6EFCE"/>
            <w:noWrap/>
            <w:hideMark/>
          </w:tcPr>
          <w:p w14:paraId="750A08D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12" w:type="dxa"/>
            <w:tcBorders>
              <w:top w:val="single" w:sz="4" w:space="0" w:color="auto"/>
              <w:left w:val="single" w:sz="4" w:space="0" w:color="auto"/>
              <w:bottom w:val="single" w:sz="4" w:space="0" w:color="auto"/>
              <w:right w:val="single" w:sz="4" w:space="0" w:color="auto"/>
            </w:tcBorders>
            <w:shd w:val="clear" w:color="auto" w:fill="C6EFCE"/>
            <w:noWrap/>
            <w:hideMark/>
          </w:tcPr>
          <w:p w14:paraId="1D02275A" w14:textId="77777777" w:rsidR="00CB0FCB" w:rsidRDefault="009D2B11">
            <w:pPr>
              <w:pStyle w:val="P68B1DB1-Normal9"/>
              <w:spacing w:after="0" w:line="240" w:lineRule="auto"/>
              <w:rPr>
                <w:rFonts w:eastAsia="Times New Roman" w:cs="Calibri"/>
                <w:noProof/>
                <w:szCs w:val="18"/>
              </w:rPr>
            </w:pPr>
            <w:r>
              <w:rPr>
                <w:noProof/>
              </w:rPr>
              <w:t>Valsts publiskā iepirkuma stratēģijas 2021.–2025. gadam īstenošana</w:t>
            </w:r>
          </w:p>
        </w:tc>
        <w:tc>
          <w:tcPr>
            <w:tcW w:w="1552" w:type="dxa"/>
            <w:tcBorders>
              <w:top w:val="single" w:sz="4" w:space="0" w:color="auto"/>
              <w:left w:val="single" w:sz="4" w:space="0" w:color="auto"/>
              <w:bottom w:val="single" w:sz="4" w:space="0" w:color="auto"/>
              <w:right w:val="single" w:sz="4" w:space="0" w:color="auto"/>
            </w:tcBorders>
            <w:shd w:val="clear" w:color="auto" w:fill="C6EFCE"/>
            <w:noWrap/>
            <w:hideMark/>
          </w:tcPr>
          <w:p w14:paraId="76AC7C49" w14:textId="77777777" w:rsidR="00CB0FCB" w:rsidRDefault="009D2B11">
            <w:pPr>
              <w:pStyle w:val="P68B1DB1-Normal9"/>
              <w:spacing w:after="0" w:line="240" w:lineRule="auto"/>
              <w:rPr>
                <w:rFonts w:eastAsia="Times New Roman" w:cs="Calibri"/>
                <w:noProof/>
                <w:szCs w:val="18"/>
              </w:rPr>
            </w:pPr>
            <w:r>
              <w:rPr>
                <w:noProof/>
              </w:rPr>
              <w:t>Pilnībā īstenota valsts publiskā iepirkuma stratēģija</w:t>
            </w:r>
          </w:p>
        </w:tc>
        <w:tc>
          <w:tcPr>
            <w:tcW w:w="1126" w:type="dxa"/>
            <w:tcBorders>
              <w:top w:val="single" w:sz="4" w:space="0" w:color="auto"/>
              <w:left w:val="single" w:sz="4" w:space="0" w:color="auto"/>
              <w:bottom w:val="single" w:sz="4" w:space="0" w:color="auto"/>
              <w:right w:val="single" w:sz="4" w:space="0" w:color="auto"/>
            </w:tcBorders>
            <w:shd w:val="clear" w:color="auto" w:fill="C6EFCE"/>
            <w:noWrap/>
            <w:hideMark/>
          </w:tcPr>
          <w:p w14:paraId="5228FF7E"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C6EFCE"/>
            <w:noWrap/>
            <w:hideMark/>
          </w:tcPr>
          <w:p w14:paraId="09DE7219"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C6EFCE"/>
            <w:noWrap/>
            <w:hideMark/>
          </w:tcPr>
          <w:p w14:paraId="35CBDD15"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C6EFCE"/>
            <w:noWrap/>
            <w:hideMark/>
          </w:tcPr>
          <w:p w14:paraId="68ED4AB7"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single" w:sz="4" w:space="0" w:color="auto"/>
              <w:left w:val="single" w:sz="4" w:space="0" w:color="auto"/>
              <w:bottom w:val="single" w:sz="4" w:space="0" w:color="auto"/>
              <w:right w:val="single" w:sz="4" w:space="0" w:color="auto"/>
            </w:tcBorders>
            <w:shd w:val="clear" w:color="auto" w:fill="C6EFCE"/>
            <w:noWrap/>
            <w:hideMark/>
          </w:tcPr>
          <w:p w14:paraId="72583162" w14:textId="77777777" w:rsidR="00CB0FCB" w:rsidRDefault="009D2B11">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single" w:sz="4" w:space="0" w:color="auto"/>
              <w:bottom w:val="single" w:sz="4" w:space="0" w:color="auto"/>
              <w:right w:val="single" w:sz="4" w:space="0" w:color="auto"/>
            </w:tcBorders>
            <w:shd w:val="clear" w:color="auto" w:fill="C6EFCE"/>
            <w:noWrap/>
            <w:hideMark/>
          </w:tcPr>
          <w:p w14:paraId="3C6B73D0" w14:textId="77777777" w:rsidR="00CB0FCB" w:rsidRDefault="009D2B11">
            <w:pPr>
              <w:pStyle w:val="P68B1DB1-Normal9"/>
              <w:spacing w:after="0" w:line="240" w:lineRule="auto"/>
              <w:rPr>
                <w:rFonts w:eastAsia="Times New Roman" w:cs="Calibri"/>
                <w:noProof/>
                <w:szCs w:val="18"/>
              </w:rPr>
            </w:pPr>
            <w:r>
              <w:rPr>
                <w:noProof/>
              </w:rPr>
              <w:t>Valsts publiskā iepirkuma stratēģijas īstenošana, tostarp: publiskā iepirkuma tiesiskā regulējuma reforma; II) publiskā iepirkuma jomas digitālo pārveidi un pilnīgu e-iepirkumu; III) plašāku stratēģisko mērķu un politikas iniciatīvu sasniegšana; IV) publiskā iepirkuma pārvaldības sistēmas reforma.</w:t>
            </w:r>
          </w:p>
        </w:tc>
      </w:tr>
      <w:tr w:rsidR="00CB0FCB" w14:paraId="46CB1F7C"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410DD9C" w14:textId="77777777" w:rsidR="00CB0FCB" w:rsidRDefault="009D2B11">
            <w:pPr>
              <w:pStyle w:val="P68B1DB1-Normal9"/>
              <w:spacing w:after="0" w:line="240" w:lineRule="auto"/>
              <w:rPr>
                <w:rFonts w:eastAsia="Times New Roman" w:cs="Calibri"/>
                <w:noProof/>
                <w:szCs w:val="18"/>
              </w:rPr>
            </w:pPr>
            <w:r>
              <w:rPr>
                <w:noProof/>
              </w:rPr>
              <w:t>219</w:t>
            </w:r>
          </w:p>
        </w:tc>
        <w:tc>
          <w:tcPr>
            <w:tcW w:w="2146" w:type="dxa"/>
            <w:tcBorders>
              <w:top w:val="single" w:sz="4" w:space="0" w:color="auto"/>
              <w:left w:val="nil"/>
              <w:bottom w:val="single" w:sz="4" w:space="0" w:color="auto"/>
              <w:right w:val="single" w:sz="4" w:space="0" w:color="auto"/>
            </w:tcBorders>
            <w:shd w:val="clear" w:color="auto" w:fill="C6EFCE"/>
            <w:noWrap/>
          </w:tcPr>
          <w:p w14:paraId="66126D2E"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veicot spēju veidošanas pasākumus un apkarojot korupciju — 16974_Grāmatvedības reforma</w:t>
            </w:r>
          </w:p>
        </w:tc>
        <w:tc>
          <w:tcPr>
            <w:tcW w:w="1063" w:type="dxa"/>
            <w:tcBorders>
              <w:top w:val="single" w:sz="4" w:space="0" w:color="auto"/>
              <w:left w:val="nil"/>
              <w:bottom w:val="single" w:sz="4" w:space="0" w:color="auto"/>
              <w:right w:val="single" w:sz="4" w:space="0" w:color="auto"/>
            </w:tcBorders>
            <w:shd w:val="clear" w:color="auto" w:fill="C6EFCE"/>
            <w:noWrap/>
          </w:tcPr>
          <w:p w14:paraId="6BF37C4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12" w:type="dxa"/>
            <w:tcBorders>
              <w:top w:val="single" w:sz="4" w:space="0" w:color="auto"/>
              <w:left w:val="nil"/>
              <w:bottom w:val="single" w:sz="4" w:space="0" w:color="auto"/>
              <w:right w:val="single" w:sz="4" w:space="0" w:color="auto"/>
            </w:tcBorders>
            <w:shd w:val="clear" w:color="auto" w:fill="C6EFCE"/>
            <w:noWrap/>
          </w:tcPr>
          <w:p w14:paraId="76F47E6B" w14:textId="77777777" w:rsidR="00CB0FCB" w:rsidRDefault="009D2B11">
            <w:pPr>
              <w:pStyle w:val="P68B1DB1-Normal9"/>
              <w:spacing w:after="0" w:line="240" w:lineRule="auto"/>
              <w:rPr>
                <w:rFonts w:eastAsia="Times New Roman" w:cs="Calibri"/>
                <w:noProof/>
                <w:szCs w:val="18"/>
              </w:rPr>
            </w:pPr>
            <w:r>
              <w:rPr>
                <w:noProof/>
              </w:rPr>
              <w:t>Grāmatvedības reforma:</w:t>
            </w:r>
          </w:p>
          <w:p w14:paraId="1CA2D72B" w14:textId="77777777" w:rsidR="00CB0FCB" w:rsidRDefault="009D2B11">
            <w:pPr>
              <w:pStyle w:val="P68B1DB1-Normal9"/>
              <w:spacing w:after="0" w:line="240" w:lineRule="auto"/>
              <w:rPr>
                <w:rFonts w:eastAsia="Times New Roman" w:cs="Calibri"/>
                <w:noProof/>
                <w:szCs w:val="18"/>
              </w:rPr>
            </w:pPr>
            <w:r>
              <w:rPr>
                <w:noProof/>
              </w:rPr>
              <w:t>Konsolidētie finanšu pārskati</w:t>
            </w:r>
          </w:p>
        </w:tc>
        <w:tc>
          <w:tcPr>
            <w:tcW w:w="1552" w:type="dxa"/>
            <w:tcBorders>
              <w:top w:val="single" w:sz="4" w:space="0" w:color="auto"/>
              <w:left w:val="nil"/>
              <w:bottom w:val="single" w:sz="4" w:space="0" w:color="auto"/>
              <w:right w:val="single" w:sz="4" w:space="0" w:color="auto"/>
            </w:tcBorders>
            <w:shd w:val="clear" w:color="auto" w:fill="C6EFCE"/>
            <w:noWrap/>
          </w:tcPr>
          <w:p w14:paraId="2E254FAF" w14:textId="77777777" w:rsidR="00CB0FCB" w:rsidRDefault="009D2B11">
            <w:pPr>
              <w:pStyle w:val="P68B1DB1-Normal9"/>
              <w:spacing w:after="0" w:line="240" w:lineRule="auto"/>
              <w:rPr>
                <w:rFonts w:eastAsia="Times New Roman" w:cs="Calibri"/>
                <w:noProof/>
                <w:szCs w:val="18"/>
              </w:rPr>
            </w:pPr>
            <w:r>
              <w:rPr>
                <w:noProof/>
              </w:rPr>
              <w:t>Pabeigto konsolidēto finanšu pārskatu apkopošana.</w:t>
            </w:r>
          </w:p>
        </w:tc>
        <w:tc>
          <w:tcPr>
            <w:tcW w:w="1126" w:type="dxa"/>
            <w:tcBorders>
              <w:top w:val="single" w:sz="4" w:space="0" w:color="auto"/>
              <w:left w:val="nil"/>
              <w:bottom w:val="single" w:sz="4" w:space="0" w:color="auto"/>
              <w:right w:val="single" w:sz="4" w:space="0" w:color="auto"/>
            </w:tcBorders>
            <w:shd w:val="clear" w:color="auto" w:fill="C6EFCE"/>
            <w:noWrap/>
          </w:tcPr>
          <w:p w14:paraId="686EB5DA" w14:textId="77777777" w:rsidR="00CB0FCB" w:rsidRDefault="00CB0FCB">
            <w:pPr>
              <w:spacing w:after="0" w:line="240" w:lineRule="auto"/>
              <w:rPr>
                <w:rFonts w:eastAsia="Times New Roman" w:cs="Calibri"/>
                <w:noProof/>
                <w:color w:val="006100"/>
                <w:sz w:val="18"/>
                <w:szCs w:val="18"/>
              </w:rPr>
            </w:pPr>
          </w:p>
        </w:tc>
        <w:tc>
          <w:tcPr>
            <w:tcW w:w="1003" w:type="dxa"/>
            <w:tcBorders>
              <w:top w:val="single" w:sz="4" w:space="0" w:color="auto"/>
              <w:left w:val="nil"/>
              <w:bottom w:val="single" w:sz="4" w:space="0" w:color="auto"/>
              <w:right w:val="single" w:sz="4" w:space="0" w:color="auto"/>
            </w:tcBorders>
            <w:shd w:val="clear" w:color="auto" w:fill="C6EFCE"/>
            <w:noWrap/>
          </w:tcPr>
          <w:p w14:paraId="7A435EC2" w14:textId="77777777" w:rsidR="00CB0FCB" w:rsidRDefault="00CB0FCB">
            <w:pPr>
              <w:spacing w:after="0" w:line="240" w:lineRule="auto"/>
              <w:rPr>
                <w:rFonts w:eastAsia="Times New Roman" w:cs="Calibri"/>
                <w:noProof/>
                <w:color w:val="006100"/>
                <w:sz w:val="18"/>
                <w:szCs w:val="18"/>
              </w:rPr>
            </w:pPr>
          </w:p>
        </w:tc>
        <w:tc>
          <w:tcPr>
            <w:tcW w:w="876" w:type="dxa"/>
            <w:tcBorders>
              <w:top w:val="single" w:sz="4" w:space="0" w:color="auto"/>
              <w:left w:val="nil"/>
              <w:bottom w:val="single" w:sz="4" w:space="0" w:color="auto"/>
              <w:right w:val="single" w:sz="4" w:space="0" w:color="auto"/>
            </w:tcBorders>
            <w:shd w:val="clear" w:color="auto" w:fill="C6EFCE"/>
            <w:noWrap/>
          </w:tcPr>
          <w:p w14:paraId="05972E45"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3D6AEDD"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single" w:sz="4" w:space="0" w:color="auto"/>
              <w:left w:val="nil"/>
              <w:bottom w:val="single" w:sz="4" w:space="0" w:color="auto"/>
              <w:right w:val="single" w:sz="4" w:space="0" w:color="auto"/>
            </w:tcBorders>
            <w:shd w:val="clear" w:color="auto" w:fill="C6EFCE"/>
            <w:noWrap/>
          </w:tcPr>
          <w:p w14:paraId="2DFF04B1" w14:textId="77777777" w:rsidR="00CB0FCB" w:rsidRDefault="009D2B11">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nil"/>
              <w:bottom w:val="single" w:sz="4" w:space="0" w:color="auto"/>
              <w:right w:val="single" w:sz="4" w:space="0" w:color="auto"/>
            </w:tcBorders>
            <w:shd w:val="clear" w:color="auto" w:fill="C6EFCE"/>
            <w:noWrap/>
          </w:tcPr>
          <w:p w14:paraId="2B63BAD1" w14:textId="77777777" w:rsidR="00CB0FCB" w:rsidRDefault="009D2B11">
            <w:pPr>
              <w:pStyle w:val="P68B1DB1-Normal9"/>
              <w:spacing w:after="0" w:line="240" w:lineRule="auto"/>
              <w:rPr>
                <w:rFonts w:eastAsia="Times New Roman" w:cs="Calibri"/>
                <w:noProof/>
                <w:szCs w:val="18"/>
              </w:rPr>
            </w:pPr>
            <w:r>
              <w:rPr>
                <w:noProof/>
              </w:rPr>
              <w:t>Konsolidēto finanšu pārskatu apkopošana par visiem vispārējās valdības apakšsektoriem, tostarp vietējām pašvaldībām.</w:t>
            </w:r>
          </w:p>
          <w:p w14:paraId="2C02A677" w14:textId="77777777" w:rsidR="00CB0FCB" w:rsidRDefault="009D2B11">
            <w:pPr>
              <w:pStyle w:val="P68B1DB1-Normal9"/>
              <w:spacing w:after="0" w:line="240" w:lineRule="auto"/>
              <w:rPr>
                <w:rFonts w:eastAsia="Times New Roman" w:cs="Calibri"/>
                <w:noProof/>
                <w:szCs w:val="18"/>
              </w:rPr>
            </w:pPr>
            <w:r>
              <w:rPr>
                <w:noProof/>
              </w:rPr>
              <w:t xml:space="preserve">Lai sasniegtu šos rezultātus, ir vajadzīgas šādas darbības: </w:t>
            </w:r>
          </w:p>
          <w:p w14:paraId="7CB8E218" w14:textId="25044D2C" w:rsidR="00CB0FCB" w:rsidRDefault="009D2B11">
            <w:pPr>
              <w:pStyle w:val="P68B1DB1-Normal9"/>
              <w:numPr>
                <w:ilvl w:val="0"/>
                <w:numId w:val="46"/>
              </w:numPr>
              <w:spacing w:before="120" w:after="0" w:line="259" w:lineRule="auto"/>
              <w:ind w:left="229" w:hanging="229"/>
              <w:contextualSpacing/>
              <w:jc w:val="both"/>
              <w:rPr>
                <w:noProof/>
              </w:rPr>
            </w:pPr>
            <w:r>
              <w:rPr>
                <w:noProof/>
              </w:rPr>
              <w:t>Centrālās pārvaldes fiskālās un finanšu pārvaldības un ziņošanas funkciju izstrāde, īstenošana un darbība, kā arī fiskālo un finanšu datu vākšana un uzraudzība no visām citām vispārējās valdības struktūrām ārpus centrālās pārvaldes, kuras ir izdevušas finanšu pārskatus.</w:t>
            </w:r>
          </w:p>
          <w:p w14:paraId="5BC69BC4" w14:textId="77777777" w:rsidR="00CB0FCB" w:rsidRDefault="009D2B11">
            <w:pPr>
              <w:pStyle w:val="P68B1DB1-Normal9"/>
              <w:numPr>
                <w:ilvl w:val="0"/>
                <w:numId w:val="46"/>
              </w:numPr>
              <w:spacing w:before="120" w:after="0" w:line="259" w:lineRule="auto"/>
              <w:ind w:left="229" w:hanging="229"/>
              <w:contextualSpacing/>
              <w:jc w:val="both"/>
              <w:rPr>
                <w:rFonts w:eastAsia="Times New Roman" w:cs="Calibri"/>
                <w:noProof/>
                <w:szCs w:val="18"/>
              </w:rPr>
            </w:pPr>
            <w:r>
              <w:rPr>
                <w:noProof/>
              </w:rPr>
              <w:t>Ievadiet rēķinu GOV-ERP</w:t>
            </w:r>
          </w:p>
          <w:p w14:paraId="6D52A184" w14:textId="77777777" w:rsidR="00CB0FCB" w:rsidRDefault="009D2B11">
            <w:pPr>
              <w:pStyle w:val="P68B1DB1-Normal9"/>
              <w:numPr>
                <w:ilvl w:val="0"/>
                <w:numId w:val="46"/>
              </w:numPr>
              <w:spacing w:before="120" w:after="0" w:line="259" w:lineRule="auto"/>
              <w:ind w:left="229" w:hanging="229"/>
              <w:contextualSpacing/>
              <w:jc w:val="both"/>
              <w:rPr>
                <w:rFonts w:eastAsia="Times New Roman" w:cs="Calibri"/>
                <w:noProof/>
                <w:szCs w:val="18"/>
              </w:rPr>
            </w:pPr>
            <w:r>
              <w:rPr>
                <w:noProof/>
              </w:rPr>
              <w:t>Apmācīt finanšu pakalpojumu vienību darbiniekus par jautājumiem, kas saistīti ar vispārējo valdības grāmatvedības sistēmu (GGAF) un publisko finanšu pārvaldību (PFP)</w:t>
            </w:r>
          </w:p>
          <w:p w14:paraId="160B33B3" w14:textId="77777777" w:rsidR="00CB0FCB" w:rsidRDefault="009D2B11">
            <w:pPr>
              <w:pStyle w:val="P68B1DB1-Normal9"/>
              <w:numPr>
                <w:ilvl w:val="0"/>
                <w:numId w:val="46"/>
              </w:numPr>
              <w:spacing w:before="120" w:after="0" w:line="259" w:lineRule="auto"/>
              <w:ind w:left="229" w:hanging="229"/>
              <w:contextualSpacing/>
              <w:jc w:val="both"/>
              <w:rPr>
                <w:rFonts w:eastAsia="Times New Roman" w:cs="Calibri"/>
                <w:noProof/>
                <w:szCs w:val="18"/>
              </w:rPr>
            </w:pPr>
            <w:r>
              <w:rPr>
                <w:noProof/>
              </w:rPr>
              <w:t>Apkopot konsolidētos finanšu pārskatus.</w:t>
            </w:r>
          </w:p>
        </w:tc>
      </w:tr>
      <w:tr w:rsidR="00CB0FCB" w14:paraId="780D1B0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983C07E" w14:textId="77777777" w:rsidR="00CB0FCB" w:rsidRDefault="009D2B11">
            <w:pPr>
              <w:pStyle w:val="P68B1DB1-Normal9"/>
              <w:spacing w:after="0" w:line="240" w:lineRule="auto"/>
              <w:rPr>
                <w:rFonts w:eastAsia="Times New Roman" w:cs="Calibri"/>
                <w:noProof/>
                <w:szCs w:val="18"/>
              </w:rPr>
            </w:pPr>
            <w:r>
              <w:rPr>
                <w:noProof/>
              </w:rPr>
              <w:t>220</w:t>
            </w:r>
          </w:p>
        </w:tc>
        <w:tc>
          <w:tcPr>
            <w:tcW w:w="2146" w:type="dxa"/>
            <w:tcBorders>
              <w:top w:val="single" w:sz="4" w:space="0" w:color="auto"/>
              <w:left w:val="nil"/>
              <w:bottom w:val="single" w:sz="4" w:space="0" w:color="auto"/>
              <w:right w:val="single" w:sz="4" w:space="0" w:color="auto"/>
            </w:tcBorders>
            <w:shd w:val="clear" w:color="auto" w:fill="C6EFCE"/>
            <w:noWrap/>
          </w:tcPr>
          <w:p w14:paraId="4E7CA9EB"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16705_Fiskālās pārvaldības un uzraudzības digitālā pārveide pārvaldībā un elektronisko rēķinu sagatavošanā</w:t>
            </w:r>
          </w:p>
        </w:tc>
        <w:tc>
          <w:tcPr>
            <w:tcW w:w="1063" w:type="dxa"/>
            <w:tcBorders>
              <w:top w:val="single" w:sz="4" w:space="0" w:color="auto"/>
              <w:left w:val="nil"/>
              <w:bottom w:val="single" w:sz="4" w:space="0" w:color="auto"/>
              <w:right w:val="single" w:sz="4" w:space="0" w:color="auto"/>
            </w:tcBorders>
            <w:shd w:val="clear" w:color="auto" w:fill="C6EFCE"/>
            <w:noWrap/>
          </w:tcPr>
          <w:p w14:paraId="1F8F77D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12" w:type="dxa"/>
            <w:tcBorders>
              <w:top w:val="single" w:sz="4" w:space="0" w:color="auto"/>
              <w:left w:val="nil"/>
              <w:bottom w:val="single" w:sz="4" w:space="0" w:color="auto"/>
              <w:right w:val="single" w:sz="4" w:space="0" w:color="auto"/>
            </w:tcBorders>
            <w:shd w:val="clear" w:color="auto" w:fill="C6EFCE"/>
            <w:noWrap/>
          </w:tcPr>
          <w:p w14:paraId="5DF60471" w14:textId="77777777" w:rsidR="00CB0FCB" w:rsidRDefault="009D2B11">
            <w:pPr>
              <w:pStyle w:val="P68B1DB1-Normal9"/>
              <w:spacing w:after="0" w:line="240" w:lineRule="auto"/>
              <w:rPr>
                <w:rFonts w:eastAsia="Times New Roman" w:cs="Calibri"/>
                <w:noProof/>
                <w:szCs w:val="18"/>
              </w:rPr>
            </w:pPr>
            <w:r>
              <w:rPr>
                <w:noProof/>
              </w:rPr>
              <w:t>Valdības uzņēmumu resursu plānošana (GOV-ERP)</w:t>
            </w:r>
          </w:p>
        </w:tc>
        <w:tc>
          <w:tcPr>
            <w:tcW w:w="1552" w:type="dxa"/>
            <w:tcBorders>
              <w:top w:val="single" w:sz="4" w:space="0" w:color="auto"/>
              <w:left w:val="nil"/>
              <w:bottom w:val="single" w:sz="4" w:space="0" w:color="auto"/>
              <w:right w:val="single" w:sz="4" w:space="0" w:color="auto"/>
            </w:tcBorders>
            <w:shd w:val="clear" w:color="auto" w:fill="C6EFCE"/>
            <w:noWrap/>
          </w:tcPr>
          <w:p w14:paraId="421554DE" w14:textId="4B853615" w:rsidR="00CB0FCB" w:rsidRDefault="009D2B11">
            <w:pPr>
              <w:pStyle w:val="P68B1DB1-Normal9"/>
              <w:spacing w:after="0" w:line="240" w:lineRule="auto"/>
              <w:rPr>
                <w:rFonts w:eastAsia="Times New Roman" w:cs="Calibri"/>
                <w:noProof/>
                <w:szCs w:val="18"/>
              </w:rPr>
            </w:pPr>
            <w:r>
              <w:rPr>
                <w:noProof/>
              </w:rPr>
              <w:t>It sistēma darbojas.</w:t>
            </w:r>
          </w:p>
        </w:tc>
        <w:tc>
          <w:tcPr>
            <w:tcW w:w="1126" w:type="dxa"/>
            <w:tcBorders>
              <w:top w:val="single" w:sz="4" w:space="0" w:color="auto"/>
              <w:left w:val="nil"/>
              <w:bottom w:val="single" w:sz="4" w:space="0" w:color="auto"/>
              <w:right w:val="single" w:sz="4" w:space="0" w:color="auto"/>
            </w:tcBorders>
            <w:shd w:val="clear" w:color="auto" w:fill="C6EFCE"/>
            <w:noWrap/>
          </w:tcPr>
          <w:p w14:paraId="47659F1E" w14:textId="77777777" w:rsidR="00CB0FCB" w:rsidRDefault="00CB0FCB">
            <w:pPr>
              <w:spacing w:after="0" w:line="240" w:lineRule="auto"/>
              <w:rPr>
                <w:rFonts w:eastAsia="Times New Roman" w:cs="Calibri"/>
                <w:noProof/>
                <w:color w:val="006100"/>
                <w:sz w:val="18"/>
                <w:szCs w:val="18"/>
              </w:rPr>
            </w:pPr>
          </w:p>
        </w:tc>
        <w:tc>
          <w:tcPr>
            <w:tcW w:w="1003" w:type="dxa"/>
            <w:tcBorders>
              <w:top w:val="single" w:sz="4" w:space="0" w:color="auto"/>
              <w:left w:val="nil"/>
              <w:bottom w:val="single" w:sz="4" w:space="0" w:color="auto"/>
              <w:right w:val="single" w:sz="4" w:space="0" w:color="auto"/>
            </w:tcBorders>
            <w:shd w:val="clear" w:color="auto" w:fill="C6EFCE"/>
            <w:noWrap/>
          </w:tcPr>
          <w:p w14:paraId="20960CE7" w14:textId="77777777" w:rsidR="00CB0FCB" w:rsidRDefault="00CB0FCB">
            <w:pPr>
              <w:spacing w:after="0" w:line="240" w:lineRule="auto"/>
              <w:rPr>
                <w:rFonts w:eastAsia="Times New Roman" w:cs="Calibri"/>
                <w:noProof/>
                <w:color w:val="006100"/>
                <w:sz w:val="18"/>
                <w:szCs w:val="18"/>
              </w:rPr>
            </w:pPr>
          </w:p>
        </w:tc>
        <w:tc>
          <w:tcPr>
            <w:tcW w:w="876" w:type="dxa"/>
            <w:tcBorders>
              <w:top w:val="single" w:sz="4" w:space="0" w:color="auto"/>
              <w:left w:val="nil"/>
              <w:bottom w:val="single" w:sz="4" w:space="0" w:color="auto"/>
              <w:right w:val="single" w:sz="4" w:space="0" w:color="auto"/>
            </w:tcBorders>
            <w:shd w:val="clear" w:color="auto" w:fill="C6EFCE"/>
            <w:noWrap/>
          </w:tcPr>
          <w:p w14:paraId="3779CCF0"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6B7F6EA"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single" w:sz="4" w:space="0" w:color="auto"/>
              <w:left w:val="nil"/>
              <w:bottom w:val="single" w:sz="4" w:space="0" w:color="auto"/>
              <w:right w:val="single" w:sz="4" w:space="0" w:color="auto"/>
            </w:tcBorders>
            <w:shd w:val="clear" w:color="auto" w:fill="C6EFCE"/>
            <w:noWrap/>
          </w:tcPr>
          <w:p w14:paraId="6A886624" w14:textId="77777777" w:rsidR="00CB0FCB" w:rsidRDefault="009D2B11">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nil"/>
              <w:bottom w:val="single" w:sz="4" w:space="0" w:color="auto"/>
              <w:right w:val="single" w:sz="4" w:space="0" w:color="auto"/>
            </w:tcBorders>
            <w:shd w:val="clear" w:color="auto" w:fill="C6EFCE"/>
            <w:noWrap/>
          </w:tcPr>
          <w:p w14:paraId="0DC36BF1" w14:textId="507898BF" w:rsidR="00CB0FCB" w:rsidRDefault="009D2B11">
            <w:pPr>
              <w:pStyle w:val="P68B1DB1-Normal9"/>
              <w:spacing w:after="0" w:line="240" w:lineRule="auto"/>
              <w:jc w:val="both"/>
              <w:rPr>
                <w:rFonts w:eastAsia="Times New Roman" w:cs="Calibri"/>
                <w:noProof/>
                <w:szCs w:val="18"/>
              </w:rPr>
            </w:pPr>
            <w:r>
              <w:rPr>
                <w:noProof/>
              </w:rPr>
              <w:t>Īstenot finanšu pārvaldības un uzraudzības sistēmas digitālo pārveidi, nodrošinot valdības uzņēmumu resursu plānošanas (GOV-ERP) darbību, t. i., lai atbalstītu 2027. gada budžeta sagatavošanu.</w:t>
            </w:r>
          </w:p>
          <w:p w14:paraId="1D10AF81" w14:textId="77777777" w:rsidR="00CB0FCB" w:rsidRDefault="009D2B11">
            <w:pPr>
              <w:pStyle w:val="P68B1DB1-Normal9"/>
              <w:spacing w:after="0" w:line="240" w:lineRule="auto"/>
              <w:jc w:val="both"/>
              <w:rPr>
                <w:rFonts w:eastAsia="Times New Roman" w:cs="Calibri"/>
                <w:noProof/>
                <w:szCs w:val="18"/>
              </w:rPr>
            </w:pPr>
            <w:r>
              <w:rPr>
                <w:noProof/>
              </w:rPr>
              <w:t xml:space="preserve">Lai sasniegtu šo rezultātu, pabeigt apakšprojektus: </w:t>
            </w:r>
          </w:p>
          <w:p w14:paraId="6E300822" w14:textId="41FDB8FB" w:rsidR="00CB0FCB" w:rsidRDefault="009D2B11">
            <w:pPr>
              <w:pStyle w:val="P68B1DB1-Normal9"/>
              <w:spacing w:after="0" w:line="240" w:lineRule="auto"/>
              <w:jc w:val="both"/>
              <w:rPr>
                <w:rFonts w:eastAsia="Times New Roman" w:cs="Calibri"/>
                <w:noProof/>
                <w:szCs w:val="18"/>
              </w:rPr>
            </w:pPr>
            <w:r>
              <w:rPr>
                <w:noProof/>
              </w:rPr>
              <w:t xml:space="preserve">Vispārējās valdības ERP sistēmu savienošana ar Grieķijas e-rēķinu, nodrošinot: </w:t>
            </w:r>
          </w:p>
          <w:p w14:paraId="43B4F251" w14:textId="77777777" w:rsidR="00CB0FCB" w:rsidRDefault="009D2B11">
            <w:pPr>
              <w:pStyle w:val="P68B1DB1-Normal9"/>
              <w:spacing w:after="0" w:line="240" w:lineRule="auto"/>
              <w:jc w:val="both"/>
              <w:rPr>
                <w:rFonts w:eastAsia="Times New Roman" w:cs="Calibri"/>
                <w:noProof/>
                <w:szCs w:val="18"/>
              </w:rPr>
            </w:pPr>
            <w:r>
              <w:rPr>
                <w:noProof/>
              </w:rPr>
              <w:t xml:space="preserve"> ERP sistēmu savienojamība ar e-rēķinu tīklu</w:t>
            </w:r>
          </w:p>
          <w:p w14:paraId="0FC0F1E8" w14:textId="77777777" w:rsidR="00CB0FCB" w:rsidRDefault="009D2B11">
            <w:pPr>
              <w:pStyle w:val="P68B1DB1-Normal9"/>
              <w:spacing w:after="0" w:line="240" w:lineRule="auto"/>
              <w:jc w:val="both"/>
              <w:rPr>
                <w:rFonts w:eastAsia="Times New Roman" w:cs="Calibri"/>
                <w:noProof/>
                <w:szCs w:val="18"/>
              </w:rPr>
            </w:pPr>
            <w:r>
              <w:rPr>
                <w:noProof/>
              </w:rPr>
              <w:t xml:space="preserve"> — E-rēķinu pakalpojumu sniedzēju savienojamība ar e-rēķinu tīklu</w:t>
            </w:r>
          </w:p>
        </w:tc>
      </w:tr>
      <w:tr w:rsidR="00CB0FCB" w14:paraId="42E37826"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9D211BE" w14:textId="77777777" w:rsidR="00CB0FCB" w:rsidRDefault="009D2B11">
            <w:pPr>
              <w:pStyle w:val="P68B1DB1-Normal9"/>
              <w:spacing w:after="0" w:line="240" w:lineRule="auto"/>
              <w:rPr>
                <w:rFonts w:eastAsia="Times New Roman" w:cs="Calibri"/>
                <w:noProof/>
                <w:szCs w:val="18"/>
              </w:rPr>
            </w:pPr>
            <w:r>
              <w:rPr>
                <w:noProof/>
              </w:rPr>
              <w:t>221</w:t>
            </w:r>
          </w:p>
        </w:tc>
        <w:tc>
          <w:tcPr>
            <w:tcW w:w="2146" w:type="dxa"/>
            <w:tcBorders>
              <w:top w:val="single" w:sz="4" w:space="0" w:color="auto"/>
              <w:left w:val="nil"/>
              <w:bottom w:val="single" w:sz="4" w:space="0" w:color="auto"/>
              <w:right w:val="single" w:sz="4" w:space="0" w:color="auto"/>
            </w:tcBorders>
            <w:shd w:val="clear" w:color="auto" w:fill="C6EFCE"/>
            <w:noWrap/>
          </w:tcPr>
          <w:p w14:paraId="7AFF5CCB"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16711_Publiskā iepirkuma jomas profesionalizācija</w:t>
            </w:r>
          </w:p>
        </w:tc>
        <w:tc>
          <w:tcPr>
            <w:tcW w:w="1063" w:type="dxa"/>
            <w:tcBorders>
              <w:top w:val="single" w:sz="4" w:space="0" w:color="auto"/>
              <w:left w:val="nil"/>
              <w:bottom w:val="single" w:sz="4" w:space="0" w:color="auto"/>
              <w:right w:val="single" w:sz="4" w:space="0" w:color="auto"/>
            </w:tcBorders>
            <w:shd w:val="clear" w:color="auto" w:fill="C6EFCE"/>
            <w:noWrap/>
          </w:tcPr>
          <w:p w14:paraId="3197CF7C" w14:textId="77777777" w:rsidR="00CB0FCB" w:rsidRDefault="009D2B11">
            <w:pPr>
              <w:pStyle w:val="P68B1DB1-Normal9"/>
              <w:spacing w:after="0" w:line="240" w:lineRule="auto"/>
              <w:rPr>
                <w:rFonts w:eastAsia="Times New Roman" w:cs="Calibri"/>
                <w:noProof/>
                <w:szCs w:val="18"/>
              </w:rPr>
            </w:pPr>
            <w:r>
              <w:rPr>
                <w:noProof/>
              </w:rPr>
              <w:t>Mērķa</w:t>
            </w:r>
          </w:p>
        </w:tc>
        <w:tc>
          <w:tcPr>
            <w:tcW w:w="1712" w:type="dxa"/>
            <w:tcBorders>
              <w:top w:val="single" w:sz="4" w:space="0" w:color="auto"/>
              <w:left w:val="nil"/>
              <w:bottom w:val="single" w:sz="4" w:space="0" w:color="auto"/>
              <w:right w:val="single" w:sz="4" w:space="0" w:color="auto"/>
            </w:tcBorders>
            <w:shd w:val="clear" w:color="auto" w:fill="C6EFCE"/>
            <w:noWrap/>
          </w:tcPr>
          <w:p w14:paraId="27FF85B7" w14:textId="77777777" w:rsidR="00CB0FCB" w:rsidRDefault="009D2B11">
            <w:pPr>
              <w:pStyle w:val="P68B1DB1-Normal9"/>
              <w:spacing w:after="0" w:line="240" w:lineRule="auto"/>
              <w:rPr>
                <w:rFonts w:eastAsia="Times New Roman" w:cs="Calibri"/>
                <w:noProof/>
                <w:szCs w:val="18"/>
              </w:rPr>
            </w:pPr>
            <w:r>
              <w:rPr>
                <w:noProof/>
              </w:rPr>
              <w:t>Prasmju pilnveides/pārkvalifikācijas programmu pabeigšana publiskā iepirkuma jomā</w:t>
            </w:r>
          </w:p>
        </w:tc>
        <w:tc>
          <w:tcPr>
            <w:tcW w:w="1552" w:type="dxa"/>
            <w:tcBorders>
              <w:top w:val="single" w:sz="4" w:space="0" w:color="auto"/>
              <w:left w:val="nil"/>
              <w:bottom w:val="single" w:sz="4" w:space="0" w:color="auto"/>
              <w:right w:val="single" w:sz="4" w:space="0" w:color="auto"/>
            </w:tcBorders>
            <w:shd w:val="clear" w:color="auto" w:fill="C6EFCE"/>
            <w:noWrap/>
          </w:tcPr>
          <w:p w14:paraId="10B983C4" w14:textId="77777777" w:rsidR="00CB0FCB" w:rsidRDefault="00CB0FCB">
            <w:pPr>
              <w:spacing w:after="0" w:line="240" w:lineRule="auto"/>
              <w:rPr>
                <w:rFonts w:eastAsia="Times New Roman" w:cs="Calibri"/>
                <w:noProof/>
                <w:color w:val="006100"/>
                <w:sz w:val="18"/>
                <w:szCs w:val="18"/>
              </w:rPr>
            </w:pPr>
          </w:p>
        </w:tc>
        <w:tc>
          <w:tcPr>
            <w:tcW w:w="1126" w:type="dxa"/>
            <w:tcBorders>
              <w:top w:val="single" w:sz="4" w:space="0" w:color="auto"/>
              <w:left w:val="nil"/>
              <w:bottom w:val="single" w:sz="4" w:space="0" w:color="auto"/>
              <w:right w:val="single" w:sz="4" w:space="0" w:color="auto"/>
            </w:tcBorders>
            <w:shd w:val="clear" w:color="auto" w:fill="C6EFCE"/>
            <w:noWrap/>
          </w:tcPr>
          <w:p w14:paraId="3800B837" w14:textId="77777777" w:rsidR="00CB0FCB" w:rsidRDefault="009D2B11">
            <w:pPr>
              <w:pStyle w:val="P68B1DB1-Normal9"/>
              <w:spacing w:after="0" w:line="240" w:lineRule="auto"/>
              <w:rPr>
                <w:rFonts w:eastAsia="Times New Roman" w:cs="Calibri"/>
                <w:noProof/>
                <w:szCs w:val="18"/>
              </w:rPr>
            </w:pPr>
            <w:r>
              <w:rPr>
                <w:noProof/>
              </w:rPr>
              <w:t>Apmācīto un sertificēto ierēdņu skaits</w:t>
            </w:r>
          </w:p>
        </w:tc>
        <w:tc>
          <w:tcPr>
            <w:tcW w:w="1003" w:type="dxa"/>
            <w:tcBorders>
              <w:top w:val="single" w:sz="4" w:space="0" w:color="auto"/>
              <w:left w:val="nil"/>
              <w:bottom w:val="single" w:sz="4" w:space="0" w:color="auto"/>
              <w:right w:val="single" w:sz="4" w:space="0" w:color="auto"/>
            </w:tcBorders>
            <w:shd w:val="clear" w:color="auto" w:fill="C6EFCE"/>
            <w:noWrap/>
          </w:tcPr>
          <w:p w14:paraId="0EA7F0CC" w14:textId="77777777" w:rsidR="00CB0FCB" w:rsidRDefault="009D2B11">
            <w:pPr>
              <w:pStyle w:val="P68B1DB1-Normal9"/>
              <w:spacing w:after="0" w:line="240" w:lineRule="auto"/>
              <w:rPr>
                <w:rFonts w:eastAsia="Times New Roman" w:cs="Calibri"/>
                <w:noProof/>
                <w:szCs w:val="18"/>
              </w:rPr>
            </w:pPr>
            <w:r>
              <w:rPr>
                <w:noProof/>
              </w:rPr>
              <w:t>0</w:t>
            </w:r>
          </w:p>
        </w:tc>
        <w:tc>
          <w:tcPr>
            <w:tcW w:w="876" w:type="dxa"/>
            <w:tcBorders>
              <w:top w:val="single" w:sz="4" w:space="0" w:color="auto"/>
              <w:left w:val="nil"/>
              <w:bottom w:val="single" w:sz="4" w:space="0" w:color="auto"/>
              <w:right w:val="single" w:sz="4" w:space="0" w:color="auto"/>
            </w:tcBorders>
            <w:shd w:val="clear" w:color="auto" w:fill="C6EFCE"/>
            <w:noWrap/>
          </w:tcPr>
          <w:p w14:paraId="5BCD7B47" w14:textId="77777777" w:rsidR="00CB0FCB" w:rsidRDefault="009D2B11">
            <w:pPr>
              <w:pStyle w:val="P68B1DB1-Normal9"/>
              <w:spacing w:after="0" w:line="240" w:lineRule="auto"/>
              <w:rPr>
                <w:rFonts w:eastAsia="Times New Roman" w:cs="Calibri"/>
                <w:noProof/>
                <w:szCs w:val="18"/>
              </w:rPr>
            </w:pPr>
            <w:r>
              <w:rPr>
                <w:noProof/>
              </w:rPr>
              <w:t>6 000</w:t>
            </w:r>
          </w:p>
        </w:tc>
        <w:tc>
          <w:tcPr>
            <w:tcW w:w="846" w:type="dxa"/>
            <w:tcBorders>
              <w:top w:val="single" w:sz="4" w:space="0" w:color="auto"/>
              <w:left w:val="nil"/>
              <w:bottom w:val="single" w:sz="4" w:space="0" w:color="auto"/>
              <w:right w:val="single" w:sz="4" w:space="0" w:color="auto"/>
            </w:tcBorders>
            <w:shd w:val="clear" w:color="auto" w:fill="C6EFCE"/>
            <w:noWrap/>
          </w:tcPr>
          <w:p w14:paraId="74FF4355"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single" w:sz="4" w:space="0" w:color="auto"/>
              <w:left w:val="nil"/>
              <w:bottom w:val="single" w:sz="4" w:space="0" w:color="auto"/>
              <w:right w:val="single" w:sz="4" w:space="0" w:color="auto"/>
            </w:tcBorders>
            <w:shd w:val="clear" w:color="auto" w:fill="C6EFCE"/>
            <w:noWrap/>
          </w:tcPr>
          <w:p w14:paraId="7FC70D56" w14:textId="77777777" w:rsidR="00CB0FCB" w:rsidRDefault="009D2B11">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nil"/>
              <w:bottom w:val="single" w:sz="4" w:space="0" w:color="auto"/>
              <w:right w:val="single" w:sz="4" w:space="0" w:color="auto"/>
            </w:tcBorders>
            <w:shd w:val="clear" w:color="auto" w:fill="C6EFCE"/>
            <w:noWrap/>
          </w:tcPr>
          <w:p w14:paraId="12578705" w14:textId="77777777" w:rsidR="00CB0FCB" w:rsidRDefault="009D2B11">
            <w:pPr>
              <w:pStyle w:val="P68B1DB1-Normal9"/>
              <w:spacing w:after="0" w:line="240" w:lineRule="auto"/>
              <w:rPr>
                <w:rFonts w:eastAsia="Times New Roman" w:cs="Calibri"/>
                <w:noProof/>
                <w:szCs w:val="18"/>
              </w:rPr>
            </w:pPr>
            <w:r>
              <w:rPr>
                <w:noProof/>
              </w:rPr>
              <w:t xml:space="preserve">Prasmju pilnveides/pārkvalifikācijas programmu pabeigšana publiskā iepirkuma jomas speciālistiem un sertifikācijas piešķiršana. </w:t>
            </w:r>
          </w:p>
        </w:tc>
      </w:tr>
      <w:tr w:rsidR="00CB0FCB" w14:paraId="3DF4350B"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B851F86" w14:textId="77777777" w:rsidR="00CB0FCB" w:rsidRDefault="009D2B11">
            <w:pPr>
              <w:pStyle w:val="P68B1DB1-Normal9"/>
              <w:spacing w:after="0" w:line="240" w:lineRule="auto"/>
              <w:rPr>
                <w:rFonts w:eastAsia="Times New Roman" w:cs="Calibri"/>
                <w:noProof/>
                <w:szCs w:val="18"/>
              </w:rPr>
            </w:pPr>
            <w:r>
              <w:rPr>
                <w:noProof/>
              </w:rPr>
              <w:t>341</w:t>
            </w:r>
          </w:p>
        </w:tc>
        <w:tc>
          <w:tcPr>
            <w:tcW w:w="2146" w:type="dxa"/>
            <w:tcBorders>
              <w:top w:val="single" w:sz="4" w:space="0" w:color="auto"/>
              <w:left w:val="nil"/>
              <w:bottom w:val="single" w:sz="4" w:space="0" w:color="auto"/>
              <w:right w:val="single" w:sz="4" w:space="0" w:color="auto"/>
            </w:tcBorders>
            <w:shd w:val="clear" w:color="auto" w:fill="C6EFCE"/>
            <w:noWrap/>
          </w:tcPr>
          <w:p w14:paraId="2D1729BA"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16986_Valsts kadastra pabeigšana</w:t>
            </w:r>
          </w:p>
        </w:tc>
        <w:tc>
          <w:tcPr>
            <w:tcW w:w="1063" w:type="dxa"/>
            <w:tcBorders>
              <w:top w:val="single" w:sz="4" w:space="0" w:color="auto"/>
              <w:left w:val="nil"/>
              <w:bottom w:val="single" w:sz="4" w:space="0" w:color="auto"/>
              <w:right w:val="single" w:sz="4" w:space="0" w:color="auto"/>
            </w:tcBorders>
            <w:shd w:val="clear" w:color="auto" w:fill="C6EFCE"/>
            <w:noWrap/>
          </w:tcPr>
          <w:p w14:paraId="6CA89A70" w14:textId="77777777" w:rsidR="00CB0FCB" w:rsidRDefault="009D2B11">
            <w:pPr>
              <w:pStyle w:val="P68B1DB1-Normal9"/>
              <w:spacing w:after="0" w:line="240" w:lineRule="auto"/>
              <w:rPr>
                <w:rFonts w:eastAsia="Times New Roman" w:cs="Calibri"/>
                <w:noProof/>
                <w:szCs w:val="18"/>
              </w:rPr>
            </w:pPr>
            <w:r>
              <w:rPr>
                <w:noProof/>
              </w:rPr>
              <w:t>Mērķa</w:t>
            </w:r>
          </w:p>
        </w:tc>
        <w:tc>
          <w:tcPr>
            <w:tcW w:w="1712" w:type="dxa"/>
            <w:tcBorders>
              <w:top w:val="single" w:sz="4" w:space="0" w:color="auto"/>
              <w:left w:val="nil"/>
              <w:bottom w:val="single" w:sz="4" w:space="0" w:color="auto"/>
              <w:right w:val="single" w:sz="4" w:space="0" w:color="auto"/>
            </w:tcBorders>
            <w:shd w:val="clear" w:color="auto" w:fill="C6EFCE"/>
            <w:noWrap/>
          </w:tcPr>
          <w:p w14:paraId="1B399AAC" w14:textId="77777777" w:rsidR="00CB0FCB" w:rsidRDefault="009D2B11">
            <w:pPr>
              <w:pStyle w:val="P68B1DB1-Normal9"/>
              <w:spacing w:after="0" w:line="240" w:lineRule="auto"/>
              <w:rPr>
                <w:rFonts w:eastAsia="Times New Roman" w:cs="Calibri"/>
                <w:noProof/>
                <w:szCs w:val="18"/>
              </w:rPr>
            </w:pPr>
            <w:r>
              <w:rPr>
                <w:noProof/>
              </w:rPr>
              <w:t>Kadastrālā kartēšana — 85 % pabeigšana</w:t>
            </w:r>
          </w:p>
        </w:tc>
        <w:tc>
          <w:tcPr>
            <w:tcW w:w="1552" w:type="dxa"/>
            <w:tcBorders>
              <w:top w:val="single" w:sz="4" w:space="0" w:color="auto"/>
              <w:left w:val="nil"/>
              <w:bottom w:val="single" w:sz="4" w:space="0" w:color="auto"/>
              <w:right w:val="single" w:sz="4" w:space="0" w:color="auto"/>
            </w:tcBorders>
            <w:shd w:val="clear" w:color="auto" w:fill="C6EFCE"/>
            <w:noWrap/>
          </w:tcPr>
          <w:p w14:paraId="0BEF8630" w14:textId="77777777" w:rsidR="00CB0FCB" w:rsidRDefault="00CB0FCB">
            <w:pPr>
              <w:spacing w:after="0" w:line="240" w:lineRule="auto"/>
              <w:rPr>
                <w:rFonts w:eastAsia="Times New Roman" w:cs="Calibri"/>
                <w:noProof/>
                <w:color w:val="006100"/>
                <w:sz w:val="18"/>
                <w:szCs w:val="18"/>
              </w:rPr>
            </w:pPr>
          </w:p>
        </w:tc>
        <w:tc>
          <w:tcPr>
            <w:tcW w:w="1126" w:type="dxa"/>
            <w:tcBorders>
              <w:top w:val="single" w:sz="4" w:space="0" w:color="auto"/>
              <w:left w:val="nil"/>
              <w:bottom w:val="single" w:sz="4" w:space="0" w:color="auto"/>
              <w:right w:val="single" w:sz="4" w:space="0" w:color="auto"/>
            </w:tcBorders>
            <w:shd w:val="clear" w:color="auto" w:fill="C6EFCE"/>
            <w:noWrap/>
          </w:tcPr>
          <w:p w14:paraId="7EFBA0C5" w14:textId="77777777" w:rsidR="00CB0FCB" w:rsidRDefault="009D2B11">
            <w:pPr>
              <w:pStyle w:val="P68B1DB1-Normal9"/>
              <w:spacing w:after="0" w:line="240" w:lineRule="auto"/>
              <w:rPr>
                <w:rFonts w:eastAsia="Times New Roman" w:cs="Calibri"/>
                <w:noProof/>
                <w:szCs w:val="18"/>
              </w:rPr>
            </w:pPr>
            <w:r>
              <w:rPr>
                <w:noProof/>
              </w:rPr>
              <w:t>% no kopējām īpašuma tiesībām, kas augšupielādētas publiskai izstādīšanai, saskaņā ar noteikumiem Likumā Nr. 2308/1995, kas grozīts ar Likuma Nr. 4821/2021 3. pantu</w:t>
            </w:r>
          </w:p>
        </w:tc>
        <w:tc>
          <w:tcPr>
            <w:tcW w:w="1003" w:type="dxa"/>
            <w:tcBorders>
              <w:top w:val="single" w:sz="4" w:space="0" w:color="auto"/>
              <w:left w:val="nil"/>
              <w:bottom w:val="single" w:sz="4" w:space="0" w:color="auto"/>
              <w:right w:val="single" w:sz="4" w:space="0" w:color="auto"/>
            </w:tcBorders>
            <w:shd w:val="clear" w:color="auto" w:fill="C6EFCE"/>
            <w:noWrap/>
          </w:tcPr>
          <w:p w14:paraId="1653B4C2" w14:textId="77777777" w:rsidR="00CB0FCB" w:rsidRDefault="009D2B11">
            <w:pPr>
              <w:pStyle w:val="P68B1DB1-Normal9"/>
              <w:spacing w:after="0" w:line="240" w:lineRule="auto"/>
              <w:rPr>
                <w:rFonts w:eastAsia="Times New Roman" w:cs="Calibri"/>
                <w:noProof/>
                <w:szCs w:val="18"/>
              </w:rPr>
            </w:pPr>
            <w:r>
              <w:rPr>
                <w:noProof/>
              </w:rPr>
              <w:t>79 %</w:t>
            </w:r>
          </w:p>
        </w:tc>
        <w:tc>
          <w:tcPr>
            <w:tcW w:w="876" w:type="dxa"/>
            <w:tcBorders>
              <w:top w:val="single" w:sz="4" w:space="0" w:color="auto"/>
              <w:left w:val="nil"/>
              <w:bottom w:val="single" w:sz="4" w:space="0" w:color="auto"/>
              <w:right w:val="single" w:sz="4" w:space="0" w:color="auto"/>
            </w:tcBorders>
            <w:shd w:val="clear" w:color="auto" w:fill="C6EFCE"/>
            <w:noWrap/>
          </w:tcPr>
          <w:p w14:paraId="244A2E73" w14:textId="77777777" w:rsidR="00CB0FCB" w:rsidRDefault="009D2B11">
            <w:pPr>
              <w:pStyle w:val="P68B1DB1-Normal9"/>
              <w:spacing w:after="0" w:line="240" w:lineRule="auto"/>
              <w:rPr>
                <w:rFonts w:eastAsia="Times New Roman" w:cs="Calibri"/>
                <w:noProof/>
                <w:szCs w:val="18"/>
              </w:rPr>
            </w:pPr>
            <w:r>
              <w:rPr>
                <w:noProof/>
              </w:rPr>
              <w:t>85 %</w:t>
            </w:r>
          </w:p>
        </w:tc>
        <w:tc>
          <w:tcPr>
            <w:tcW w:w="846" w:type="dxa"/>
            <w:tcBorders>
              <w:top w:val="single" w:sz="4" w:space="0" w:color="auto"/>
              <w:left w:val="nil"/>
              <w:bottom w:val="single" w:sz="4" w:space="0" w:color="auto"/>
              <w:right w:val="single" w:sz="4" w:space="0" w:color="auto"/>
            </w:tcBorders>
            <w:shd w:val="clear" w:color="auto" w:fill="C6EFCE"/>
            <w:noWrap/>
          </w:tcPr>
          <w:p w14:paraId="4CE4BF8D"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single" w:sz="4" w:space="0" w:color="auto"/>
              <w:left w:val="nil"/>
              <w:bottom w:val="single" w:sz="4" w:space="0" w:color="auto"/>
              <w:right w:val="single" w:sz="4" w:space="0" w:color="auto"/>
            </w:tcBorders>
            <w:shd w:val="clear" w:color="auto" w:fill="C6EFCE"/>
            <w:noWrap/>
          </w:tcPr>
          <w:p w14:paraId="7E9572E3" w14:textId="77777777" w:rsidR="00CB0FCB" w:rsidRDefault="009D2B11">
            <w:pPr>
              <w:pStyle w:val="P68B1DB1-Normal9"/>
              <w:spacing w:after="0" w:line="240" w:lineRule="auto"/>
              <w:rPr>
                <w:rFonts w:eastAsia="Times New Roman" w:cs="Calibri"/>
                <w:noProof/>
                <w:szCs w:val="18"/>
              </w:rPr>
            </w:pPr>
            <w:r>
              <w:rPr>
                <w:noProof/>
              </w:rPr>
              <w:t>2023</w:t>
            </w:r>
          </w:p>
        </w:tc>
        <w:tc>
          <w:tcPr>
            <w:tcW w:w="3847" w:type="dxa"/>
            <w:tcBorders>
              <w:top w:val="single" w:sz="4" w:space="0" w:color="auto"/>
              <w:left w:val="nil"/>
              <w:bottom w:val="single" w:sz="4" w:space="0" w:color="auto"/>
              <w:right w:val="single" w:sz="4" w:space="0" w:color="auto"/>
            </w:tcBorders>
            <w:shd w:val="clear" w:color="auto" w:fill="C6EFCE"/>
            <w:noWrap/>
          </w:tcPr>
          <w:p w14:paraId="46657988" w14:textId="77777777" w:rsidR="00CB0FCB" w:rsidRDefault="009D2B11">
            <w:pPr>
              <w:pStyle w:val="P68B1DB1-Normal9"/>
              <w:spacing w:after="0" w:line="240" w:lineRule="auto"/>
              <w:rPr>
                <w:rFonts w:eastAsia="Times New Roman" w:cs="Calibri"/>
                <w:noProof/>
                <w:szCs w:val="18"/>
              </w:rPr>
            </w:pPr>
            <w:r>
              <w:rPr>
                <w:noProof/>
              </w:rPr>
              <w:t>85 % no Grieķijas īpašuma tiesībām sasniedza publiskas izstādīšanas stadiju.</w:t>
            </w:r>
          </w:p>
        </w:tc>
      </w:tr>
      <w:tr w:rsidR="00CB0FCB" w14:paraId="2D5D0495"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CA3AA48" w14:textId="77777777" w:rsidR="00CB0FCB" w:rsidRDefault="009D2B11">
            <w:pPr>
              <w:pStyle w:val="P68B1DB1-Normal9"/>
              <w:spacing w:after="0" w:line="240" w:lineRule="auto"/>
              <w:rPr>
                <w:rFonts w:eastAsia="Times New Roman" w:cs="Calibri"/>
                <w:noProof/>
                <w:szCs w:val="18"/>
              </w:rPr>
            </w:pPr>
            <w:r>
              <w:rPr>
                <w:noProof/>
              </w:rPr>
              <w:t>342</w:t>
            </w:r>
          </w:p>
        </w:tc>
        <w:tc>
          <w:tcPr>
            <w:tcW w:w="2146" w:type="dxa"/>
            <w:tcBorders>
              <w:top w:val="single" w:sz="4" w:space="0" w:color="auto"/>
              <w:left w:val="nil"/>
              <w:bottom w:val="single" w:sz="4" w:space="0" w:color="auto"/>
              <w:right w:val="single" w:sz="4" w:space="0" w:color="auto"/>
            </w:tcBorders>
            <w:shd w:val="clear" w:color="auto" w:fill="C6EFCE"/>
            <w:noWrap/>
          </w:tcPr>
          <w:p w14:paraId="0DC86A58"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16986_Valsts kadastra pabeigšana</w:t>
            </w:r>
          </w:p>
        </w:tc>
        <w:tc>
          <w:tcPr>
            <w:tcW w:w="1063" w:type="dxa"/>
            <w:tcBorders>
              <w:top w:val="single" w:sz="4" w:space="0" w:color="auto"/>
              <w:left w:val="nil"/>
              <w:bottom w:val="single" w:sz="4" w:space="0" w:color="auto"/>
              <w:right w:val="single" w:sz="4" w:space="0" w:color="auto"/>
            </w:tcBorders>
            <w:shd w:val="clear" w:color="auto" w:fill="C6EFCE"/>
            <w:noWrap/>
          </w:tcPr>
          <w:p w14:paraId="5CA471CE" w14:textId="77777777" w:rsidR="00CB0FCB" w:rsidRDefault="009D2B11">
            <w:pPr>
              <w:pStyle w:val="P68B1DB1-Normal9"/>
              <w:spacing w:after="0" w:line="240" w:lineRule="auto"/>
              <w:rPr>
                <w:rFonts w:eastAsia="Times New Roman" w:cs="Calibri"/>
                <w:noProof/>
                <w:szCs w:val="18"/>
              </w:rPr>
            </w:pPr>
            <w:r>
              <w:rPr>
                <w:noProof/>
              </w:rPr>
              <w:t>Mērķa</w:t>
            </w:r>
          </w:p>
        </w:tc>
        <w:tc>
          <w:tcPr>
            <w:tcW w:w="1712" w:type="dxa"/>
            <w:tcBorders>
              <w:top w:val="single" w:sz="4" w:space="0" w:color="auto"/>
              <w:left w:val="nil"/>
              <w:bottom w:val="single" w:sz="4" w:space="0" w:color="auto"/>
              <w:right w:val="single" w:sz="4" w:space="0" w:color="auto"/>
            </w:tcBorders>
            <w:shd w:val="clear" w:color="auto" w:fill="C6EFCE"/>
            <w:noWrap/>
          </w:tcPr>
          <w:p w14:paraId="2BAEE2C0" w14:textId="77777777" w:rsidR="00CB0FCB" w:rsidRDefault="009D2B11">
            <w:pPr>
              <w:pStyle w:val="P68B1DB1-Normal9"/>
              <w:spacing w:after="0" w:line="240" w:lineRule="auto"/>
              <w:rPr>
                <w:rFonts w:eastAsia="Times New Roman" w:cs="Calibri"/>
                <w:noProof/>
                <w:szCs w:val="18"/>
              </w:rPr>
            </w:pPr>
            <w:r>
              <w:rPr>
                <w:noProof/>
              </w:rPr>
              <w:t>Kadastrālā kartēšana — 95 % pabeigšana</w:t>
            </w:r>
          </w:p>
        </w:tc>
        <w:tc>
          <w:tcPr>
            <w:tcW w:w="1552" w:type="dxa"/>
            <w:tcBorders>
              <w:top w:val="single" w:sz="4" w:space="0" w:color="auto"/>
              <w:left w:val="nil"/>
              <w:bottom w:val="single" w:sz="4" w:space="0" w:color="auto"/>
              <w:right w:val="single" w:sz="4" w:space="0" w:color="auto"/>
            </w:tcBorders>
            <w:shd w:val="clear" w:color="auto" w:fill="C6EFCE"/>
            <w:noWrap/>
          </w:tcPr>
          <w:p w14:paraId="6F3D9D57" w14:textId="77777777" w:rsidR="00CB0FCB" w:rsidRDefault="00CB0FCB">
            <w:pPr>
              <w:spacing w:after="0" w:line="240" w:lineRule="auto"/>
              <w:rPr>
                <w:rFonts w:eastAsia="Times New Roman" w:cs="Calibri"/>
                <w:noProof/>
                <w:color w:val="006100"/>
                <w:sz w:val="18"/>
                <w:szCs w:val="18"/>
              </w:rPr>
            </w:pPr>
          </w:p>
        </w:tc>
        <w:tc>
          <w:tcPr>
            <w:tcW w:w="1126" w:type="dxa"/>
            <w:tcBorders>
              <w:top w:val="single" w:sz="4" w:space="0" w:color="auto"/>
              <w:left w:val="nil"/>
              <w:bottom w:val="single" w:sz="4" w:space="0" w:color="auto"/>
              <w:right w:val="single" w:sz="4" w:space="0" w:color="auto"/>
            </w:tcBorders>
            <w:shd w:val="clear" w:color="auto" w:fill="C6EFCE"/>
            <w:noWrap/>
          </w:tcPr>
          <w:p w14:paraId="29C9F849" w14:textId="3DAE522C" w:rsidR="00CB0FCB" w:rsidRDefault="009D2B11">
            <w:pPr>
              <w:pStyle w:val="P68B1DB1-Normal9"/>
              <w:spacing w:after="0" w:line="240" w:lineRule="auto"/>
              <w:rPr>
                <w:rFonts w:eastAsia="Times New Roman" w:cs="Calibri"/>
                <w:noProof/>
                <w:szCs w:val="18"/>
              </w:rPr>
            </w:pPr>
            <w:r>
              <w:rPr>
                <w:noProof/>
              </w:rPr>
              <w:t>% no kopējām īpašuma tiesībām, kas augšupielādētas publiskai izstādīšanai, saskaņā ar noteikumiem Likumā Nr. 2308/1995, kas grozīts ar Likuma Nr. 4821/2021 6. pantu</w:t>
            </w:r>
          </w:p>
        </w:tc>
        <w:tc>
          <w:tcPr>
            <w:tcW w:w="1003" w:type="dxa"/>
            <w:tcBorders>
              <w:top w:val="single" w:sz="4" w:space="0" w:color="auto"/>
              <w:left w:val="nil"/>
              <w:bottom w:val="single" w:sz="4" w:space="0" w:color="auto"/>
              <w:right w:val="single" w:sz="4" w:space="0" w:color="auto"/>
            </w:tcBorders>
            <w:shd w:val="clear" w:color="auto" w:fill="C6EFCE"/>
            <w:noWrap/>
          </w:tcPr>
          <w:p w14:paraId="4446CEBA" w14:textId="77777777" w:rsidR="00CB0FCB" w:rsidRDefault="009D2B11">
            <w:pPr>
              <w:pStyle w:val="P68B1DB1-Normal9"/>
              <w:spacing w:after="0" w:line="240" w:lineRule="auto"/>
              <w:rPr>
                <w:rFonts w:eastAsia="Times New Roman" w:cs="Calibri"/>
                <w:noProof/>
                <w:szCs w:val="18"/>
              </w:rPr>
            </w:pPr>
            <w:r>
              <w:rPr>
                <w:noProof/>
              </w:rPr>
              <w:t>85 %</w:t>
            </w:r>
          </w:p>
        </w:tc>
        <w:tc>
          <w:tcPr>
            <w:tcW w:w="876" w:type="dxa"/>
            <w:tcBorders>
              <w:top w:val="single" w:sz="4" w:space="0" w:color="auto"/>
              <w:left w:val="nil"/>
              <w:bottom w:val="single" w:sz="4" w:space="0" w:color="auto"/>
              <w:right w:val="single" w:sz="4" w:space="0" w:color="auto"/>
            </w:tcBorders>
            <w:shd w:val="clear" w:color="auto" w:fill="C6EFCE"/>
            <w:noWrap/>
          </w:tcPr>
          <w:p w14:paraId="6B7596FA" w14:textId="77777777" w:rsidR="00CB0FCB" w:rsidRDefault="009D2B11">
            <w:pPr>
              <w:pStyle w:val="P68B1DB1-Normal9"/>
              <w:spacing w:after="0" w:line="240" w:lineRule="auto"/>
              <w:rPr>
                <w:rFonts w:eastAsia="Times New Roman" w:cs="Calibri"/>
                <w:noProof/>
                <w:szCs w:val="18"/>
              </w:rPr>
            </w:pPr>
            <w:r>
              <w:rPr>
                <w:noProof/>
              </w:rPr>
              <w:t>95 %</w:t>
            </w:r>
          </w:p>
        </w:tc>
        <w:tc>
          <w:tcPr>
            <w:tcW w:w="846" w:type="dxa"/>
            <w:tcBorders>
              <w:top w:val="single" w:sz="4" w:space="0" w:color="auto"/>
              <w:left w:val="nil"/>
              <w:bottom w:val="single" w:sz="4" w:space="0" w:color="auto"/>
              <w:right w:val="single" w:sz="4" w:space="0" w:color="auto"/>
            </w:tcBorders>
            <w:shd w:val="clear" w:color="auto" w:fill="C6EFCE"/>
            <w:noWrap/>
          </w:tcPr>
          <w:p w14:paraId="192DD3C2" w14:textId="77777777" w:rsidR="00CB0FCB" w:rsidRDefault="009D2B11">
            <w:pPr>
              <w:pStyle w:val="P68B1DB1-Normal9"/>
              <w:spacing w:after="0" w:line="240" w:lineRule="auto"/>
              <w:rPr>
                <w:rFonts w:eastAsia="Times New Roman" w:cs="Calibri"/>
                <w:noProof/>
                <w:szCs w:val="18"/>
              </w:rPr>
            </w:pPr>
            <w:r>
              <w:rPr>
                <w:noProof/>
              </w:rPr>
              <w:t>2. CET.</w:t>
            </w:r>
          </w:p>
        </w:tc>
        <w:tc>
          <w:tcPr>
            <w:tcW w:w="673" w:type="dxa"/>
            <w:tcBorders>
              <w:top w:val="single" w:sz="4" w:space="0" w:color="auto"/>
              <w:left w:val="nil"/>
              <w:bottom w:val="single" w:sz="4" w:space="0" w:color="auto"/>
              <w:right w:val="single" w:sz="4" w:space="0" w:color="auto"/>
            </w:tcBorders>
            <w:shd w:val="clear" w:color="auto" w:fill="C6EFCE"/>
            <w:noWrap/>
          </w:tcPr>
          <w:p w14:paraId="0E21725A" w14:textId="77777777" w:rsidR="00CB0FCB" w:rsidRDefault="009D2B11">
            <w:pPr>
              <w:pStyle w:val="P68B1DB1-Normal9"/>
              <w:spacing w:after="0" w:line="240" w:lineRule="auto"/>
              <w:rPr>
                <w:rFonts w:eastAsia="Times New Roman" w:cs="Calibri"/>
                <w:noProof/>
                <w:szCs w:val="18"/>
              </w:rPr>
            </w:pPr>
            <w:r>
              <w:rPr>
                <w:noProof/>
              </w:rPr>
              <w:t>2024</w:t>
            </w:r>
          </w:p>
        </w:tc>
        <w:tc>
          <w:tcPr>
            <w:tcW w:w="3847" w:type="dxa"/>
            <w:tcBorders>
              <w:top w:val="single" w:sz="4" w:space="0" w:color="auto"/>
              <w:left w:val="nil"/>
              <w:bottom w:val="single" w:sz="4" w:space="0" w:color="auto"/>
              <w:right w:val="single" w:sz="4" w:space="0" w:color="auto"/>
            </w:tcBorders>
            <w:shd w:val="clear" w:color="auto" w:fill="C6EFCE"/>
            <w:noWrap/>
          </w:tcPr>
          <w:p w14:paraId="342C9501" w14:textId="77777777" w:rsidR="00CB0FCB" w:rsidRDefault="009D2B11">
            <w:pPr>
              <w:pStyle w:val="P68B1DB1-Normal9"/>
              <w:spacing w:after="0" w:line="240" w:lineRule="auto"/>
              <w:rPr>
                <w:rFonts w:eastAsia="Times New Roman" w:cs="Calibri"/>
                <w:noProof/>
                <w:szCs w:val="18"/>
              </w:rPr>
            </w:pPr>
            <w:r>
              <w:rPr>
                <w:noProof/>
              </w:rPr>
              <w:t>95 % no Grieķijas īpašuma tiesībām sasniedza publiskas izstādīšanas stadiju.</w:t>
            </w:r>
          </w:p>
        </w:tc>
      </w:tr>
      <w:tr w:rsidR="00CB0FCB" w14:paraId="40FEB1F0"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4858AF7" w14:textId="77777777" w:rsidR="00CB0FCB" w:rsidRDefault="009D2B11">
            <w:pPr>
              <w:pStyle w:val="P68B1DB1-Normal9"/>
              <w:spacing w:after="0" w:line="240" w:lineRule="auto"/>
              <w:rPr>
                <w:rFonts w:eastAsia="Times New Roman" w:cs="Calibri"/>
                <w:noProof/>
                <w:szCs w:val="18"/>
              </w:rPr>
            </w:pPr>
            <w:r>
              <w:rPr>
                <w:noProof/>
              </w:rPr>
              <w:t>343</w:t>
            </w:r>
          </w:p>
        </w:tc>
        <w:tc>
          <w:tcPr>
            <w:tcW w:w="2146" w:type="dxa"/>
            <w:tcBorders>
              <w:top w:val="single" w:sz="4" w:space="0" w:color="auto"/>
              <w:left w:val="nil"/>
              <w:bottom w:val="single" w:sz="4" w:space="0" w:color="auto"/>
              <w:right w:val="single" w:sz="4" w:space="0" w:color="auto"/>
            </w:tcBorders>
            <w:shd w:val="clear" w:color="auto" w:fill="C6EFCE"/>
            <w:noWrap/>
          </w:tcPr>
          <w:p w14:paraId="72310077" w14:textId="77777777" w:rsidR="00CB0FCB" w:rsidRDefault="009D2B11">
            <w:pPr>
              <w:pStyle w:val="P68B1DB1-Normal9"/>
              <w:spacing w:after="0" w:line="240" w:lineRule="auto"/>
              <w:rPr>
                <w:rFonts w:eastAsia="Times New Roman" w:cs="Calibri"/>
                <w:noProof/>
                <w:szCs w:val="18"/>
              </w:rPr>
            </w:pPr>
            <w:r>
              <w:rPr>
                <w:noProof/>
              </w:rPr>
              <w:t xml:space="preserve">13–4.2. Modernizēt valsts pārvaldi, tostarp paātrinot publisko investīciju īstenošanu, uzlabojot publiskā iepirkuma regulējumu, spēju veidošanas pasākumus un korupcijas apkarošanu — 16986_Valsts kadastra pabeigšana </w:t>
            </w:r>
          </w:p>
        </w:tc>
        <w:tc>
          <w:tcPr>
            <w:tcW w:w="1063" w:type="dxa"/>
            <w:tcBorders>
              <w:top w:val="single" w:sz="4" w:space="0" w:color="auto"/>
              <w:left w:val="nil"/>
              <w:bottom w:val="single" w:sz="4" w:space="0" w:color="auto"/>
              <w:right w:val="single" w:sz="4" w:space="0" w:color="auto"/>
            </w:tcBorders>
            <w:shd w:val="clear" w:color="auto" w:fill="C6EFCE"/>
            <w:noWrap/>
          </w:tcPr>
          <w:p w14:paraId="5CEBD42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12" w:type="dxa"/>
            <w:tcBorders>
              <w:top w:val="single" w:sz="4" w:space="0" w:color="auto"/>
              <w:left w:val="nil"/>
              <w:bottom w:val="single" w:sz="4" w:space="0" w:color="auto"/>
              <w:right w:val="single" w:sz="4" w:space="0" w:color="auto"/>
            </w:tcBorders>
            <w:shd w:val="clear" w:color="auto" w:fill="C6EFCE"/>
            <w:noWrap/>
          </w:tcPr>
          <w:p w14:paraId="5E36F758" w14:textId="6393256B" w:rsidR="00CB0FCB" w:rsidRDefault="009D2B11">
            <w:pPr>
              <w:pStyle w:val="P68B1DB1-Normal9"/>
              <w:spacing w:after="0" w:line="240" w:lineRule="auto"/>
              <w:rPr>
                <w:rFonts w:eastAsia="Times New Roman" w:cs="Calibri"/>
                <w:noProof/>
                <w:szCs w:val="18"/>
              </w:rPr>
            </w:pPr>
            <w:r>
              <w:rPr>
                <w:noProof/>
              </w:rPr>
              <w:t>Pāreja uz Grieķijas kadastra jauno organizatorisko struktūru — pilnīga pabeigšana</w:t>
            </w:r>
          </w:p>
        </w:tc>
        <w:tc>
          <w:tcPr>
            <w:tcW w:w="1552" w:type="dxa"/>
            <w:tcBorders>
              <w:top w:val="single" w:sz="4" w:space="0" w:color="auto"/>
              <w:left w:val="nil"/>
              <w:bottom w:val="single" w:sz="4" w:space="0" w:color="auto"/>
              <w:right w:val="single" w:sz="4" w:space="0" w:color="auto"/>
            </w:tcBorders>
            <w:shd w:val="clear" w:color="auto" w:fill="C6EFCE"/>
            <w:noWrap/>
          </w:tcPr>
          <w:p w14:paraId="7DBBCB9F" w14:textId="1F0F65FF" w:rsidR="00CB0FCB" w:rsidRDefault="009D2B11">
            <w:pPr>
              <w:spacing w:after="0" w:line="240" w:lineRule="auto"/>
              <w:rPr>
                <w:rFonts w:eastAsia="Times New Roman" w:cs="Calibri"/>
                <w:noProof/>
                <w:color w:val="006100"/>
                <w:sz w:val="18"/>
                <w:szCs w:val="18"/>
              </w:rPr>
            </w:pPr>
            <w:r>
              <w:rPr>
                <w:noProof/>
                <w:color w:val="006100"/>
                <w:sz w:val="18"/>
              </w:rPr>
              <w:t>Grieķijas kadastra Direktoru padomes oficiālie lēmumi par kadastra biroju un filiāļu atvēršanu un darbības uzsākšanu visā Grieķijas teritorijā un veco hipotēku biroju slēgšanu.</w:t>
            </w:r>
          </w:p>
        </w:tc>
        <w:tc>
          <w:tcPr>
            <w:tcW w:w="1126" w:type="dxa"/>
            <w:tcBorders>
              <w:top w:val="single" w:sz="4" w:space="0" w:color="auto"/>
              <w:left w:val="nil"/>
              <w:bottom w:val="single" w:sz="4" w:space="0" w:color="auto"/>
              <w:right w:val="single" w:sz="4" w:space="0" w:color="auto"/>
            </w:tcBorders>
            <w:shd w:val="clear" w:color="auto" w:fill="C6EFCE"/>
            <w:noWrap/>
          </w:tcPr>
          <w:p w14:paraId="287F9F1B" w14:textId="77777777" w:rsidR="00CB0FCB" w:rsidRDefault="00CB0FCB">
            <w:pPr>
              <w:spacing w:after="0" w:line="240" w:lineRule="auto"/>
              <w:rPr>
                <w:rFonts w:eastAsia="Times New Roman" w:cs="Calibri"/>
                <w:noProof/>
                <w:color w:val="006100"/>
                <w:sz w:val="18"/>
                <w:szCs w:val="18"/>
              </w:rPr>
            </w:pPr>
          </w:p>
        </w:tc>
        <w:tc>
          <w:tcPr>
            <w:tcW w:w="1003" w:type="dxa"/>
            <w:tcBorders>
              <w:top w:val="single" w:sz="4" w:space="0" w:color="auto"/>
              <w:left w:val="nil"/>
              <w:bottom w:val="single" w:sz="4" w:space="0" w:color="auto"/>
              <w:right w:val="single" w:sz="4" w:space="0" w:color="auto"/>
            </w:tcBorders>
            <w:shd w:val="clear" w:color="auto" w:fill="C6EFCE"/>
            <w:noWrap/>
          </w:tcPr>
          <w:p w14:paraId="43078A87" w14:textId="77777777" w:rsidR="00CB0FCB" w:rsidRDefault="00CB0FCB">
            <w:pPr>
              <w:spacing w:after="0" w:line="240" w:lineRule="auto"/>
              <w:rPr>
                <w:rFonts w:eastAsia="Times New Roman" w:cs="Calibri"/>
                <w:noProof/>
                <w:color w:val="006100"/>
                <w:sz w:val="18"/>
                <w:szCs w:val="18"/>
              </w:rPr>
            </w:pPr>
          </w:p>
        </w:tc>
        <w:tc>
          <w:tcPr>
            <w:tcW w:w="876" w:type="dxa"/>
            <w:tcBorders>
              <w:top w:val="single" w:sz="4" w:space="0" w:color="auto"/>
              <w:left w:val="nil"/>
              <w:bottom w:val="single" w:sz="4" w:space="0" w:color="auto"/>
              <w:right w:val="single" w:sz="4" w:space="0" w:color="auto"/>
            </w:tcBorders>
            <w:shd w:val="clear" w:color="auto" w:fill="C6EFCE"/>
            <w:noWrap/>
          </w:tcPr>
          <w:p w14:paraId="135A2DF8"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5A23D2B" w14:textId="77777777" w:rsidR="00CB0FCB" w:rsidRDefault="009D2B11">
            <w:pPr>
              <w:pStyle w:val="P68B1DB1-Normal9"/>
              <w:spacing w:after="0" w:line="240" w:lineRule="auto"/>
              <w:rPr>
                <w:rFonts w:eastAsia="Times New Roman" w:cs="Calibri"/>
                <w:noProof/>
                <w:szCs w:val="18"/>
              </w:rPr>
            </w:pPr>
            <w:r>
              <w:rPr>
                <w:noProof/>
              </w:rPr>
              <w:t>2. CET.</w:t>
            </w:r>
          </w:p>
        </w:tc>
        <w:tc>
          <w:tcPr>
            <w:tcW w:w="673" w:type="dxa"/>
            <w:tcBorders>
              <w:top w:val="single" w:sz="4" w:space="0" w:color="auto"/>
              <w:left w:val="nil"/>
              <w:bottom w:val="single" w:sz="4" w:space="0" w:color="auto"/>
              <w:right w:val="single" w:sz="4" w:space="0" w:color="auto"/>
            </w:tcBorders>
            <w:shd w:val="clear" w:color="auto" w:fill="C6EFCE"/>
            <w:noWrap/>
          </w:tcPr>
          <w:p w14:paraId="3C114555" w14:textId="77777777" w:rsidR="00CB0FCB" w:rsidRDefault="009D2B11">
            <w:pPr>
              <w:pStyle w:val="P68B1DB1-Normal9"/>
              <w:spacing w:after="0" w:line="240" w:lineRule="auto"/>
              <w:rPr>
                <w:rFonts w:eastAsia="Times New Roman" w:cs="Calibri"/>
                <w:noProof/>
                <w:szCs w:val="18"/>
              </w:rPr>
            </w:pPr>
            <w:r>
              <w:rPr>
                <w:noProof/>
              </w:rPr>
              <w:t>2024</w:t>
            </w:r>
          </w:p>
        </w:tc>
        <w:tc>
          <w:tcPr>
            <w:tcW w:w="3847" w:type="dxa"/>
            <w:tcBorders>
              <w:top w:val="single" w:sz="4" w:space="0" w:color="auto"/>
              <w:left w:val="nil"/>
              <w:bottom w:val="single" w:sz="4" w:space="0" w:color="auto"/>
              <w:right w:val="single" w:sz="4" w:space="0" w:color="auto"/>
            </w:tcBorders>
            <w:shd w:val="clear" w:color="auto" w:fill="C6EFCE"/>
            <w:noWrap/>
          </w:tcPr>
          <w:p w14:paraId="1041A25E" w14:textId="7DAB3AB4" w:rsidR="00CB0FCB" w:rsidRDefault="009D2B11">
            <w:pPr>
              <w:pStyle w:val="P68B1DB1-Normal9"/>
              <w:spacing w:after="0" w:line="240" w:lineRule="auto"/>
              <w:rPr>
                <w:rFonts w:eastAsia="Times New Roman" w:cs="Calibri"/>
                <w:noProof/>
                <w:szCs w:val="18"/>
              </w:rPr>
            </w:pPr>
            <w:r>
              <w:rPr>
                <w:noProof/>
              </w:rPr>
              <w:t>Pēc Grieķijas kadastra Direktoru padomes oficiālo lēmumu pieņemšanas ir pabeigta pāreja uz Grieķijas kadastra jauno organizatorisko struktūru. Konkrēti, i) pārējie Saloniku, Krētas un Dodekanesas reģionu kadastrālie biroji ir atvērti un darbojas; II) pārējās 18 filiāles ir atvērtas un darbojas; un iii) atlikušie 223 senie hipotēku biroji ir slēgti.</w:t>
            </w:r>
          </w:p>
        </w:tc>
      </w:tr>
      <w:tr w:rsidR="00CB0FCB" w14:paraId="010F40F9"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5FD0A19" w14:textId="77777777" w:rsidR="00CB0FCB" w:rsidRDefault="009D2B11">
            <w:pPr>
              <w:pStyle w:val="P68B1DB1-Normal9"/>
              <w:spacing w:after="0" w:line="240" w:lineRule="auto"/>
              <w:rPr>
                <w:rFonts w:eastAsia="Times New Roman" w:cs="Calibri"/>
                <w:noProof/>
                <w:szCs w:val="18"/>
              </w:rPr>
            </w:pPr>
            <w:r>
              <w:rPr>
                <w:noProof/>
              </w:rPr>
              <w:t>344</w:t>
            </w:r>
          </w:p>
        </w:tc>
        <w:tc>
          <w:tcPr>
            <w:tcW w:w="2146" w:type="dxa"/>
            <w:tcBorders>
              <w:top w:val="single" w:sz="4" w:space="0" w:color="auto"/>
              <w:left w:val="nil"/>
              <w:bottom w:val="single" w:sz="4" w:space="0" w:color="auto"/>
              <w:right w:val="single" w:sz="4" w:space="0" w:color="auto"/>
            </w:tcBorders>
            <w:shd w:val="clear" w:color="auto" w:fill="C6EFCE"/>
            <w:noWrap/>
          </w:tcPr>
          <w:p w14:paraId="5779269D" w14:textId="77777777" w:rsidR="00CB0FCB" w:rsidRDefault="009D2B11">
            <w:pPr>
              <w:pStyle w:val="P68B1DB1-Normal9"/>
              <w:spacing w:after="0" w:line="240" w:lineRule="auto"/>
              <w:rPr>
                <w:rFonts w:eastAsia="Times New Roman" w:cs="Calibri"/>
                <w:noProof/>
                <w:szCs w:val="18"/>
              </w:rPr>
            </w:pPr>
            <w:r>
              <w:rPr>
                <w:noProof/>
              </w:rPr>
              <w:t>13–4.2. Modernizēt valsts pārvaldi, tostarp paātrinot publisko investīciju īstenošanu, uzlabojot publiskā iepirkuma regulējumu, spēju veidošanas pasākumus un korupcijas apkarošanu — 16986_Valsts kadastra pabeigšana</w:t>
            </w:r>
          </w:p>
        </w:tc>
        <w:tc>
          <w:tcPr>
            <w:tcW w:w="1063" w:type="dxa"/>
            <w:tcBorders>
              <w:top w:val="single" w:sz="4" w:space="0" w:color="auto"/>
              <w:left w:val="nil"/>
              <w:bottom w:val="single" w:sz="4" w:space="0" w:color="auto"/>
              <w:right w:val="single" w:sz="4" w:space="0" w:color="auto"/>
            </w:tcBorders>
            <w:shd w:val="clear" w:color="auto" w:fill="C6EFCE"/>
            <w:noWrap/>
          </w:tcPr>
          <w:p w14:paraId="5DCB4474" w14:textId="77777777" w:rsidR="00CB0FCB" w:rsidRDefault="009D2B11">
            <w:pPr>
              <w:pStyle w:val="P68B1DB1-Normal9"/>
              <w:spacing w:after="0" w:line="240" w:lineRule="auto"/>
              <w:rPr>
                <w:rFonts w:eastAsia="Times New Roman" w:cs="Calibri"/>
                <w:noProof/>
                <w:szCs w:val="18"/>
              </w:rPr>
            </w:pPr>
            <w:r>
              <w:rPr>
                <w:noProof/>
              </w:rPr>
              <w:t>Mērķa</w:t>
            </w:r>
          </w:p>
        </w:tc>
        <w:tc>
          <w:tcPr>
            <w:tcW w:w="1712" w:type="dxa"/>
            <w:tcBorders>
              <w:top w:val="single" w:sz="4" w:space="0" w:color="auto"/>
              <w:left w:val="nil"/>
              <w:bottom w:val="single" w:sz="4" w:space="0" w:color="auto"/>
              <w:right w:val="single" w:sz="4" w:space="0" w:color="auto"/>
            </w:tcBorders>
            <w:shd w:val="clear" w:color="auto" w:fill="C6EFCE"/>
            <w:noWrap/>
          </w:tcPr>
          <w:p w14:paraId="5A0DF3CD" w14:textId="77777777" w:rsidR="00CB0FCB" w:rsidRDefault="009D2B11">
            <w:pPr>
              <w:pStyle w:val="P68B1DB1-Normal9"/>
              <w:spacing w:after="0" w:line="240" w:lineRule="auto"/>
              <w:rPr>
                <w:rFonts w:eastAsia="Times New Roman" w:cs="Calibri"/>
                <w:noProof/>
                <w:szCs w:val="18"/>
              </w:rPr>
            </w:pPr>
            <w:r>
              <w:rPr>
                <w:noProof/>
              </w:rPr>
              <w:t>Kadastrālā kartēšana — pilnīga pabeigšana</w:t>
            </w:r>
          </w:p>
        </w:tc>
        <w:tc>
          <w:tcPr>
            <w:tcW w:w="1552" w:type="dxa"/>
            <w:tcBorders>
              <w:top w:val="single" w:sz="4" w:space="0" w:color="auto"/>
              <w:left w:val="nil"/>
              <w:bottom w:val="single" w:sz="4" w:space="0" w:color="auto"/>
              <w:right w:val="single" w:sz="4" w:space="0" w:color="auto"/>
            </w:tcBorders>
            <w:shd w:val="clear" w:color="auto" w:fill="C6EFCE"/>
            <w:noWrap/>
          </w:tcPr>
          <w:p w14:paraId="644EDB42" w14:textId="77777777" w:rsidR="00CB0FCB" w:rsidRDefault="00CB0FCB">
            <w:pPr>
              <w:spacing w:after="0" w:line="240" w:lineRule="auto"/>
              <w:rPr>
                <w:rFonts w:eastAsia="Times New Roman" w:cs="Calibri"/>
                <w:noProof/>
                <w:color w:val="006100"/>
                <w:sz w:val="18"/>
                <w:szCs w:val="18"/>
              </w:rPr>
            </w:pPr>
          </w:p>
        </w:tc>
        <w:tc>
          <w:tcPr>
            <w:tcW w:w="1126" w:type="dxa"/>
            <w:tcBorders>
              <w:top w:val="single" w:sz="4" w:space="0" w:color="auto"/>
              <w:left w:val="nil"/>
              <w:bottom w:val="single" w:sz="4" w:space="0" w:color="auto"/>
              <w:right w:val="single" w:sz="4" w:space="0" w:color="auto"/>
            </w:tcBorders>
            <w:shd w:val="clear" w:color="auto" w:fill="C6EFCE"/>
            <w:noWrap/>
          </w:tcPr>
          <w:p w14:paraId="403E605F" w14:textId="2CF806A6" w:rsidR="00CB0FCB" w:rsidRDefault="009D2B11">
            <w:pPr>
              <w:pStyle w:val="P68B1DB1-Normal9"/>
              <w:spacing w:after="0" w:line="240" w:lineRule="auto"/>
              <w:rPr>
                <w:rFonts w:eastAsia="Times New Roman" w:cs="Calibri"/>
                <w:noProof/>
                <w:szCs w:val="18"/>
              </w:rPr>
            </w:pPr>
            <w:r>
              <w:rPr>
                <w:noProof/>
              </w:rPr>
              <w:t>% no kopējām īpašuma tiesībām, kas augšupielādētas publiskai izstādīšanai, saskaņā ar noteikumiem Likumā Nr. 2308/1995, kas grozīts ar Likuma Nr. 4821/2021 6. pantu</w:t>
            </w:r>
          </w:p>
        </w:tc>
        <w:tc>
          <w:tcPr>
            <w:tcW w:w="1003" w:type="dxa"/>
            <w:tcBorders>
              <w:top w:val="single" w:sz="4" w:space="0" w:color="auto"/>
              <w:left w:val="nil"/>
              <w:bottom w:val="single" w:sz="4" w:space="0" w:color="auto"/>
              <w:right w:val="single" w:sz="4" w:space="0" w:color="auto"/>
            </w:tcBorders>
            <w:shd w:val="clear" w:color="auto" w:fill="C6EFCE"/>
            <w:noWrap/>
          </w:tcPr>
          <w:p w14:paraId="3403FDD8" w14:textId="77777777" w:rsidR="00CB0FCB" w:rsidRDefault="009D2B11">
            <w:pPr>
              <w:pStyle w:val="P68B1DB1-Normal9"/>
              <w:spacing w:after="0" w:line="240" w:lineRule="auto"/>
              <w:rPr>
                <w:rFonts w:eastAsia="Times New Roman" w:cs="Calibri"/>
                <w:noProof/>
                <w:szCs w:val="18"/>
              </w:rPr>
            </w:pPr>
            <w:r>
              <w:rPr>
                <w:noProof/>
              </w:rPr>
              <w:t>95 %</w:t>
            </w:r>
          </w:p>
        </w:tc>
        <w:tc>
          <w:tcPr>
            <w:tcW w:w="876" w:type="dxa"/>
            <w:tcBorders>
              <w:top w:val="single" w:sz="4" w:space="0" w:color="auto"/>
              <w:left w:val="nil"/>
              <w:bottom w:val="single" w:sz="4" w:space="0" w:color="auto"/>
              <w:right w:val="single" w:sz="4" w:space="0" w:color="auto"/>
            </w:tcBorders>
            <w:shd w:val="clear" w:color="auto" w:fill="C6EFCE"/>
            <w:noWrap/>
          </w:tcPr>
          <w:p w14:paraId="182E1F70" w14:textId="77777777" w:rsidR="00CB0FCB" w:rsidRDefault="009D2B11">
            <w:pPr>
              <w:pStyle w:val="P68B1DB1-Normal9"/>
              <w:spacing w:after="0" w:line="240" w:lineRule="auto"/>
              <w:rPr>
                <w:rFonts w:eastAsia="Times New Roman" w:cs="Calibri"/>
                <w:noProof/>
                <w:szCs w:val="18"/>
              </w:rPr>
            </w:pPr>
            <w:r>
              <w:rPr>
                <w:noProof/>
              </w:rPr>
              <w:t>100 %</w:t>
            </w:r>
          </w:p>
        </w:tc>
        <w:tc>
          <w:tcPr>
            <w:tcW w:w="846" w:type="dxa"/>
            <w:tcBorders>
              <w:top w:val="single" w:sz="4" w:space="0" w:color="auto"/>
              <w:left w:val="nil"/>
              <w:bottom w:val="single" w:sz="4" w:space="0" w:color="auto"/>
              <w:right w:val="single" w:sz="4" w:space="0" w:color="auto"/>
            </w:tcBorders>
            <w:shd w:val="clear" w:color="auto" w:fill="C6EFCE"/>
            <w:noWrap/>
          </w:tcPr>
          <w:p w14:paraId="3C78C89B" w14:textId="77777777" w:rsidR="00CB0FCB" w:rsidRDefault="009D2B11">
            <w:pPr>
              <w:pStyle w:val="P68B1DB1-Normal9"/>
              <w:spacing w:after="0" w:line="240" w:lineRule="auto"/>
              <w:rPr>
                <w:rFonts w:eastAsia="Times New Roman" w:cs="Calibri"/>
                <w:noProof/>
                <w:szCs w:val="18"/>
              </w:rPr>
            </w:pPr>
            <w:r>
              <w:rPr>
                <w:noProof/>
              </w:rPr>
              <w:t>2. CET.</w:t>
            </w:r>
          </w:p>
        </w:tc>
        <w:tc>
          <w:tcPr>
            <w:tcW w:w="673" w:type="dxa"/>
            <w:tcBorders>
              <w:top w:val="single" w:sz="4" w:space="0" w:color="auto"/>
              <w:left w:val="nil"/>
              <w:bottom w:val="single" w:sz="4" w:space="0" w:color="auto"/>
              <w:right w:val="single" w:sz="4" w:space="0" w:color="auto"/>
            </w:tcBorders>
            <w:shd w:val="clear" w:color="auto" w:fill="C6EFCE"/>
            <w:noWrap/>
          </w:tcPr>
          <w:p w14:paraId="00B4AFA4" w14:textId="77777777" w:rsidR="00CB0FCB" w:rsidRDefault="009D2B11">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nil"/>
              <w:bottom w:val="single" w:sz="4" w:space="0" w:color="auto"/>
              <w:right w:val="single" w:sz="4" w:space="0" w:color="auto"/>
            </w:tcBorders>
            <w:shd w:val="clear" w:color="auto" w:fill="C6EFCE"/>
            <w:noWrap/>
          </w:tcPr>
          <w:p w14:paraId="2EC2C513" w14:textId="77777777" w:rsidR="00CB0FCB" w:rsidRDefault="009D2B11">
            <w:pPr>
              <w:pStyle w:val="P68B1DB1-Normal9"/>
              <w:spacing w:after="0" w:line="240" w:lineRule="auto"/>
              <w:rPr>
                <w:rFonts w:eastAsia="Times New Roman" w:cs="Calibri"/>
                <w:noProof/>
                <w:szCs w:val="18"/>
              </w:rPr>
            </w:pPr>
            <w:r>
              <w:rPr>
                <w:noProof/>
              </w:rPr>
              <w:t>Kadastrālā īpašumtiesību kartēšana Grieķijā ir pabeigta, un visas īpašumtiesības visā Grieķijas teritorijā ir sasniegušas publiskas demonstrēšanas posmu.</w:t>
            </w:r>
          </w:p>
        </w:tc>
      </w:tr>
    </w:tbl>
    <w:p w14:paraId="48EFC02C" w14:textId="77777777" w:rsidR="00CB0FCB" w:rsidRDefault="00CB0FCB">
      <w:pPr>
        <w:spacing w:before="120" w:after="120" w:line="240" w:lineRule="auto"/>
        <w:ind w:left="709"/>
        <w:jc w:val="both"/>
        <w:rPr>
          <w:rFonts w:ascii="Times New Roman" w:hAnsi="Times New Roman" w:cs="Times New Roman"/>
          <w:noProof/>
          <w:sz w:val="24"/>
          <w:szCs w:val="24"/>
        </w:rPr>
      </w:pPr>
    </w:p>
    <w:p w14:paraId="6A77A2B0"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29"/>
          <w:headerReference w:type="default" r:id="rId230"/>
          <w:footerReference w:type="even" r:id="rId231"/>
          <w:footerReference w:type="default" r:id="rId232"/>
          <w:headerReference w:type="first" r:id="rId233"/>
          <w:footerReference w:type="first" r:id="rId234"/>
          <w:pgSz w:w="16839" w:h="11907" w:orient="landscape"/>
          <w:pgMar w:top="720" w:right="720" w:bottom="720" w:left="720" w:header="709" w:footer="0" w:gutter="0"/>
          <w:cols w:space="720"/>
          <w:docGrid w:linePitch="360"/>
        </w:sectPr>
      </w:pPr>
    </w:p>
    <w:p w14:paraId="0AA93CB1" w14:textId="77777777" w:rsidR="00CB0FCB" w:rsidRDefault="009D2B11">
      <w:pPr>
        <w:pStyle w:val="P68B1DB1-Normal2"/>
        <w:spacing w:before="120" w:after="120" w:line="240" w:lineRule="auto"/>
        <w:ind w:firstLine="6"/>
        <w:jc w:val="both"/>
        <w:outlineLvl w:val="3"/>
        <w:rPr>
          <w:rFonts w:cs="Times New Roman"/>
          <w:bCs/>
          <w:noProof/>
        </w:rPr>
      </w:pPr>
      <w:r>
        <w:rPr>
          <w:noProof/>
        </w:rPr>
        <w:t>N. 4.3. SASTĀVDAĻA: UZLABOT TIESU SISTĒMAS EFEKTIVITĀTI</w:t>
      </w:r>
    </w:p>
    <w:p w14:paraId="198A045B" w14:textId="77777777" w:rsidR="00CB0FCB" w:rsidRDefault="009D2B11">
      <w:pPr>
        <w:pStyle w:val="P68B1DB1-Normal4"/>
        <w:spacing w:before="120" w:after="120" w:line="240" w:lineRule="auto"/>
        <w:jc w:val="both"/>
        <w:rPr>
          <w:rFonts w:cs="Times New Roman"/>
          <w:noProof/>
        </w:rPr>
      </w:pPr>
      <w:r>
        <w:rPr>
          <w:noProof/>
        </w:rPr>
        <w:t>Šis Grieķijas atveseļošanas un noturības plāna komponents ietver vairākas plaša mēroga reformas, kā arī investīcijas, kuru mērķis ir uzlabot Grieķijas tiesu sistēmas efektivitāti un lietderību, ieviešot vērienīgu valsts tiesu kartes pārskatīšanu, apmierinot infrastruktūras vajadzības, pieņemot pasākumus tiesu sistēmas digitālo spēju palielināšanai, modernizējot tiesu funkciju, izveidojot tiesu policiju un paplašinot un uzlabojot miertiesnešu un kancelejas darbinieku izglītību (gan sākotnējo, gan mūžilgu). Paredzams, ka pasākumi palīdzēs risināt problēmas, kas minētas konkrētai valstij adresētajos ieteikumos attiecībā uz publiskajām un privātajām investīcijām (2019. gada konkrētai valstij adresētais ieteikums Nr. 2, konkrētai valstij adresētais ieteikums Nr. 3 2020) un strukturālajām reformām ekonomikas darbības uzlabošanai (2020. gada konkrētai valstij adresētais ieteikums Nr. 4).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5ED5D76C"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N.1. </w:t>
      </w:r>
      <w:r>
        <w:rPr>
          <w:noProof/>
        </w:rPr>
        <w:t xml:space="preserve"> </w:t>
      </w:r>
      <w:r>
        <w:rPr>
          <w:rFonts w:ascii="Times New Roman" w:hAnsi="Times New Roman"/>
          <w:b/>
          <w:noProof/>
          <w:sz w:val="24"/>
          <w:u w:val="single"/>
        </w:rPr>
        <w:t>Reformu un investīciju apraksts neatmaksājamam finansiālajam atbalstam</w:t>
      </w:r>
    </w:p>
    <w:p w14:paraId="4CB62532" w14:textId="77777777" w:rsidR="00CB0FCB" w:rsidRDefault="009D2B11">
      <w:pPr>
        <w:pStyle w:val="P68B1DB1-Normal4"/>
        <w:spacing w:before="120" w:after="120" w:line="240" w:lineRule="auto"/>
        <w:jc w:val="both"/>
        <w:rPr>
          <w:rFonts w:cs="Times New Roman"/>
          <w:noProof/>
        </w:rPr>
      </w:pPr>
      <w:r>
        <w:rPr>
          <w:b/>
          <w:noProof/>
        </w:rPr>
        <w:t xml:space="preserve">Ieguldījums: </w:t>
      </w:r>
      <w:r>
        <w:rPr>
          <w:noProof/>
        </w:rPr>
        <w:t xml:space="preserve">Jaunas tiesu iestāžu ēkas </w:t>
      </w:r>
      <w:r>
        <w:rPr>
          <w:noProof/>
          <w:color w:val="000000"/>
        </w:rPr>
        <w:t>un renovācija</w:t>
      </w:r>
      <w:r>
        <w:rPr>
          <w:noProof/>
        </w:rPr>
        <w:t xml:space="preserve"> (pasākums ID 16292)</w:t>
      </w:r>
    </w:p>
    <w:p w14:paraId="02BDDCA3" w14:textId="7054B7B7" w:rsidR="00CB0FCB" w:rsidRDefault="009D2B11">
      <w:pPr>
        <w:pStyle w:val="P68B1DB1-Normal4"/>
        <w:spacing w:before="120" w:after="120" w:line="240" w:lineRule="auto"/>
        <w:jc w:val="both"/>
        <w:rPr>
          <w:rFonts w:cs="Times New Roman"/>
          <w:noProof/>
        </w:rPr>
      </w:pPr>
      <w:r>
        <w:rPr>
          <w:noProof/>
        </w:rPr>
        <w:t>Pasākums ietver mērķtiecīgu ieguldījumu tiesu sistēmā ietilpstošu ēku būvniecībā un renovācijā, kas ir cieši saistīts ar tiesu kartes pārskatīšanu, lai maksimāli palielinātu tiesu sistēmas efektivitāti un izvairītos no nevajadzīgiem pūliņiem un izdevumiem. Visus īpašumus, kas pieder Tieslietu ministrijai un ko tā piešķir tiesu iestādēm, reģistrē esošajā elektroniskajā platformā, lai atvieglotu uzraudzību un plānošanu. Visām jaunceltajām ēkām jāatbilst primārās enerģijas pieprasījumam (PED), kas ir vismaz par 20 % zemāks nekā GNEĒ prasība (gandrīz nulles enerģijas ēka, valstu direktīvas).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48C61B27"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Tieslietu digitālā pārveide (e-tiesiskums) (pasākums ID 16727)</w:t>
      </w:r>
    </w:p>
    <w:p w14:paraId="730C7B03" w14:textId="77777777" w:rsidR="00CB0FCB" w:rsidRDefault="009D2B11">
      <w:pPr>
        <w:spacing w:before="120" w:after="120" w:line="240" w:lineRule="auto"/>
        <w:jc w:val="both"/>
        <w:rPr>
          <w:rFonts w:ascii="Times New Roman" w:hAnsi="Times New Roman" w:cs="Times New Roman"/>
          <w:noProof/>
          <w:sz w:val="24"/>
        </w:rPr>
      </w:pPr>
      <w:r>
        <w:rPr>
          <w:noProof/>
        </w:rPr>
        <w:t xml:space="preserve">Grieķijas tiesu sistēmas </w:t>
      </w:r>
      <w:r>
        <w:rPr>
          <w:rFonts w:ascii="Times New Roman" w:hAnsi="Times New Roman"/>
          <w:noProof/>
          <w:sz w:val="24"/>
        </w:rPr>
        <w:t>digitālo pārveidi veic Tieslietu ministrijas uzraudzībā, un to veido darbību kopums, kuru mērķis ir palielināt tās IT spējas attiecībā uz dokumentu digitalizāciju, tiesu uzskaites sistēmas uzlabošanu, procedūru vienkāršošanu, standartizāciju un paātrināšanu, izmantojot digitalizāciju, un tiesu IT sistēmu sadarbspēju ar Tieslietu ministrijas IT sistēmām, kā arī citām valsts un starptautiskām iestādēm un/vai datubāzēm. Šī reforma attiecas uz tiesu iestāžu civillietu un krimināllietu nodaļām, kā arī Revīzijas palātu.</w:t>
      </w:r>
      <w:r>
        <w:rPr>
          <w:noProof/>
        </w:rPr>
        <w:t xml:space="preserve"> </w:t>
      </w:r>
      <w:r>
        <w:rPr>
          <w:rFonts w:ascii="Times New Roman" w:hAnsi="Times New Roman"/>
          <w:noProof/>
          <w:sz w:val="24"/>
        </w:rPr>
        <w:t>Reformas mērķis ir pēc pabeigšanas nodrošināt tiesnešiem un tiesu iestāžu darbiniekiem instrumentus un infrastruktūru, kas viņiem ļautu palielināt lietu izskatīšanas efektivitāti un tiesvedības īstenošanas ātrumu, neapdraudot tās kvalitāti.</w:t>
      </w:r>
    </w:p>
    <w:p w14:paraId="40D81CBF" w14:textId="77777777" w:rsidR="00CB0FCB" w:rsidRDefault="009D2B11">
      <w:pPr>
        <w:pStyle w:val="P68B1DB1-Normal4"/>
        <w:spacing w:before="120" w:after="120" w:line="240" w:lineRule="auto"/>
        <w:jc w:val="both"/>
        <w:rPr>
          <w:rFonts w:cs="Times New Roman"/>
          <w:noProof/>
        </w:rPr>
      </w:pPr>
      <w:r>
        <w:rPr>
          <w:noProof/>
        </w:rPr>
        <w:t>Reformas īstenošanu pabeidz līdz 2025. gada 31. decembrim.</w:t>
      </w:r>
    </w:p>
    <w:p w14:paraId="3DD3B290"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Tiesnešu un tiesu iestāžu darbinieku (tiesu darbinieku) prasmes un digitālās prasmes (ID 16733) pasākums</w:t>
      </w:r>
    </w:p>
    <w:p w14:paraId="7D761CB8" w14:textId="5E39441F" w:rsidR="00CB0FCB" w:rsidRDefault="009D2B11">
      <w:pPr>
        <w:pStyle w:val="P68B1DB1-Normal4"/>
        <w:spacing w:before="120" w:after="120" w:line="240" w:lineRule="auto"/>
        <w:jc w:val="both"/>
        <w:rPr>
          <w:rFonts w:cs="Times New Roman"/>
          <w:noProof/>
        </w:rPr>
      </w:pPr>
      <w:r>
        <w:rPr>
          <w:noProof/>
        </w:rPr>
        <w:t xml:space="preserve">Valsts Tiesnešu skola veic vairākas institucionālas izmaiņas attiecībā uz tās funkcijām un izglītības programmu; </w:t>
      </w:r>
      <w:r>
        <w:rPr>
          <w:noProof/>
          <w:color w:val="000000"/>
        </w:rPr>
        <w:t>jāpārskata arī</w:t>
      </w:r>
      <w:r>
        <w:rPr>
          <w:noProof/>
        </w:rPr>
        <w:t xml:space="preserve"> tās kandidātu atlases kritēriji, lai nodrošinātu selektīvāku un konkurētspējīgāku studiju vidi, vienlaikus pieļaujot papildu studentu kategorijas (miertiesu tiesneši un revīzijas tiesas tiesneši); tā piedāvā arī papildu kursus, kuru mērķis ir nodrošināt jaunas prasmes, uzsvaru liekot uz vadības un digitālajām prasmēm, kā arī par tematiem, kas saistīti ar tiesas pienākumu izpildi saskaņā ar Likumu Nr. 4871/2021; reforma ietver obligātas mūžizglītības nodrošināšanu tiesnešiem jautājumos, kas ir būtiski viņu pienākumu veikšanai, un to veic instruktori, kurus arī izraudzījusies Valsts Tiesnešu skola saskaņā ar Likumu Nr. 4871/2021. Visbeidzot, Valsts tiesnešu skolā tiks izveidota jauna tiesnešu sekretāru izglītības programma, lai ierēdņiem nodrošinātu apmācību un mūžizglītību par tematiem, kas ir būtiski viņu pienākumu veikšanai, dienesta vadībai un organizācijai, digitālajām prasmēm, procesuālajām un materiālajām tiesībām. </w:t>
      </w:r>
    </w:p>
    <w:p w14:paraId="3738B9F4" w14:textId="77777777" w:rsidR="00CB0FCB" w:rsidRDefault="009D2B11">
      <w:pPr>
        <w:pStyle w:val="P68B1DB1-Normal4"/>
        <w:spacing w:before="120" w:after="120" w:line="240" w:lineRule="auto"/>
        <w:jc w:val="both"/>
        <w:rPr>
          <w:rFonts w:cs="Times New Roman"/>
          <w:noProof/>
        </w:rPr>
      </w:pPr>
      <w:r>
        <w:rPr>
          <w:noProof/>
        </w:rPr>
        <w:t>Reformas īstenošanu pabeidz līdz 2024. gada 31. decembrim.</w:t>
      </w:r>
    </w:p>
    <w:p w14:paraId="164289E7" w14:textId="77777777" w:rsidR="00CB0FCB" w:rsidRDefault="009D2B11">
      <w:pPr>
        <w:pStyle w:val="P68B1DB1-Normal5"/>
        <w:spacing w:before="120" w:after="120" w:line="240" w:lineRule="auto"/>
        <w:jc w:val="both"/>
        <w:rPr>
          <w:rFonts w:cs="Times New Roman"/>
          <w:noProof/>
        </w:rPr>
      </w:pPr>
      <w:r>
        <w:rPr>
          <w:b/>
          <w:noProof/>
        </w:rPr>
        <w:t>Reforma:</w:t>
      </w:r>
      <w:r>
        <w:rPr>
          <w:noProof/>
        </w:rPr>
        <w:t xml:space="preserve"> Tiesvedības paātrināšana (pasākums ID 16575)</w:t>
      </w:r>
    </w:p>
    <w:p w14:paraId="11B1289B" w14:textId="77777777" w:rsidR="00CB0FCB" w:rsidRDefault="009D2B11">
      <w:pPr>
        <w:pStyle w:val="P68B1DB1-Normal4"/>
        <w:spacing w:before="120" w:after="120" w:line="240" w:lineRule="auto"/>
        <w:jc w:val="both"/>
        <w:rPr>
          <w:rFonts w:cs="Times New Roman"/>
          <w:noProof/>
        </w:rPr>
      </w:pPr>
      <w:r>
        <w:rPr>
          <w:noProof/>
        </w:rPr>
        <w:t xml:space="preserve">Šīs reformas mērķis ir paātrināt tiesvedību un veicināt valsts ekonomisko un institucionālo pārveidi. Reformas svarīgākais elements ir plānotā tiesu kartes pārskatīšana visā valstī, kuras rezultātā visā Grieķijā notiks racionāla tiesu apgabalu reorganizācija un šajos rajonos tiks izveidotas, likvidētas vai pārdalītas tiesu struktūras, pamatojoties uz objektīviem kritērijiem un plašu datu vākšanu par visām tiesām visā valstī. Tiesu kartes reforma attiecas uz visiem tiesu varas atzariem (civillietām, krimināllietām un administratīvajām jomām). Papildu darbību mērķis ir uzlabot tiesiskuma efektivitāti un lietderību: </w:t>
      </w:r>
    </w:p>
    <w:p w14:paraId="546F72F0" w14:textId="77777777" w:rsidR="00CB0FCB" w:rsidRDefault="009D2B11">
      <w:pPr>
        <w:pStyle w:val="P68B1DB1-Normal4"/>
        <w:numPr>
          <w:ilvl w:val="0"/>
          <w:numId w:val="59"/>
        </w:numPr>
        <w:spacing w:before="120" w:after="120" w:line="240" w:lineRule="auto"/>
        <w:ind w:left="360"/>
        <w:jc w:val="both"/>
        <w:rPr>
          <w:rFonts w:cs="Times New Roman"/>
          <w:noProof/>
        </w:rPr>
      </w:pPr>
      <w:r>
        <w:rPr>
          <w:noProof/>
        </w:rPr>
        <w:t>tiesu policijas izveide, lai atbalstītu un uzlabotu tiesu iestāžu darbību, sniedzot zinātību sarežģītu noziegumu (tostarp finanšu noziegumu, korupcijas un nelikumīgi iegūtu līdzekļu legalizēšanas) izmeklēšanā un sniedzot plašu tiesiskās palīdzības pakalpojumu klāstu (palīdzība sākotnējās izskatīšanas un izmeklēšanas veikšanā, spriedumu izpildē un dokumentu un procesuālo darbību izsniegšanā, orderu izpildē, spriedumu izpildē, tiesas rīkojuma uzturēšanā, palīdzības sniegšanā vai atbildēšanā uz tiesiskās palīdzības pieprasījumiem, kā arī pilnvaru īstenošanā, ko tai uzticējušas kompetentās tiesas un prokurori), un</w:t>
      </w:r>
    </w:p>
    <w:p w14:paraId="3F82CABD" w14:textId="0A9DB986" w:rsidR="00CB0FCB" w:rsidRDefault="009D2B11">
      <w:pPr>
        <w:pStyle w:val="P68B1DB1-Normal4"/>
        <w:numPr>
          <w:ilvl w:val="0"/>
          <w:numId w:val="59"/>
        </w:numPr>
        <w:spacing w:before="120" w:after="120" w:line="240" w:lineRule="auto"/>
        <w:ind w:left="360"/>
        <w:jc w:val="both"/>
        <w:rPr>
          <w:noProof/>
        </w:rPr>
      </w:pPr>
      <w:r>
        <w:rPr>
          <w:noProof/>
        </w:rPr>
        <w:t>pagaidu shēmas ieviešana finansiālu stimulu nodrošināšanai tiesu darbiniekiem, pamatojoties uz objektīvi izmērāmiem individuāliem darbības rādītājiem un pilnīgā saskaņā ar vienoto algu sistēmu (Likums Nr. 4354/2015), neparedzot nekādus atbrīvojumus, lai paātrinātu ar tiesu namu saistītu uzdevumu un pienākumu izpildi un novērstu neizskatīto lietu uzkrāšanos.</w:t>
      </w:r>
    </w:p>
    <w:p w14:paraId="13B6A8D3" w14:textId="1FB8347E" w:rsidR="00CB0FCB" w:rsidRDefault="009D2B11">
      <w:pPr>
        <w:pStyle w:val="P68B1DB1-Normal4"/>
        <w:spacing w:before="120" w:after="120" w:line="240" w:lineRule="auto"/>
        <w:jc w:val="both"/>
        <w:rPr>
          <w:rFonts w:cs="Calibri"/>
          <w:noProof/>
        </w:rPr>
      </w:pPr>
      <w:r>
        <w:rPr>
          <w:noProof/>
        </w:rPr>
        <w:t>Lai pabeigtu reformu, pieņem pasākumu kopumu, lai izveidotu un stiprinātu alternatīvas strīdu izšķiršanas iestādes, nodrošinot apmācību juridiskajiem konsultantiem vai mediatoriem un sniedzot finansiālus stimulus mediācijas centriem, lai izveidotu lietotājdraudzīgas digitālās sistēmas.</w:t>
      </w:r>
    </w:p>
    <w:p w14:paraId="61775EC6" w14:textId="77777777" w:rsidR="00CB0FCB" w:rsidRDefault="009D2B11">
      <w:pPr>
        <w:pStyle w:val="P68B1DB1-Normal4"/>
        <w:spacing w:before="120" w:after="120" w:line="240" w:lineRule="auto"/>
        <w:jc w:val="both"/>
        <w:rPr>
          <w:rFonts w:cs="Times New Roman"/>
          <w:noProof/>
        </w:rPr>
      </w:pPr>
      <w:r>
        <w:rPr>
          <w:noProof/>
        </w:rPr>
        <w:t>Visbeidzot, neatkarīga biroja izveide tiesu datu sistemātiskai vākšanai, apstrādei, apkopošanai, sniegšanai un uzraudzībai nodrošina tiesu sistēmas darbības un darbības pienācīgu uzraudzību un uzraudzību.</w:t>
      </w:r>
    </w:p>
    <w:p w14:paraId="3B7BADA4" w14:textId="77777777" w:rsidR="00CB0FCB" w:rsidRDefault="009D2B11">
      <w:pPr>
        <w:pStyle w:val="P68B1DB1-Normal4"/>
        <w:spacing w:before="120" w:after="120" w:line="240" w:lineRule="auto"/>
        <w:jc w:val="both"/>
        <w:rPr>
          <w:rFonts w:cs="Times New Roman"/>
          <w:noProof/>
        </w:rPr>
      </w:pPr>
      <w:r>
        <w:rPr>
          <w:noProof/>
        </w:rPr>
        <w:t xml:space="preserve">Reformas īstenošanu pabeidz līdz 2025. gada 31. decembrim. </w:t>
      </w:r>
    </w:p>
    <w:p w14:paraId="12C15302" w14:textId="77777777" w:rsidR="00CB0FCB" w:rsidRDefault="00CB0FCB">
      <w:pPr>
        <w:spacing w:before="120" w:after="120" w:line="240" w:lineRule="auto"/>
        <w:ind w:left="709"/>
        <w:jc w:val="both"/>
        <w:rPr>
          <w:rFonts w:ascii="Times New Roman" w:hAnsi="Times New Roman" w:cs="Times New Roman"/>
          <w:b/>
          <w:bCs/>
          <w:noProof/>
          <w:sz w:val="24"/>
          <w:u w:val="single"/>
        </w:rPr>
      </w:pPr>
    </w:p>
    <w:p w14:paraId="6A14AAA5"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35"/>
          <w:headerReference w:type="default" r:id="rId236"/>
          <w:footerReference w:type="even" r:id="rId237"/>
          <w:footerReference w:type="default" r:id="rId238"/>
          <w:headerReference w:type="first" r:id="rId239"/>
          <w:footerReference w:type="first" r:id="rId240"/>
          <w:pgSz w:w="11907" w:h="16839"/>
          <w:pgMar w:top="1134" w:right="1417" w:bottom="1134" w:left="1417" w:header="709" w:footer="326" w:gutter="0"/>
          <w:cols w:space="720"/>
          <w:docGrid w:linePitch="360"/>
        </w:sectPr>
      </w:pPr>
    </w:p>
    <w:p w14:paraId="35E36478"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N.2.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6F9211FA" w14:textId="77777777" w:rsidR="00CB0FCB" w:rsidRDefault="00CB0FCB">
      <w:pPr>
        <w:rPr>
          <w:noProof/>
        </w:rPr>
      </w:pPr>
    </w:p>
    <w:p w14:paraId="51C8A179" w14:textId="77777777" w:rsidR="00CB0FCB" w:rsidRDefault="009D2B11">
      <w:pPr>
        <w:pStyle w:val="P68B1DB1-Normal6"/>
        <w:keepNext/>
        <w:keepLines/>
        <w:spacing w:before="40" w:after="0" w:line="240" w:lineRule="auto"/>
        <w:jc w:val="both"/>
        <w:outlineLvl w:val="4"/>
        <w:rPr>
          <w:rFonts w:eastAsia="Times New Roman"/>
          <w:noProof/>
        </w:rPr>
      </w:pPr>
      <w:r>
        <w:rPr>
          <w:noProof/>
        </w:rPr>
        <w:t>Grupa: Tiesu sistēmas kvalitātes un efektivitātes uzlabošana</w:t>
      </w:r>
    </w:p>
    <w:p w14:paraId="18E79054" w14:textId="77777777" w:rsidR="00CB0FCB" w:rsidRDefault="009D2B11">
      <w:pPr>
        <w:pStyle w:val="P68B1DB1-Normal4"/>
        <w:spacing w:before="120" w:after="120" w:line="240" w:lineRule="auto"/>
        <w:jc w:val="both"/>
        <w:rPr>
          <w:rFonts w:cs="Times New Roman"/>
          <w:noProof/>
        </w:rPr>
      </w:pPr>
      <w:r>
        <w:rPr>
          <w:noProof/>
        </w:rPr>
        <w:t>Šajā grupā ietilpst šādi pasākumi:</w:t>
      </w:r>
    </w:p>
    <w:p w14:paraId="0698932D" w14:textId="77777777" w:rsidR="00CB0FCB" w:rsidRDefault="009D2B11">
      <w:pPr>
        <w:pStyle w:val="P68B1DB1-Normal4"/>
        <w:numPr>
          <w:ilvl w:val="0"/>
          <w:numId w:val="23"/>
        </w:numPr>
        <w:spacing w:before="120" w:after="0" w:line="240" w:lineRule="auto"/>
        <w:jc w:val="both"/>
        <w:rPr>
          <w:rFonts w:cs="Times New Roman"/>
          <w:noProof/>
        </w:rPr>
      </w:pPr>
      <w:r>
        <w:rPr>
          <w:noProof/>
        </w:rPr>
        <w:t>Jaunas tiesu iestāžu ēkas un renovācija (ID: 16292)</w:t>
      </w:r>
    </w:p>
    <w:p w14:paraId="2652E2B7" w14:textId="77777777" w:rsidR="00CB0FCB" w:rsidRDefault="009D2B11">
      <w:pPr>
        <w:pStyle w:val="P68B1DB1-Normal4"/>
        <w:numPr>
          <w:ilvl w:val="0"/>
          <w:numId w:val="23"/>
        </w:numPr>
        <w:spacing w:before="120" w:after="0" w:line="240" w:lineRule="auto"/>
        <w:jc w:val="both"/>
        <w:rPr>
          <w:rFonts w:cs="Times New Roman"/>
          <w:noProof/>
        </w:rPr>
      </w:pPr>
      <w:r>
        <w:rPr>
          <w:noProof/>
        </w:rPr>
        <w:t>Tieslietu digitālā pārveide (e-tiesiskums) (ID: 16727)</w:t>
      </w:r>
    </w:p>
    <w:p w14:paraId="54D05741" w14:textId="77777777" w:rsidR="00CB0FCB" w:rsidRDefault="009D2B11">
      <w:pPr>
        <w:pStyle w:val="P68B1DB1-Normal4"/>
        <w:numPr>
          <w:ilvl w:val="0"/>
          <w:numId w:val="23"/>
        </w:numPr>
        <w:spacing w:before="120" w:after="120" w:line="240" w:lineRule="auto"/>
        <w:jc w:val="both"/>
        <w:rPr>
          <w:rFonts w:cs="Times New Roman"/>
          <w:noProof/>
        </w:rPr>
      </w:pPr>
      <w:r>
        <w:rPr>
          <w:noProof/>
        </w:rPr>
        <w:t>Tiesnešu un tiesu iestāžu darbinieku (tiesu darbinieku) prasmes un digitālās prasmes (ID: 16733)</w:t>
      </w:r>
    </w:p>
    <w:p w14:paraId="57B02B1C" w14:textId="77777777" w:rsidR="00CB0FCB" w:rsidRDefault="009D2B11">
      <w:pPr>
        <w:pStyle w:val="P68B1DB1-Normal4"/>
        <w:numPr>
          <w:ilvl w:val="0"/>
          <w:numId w:val="23"/>
        </w:numPr>
        <w:spacing w:before="120" w:after="120" w:line="240" w:lineRule="auto"/>
        <w:jc w:val="both"/>
        <w:rPr>
          <w:rFonts w:cs="Times New Roman"/>
          <w:noProof/>
        </w:rPr>
      </w:pPr>
      <w:r>
        <w:rPr>
          <w:noProof/>
        </w:rPr>
        <w:t>Tiesvedības paātrināšana (ID: 16575)</w:t>
      </w:r>
    </w:p>
    <w:tbl>
      <w:tblPr>
        <w:tblW w:w="15730" w:type="dxa"/>
        <w:jc w:val="center"/>
        <w:tblLook w:val="04A0" w:firstRow="1" w:lastRow="0" w:firstColumn="1" w:lastColumn="0" w:noHBand="0" w:noVBand="1"/>
      </w:tblPr>
      <w:tblGrid>
        <w:gridCol w:w="1027"/>
        <w:gridCol w:w="1541"/>
        <w:gridCol w:w="1807"/>
        <w:gridCol w:w="1397"/>
        <w:gridCol w:w="1552"/>
        <w:gridCol w:w="992"/>
        <w:gridCol w:w="1396"/>
        <w:gridCol w:w="766"/>
        <w:gridCol w:w="1027"/>
        <w:gridCol w:w="647"/>
        <w:gridCol w:w="4885"/>
      </w:tblGrid>
      <w:tr w:rsidR="00CB0FCB" w14:paraId="41F3A827" w14:textId="77777777">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72AA7D"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0344AA"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6E23FE"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67B963"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3FFD61"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Kvalitatīvie rādītāji </w:t>
            </w:r>
            <w:r>
              <w:rPr>
                <w:noProof/>
                <w:sz w:val="24"/>
              </w:rPr>
              <w:t xml:space="preserve"> </w:t>
            </w:r>
            <w:r>
              <w:rPr>
                <w:b/>
                <w:noProof/>
                <w:sz w:val="18"/>
              </w:rPr>
              <w:t>(atskaites punktiem)</w:t>
            </w:r>
          </w:p>
        </w:tc>
        <w:tc>
          <w:tcPr>
            <w:tcW w:w="2436"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9E85A2A"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Kvantitatīvie rādītāji </w:t>
            </w:r>
            <w:r>
              <w:rPr>
                <w:noProof/>
                <w:sz w:val="24"/>
              </w:rPr>
              <w:t xml:space="preserve"> </w:t>
            </w:r>
            <w:r>
              <w:rPr>
                <w:b/>
                <w:noProof/>
                <w:sz w:val="18"/>
              </w:rPr>
              <w:t>(mērķrādītājiem)</w:t>
            </w:r>
          </w:p>
        </w:tc>
        <w:tc>
          <w:tcPr>
            <w:tcW w:w="1468" w:type="dxa"/>
            <w:gridSpan w:val="2"/>
            <w:tcBorders>
              <w:top w:val="single" w:sz="4" w:space="0" w:color="auto"/>
              <w:left w:val="nil"/>
              <w:bottom w:val="single" w:sz="4" w:space="0" w:color="auto"/>
              <w:right w:val="single" w:sz="4" w:space="0" w:color="auto"/>
            </w:tcBorders>
            <w:shd w:val="clear" w:color="auto" w:fill="BDD7EE"/>
            <w:vAlign w:val="center"/>
            <w:hideMark/>
          </w:tcPr>
          <w:p w14:paraId="71D7D4B2" w14:textId="77777777" w:rsidR="00CB0FCB" w:rsidRDefault="009D2B11">
            <w:pPr>
              <w:pStyle w:val="P68B1DB1-Normal7"/>
              <w:spacing w:after="0" w:line="240" w:lineRule="auto"/>
              <w:jc w:val="center"/>
              <w:rPr>
                <w:rFonts w:eastAsia="Times New Roman" w:cs="Times New Roman"/>
                <w:bCs/>
                <w:noProof/>
                <w:szCs w:val="18"/>
              </w:rPr>
            </w:pPr>
            <w:r>
              <w:rPr>
                <w:noProof/>
              </w:rPr>
              <w:t>Orientējošs pabeigšanas termiņš</w:t>
            </w:r>
          </w:p>
        </w:tc>
        <w:tc>
          <w:tcPr>
            <w:tcW w:w="48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07AFE6"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6260C8FA" w14:textId="77777777">
        <w:trPr>
          <w:trHeight w:val="629"/>
          <w:tblHeader/>
          <w:jc w:val="center"/>
        </w:trPr>
        <w:tc>
          <w:tcPr>
            <w:tcW w:w="1027" w:type="dxa"/>
            <w:vMerge/>
            <w:tcBorders>
              <w:top w:val="single" w:sz="4" w:space="0" w:color="auto"/>
              <w:left w:val="single" w:sz="4" w:space="0" w:color="auto"/>
              <w:bottom w:val="single" w:sz="4" w:space="0" w:color="auto"/>
              <w:right w:val="single" w:sz="4" w:space="0" w:color="auto"/>
            </w:tcBorders>
            <w:hideMark/>
          </w:tcPr>
          <w:p w14:paraId="3B86B058" w14:textId="77777777" w:rsidR="00CB0FCB" w:rsidRDefault="00CB0FCB">
            <w:pPr>
              <w:spacing w:after="0" w:line="240" w:lineRule="auto"/>
              <w:rPr>
                <w:rFonts w:ascii="Times New Roman" w:eastAsia="Times New Roman" w:hAnsi="Times New Roman" w:cs="Times New Roman"/>
                <w:b/>
                <w:bCs/>
                <w:noProof/>
                <w:sz w:val="18"/>
                <w:szCs w:val="18"/>
              </w:rPr>
            </w:pPr>
          </w:p>
        </w:tc>
        <w:tc>
          <w:tcPr>
            <w:tcW w:w="1541" w:type="dxa"/>
            <w:vMerge/>
            <w:tcBorders>
              <w:top w:val="single" w:sz="4" w:space="0" w:color="auto"/>
              <w:left w:val="single" w:sz="4" w:space="0" w:color="auto"/>
              <w:bottom w:val="single" w:sz="4" w:space="0" w:color="auto"/>
              <w:right w:val="single" w:sz="4" w:space="0" w:color="auto"/>
            </w:tcBorders>
            <w:hideMark/>
          </w:tcPr>
          <w:p w14:paraId="3927EEB8" w14:textId="77777777" w:rsidR="00CB0FCB" w:rsidRDefault="00CB0FCB">
            <w:pPr>
              <w:spacing w:after="0" w:line="240" w:lineRule="auto"/>
              <w:rPr>
                <w:rFonts w:ascii="Times New Roman" w:eastAsia="Times New Roman" w:hAnsi="Times New Roman" w:cs="Times New Roman"/>
                <w:b/>
                <w:bCs/>
                <w:noProof/>
                <w:sz w:val="18"/>
                <w:szCs w:val="18"/>
              </w:rPr>
            </w:pPr>
          </w:p>
        </w:tc>
        <w:tc>
          <w:tcPr>
            <w:tcW w:w="1424" w:type="dxa"/>
            <w:vMerge/>
            <w:tcBorders>
              <w:top w:val="single" w:sz="4" w:space="0" w:color="auto"/>
              <w:left w:val="single" w:sz="4" w:space="0" w:color="auto"/>
              <w:bottom w:val="single" w:sz="4" w:space="0" w:color="auto"/>
              <w:right w:val="single" w:sz="4" w:space="0" w:color="auto"/>
            </w:tcBorders>
            <w:hideMark/>
          </w:tcPr>
          <w:p w14:paraId="4BFDDF03" w14:textId="77777777" w:rsidR="00CB0FCB" w:rsidRDefault="00CB0FCB">
            <w:pPr>
              <w:spacing w:after="0" w:line="240" w:lineRule="auto"/>
              <w:rPr>
                <w:rFonts w:ascii="Times New Roman" w:eastAsia="Times New Roman" w:hAnsi="Times New Roman" w:cs="Times New Roman"/>
                <w:b/>
                <w:bCs/>
                <w:noProof/>
                <w:sz w:val="18"/>
                <w:szCs w:val="18"/>
              </w:rPr>
            </w:pPr>
          </w:p>
        </w:tc>
        <w:tc>
          <w:tcPr>
            <w:tcW w:w="1397" w:type="dxa"/>
            <w:vMerge/>
            <w:tcBorders>
              <w:top w:val="single" w:sz="4" w:space="0" w:color="auto"/>
              <w:left w:val="single" w:sz="4" w:space="0" w:color="auto"/>
              <w:bottom w:val="single" w:sz="4" w:space="0" w:color="auto"/>
              <w:right w:val="single" w:sz="4" w:space="0" w:color="auto"/>
            </w:tcBorders>
            <w:hideMark/>
          </w:tcPr>
          <w:p w14:paraId="65614B95" w14:textId="77777777" w:rsidR="00CB0FCB" w:rsidRDefault="00CB0FCB">
            <w:pPr>
              <w:spacing w:after="0" w:line="240" w:lineRule="auto"/>
              <w:rPr>
                <w:rFonts w:ascii="Times New Roman" w:eastAsia="Times New Roman" w:hAnsi="Times New Roman" w:cs="Times New Roman"/>
                <w:b/>
                <w:bCs/>
                <w:noProof/>
                <w:sz w:val="18"/>
                <w:szCs w:val="18"/>
              </w:rPr>
            </w:pPr>
          </w:p>
        </w:tc>
        <w:tc>
          <w:tcPr>
            <w:tcW w:w="1552" w:type="dxa"/>
            <w:vMerge/>
            <w:tcBorders>
              <w:top w:val="single" w:sz="4" w:space="0" w:color="auto"/>
              <w:left w:val="single" w:sz="4" w:space="0" w:color="auto"/>
              <w:bottom w:val="single" w:sz="4" w:space="0" w:color="auto"/>
              <w:right w:val="single" w:sz="4" w:space="0" w:color="auto"/>
            </w:tcBorders>
            <w:hideMark/>
          </w:tcPr>
          <w:p w14:paraId="609D76A2" w14:textId="77777777" w:rsidR="00CB0FCB" w:rsidRDefault="00CB0FCB">
            <w:pPr>
              <w:spacing w:after="0" w:line="240" w:lineRule="auto"/>
              <w:rPr>
                <w:rFonts w:ascii="Times New Roman" w:eastAsia="Times New Roman" w:hAnsi="Times New Roman" w:cs="Times New Roman"/>
                <w:b/>
                <w:bCs/>
                <w:noProo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3DD0716"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14:paraId="21658F7E" w14:textId="77777777" w:rsidR="00CB0FCB" w:rsidRDefault="009D2B11">
            <w:pPr>
              <w:pStyle w:val="P68B1DB1-Normal7"/>
              <w:spacing w:after="0" w:line="240" w:lineRule="auto"/>
              <w:jc w:val="center"/>
              <w:rPr>
                <w:rFonts w:eastAsia="Times New Roman" w:cs="Times New Roman"/>
                <w:bCs/>
                <w:noProof/>
                <w:szCs w:val="18"/>
              </w:rPr>
            </w:pPr>
            <w:r>
              <w:rPr>
                <w:noProof/>
              </w:rPr>
              <w:t>Pamatscenārijs</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14:paraId="503E869A" w14:textId="77777777" w:rsidR="00CB0FCB" w:rsidRDefault="009D2B11">
            <w:pPr>
              <w:pStyle w:val="P68B1DB1-Normal7"/>
              <w:spacing w:after="0" w:line="240" w:lineRule="auto"/>
              <w:jc w:val="center"/>
              <w:rPr>
                <w:rFonts w:eastAsia="Times New Roman" w:cs="Times New Roman"/>
                <w:bCs/>
                <w:noProof/>
                <w:szCs w:val="18"/>
              </w:rPr>
            </w:pPr>
            <w:r>
              <w:rPr>
                <w:noProof/>
              </w:rPr>
              <w:t>Mērķis</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09BE93C5"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622" w:type="dxa"/>
            <w:tcBorders>
              <w:top w:val="single" w:sz="4" w:space="0" w:color="auto"/>
              <w:left w:val="nil"/>
              <w:bottom w:val="single" w:sz="4" w:space="0" w:color="auto"/>
              <w:right w:val="single" w:sz="4" w:space="0" w:color="auto"/>
            </w:tcBorders>
            <w:shd w:val="clear" w:color="auto" w:fill="BDD7EE"/>
            <w:vAlign w:val="center"/>
            <w:hideMark/>
          </w:tcPr>
          <w:p w14:paraId="6F37AD87"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885" w:type="dxa"/>
            <w:vMerge/>
            <w:tcBorders>
              <w:top w:val="single" w:sz="4" w:space="0" w:color="auto"/>
              <w:left w:val="single" w:sz="4" w:space="0" w:color="auto"/>
              <w:bottom w:val="single" w:sz="4" w:space="0" w:color="auto"/>
              <w:right w:val="single" w:sz="4" w:space="0" w:color="auto"/>
            </w:tcBorders>
            <w:hideMark/>
          </w:tcPr>
          <w:p w14:paraId="46090064"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06B14A5E"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60B180E" w14:textId="77777777" w:rsidR="00CB0FCB" w:rsidRDefault="009D2B11">
            <w:pPr>
              <w:pStyle w:val="P68B1DB1-Normal9"/>
              <w:spacing w:after="0" w:line="240" w:lineRule="auto"/>
              <w:rPr>
                <w:rFonts w:eastAsia="Times New Roman" w:cs="Calibri"/>
                <w:noProof/>
                <w:szCs w:val="18"/>
              </w:rPr>
            </w:pPr>
            <w:r>
              <w:rPr>
                <w:noProof/>
              </w:rPr>
              <w:t>222</w:t>
            </w:r>
          </w:p>
        </w:tc>
        <w:tc>
          <w:tcPr>
            <w:tcW w:w="1541" w:type="dxa"/>
            <w:tcBorders>
              <w:top w:val="single" w:sz="4" w:space="0" w:color="auto"/>
              <w:left w:val="nil"/>
              <w:bottom w:val="single" w:sz="4" w:space="0" w:color="auto"/>
              <w:right w:val="single" w:sz="4" w:space="0" w:color="auto"/>
            </w:tcBorders>
            <w:shd w:val="clear" w:color="auto" w:fill="C6EFCE"/>
            <w:noWrap/>
          </w:tcPr>
          <w:p w14:paraId="62A6A6E1" w14:textId="77777777" w:rsidR="00CB0FCB" w:rsidRDefault="009D2B11">
            <w:pPr>
              <w:pStyle w:val="P68B1DB1-Normal9"/>
              <w:spacing w:after="0" w:line="240" w:lineRule="auto"/>
              <w:rPr>
                <w:rFonts w:eastAsia="Times New Roman"/>
                <w:noProof/>
                <w:szCs w:val="18"/>
              </w:rPr>
            </w:pPr>
            <w:r>
              <w:rPr>
                <w:noProof/>
              </w:rPr>
              <w:t>14–4.3. Uzlabot tiesu sistēmas efektivitāti — 16292_Jaunas tiesu ēkas</w:t>
            </w:r>
          </w:p>
        </w:tc>
        <w:tc>
          <w:tcPr>
            <w:tcW w:w="1424" w:type="dxa"/>
            <w:tcBorders>
              <w:top w:val="single" w:sz="4" w:space="0" w:color="auto"/>
              <w:left w:val="nil"/>
              <w:bottom w:val="single" w:sz="4" w:space="0" w:color="auto"/>
              <w:right w:val="single" w:sz="4" w:space="0" w:color="auto"/>
            </w:tcBorders>
            <w:shd w:val="clear" w:color="auto" w:fill="C6EFCE"/>
            <w:noWrap/>
          </w:tcPr>
          <w:p w14:paraId="2E5CDEC1"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3BDA63DC" w14:textId="77777777" w:rsidR="00CB0FCB" w:rsidRDefault="009D2B11">
            <w:pPr>
              <w:pStyle w:val="P68B1DB1-Normal9"/>
              <w:spacing w:after="0" w:line="240" w:lineRule="auto"/>
              <w:rPr>
                <w:rFonts w:eastAsia="Times New Roman"/>
                <w:noProof/>
                <w:szCs w:val="18"/>
              </w:rPr>
            </w:pPr>
            <w:r>
              <w:rPr>
                <w:noProof/>
              </w:rPr>
              <w:t>Identifikācija — atbilstīgās ēkas</w:t>
            </w:r>
          </w:p>
        </w:tc>
        <w:tc>
          <w:tcPr>
            <w:tcW w:w="1552" w:type="dxa"/>
            <w:tcBorders>
              <w:top w:val="single" w:sz="4" w:space="0" w:color="auto"/>
              <w:left w:val="nil"/>
              <w:bottom w:val="single" w:sz="4" w:space="0" w:color="auto"/>
              <w:right w:val="single" w:sz="4" w:space="0" w:color="auto"/>
            </w:tcBorders>
            <w:shd w:val="clear" w:color="auto" w:fill="C6EFCE"/>
            <w:noWrap/>
          </w:tcPr>
          <w:p w14:paraId="4435CF48" w14:textId="77777777" w:rsidR="00CB0FCB" w:rsidRDefault="009D2B11">
            <w:pPr>
              <w:pStyle w:val="P68B1DB1-Normal9"/>
              <w:spacing w:after="0" w:line="240" w:lineRule="auto"/>
              <w:rPr>
                <w:rFonts w:eastAsia="Times New Roman"/>
                <w:noProof/>
                <w:szCs w:val="18"/>
              </w:rPr>
            </w:pPr>
            <w:r>
              <w:rPr>
                <w:noProof/>
              </w:rPr>
              <w:t xml:space="preserve">Saraksta aizpildīšana </w:t>
            </w:r>
          </w:p>
        </w:tc>
        <w:tc>
          <w:tcPr>
            <w:tcW w:w="992" w:type="dxa"/>
            <w:tcBorders>
              <w:top w:val="single" w:sz="4" w:space="0" w:color="auto"/>
              <w:left w:val="nil"/>
              <w:bottom w:val="single" w:sz="4" w:space="0" w:color="auto"/>
              <w:right w:val="single" w:sz="4" w:space="0" w:color="auto"/>
            </w:tcBorders>
            <w:shd w:val="clear" w:color="auto" w:fill="C6EFCE"/>
            <w:noWrap/>
          </w:tcPr>
          <w:p w14:paraId="5F5DC742"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BB22178"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6BBAC10C"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68CDBFF" w14:textId="77777777" w:rsidR="00CB0FCB" w:rsidRDefault="009D2B11">
            <w:pPr>
              <w:pStyle w:val="P68B1DB1-Normal9"/>
              <w:spacing w:after="0" w:line="240" w:lineRule="auto"/>
              <w:rPr>
                <w:rFonts w:eastAsia="Times New Roman"/>
                <w:noProof/>
                <w:szCs w:val="18"/>
              </w:rPr>
            </w:pPr>
            <w:r>
              <w:rPr>
                <w:noProof/>
              </w:rPr>
              <w:t>CET.</w:t>
            </w:r>
          </w:p>
        </w:tc>
        <w:tc>
          <w:tcPr>
            <w:tcW w:w="622" w:type="dxa"/>
            <w:tcBorders>
              <w:top w:val="single" w:sz="4" w:space="0" w:color="auto"/>
              <w:left w:val="nil"/>
              <w:bottom w:val="single" w:sz="4" w:space="0" w:color="auto"/>
              <w:right w:val="single" w:sz="4" w:space="0" w:color="auto"/>
            </w:tcBorders>
            <w:shd w:val="clear" w:color="auto" w:fill="C6EFCE"/>
            <w:noWrap/>
          </w:tcPr>
          <w:p w14:paraId="14E0C28C" w14:textId="77777777" w:rsidR="00CB0FCB" w:rsidRDefault="009D2B11">
            <w:pPr>
              <w:pStyle w:val="P68B1DB1-Normal9"/>
              <w:spacing w:after="0" w:line="240" w:lineRule="auto"/>
              <w:rPr>
                <w:rFonts w:eastAsia="Times New Roman"/>
                <w:noProof/>
                <w:szCs w:val="18"/>
              </w:rPr>
            </w:pPr>
            <w:r>
              <w:rPr>
                <w:noProof/>
              </w:rPr>
              <w:t>2021</w:t>
            </w:r>
          </w:p>
        </w:tc>
        <w:tc>
          <w:tcPr>
            <w:tcW w:w="4885" w:type="dxa"/>
            <w:tcBorders>
              <w:top w:val="single" w:sz="4" w:space="0" w:color="auto"/>
              <w:left w:val="nil"/>
              <w:bottom w:val="single" w:sz="4" w:space="0" w:color="auto"/>
              <w:right w:val="single" w:sz="4" w:space="0" w:color="auto"/>
            </w:tcBorders>
            <w:shd w:val="clear" w:color="auto" w:fill="C6EFCE"/>
            <w:noWrap/>
          </w:tcPr>
          <w:p w14:paraId="0D94208C" w14:textId="77777777" w:rsidR="00CB0FCB" w:rsidRDefault="009D2B11">
            <w:pPr>
              <w:pStyle w:val="P68B1DB1-Normal9"/>
              <w:spacing w:after="0" w:line="240" w:lineRule="auto"/>
              <w:rPr>
                <w:rFonts w:eastAsia="Times New Roman" w:cs="Calibri"/>
                <w:noProof/>
                <w:szCs w:val="18"/>
              </w:rPr>
            </w:pPr>
            <w:r>
              <w:rPr>
                <w:noProof/>
              </w:rPr>
              <w:t>To ēku saraksta sagatavošana, uz kurām neattiecas tiesu kartes pārskatīšana.</w:t>
            </w:r>
          </w:p>
        </w:tc>
      </w:tr>
      <w:tr w:rsidR="00CB0FCB" w14:paraId="30E36FA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5A7EB1C4" w14:textId="77777777" w:rsidR="00CB0FCB" w:rsidRDefault="009D2B11">
            <w:pPr>
              <w:pStyle w:val="P68B1DB1-Normal9"/>
              <w:spacing w:after="0" w:line="240" w:lineRule="auto"/>
              <w:rPr>
                <w:rFonts w:eastAsia="Times New Roman" w:cs="Calibri"/>
                <w:noProof/>
                <w:szCs w:val="18"/>
              </w:rPr>
            </w:pPr>
            <w:r>
              <w:rPr>
                <w:noProof/>
              </w:rPr>
              <w:t>223</w:t>
            </w:r>
          </w:p>
        </w:tc>
        <w:tc>
          <w:tcPr>
            <w:tcW w:w="1541" w:type="dxa"/>
            <w:tcBorders>
              <w:top w:val="nil"/>
              <w:left w:val="nil"/>
              <w:bottom w:val="single" w:sz="4" w:space="0" w:color="auto"/>
              <w:right w:val="single" w:sz="4" w:space="0" w:color="auto"/>
            </w:tcBorders>
            <w:shd w:val="clear" w:color="auto" w:fill="C6EFCE"/>
            <w:noWrap/>
          </w:tcPr>
          <w:p w14:paraId="4976A031" w14:textId="77777777" w:rsidR="00CB0FCB" w:rsidRDefault="009D2B11">
            <w:pPr>
              <w:pStyle w:val="P68B1DB1-Normal9"/>
              <w:spacing w:after="0" w:line="240" w:lineRule="auto"/>
              <w:rPr>
                <w:rFonts w:eastAsia="Times New Roman"/>
                <w:noProof/>
                <w:szCs w:val="18"/>
              </w:rPr>
            </w:pPr>
            <w:r>
              <w:rPr>
                <w:noProof/>
              </w:rPr>
              <w:t xml:space="preserve">14–4.3. Uzlabot tiesu sistēmas efektivitāti — </w:t>
            </w:r>
          </w:p>
          <w:p w14:paraId="66EC5888" w14:textId="77777777" w:rsidR="00CB0FCB" w:rsidRDefault="009D2B11">
            <w:pPr>
              <w:pStyle w:val="P68B1DB1-Normal9"/>
              <w:spacing w:after="0" w:line="240" w:lineRule="auto"/>
              <w:rPr>
                <w:rFonts w:eastAsia="Times New Roman"/>
                <w:noProof/>
                <w:szCs w:val="18"/>
              </w:rPr>
            </w:pPr>
            <w:r>
              <w:rPr>
                <w:noProof/>
              </w:rPr>
              <w:t>16575 Tiesvedības paātrināšana</w:t>
            </w:r>
          </w:p>
        </w:tc>
        <w:tc>
          <w:tcPr>
            <w:tcW w:w="1424" w:type="dxa"/>
            <w:tcBorders>
              <w:top w:val="nil"/>
              <w:left w:val="nil"/>
              <w:bottom w:val="single" w:sz="4" w:space="0" w:color="auto"/>
              <w:right w:val="single" w:sz="4" w:space="0" w:color="auto"/>
            </w:tcBorders>
            <w:shd w:val="clear" w:color="auto" w:fill="C6EFCE"/>
            <w:noWrap/>
          </w:tcPr>
          <w:p w14:paraId="140D465B"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nil"/>
              <w:left w:val="nil"/>
              <w:bottom w:val="single" w:sz="4" w:space="0" w:color="auto"/>
              <w:right w:val="single" w:sz="4" w:space="0" w:color="auto"/>
            </w:tcBorders>
            <w:shd w:val="clear" w:color="auto" w:fill="C6EFCE"/>
            <w:noWrap/>
          </w:tcPr>
          <w:p w14:paraId="5C50C894" w14:textId="77777777" w:rsidR="00CB0FCB" w:rsidRDefault="009D2B11">
            <w:pPr>
              <w:pStyle w:val="P68B1DB1-Normal9"/>
              <w:spacing w:after="0" w:line="240" w:lineRule="auto"/>
              <w:rPr>
                <w:rFonts w:eastAsia="Times New Roman"/>
                <w:noProof/>
                <w:szCs w:val="18"/>
              </w:rPr>
            </w:pPr>
            <w:r>
              <w:rPr>
                <w:noProof/>
              </w:rPr>
              <w:t>Tehniskais atbalsts — Tiesu iestāžu darbības instruments</w:t>
            </w:r>
          </w:p>
        </w:tc>
        <w:tc>
          <w:tcPr>
            <w:tcW w:w="1552" w:type="dxa"/>
            <w:tcBorders>
              <w:top w:val="nil"/>
              <w:left w:val="nil"/>
              <w:bottom w:val="single" w:sz="4" w:space="0" w:color="auto"/>
              <w:right w:val="single" w:sz="4" w:space="0" w:color="auto"/>
            </w:tcBorders>
            <w:shd w:val="clear" w:color="auto" w:fill="C6EFCE"/>
            <w:noWrap/>
          </w:tcPr>
          <w:p w14:paraId="222BC676" w14:textId="77777777" w:rsidR="00CB0FCB" w:rsidRDefault="009D2B11">
            <w:pPr>
              <w:pStyle w:val="P68B1DB1-Normal9"/>
              <w:spacing w:after="0" w:line="240" w:lineRule="auto"/>
              <w:rPr>
                <w:rFonts w:eastAsia="Times New Roman"/>
                <w:noProof/>
                <w:szCs w:val="18"/>
              </w:rPr>
            </w:pPr>
            <w:r>
              <w:rPr>
                <w:noProof/>
              </w:rPr>
              <w:t>Publiskā iepirkuma līguma slēgšanas tiesību piešķiršana tehniskajam atbalstam</w:t>
            </w:r>
          </w:p>
        </w:tc>
        <w:tc>
          <w:tcPr>
            <w:tcW w:w="992" w:type="dxa"/>
            <w:tcBorders>
              <w:top w:val="nil"/>
              <w:left w:val="nil"/>
              <w:bottom w:val="single" w:sz="4" w:space="0" w:color="auto"/>
              <w:right w:val="single" w:sz="4" w:space="0" w:color="auto"/>
            </w:tcBorders>
            <w:shd w:val="clear" w:color="auto" w:fill="C6EFCE"/>
            <w:noWrap/>
          </w:tcPr>
          <w:p w14:paraId="0469578A"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8500539"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10E54F79"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826A0C9" w14:textId="77777777" w:rsidR="00CB0FCB" w:rsidRDefault="009D2B11">
            <w:pPr>
              <w:pStyle w:val="P68B1DB1-Normal9"/>
              <w:spacing w:after="0" w:line="240" w:lineRule="auto"/>
              <w:rPr>
                <w:rFonts w:eastAsia="Times New Roman"/>
                <w:noProof/>
                <w:szCs w:val="18"/>
              </w:rPr>
            </w:pPr>
            <w:r>
              <w:rPr>
                <w:noProof/>
              </w:rPr>
              <w:t>CET.</w:t>
            </w:r>
          </w:p>
        </w:tc>
        <w:tc>
          <w:tcPr>
            <w:tcW w:w="622" w:type="dxa"/>
            <w:tcBorders>
              <w:top w:val="nil"/>
              <w:left w:val="nil"/>
              <w:bottom w:val="single" w:sz="4" w:space="0" w:color="auto"/>
              <w:right w:val="single" w:sz="4" w:space="0" w:color="auto"/>
            </w:tcBorders>
            <w:shd w:val="clear" w:color="auto" w:fill="C6EFCE"/>
            <w:noWrap/>
          </w:tcPr>
          <w:p w14:paraId="0CF311F8" w14:textId="77777777" w:rsidR="00CB0FCB" w:rsidRDefault="009D2B11">
            <w:pPr>
              <w:pStyle w:val="P68B1DB1-Normal9"/>
              <w:spacing w:after="0" w:line="240" w:lineRule="auto"/>
              <w:rPr>
                <w:rFonts w:eastAsia="Times New Roman"/>
                <w:noProof/>
                <w:szCs w:val="18"/>
              </w:rPr>
            </w:pPr>
            <w:r>
              <w:rPr>
                <w:noProof/>
              </w:rPr>
              <w:t>2022</w:t>
            </w:r>
          </w:p>
        </w:tc>
        <w:tc>
          <w:tcPr>
            <w:tcW w:w="4885" w:type="dxa"/>
            <w:tcBorders>
              <w:top w:val="nil"/>
              <w:left w:val="nil"/>
              <w:bottom w:val="single" w:sz="4" w:space="0" w:color="auto"/>
              <w:right w:val="single" w:sz="4" w:space="0" w:color="auto"/>
            </w:tcBorders>
            <w:shd w:val="clear" w:color="auto" w:fill="C6EFCE"/>
            <w:noWrap/>
          </w:tcPr>
          <w:p w14:paraId="64050D7D" w14:textId="77777777" w:rsidR="00CB0FCB" w:rsidRDefault="009D2B11">
            <w:pPr>
              <w:pStyle w:val="P68B1DB1-Normal9"/>
              <w:spacing w:after="0" w:line="240" w:lineRule="auto"/>
              <w:rPr>
                <w:rFonts w:eastAsia="Times New Roman" w:cs="Calibri"/>
                <w:noProof/>
                <w:szCs w:val="18"/>
              </w:rPr>
            </w:pPr>
            <w:r>
              <w:rPr>
                <w:noProof/>
              </w:rPr>
              <w:t>Konkursa piešķiršana tehniskajam atbalstam, lai izstrādātu tiesiskās izpildes rīku, pamatojoties uz stratēģiskiem mērķiem, ieviešot objektīvus GDR (pienākuma izpildes laiks, individuālais sniegums laika ziņā, saziņa, motivācija utt.) pa departamentiem un/vai ierēdņu kategorijām un sniedzot precīzus un objektīvus datus par prēmiju piešķiršanu; prēmijas izmaksā pirmajā ceturksnī pēc attiecīgā gada beigām, pamatojoties uz attiecīgā gada rezultātiem. Šim rīkam ir pagaidu raksturs un tas ir pilnīgā saskaņā ar vienoto algu sistēmu (Likums Nr. 4354/2015), neparedzot nekādus izņēmumus attiecībā uz neizskatīto lietu uzkrāšanos.</w:t>
            </w:r>
          </w:p>
        </w:tc>
      </w:tr>
      <w:tr w:rsidR="00CB0FCB" w14:paraId="4633D58F" w14:textId="77777777">
        <w:tblPrEx>
          <w:tblLook w:val="0400" w:firstRow="0" w:lastRow="0" w:firstColumn="0" w:lastColumn="0" w:noHBand="0" w:noVBand="1"/>
        </w:tblPrEx>
        <w:trPr>
          <w:trHeight w:val="309"/>
          <w:jc w:val="center"/>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3FC53F" w14:textId="77777777" w:rsidR="00CB0FCB" w:rsidRDefault="009D2B11">
            <w:pPr>
              <w:pStyle w:val="P68B1DB1-Normal9"/>
              <w:spacing w:after="0" w:line="240" w:lineRule="auto"/>
              <w:rPr>
                <w:rFonts w:cs="Calibri"/>
                <w:noProof/>
                <w:szCs w:val="18"/>
              </w:rPr>
            </w:pPr>
            <w:r>
              <w:rPr>
                <w:noProof/>
              </w:rPr>
              <w:t>224</w:t>
            </w:r>
          </w:p>
        </w:tc>
        <w:tc>
          <w:tcPr>
            <w:tcW w:w="1541"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497EB85C" w14:textId="77777777" w:rsidR="00CB0FCB" w:rsidRDefault="009D2B11">
            <w:pPr>
              <w:pStyle w:val="P68B1DB1-Normal9"/>
              <w:spacing w:after="0" w:line="240" w:lineRule="auto"/>
              <w:rPr>
                <w:rFonts w:cs="Calibri"/>
                <w:noProof/>
                <w:szCs w:val="18"/>
              </w:rPr>
            </w:pPr>
            <w:r>
              <w:rPr>
                <w:noProof/>
              </w:rPr>
              <w:t>14–4.3. Uzlabot tiesu sistēmas efektivitāti — 16733_Prasmes un digitālās prasmes tiesnešiem un tiesu iestāžu darbiniekiem (tiesu iestāžu darbiniekiem)</w:t>
            </w:r>
          </w:p>
        </w:tc>
        <w:tc>
          <w:tcPr>
            <w:tcW w:w="1424"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1D737D49" w14:textId="77777777" w:rsidR="00CB0FCB" w:rsidRDefault="009D2B11">
            <w:pPr>
              <w:pStyle w:val="P68B1DB1-Normal9"/>
              <w:spacing w:after="0" w:line="240" w:lineRule="auto"/>
              <w:rPr>
                <w:rFonts w:cs="Calibri"/>
                <w:noProof/>
                <w:szCs w:val="18"/>
              </w:rPr>
            </w:pPr>
            <w:r>
              <w:rPr>
                <w:noProof/>
              </w:rPr>
              <w:t>Mērķa</w:t>
            </w:r>
          </w:p>
        </w:tc>
        <w:tc>
          <w:tcPr>
            <w:tcW w:w="1397"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729A2784" w14:textId="77777777" w:rsidR="00CB0FCB" w:rsidRDefault="009D2B11">
            <w:pPr>
              <w:pStyle w:val="P68B1DB1-Normal9"/>
              <w:spacing w:after="0" w:line="240" w:lineRule="auto"/>
              <w:rPr>
                <w:rFonts w:cs="Calibri"/>
                <w:noProof/>
                <w:szCs w:val="18"/>
              </w:rPr>
            </w:pPr>
            <w:r>
              <w:rPr>
                <w:noProof/>
              </w:rPr>
              <w:t>Mācības — Tiesneši un ierēdņi</w:t>
            </w:r>
          </w:p>
        </w:tc>
        <w:tc>
          <w:tcPr>
            <w:tcW w:w="1552"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1EEAF688" w14:textId="77777777" w:rsidR="00CB0FCB" w:rsidRDefault="00CB0FCB">
            <w:pPr>
              <w:spacing w:after="0" w:line="240" w:lineRule="auto"/>
              <w:rPr>
                <w:rFonts w:cs="Calibri"/>
                <w:noProof/>
                <w:color w:val="006100"/>
                <w:sz w:val="18"/>
                <w:szCs w:val="18"/>
              </w:rPr>
            </w:pPr>
          </w:p>
          <w:p w14:paraId="37007162" w14:textId="77777777" w:rsidR="00CB0FCB" w:rsidRDefault="00CB0FCB">
            <w:pPr>
              <w:spacing w:after="0" w:line="240" w:lineRule="auto"/>
              <w:rPr>
                <w:rFonts w:cs="Calibri"/>
                <w:noProof/>
                <w:color w:val="006100"/>
                <w:sz w:val="18"/>
                <w:szCs w:val="18"/>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270A9C5D" w14:textId="77777777" w:rsidR="00CB0FCB" w:rsidRDefault="009D2B11">
            <w:pPr>
              <w:pStyle w:val="P68B1DB1-Normal9"/>
              <w:spacing w:after="0" w:line="240" w:lineRule="auto"/>
              <w:rPr>
                <w:rFonts w:cs="Calibri"/>
                <w:noProof/>
                <w:szCs w:val="18"/>
              </w:rPr>
            </w:pPr>
            <w:r>
              <w:rPr>
                <w:noProof/>
              </w:rPr>
              <w:t>Valsts tiesnešu skolā uzņemto tiesnešu skaits</w:t>
            </w:r>
          </w:p>
        </w:tc>
        <w:tc>
          <w:tcPr>
            <w:tcW w:w="857"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5D1D5481" w14:textId="77777777" w:rsidR="00CB0FCB" w:rsidRDefault="009D2B11">
            <w:pPr>
              <w:pStyle w:val="P68B1DB1-Normal9"/>
              <w:spacing w:after="0" w:line="240" w:lineRule="auto"/>
              <w:rPr>
                <w:rFonts w:cs="Calibri"/>
                <w:noProof/>
                <w:szCs w:val="18"/>
              </w:rPr>
            </w:pPr>
            <w:r>
              <w:rPr>
                <w:noProof/>
              </w:rPr>
              <w:t>0</w:t>
            </w:r>
          </w:p>
        </w:tc>
        <w:tc>
          <w:tcPr>
            <w:tcW w:w="587"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493FC5F5" w14:textId="77777777" w:rsidR="00CB0FCB" w:rsidRDefault="009D2B11">
            <w:pPr>
              <w:pStyle w:val="P68B1DB1-Normal9"/>
              <w:spacing w:after="0" w:line="240" w:lineRule="auto"/>
              <w:rPr>
                <w:rFonts w:cs="Calibri"/>
                <w:noProof/>
                <w:szCs w:val="18"/>
              </w:rPr>
            </w:pPr>
            <w:r>
              <w:rPr>
                <w:noProof/>
              </w:rPr>
              <w:t>10</w:t>
            </w:r>
          </w:p>
        </w:tc>
        <w:tc>
          <w:tcPr>
            <w:tcW w:w="846"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2E9A33D4" w14:textId="77777777" w:rsidR="00CB0FCB" w:rsidRDefault="009D2B11">
            <w:pPr>
              <w:pStyle w:val="P68B1DB1-Normal9"/>
              <w:spacing w:after="0" w:line="240" w:lineRule="auto"/>
              <w:rPr>
                <w:rFonts w:cs="Calibri"/>
                <w:noProof/>
                <w:szCs w:val="18"/>
              </w:rPr>
            </w:pPr>
            <w:r>
              <w:rPr>
                <w:noProof/>
              </w:rPr>
              <w:t>Q1</w:t>
            </w:r>
          </w:p>
        </w:tc>
        <w:tc>
          <w:tcPr>
            <w:tcW w:w="622"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6CC30E1A" w14:textId="77777777" w:rsidR="00CB0FCB" w:rsidRDefault="009D2B11">
            <w:pPr>
              <w:pStyle w:val="P68B1DB1-Normal9"/>
              <w:spacing w:after="0" w:line="240" w:lineRule="auto"/>
              <w:rPr>
                <w:rFonts w:cs="Calibri"/>
                <w:noProof/>
                <w:szCs w:val="18"/>
              </w:rPr>
            </w:pPr>
            <w:r>
              <w:rPr>
                <w:noProof/>
              </w:rPr>
              <w:t>2022</w:t>
            </w:r>
          </w:p>
        </w:tc>
        <w:tc>
          <w:tcPr>
            <w:tcW w:w="4885"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1200DD3B" w14:textId="77777777" w:rsidR="00CB0FCB" w:rsidRDefault="009D2B11">
            <w:pPr>
              <w:pStyle w:val="P68B1DB1-Normal9"/>
              <w:spacing w:after="0" w:line="240" w:lineRule="auto"/>
              <w:rPr>
                <w:rFonts w:ascii="Times New Roman" w:hAnsi="Times New Roman" w:cs="Times New Roman"/>
                <w:noProof/>
                <w:sz w:val="24"/>
              </w:rPr>
            </w:pPr>
            <w:r>
              <w:rPr>
                <w:noProof/>
              </w:rPr>
              <w:t xml:space="preserve">10 miertiesnešu tiesneši, kas uzņemti valsts tiesnešu skolā </w:t>
            </w:r>
          </w:p>
        </w:tc>
      </w:tr>
      <w:tr w:rsidR="00CB0FCB" w14:paraId="14985EE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4D94A078" w14:textId="77777777" w:rsidR="00CB0FCB" w:rsidRDefault="009D2B11">
            <w:pPr>
              <w:pStyle w:val="P68B1DB1-Normal9"/>
              <w:spacing w:after="0" w:line="240" w:lineRule="auto"/>
              <w:rPr>
                <w:rFonts w:eastAsia="Times New Roman" w:cs="Calibri"/>
                <w:noProof/>
                <w:szCs w:val="18"/>
              </w:rPr>
            </w:pPr>
            <w:r>
              <w:rPr>
                <w:noProof/>
              </w:rPr>
              <w:t>225</w:t>
            </w:r>
          </w:p>
        </w:tc>
        <w:tc>
          <w:tcPr>
            <w:tcW w:w="1541" w:type="dxa"/>
            <w:tcBorders>
              <w:top w:val="nil"/>
              <w:left w:val="nil"/>
              <w:bottom w:val="single" w:sz="4" w:space="0" w:color="auto"/>
              <w:right w:val="single" w:sz="4" w:space="0" w:color="auto"/>
            </w:tcBorders>
            <w:shd w:val="clear" w:color="auto" w:fill="C6EFCE"/>
            <w:noWrap/>
          </w:tcPr>
          <w:p w14:paraId="59DD0D69" w14:textId="77777777" w:rsidR="00CB0FCB" w:rsidRDefault="009D2B11">
            <w:pPr>
              <w:pStyle w:val="P68B1DB1-Normal9"/>
              <w:spacing w:after="0" w:line="240" w:lineRule="auto"/>
              <w:rPr>
                <w:rFonts w:eastAsia="Times New Roman"/>
                <w:noProof/>
                <w:szCs w:val="18"/>
              </w:rPr>
            </w:pPr>
            <w:r>
              <w:rPr>
                <w:noProof/>
              </w:rPr>
              <w:t>14–4.3. Uzlabot tiesu sistēmas efektivitāti — 16575 tiesvedības paātrināšana</w:t>
            </w:r>
          </w:p>
        </w:tc>
        <w:tc>
          <w:tcPr>
            <w:tcW w:w="1424" w:type="dxa"/>
            <w:tcBorders>
              <w:top w:val="nil"/>
              <w:left w:val="nil"/>
              <w:bottom w:val="single" w:sz="4" w:space="0" w:color="auto"/>
              <w:right w:val="single" w:sz="4" w:space="0" w:color="auto"/>
            </w:tcBorders>
            <w:shd w:val="clear" w:color="auto" w:fill="C6EFCE"/>
            <w:noWrap/>
          </w:tcPr>
          <w:p w14:paraId="10584B9D"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nil"/>
              <w:left w:val="nil"/>
              <w:bottom w:val="single" w:sz="4" w:space="0" w:color="auto"/>
              <w:right w:val="single" w:sz="4" w:space="0" w:color="auto"/>
            </w:tcBorders>
            <w:shd w:val="clear" w:color="auto" w:fill="C6EFCE"/>
            <w:noWrap/>
          </w:tcPr>
          <w:p w14:paraId="2659910A" w14:textId="77777777" w:rsidR="00CB0FCB" w:rsidRDefault="009D2B11">
            <w:pPr>
              <w:pStyle w:val="P68B1DB1-Normal9"/>
              <w:spacing w:after="0" w:line="240" w:lineRule="auto"/>
              <w:rPr>
                <w:rFonts w:eastAsia="Times New Roman"/>
                <w:noProof/>
                <w:szCs w:val="18"/>
              </w:rPr>
            </w:pPr>
            <w:r>
              <w:rPr>
                <w:noProof/>
              </w:rPr>
              <w:t xml:space="preserve">Tiesu policija — sekundārie tiesību akti </w:t>
            </w:r>
          </w:p>
        </w:tc>
        <w:tc>
          <w:tcPr>
            <w:tcW w:w="1552" w:type="dxa"/>
            <w:tcBorders>
              <w:top w:val="nil"/>
              <w:left w:val="nil"/>
              <w:bottom w:val="single" w:sz="4" w:space="0" w:color="auto"/>
              <w:right w:val="single" w:sz="4" w:space="0" w:color="auto"/>
            </w:tcBorders>
            <w:shd w:val="clear" w:color="auto" w:fill="C6EFCE"/>
            <w:noWrap/>
          </w:tcPr>
          <w:p w14:paraId="551DFFA7" w14:textId="77777777" w:rsidR="00CB0FCB" w:rsidRDefault="009D2B11">
            <w:pPr>
              <w:pStyle w:val="P68B1DB1-Normal9"/>
              <w:spacing w:after="0" w:line="240" w:lineRule="auto"/>
              <w:rPr>
                <w:rFonts w:eastAsia="Times New Roman"/>
                <w:noProof/>
                <w:szCs w:val="18"/>
              </w:rPr>
            </w:pPr>
            <w:r>
              <w:rPr>
                <w:noProof/>
              </w:rPr>
              <w:t>Tiesību aktu stāšanās spēkā</w:t>
            </w:r>
          </w:p>
        </w:tc>
        <w:tc>
          <w:tcPr>
            <w:tcW w:w="992" w:type="dxa"/>
            <w:tcBorders>
              <w:top w:val="nil"/>
              <w:left w:val="nil"/>
              <w:bottom w:val="single" w:sz="4" w:space="0" w:color="auto"/>
              <w:right w:val="single" w:sz="4" w:space="0" w:color="auto"/>
            </w:tcBorders>
            <w:shd w:val="clear" w:color="auto" w:fill="C6EFCE"/>
            <w:noWrap/>
          </w:tcPr>
          <w:p w14:paraId="7AE58D65"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36E52D4"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A6C61A9"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3AEB77A5" w14:textId="77777777" w:rsidR="00CB0FCB" w:rsidRDefault="009D2B11">
            <w:pPr>
              <w:pStyle w:val="P68B1DB1-Normal9"/>
              <w:spacing w:after="0" w:line="240" w:lineRule="auto"/>
              <w:rPr>
                <w:rFonts w:eastAsia="Times New Roman"/>
                <w:noProof/>
                <w:szCs w:val="18"/>
              </w:rPr>
            </w:pPr>
            <w:r>
              <w:rPr>
                <w:noProof/>
              </w:rPr>
              <w:t>CET.</w:t>
            </w:r>
          </w:p>
        </w:tc>
        <w:tc>
          <w:tcPr>
            <w:tcW w:w="622" w:type="dxa"/>
            <w:tcBorders>
              <w:top w:val="nil"/>
              <w:left w:val="nil"/>
              <w:bottom w:val="single" w:sz="4" w:space="0" w:color="auto"/>
              <w:right w:val="single" w:sz="4" w:space="0" w:color="auto"/>
            </w:tcBorders>
            <w:shd w:val="clear" w:color="auto" w:fill="C6EFCE"/>
            <w:noWrap/>
          </w:tcPr>
          <w:p w14:paraId="7659DA51" w14:textId="77777777" w:rsidR="00CB0FCB" w:rsidRDefault="009D2B11">
            <w:pPr>
              <w:pStyle w:val="P68B1DB1-Normal9"/>
              <w:spacing w:after="0" w:line="240" w:lineRule="auto"/>
              <w:rPr>
                <w:rFonts w:eastAsia="Times New Roman"/>
                <w:noProof/>
                <w:szCs w:val="18"/>
              </w:rPr>
            </w:pPr>
            <w:r>
              <w:rPr>
                <w:noProof/>
              </w:rPr>
              <w:t>2022</w:t>
            </w:r>
          </w:p>
        </w:tc>
        <w:tc>
          <w:tcPr>
            <w:tcW w:w="4885" w:type="dxa"/>
            <w:tcBorders>
              <w:top w:val="nil"/>
              <w:left w:val="nil"/>
              <w:bottom w:val="single" w:sz="4" w:space="0" w:color="auto"/>
              <w:right w:val="single" w:sz="4" w:space="0" w:color="auto"/>
            </w:tcBorders>
            <w:shd w:val="clear" w:color="auto" w:fill="C6EFCE"/>
            <w:noWrap/>
          </w:tcPr>
          <w:p w14:paraId="70194C69" w14:textId="77777777" w:rsidR="00CB0FCB" w:rsidRDefault="009D2B11">
            <w:pPr>
              <w:pStyle w:val="P68B1DB1-Normal9"/>
              <w:spacing w:before="120" w:after="120" w:line="240" w:lineRule="auto"/>
              <w:jc w:val="both"/>
              <w:rPr>
                <w:noProof/>
                <w:szCs w:val="18"/>
              </w:rPr>
            </w:pPr>
            <w:r>
              <w:rPr>
                <w:noProof/>
              </w:rPr>
              <w:t>Stājas spēkā visi sekundārie tiesību akti (attiecīgi prezidenta dekrētu vai ministru lēmumu veidā), kas vajadzīgi, lai pilnībā īstenotu Likumu par Tiesu policiju nolūkā palīdzēt tiesu un prokuratūras iestāžu darbā:</w:t>
            </w:r>
          </w:p>
          <w:p w14:paraId="15954312" w14:textId="77777777" w:rsidR="00CB0FCB" w:rsidRDefault="009D2B11">
            <w:pPr>
              <w:pStyle w:val="P68B1DB1-Normal9"/>
              <w:numPr>
                <w:ilvl w:val="0"/>
                <w:numId w:val="56"/>
              </w:numPr>
              <w:spacing w:before="120" w:after="0" w:line="240" w:lineRule="auto"/>
              <w:ind w:left="231" w:hanging="219"/>
              <w:jc w:val="both"/>
              <w:rPr>
                <w:noProof/>
                <w:szCs w:val="18"/>
              </w:rPr>
            </w:pPr>
            <w:r>
              <w:rPr>
                <w:noProof/>
              </w:rPr>
              <w:t xml:space="preserve">zinātniskas un tehniskas palīdzības sniegšanu tiesnešiem un prokuroriem jautājumos, kuros nepieciešamas tehniskas vai profesionālas zināšanas; </w:t>
            </w:r>
          </w:p>
          <w:p w14:paraId="1A3AC4CF" w14:textId="77777777" w:rsidR="00CB0FCB" w:rsidRDefault="009D2B11">
            <w:pPr>
              <w:pStyle w:val="P68B1DB1-Normal9"/>
              <w:numPr>
                <w:ilvl w:val="0"/>
                <w:numId w:val="56"/>
              </w:numPr>
              <w:spacing w:before="120" w:after="0" w:line="240" w:lineRule="auto"/>
              <w:ind w:left="231" w:hanging="219"/>
              <w:jc w:val="both"/>
              <w:rPr>
                <w:noProof/>
                <w:szCs w:val="18"/>
              </w:rPr>
            </w:pPr>
            <w:r>
              <w:rPr>
                <w:noProof/>
              </w:rPr>
              <w:t>iepriekšējas izskatīšanas un izmeklēšanas veikšanu;</w:t>
            </w:r>
          </w:p>
          <w:p w14:paraId="5B9D06AC" w14:textId="77777777" w:rsidR="00CB0FCB" w:rsidRDefault="009D2B11">
            <w:pPr>
              <w:pStyle w:val="P68B1DB1-Normal9"/>
              <w:numPr>
                <w:ilvl w:val="0"/>
                <w:numId w:val="56"/>
              </w:numPr>
              <w:spacing w:before="120" w:after="0" w:line="240" w:lineRule="auto"/>
              <w:ind w:left="231" w:hanging="219"/>
              <w:jc w:val="both"/>
              <w:rPr>
                <w:noProof/>
                <w:szCs w:val="18"/>
              </w:rPr>
            </w:pPr>
            <w:r>
              <w:rPr>
                <w:noProof/>
              </w:rPr>
              <w:t>orderu izpildi;</w:t>
            </w:r>
          </w:p>
          <w:p w14:paraId="3215EDA5" w14:textId="77777777" w:rsidR="00CB0FCB" w:rsidRDefault="009D2B11">
            <w:pPr>
              <w:pStyle w:val="P68B1DB1-Normal9"/>
              <w:numPr>
                <w:ilvl w:val="0"/>
                <w:numId w:val="56"/>
              </w:numPr>
              <w:spacing w:before="120" w:after="0" w:line="240" w:lineRule="auto"/>
              <w:ind w:left="231" w:hanging="219"/>
              <w:jc w:val="both"/>
              <w:rPr>
                <w:noProof/>
                <w:szCs w:val="18"/>
              </w:rPr>
            </w:pPr>
            <w:r>
              <w:rPr>
                <w:noProof/>
              </w:rPr>
              <w:t>palīdzības sniegšana tiesiskās palīdzības pieprasījumu iesniegšanā vai atbildēšanā uz tiem;</w:t>
            </w:r>
          </w:p>
          <w:p w14:paraId="0E4AA1C5" w14:textId="77777777" w:rsidR="00CB0FCB" w:rsidRDefault="009D2B11">
            <w:pPr>
              <w:pStyle w:val="P68B1DB1-Normal9"/>
              <w:numPr>
                <w:ilvl w:val="0"/>
                <w:numId w:val="56"/>
              </w:numPr>
              <w:spacing w:before="120" w:after="0" w:line="240" w:lineRule="auto"/>
              <w:ind w:left="231" w:hanging="219"/>
              <w:jc w:val="both"/>
              <w:rPr>
                <w:noProof/>
                <w:szCs w:val="18"/>
              </w:rPr>
            </w:pPr>
            <w:r>
              <w:rPr>
                <w:noProof/>
              </w:rPr>
              <w:t>dokumentu un procesuālo aktu izsniegšana;</w:t>
            </w:r>
          </w:p>
          <w:p w14:paraId="602CB956" w14:textId="77777777" w:rsidR="00CB0FCB" w:rsidRDefault="009D2B11">
            <w:pPr>
              <w:pStyle w:val="P68B1DB1-Normal9"/>
              <w:numPr>
                <w:ilvl w:val="0"/>
                <w:numId w:val="56"/>
              </w:numPr>
              <w:spacing w:before="120" w:after="0" w:line="240" w:lineRule="auto"/>
              <w:ind w:left="231" w:hanging="219"/>
              <w:jc w:val="both"/>
              <w:rPr>
                <w:noProof/>
                <w:szCs w:val="18"/>
              </w:rPr>
            </w:pPr>
            <w:r>
              <w:rPr>
                <w:noProof/>
              </w:rPr>
              <w:t>spriedumu izpilde;</w:t>
            </w:r>
          </w:p>
          <w:p w14:paraId="2ECF0FFB" w14:textId="77777777" w:rsidR="00CB0FCB" w:rsidRDefault="009D2B11">
            <w:pPr>
              <w:pStyle w:val="P68B1DB1-Normal9"/>
              <w:numPr>
                <w:ilvl w:val="0"/>
                <w:numId w:val="56"/>
              </w:numPr>
              <w:spacing w:before="120" w:after="0" w:line="240" w:lineRule="auto"/>
              <w:ind w:left="231" w:hanging="219"/>
              <w:jc w:val="both"/>
              <w:rPr>
                <w:noProof/>
                <w:szCs w:val="18"/>
              </w:rPr>
            </w:pPr>
            <w:r>
              <w:rPr>
                <w:noProof/>
              </w:rPr>
              <w:t>tiesas namu apsardzi un uzturēšanu;</w:t>
            </w:r>
          </w:p>
          <w:p w14:paraId="58A4CDB3" w14:textId="77777777" w:rsidR="00CB0FCB" w:rsidRDefault="009D2B11">
            <w:pPr>
              <w:pStyle w:val="P68B1DB1-Normal9"/>
              <w:numPr>
                <w:ilvl w:val="0"/>
                <w:numId w:val="56"/>
              </w:numPr>
              <w:spacing w:before="120" w:after="0" w:line="240" w:lineRule="auto"/>
              <w:ind w:left="231" w:hanging="219"/>
              <w:jc w:val="both"/>
              <w:rPr>
                <w:noProof/>
                <w:szCs w:val="18"/>
              </w:rPr>
            </w:pPr>
            <w:r>
              <w:rPr>
                <w:noProof/>
              </w:rPr>
              <w:t>citi procesuālie akti, ko tai uzticējušas kompetentās tiesas un prokurori</w:t>
            </w:r>
          </w:p>
          <w:p w14:paraId="45742ABD" w14:textId="77777777" w:rsidR="00CB0FCB" w:rsidRDefault="00CB0FCB">
            <w:pPr>
              <w:spacing w:after="0" w:line="240" w:lineRule="auto"/>
              <w:rPr>
                <w:rFonts w:eastAsia="Times New Roman"/>
                <w:noProof/>
                <w:color w:val="006100"/>
                <w:sz w:val="18"/>
                <w:szCs w:val="18"/>
              </w:rPr>
            </w:pPr>
          </w:p>
        </w:tc>
      </w:tr>
      <w:tr w:rsidR="00CB0FCB" w14:paraId="3358847F"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347E1113" w14:textId="77777777" w:rsidR="00CB0FCB" w:rsidRDefault="009D2B11">
            <w:pPr>
              <w:pStyle w:val="P68B1DB1-Normal9"/>
              <w:spacing w:after="0" w:line="240" w:lineRule="auto"/>
              <w:rPr>
                <w:rFonts w:eastAsia="Times New Roman" w:cs="Calibri"/>
                <w:noProof/>
                <w:szCs w:val="18"/>
              </w:rPr>
            </w:pPr>
            <w:r>
              <w:rPr>
                <w:noProof/>
              </w:rPr>
              <w:t>226</w:t>
            </w:r>
          </w:p>
        </w:tc>
        <w:tc>
          <w:tcPr>
            <w:tcW w:w="1541" w:type="dxa"/>
            <w:tcBorders>
              <w:top w:val="nil"/>
              <w:left w:val="nil"/>
              <w:bottom w:val="single" w:sz="4" w:space="0" w:color="auto"/>
              <w:right w:val="single" w:sz="4" w:space="0" w:color="auto"/>
            </w:tcBorders>
            <w:shd w:val="clear" w:color="auto" w:fill="C6EFCE"/>
            <w:noWrap/>
          </w:tcPr>
          <w:p w14:paraId="6361C61D" w14:textId="77777777" w:rsidR="00CB0FCB" w:rsidRDefault="009D2B11">
            <w:pPr>
              <w:pStyle w:val="P68B1DB1-Normal9"/>
              <w:spacing w:after="0" w:line="240" w:lineRule="auto"/>
              <w:rPr>
                <w:rFonts w:eastAsia="Times New Roman"/>
                <w:noProof/>
                <w:szCs w:val="18"/>
              </w:rPr>
            </w:pPr>
            <w:r>
              <w:rPr>
                <w:noProof/>
              </w:rPr>
              <w:t>14–4.3. Uzlabot tiesu sistēmas efektivitāti — 16575 tiesvedības paātrināšana</w:t>
            </w:r>
          </w:p>
        </w:tc>
        <w:tc>
          <w:tcPr>
            <w:tcW w:w="1424" w:type="dxa"/>
            <w:tcBorders>
              <w:top w:val="nil"/>
              <w:left w:val="nil"/>
              <w:bottom w:val="single" w:sz="4" w:space="0" w:color="auto"/>
              <w:right w:val="single" w:sz="4" w:space="0" w:color="auto"/>
            </w:tcBorders>
            <w:shd w:val="clear" w:color="auto" w:fill="C6EFCE"/>
            <w:noWrap/>
          </w:tcPr>
          <w:p w14:paraId="38FA39ED"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nil"/>
              <w:left w:val="nil"/>
              <w:bottom w:val="single" w:sz="4" w:space="0" w:color="auto"/>
              <w:right w:val="single" w:sz="4" w:space="0" w:color="auto"/>
            </w:tcBorders>
            <w:shd w:val="clear" w:color="auto" w:fill="C6EFCE"/>
            <w:noWrap/>
          </w:tcPr>
          <w:p w14:paraId="728D0872" w14:textId="77777777" w:rsidR="00CB0FCB" w:rsidRDefault="009D2B11">
            <w:pPr>
              <w:pStyle w:val="P68B1DB1-Normal9"/>
              <w:spacing w:after="0" w:line="240" w:lineRule="auto"/>
              <w:rPr>
                <w:rFonts w:eastAsia="Times New Roman"/>
                <w:noProof/>
                <w:szCs w:val="18"/>
              </w:rPr>
            </w:pPr>
            <w:r>
              <w:rPr>
                <w:noProof/>
              </w:rPr>
              <w:t>Tiesu karte — primārie tiesību akti — administratīvie</w:t>
            </w:r>
          </w:p>
        </w:tc>
        <w:tc>
          <w:tcPr>
            <w:tcW w:w="1552" w:type="dxa"/>
            <w:tcBorders>
              <w:top w:val="nil"/>
              <w:left w:val="nil"/>
              <w:bottom w:val="single" w:sz="4" w:space="0" w:color="auto"/>
              <w:right w:val="single" w:sz="4" w:space="0" w:color="auto"/>
            </w:tcBorders>
            <w:shd w:val="clear" w:color="auto" w:fill="C6EFCE"/>
            <w:noWrap/>
          </w:tcPr>
          <w:p w14:paraId="2789E4F7" w14:textId="77777777" w:rsidR="00CB0FCB" w:rsidRDefault="009D2B11">
            <w:pPr>
              <w:pStyle w:val="P68B1DB1-Normal9"/>
              <w:spacing w:after="0" w:line="240" w:lineRule="auto"/>
              <w:rPr>
                <w:rFonts w:eastAsia="Times New Roman"/>
                <w:noProof/>
                <w:szCs w:val="18"/>
              </w:rPr>
            </w:pPr>
            <w:r>
              <w:rPr>
                <w:noProof/>
              </w:rPr>
              <w:t>Tiesību aktu stāšanās spēkā</w:t>
            </w:r>
          </w:p>
        </w:tc>
        <w:tc>
          <w:tcPr>
            <w:tcW w:w="992" w:type="dxa"/>
            <w:tcBorders>
              <w:top w:val="nil"/>
              <w:left w:val="nil"/>
              <w:bottom w:val="single" w:sz="4" w:space="0" w:color="auto"/>
              <w:right w:val="single" w:sz="4" w:space="0" w:color="auto"/>
            </w:tcBorders>
            <w:shd w:val="clear" w:color="auto" w:fill="C6EFCE"/>
            <w:noWrap/>
          </w:tcPr>
          <w:p w14:paraId="7021B2C4"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7D3FDA4"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7AB660E7"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1B08670" w14:textId="77777777" w:rsidR="00CB0FCB" w:rsidRDefault="009D2B11">
            <w:pPr>
              <w:pStyle w:val="P68B1DB1-Normal9"/>
              <w:spacing w:after="0" w:line="240" w:lineRule="auto"/>
              <w:rPr>
                <w:rFonts w:eastAsia="Times New Roman"/>
                <w:noProof/>
                <w:szCs w:val="18"/>
              </w:rPr>
            </w:pPr>
            <w:r>
              <w:rPr>
                <w:noProof/>
              </w:rPr>
              <w:t>4. CET.</w:t>
            </w:r>
          </w:p>
        </w:tc>
        <w:tc>
          <w:tcPr>
            <w:tcW w:w="622" w:type="dxa"/>
            <w:tcBorders>
              <w:top w:val="nil"/>
              <w:left w:val="nil"/>
              <w:bottom w:val="single" w:sz="4" w:space="0" w:color="auto"/>
              <w:right w:val="single" w:sz="4" w:space="0" w:color="auto"/>
            </w:tcBorders>
            <w:shd w:val="clear" w:color="auto" w:fill="C6EFCE"/>
            <w:noWrap/>
          </w:tcPr>
          <w:p w14:paraId="2C224EBB" w14:textId="77777777" w:rsidR="00CB0FCB" w:rsidRDefault="009D2B11">
            <w:pPr>
              <w:pStyle w:val="P68B1DB1-Normal9"/>
              <w:spacing w:after="0" w:line="240" w:lineRule="auto"/>
              <w:rPr>
                <w:rFonts w:eastAsia="Times New Roman"/>
                <w:noProof/>
                <w:szCs w:val="18"/>
              </w:rPr>
            </w:pPr>
            <w:r>
              <w:rPr>
                <w:noProof/>
              </w:rPr>
              <w:t>2022</w:t>
            </w:r>
          </w:p>
        </w:tc>
        <w:tc>
          <w:tcPr>
            <w:tcW w:w="4885" w:type="dxa"/>
            <w:tcBorders>
              <w:top w:val="nil"/>
              <w:left w:val="nil"/>
              <w:bottom w:val="single" w:sz="4" w:space="0" w:color="auto"/>
              <w:right w:val="single" w:sz="4" w:space="0" w:color="auto"/>
            </w:tcBorders>
            <w:shd w:val="clear" w:color="auto" w:fill="C6EFCE"/>
            <w:noWrap/>
          </w:tcPr>
          <w:p w14:paraId="3B331FD2" w14:textId="77777777" w:rsidR="00CB0FCB" w:rsidRDefault="009D2B11">
            <w:pPr>
              <w:pStyle w:val="P68B1DB1-Normal9"/>
              <w:spacing w:after="0" w:line="240" w:lineRule="auto"/>
              <w:rPr>
                <w:noProof/>
                <w:szCs w:val="18"/>
              </w:rPr>
            </w:pPr>
            <w:r>
              <w:rPr>
                <w:noProof/>
              </w:rPr>
              <w:t xml:space="preserve">Stājas spēkā primārie tiesību akti par administratīvo tiesu kartes pārskatīšanu. </w:t>
            </w:r>
          </w:p>
        </w:tc>
      </w:tr>
      <w:tr w:rsidR="00CB0FCB" w14:paraId="5B6E9EB5"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65DFC15E" w14:textId="77777777" w:rsidR="00CB0FCB" w:rsidRDefault="009D2B11">
            <w:pPr>
              <w:pStyle w:val="P68B1DB1-Normal9"/>
              <w:spacing w:after="0" w:line="240" w:lineRule="auto"/>
              <w:rPr>
                <w:rFonts w:eastAsia="Times New Roman"/>
                <w:noProof/>
                <w:szCs w:val="18"/>
              </w:rPr>
            </w:pPr>
            <w:r>
              <w:rPr>
                <w:noProof/>
              </w:rPr>
              <w:t>227</w:t>
            </w:r>
          </w:p>
        </w:tc>
        <w:tc>
          <w:tcPr>
            <w:tcW w:w="1541" w:type="dxa"/>
            <w:tcBorders>
              <w:top w:val="nil"/>
              <w:left w:val="nil"/>
              <w:bottom w:val="single" w:sz="4" w:space="0" w:color="auto"/>
              <w:right w:val="single" w:sz="4" w:space="0" w:color="auto"/>
            </w:tcBorders>
            <w:shd w:val="clear" w:color="auto" w:fill="C6EFCE"/>
            <w:noWrap/>
          </w:tcPr>
          <w:p w14:paraId="540A2D0E" w14:textId="77777777" w:rsidR="00CB0FCB" w:rsidRDefault="009D2B11">
            <w:pPr>
              <w:pStyle w:val="P68B1DB1-Normal9"/>
              <w:spacing w:after="0" w:line="240" w:lineRule="auto"/>
              <w:rPr>
                <w:rFonts w:eastAsia="Times New Roman"/>
                <w:noProof/>
                <w:szCs w:val="18"/>
              </w:rPr>
            </w:pPr>
            <w:r>
              <w:rPr>
                <w:noProof/>
              </w:rPr>
              <w:t>14–4.3. Uzlabot tiesu sistēmas efektivitāti — 16292_Jaunas tiesu ēkas</w:t>
            </w:r>
          </w:p>
        </w:tc>
        <w:tc>
          <w:tcPr>
            <w:tcW w:w="1424" w:type="dxa"/>
            <w:tcBorders>
              <w:top w:val="nil"/>
              <w:left w:val="nil"/>
              <w:bottom w:val="single" w:sz="4" w:space="0" w:color="auto"/>
              <w:right w:val="single" w:sz="4" w:space="0" w:color="auto"/>
            </w:tcBorders>
            <w:shd w:val="clear" w:color="auto" w:fill="C6EFCE"/>
            <w:noWrap/>
          </w:tcPr>
          <w:p w14:paraId="256F603C"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nil"/>
              <w:left w:val="nil"/>
              <w:bottom w:val="single" w:sz="4" w:space="0" w:color="auto"/>
              <w:right w:val="single" w:sz="4" w:space="0" w:color="auto"/>
            </w:tcBorders>
            <w:shd w:val="clear" w:color="auto" w:fill="C6EFCE"/>
            <w:noWrap/>
          </w:tcPr>
          <w:p w14:paraId="3CCB91B9" w14:textId="77777777" w:rsidR="00CB0FCB" w:rsidRDefault="009D2B11">
            <w:pPr>
              <w:pStyle w:val="P68B1DB1-Normal9"/>
              <w:spacing w:after="0" w:line="240" w:lineRule="auto"/>
              <w:rPr>
                <w:rFonts w:eastAsia="Times New Roman"/>
                <w:noProof/>
                <w:szCs w:val="18"/>
              </w:rPr>
            </w:pPr>
            <w:r>
              <w:rPr>
                <w:noProof/>
              </w:rPr>
              <w:t>Tiesu iestāžu ēku būvniecība un renovācija — Pielāgošana sarakstā — iepirkumu izsludināšana</w:t>
            </w:r>
          </w:p>
        </w:tc>
        <w:tc>
          <w:tcPr>
            <w:tcW w:w="1552" w:type="dxa"/>
            <w:tcBorders>
              <w:top w:val="nil"/>
              <w:left w:val="nil"/>
              <w:bottom w:val="single" w:sz="4" w:space="0" w:color="auto"/>
              <w:right w:val="single" w:sz="4" w:space="0" w:color="auto"/>
            </w:tcBorders>
            <w:shd w:val="clear" w:color="auto" w:fill="C6EFCE"/>
            <w:noWrap/>
          </w:tcPr>
          <w:p w14:paraId="68A23B53" w14:textId="77777777" w:rsidR="00CB0FCB" w:rsidRDefault="009D2B11">
            <w:pPr>
              <w:pStyle w:val="P68B1DB1-Normal9"/>
              <w:spacing w:after="0" w:line="240" w:lineRule="auto"/>
              <w:rPr>
                <w:rFonts w:eastAsia="Times New Roman"/>
                <w:noProof/>
                <w:szCs w:val="18"/>
              </w:rPr>
            </w:pPr>
            <w:r>
              <w:rPr>
                <w:noProof/>
              </w:rPr>
              <w:t>Renovācijas projektu saraksts saskaņā ar attiecīgo likumu par tiesu kartes pārskatīšanu saskaņā ar 2022. gada 14. un 3. ceturkšņa atskaites punktu; konkursu izsludināšana</w:t>
            </w:r>
          </w:p>
        </w:tc>
        <w:tc>
          <w:tcPr>
            <w:tcW w:w="992" w:type="dxa"/>
            <w:tcBorders>
              <w:top w:val="nil"/>
              <w:left w:val="nil"/>
              <w:bottom w:val="single" w:sz="4" w:space="0" w:color="auto"/>
              <w:right w:val="single" w:sz="4" w:space="0" w:color="auto"/>
            </w:tcBorders>
            <w:shd w:val="clear" w:color="auto" w:fill="C6EFCE"/>
            <w:noWrap/>
          </w:tcPr>
          <w:p w14:paraId="32CAC62E" w14:textId="77777777" w:rsidR="00CB0FCB" w:rsidRDefault="00CB0FCB">
            <w:pPr>
              <w:spacing w:after="0" w:line="240" w:lineRule="auto"/>
              <w:rPr>
                <w:rFonts w:eastAsia="Times New Roman"/>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821A330" w14:textId="77777777" w:rsidR="00CB0FCB" w:rsidRDefault="00CB0FCB">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2D7E1F10" w14:textId="77777777" w:rsidR="00CB0FCB" w:rsidRDefault="00CB0FCB">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A7A6C3F" w14:textId="77777777" w:rsidR="00CB0FCB" w:rsidRDefault="009D2B11">
            <w:pPr>
              <w:pStyle w:val="P68B1DB1-Normal9"/>
              <w:spacing w:after="0" w:line="240" w:lineRule="auto"/>
              <w:rPr>
                <w:rFonts w:eastAsia="Times New Roman"/>
                <w:noProof/>
                <w:szCs w:val="18"/>
              </w:rPr>
            </w:pPr>
            <w:r>
              <w:rPr>
                <w:noProof/>
              </w:rPr>
              <w:t>4. CET.</w:t>
            </w:r>
          </w:p>
        </w:tc>
        <w:tc>
          <w:tcPr>
            <w:tcW w:w="622" w:type="dxa"/>
            <w:tcBorders>
              <w:top w:val="nil"/>
              <w:left w:val="nil"/>
              <w:bottom w:val="single" w:sz="4" w:space="0" w:color="auto"/>
              <w:right w:val="single" w:sz="4" w:space="0" w:color="auto"/>
            </w:tcBorders>
            <w:shd w:val="clear" w:color="auto" w:fill="C6EFCE"/>
            <w:noWrap/>
          </w:tcPr>
          <w:p w14:paraId="25979903" w14:textId="77777777" w:rsidR="00CB0FCB" w:rsidRDefault="009D2B11">
            <w:pPr>
              <w:pStyle w:val="P68B1DB1-Normal9"/>
              <w:spacing w:after="0" w:line="240" w:lineRule="auto"/>
              <w:rPr>
                <w:rFonts w:eastAsia="Times New Roman"/>
                <w:noProof/>
                <w:szCs w:val="18"/>
              </w:rPr>
            </w:pPr>
            <w:r>
              <w:rPr>
                <w:noProof/>
              </w:rPr>
              <w:t>2022</w:t>
            </w:r>
          </w:p>
        </w:tc>
        <w:tc>
          <w:tcPr>
            <w:tcW w:w="4885" w:type="dxa"/>
            <w:tcBorders>
              <w:top w:val="nil"/>
              <w:left w:val="nil"/>
              <w:bottom w:val="single" w:sz="4" w:space="0" w:color="auto"/>
              <w:right w:val="single" w:sz="4" w:space="0" w:color="auto"/>
            </w:tcBorders>
            <w:shd w:val="clear" w:color="auto" w:fill="C6EFCE"/>
            <w:noWrap/>
          </w:tcPr>
          <w:p w14:paraId="43D5BFB0" w14:textId="77777777" w:rsidR="00CB0FCB" w:rsidRDefault="009D2B11">
            <w:pPr>
              <w:pStyle w:val="P68B1DB1-Normal9"/>
              <w:spacing w:after="0" w:line="240" w:lineRule="auto"/>
              <w:rPr>
                <w:noProof/>
                <w:szCs w:val="18"/>
              </w:rPr>
            </w:pPr>
            <w:r>
              <w:rPr>
                <w:noProof/>
              </w:rPr>
              <w:t>Projektu saraksta pielāgošana saskaņā ar tiesību aktos pieņemtās tiesu kartes pārskatīšanu.</w:t>
            </w:r>
          </w:p>
          <w:p w14:paraId="7A27943B" w14:textId="77777777" w:rsidR="00CB0FCB" w:rsidRDefault="009D2B11">
            <w:pPr>
              <w:pStyle w:val="P68B1DB1-Normal9"/>
              <w:spacing w:after="0" w:line="240" w:lineRule="auto"/>
              <w:rPr>
                <w:rFonts w:eastAsia="Times New Roman"/>
                <w:noProof/>
                <w:szCs w:val="18"/>
              </w:rPr>
            </w:pPr>
            <w:r>
              <w:rPr>
                <w:noProof/>
              </w:rPr>
              <w:t>Izsludināt konkursus par administratīvajām tiesām. Konkursa noteikumos nosaka, ka jaunbūvēm jāsasniedz primārās enerģijas pieprasījums (PED), kas ir vismaz par 20 % zemāks nekā GNEĒ prasība (gandrīz nulles enerģijas ēka, valsts direktīvas).</w:t>
            </w:r>
          </w:p>
        </w:tc>
      </w:tr>
      <w:tr w:rsidR="00CB0FCB" w14:paraId="67F3ECDF"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3DCB6896" w14:textId="77777777" w:rsidR="00CB0FCB" w:rsidRDefault="009D2B11">
            <w:pPr>
              <w:pStyle w:val="P68B1DB1-Normal9"/>
              <w:spacing w:after="0" w:line="240" w:lineRule="auto"/>
              <w:rPr>
                <w:rFonts w:eastAsia="Times New Roman"/>
                <w:noProof/>
                <w:szCs w:val="18"/>
              </w:rPr>
            </w:pPr>
            <w:r>
              <w:rPr>
                <w:noProof/>
              </w:rPr>
              <w:t>228</w:t>
            </w:r>
          </w:p>
        </w:tc>
        <w:tc>
          <w:tcPr>
            <w:tcW w:w="1541" w:type="dxa"/>
            <w:tcBorders>
              <w:top w:val="nil"/>
              <w:left w:val="nil"/>
              <w:bottom w:val="single" w:sz="4" w:space="0" w:color="auto"/>
              <w:right w:val="single" w:sz="4" w:space="0" w:color="auto"/>
            </w:tcBorders>
            <w:shd w:val="clear" w:color="auto" w:fill="C6EFCE"/>
            <w:noWrap/>
          </w:tcPr>
          <w:p w14:paraId="3F780C5F" w14:textId="77777777" w:rsidR="00CB0FCB" w:rsidRDefault="009D2B11">
            <w:pPr>
              <w:pStyle w:val="P68B1DB1-Normal9"/>
              <w:spacing w:after="0" w:line="240" w:lineRule="auto"/>
              <w:rPr>
                <w:rFonts w:eastAsia="Times New Roman"/>
                <w:noProof/>
                <w:szCs w:val="18"/>
              </w:rPr>
            </w:pPr>
            <w:r>
              <w:rPr>
                <w:noProof/>
              </w:rPr>
              <w:t>14–4.3. Uzlabot tiesu sistēmas efektivitāti — 16733_Prasmes un digitālās prasmes tiesnešiem un tiesu iestāžu darbiniekiem (tiesu iestāžu darbiniekiem)</w:t>
            </w:r>
          </w:p>
        </w:tc>
        <w:tc>
          <w:tcPr>
            <w:tcW w:w="1424" w:type="dxa"/>
            <w:tcBorders>
              <w:top w:val="nil"/>
              <w:left w:val="nil"/>
              <w:bottom w:val="single" w:sz="4" w:space="0" w:color="auto"/>
              <w:right w:val="single" w:sz="4" w:space="0" w:color="auto"/>
            </w:tcBorders>
            <w:shd w:val="clear" w:color="auto" w:fill="C6EFCE"/>
            <w:noWrap/>
          </w:tcPr>
          <w:p w14:paraId="7B7F7618" w14:textId="77777777" w:rsidR="00CB0FCB" w:rsidRDefault="009D2B11">
            <w:pPr>
              <w:pStyle w:val="P68B1DB1-Normal9"/>
              <w:spacing w:after="0" w:line="240" w:lineRule="auto"/>
              <w:rPr>
                <w:rFonts w:eastAsia="Times New Roman"/>
                <w:noProof/>
                <w:szCs w:val="18"/>
              </w:rPr>
            </w:pPr>
            <w:r>
              <w:rPr>
                <w:noProof/>
              </w:rPr>
              <w:t>Mērķa</w:t>
            </w:r>
          </w:p>
        </w:tc>
        <w:tc>
          <w:tcPr>
            <w:tcW w:w="1397" w:type="dxa"/>
            <w:tcBorders>
              <w:top w:val="nil"/>
              <w:left w:val="nil"/>
              <w:bottom w:val="single" w:sz="4" w:space="0" w:color="auto"/>
              <w:right w:val="single" w:sz="4" w:space="0" w:color="auto"/>
            </w:tcBorders>
            <w:shd w:val="clear" w:color="auto" w:fill="C6EFCE"/>
            <w:noWrap/>
          </w:tcPr>
          <w:p w14:paraId="63E271E6" w14:textId="77777777" w:rsidR="00CB0FCB" w:rsidRDefault="009D2B11">
            <w:pPr>
              <w:pStyle w:val="P68B1DB1-Normal9"/>
              <w:spacing w:after="0" w:line="240" w:lineRule="auto"/>
              <w:rPr>
                <w:rFonts w:eastAsia="Times New Roman"/>
                <w:noProof/>
                <w:szCs w:val="18"/>
              </w:rPr>
            </w:pPr>
            <w:r>
              <w:rPr>
                <w:noProof/>
              </w:rPr>
              <w:t>Mācības — Tiesneši un ierēdņi</w:t>
            </w:r>
          </w:p>
        </w:tc>
        <w:tc>
          <w:tcPr>
            <w:tcW w:w="1552" w:type="dxa"/>
            <w:tcBorders>
              <w:top w:val="nil"/>
              <w:left w:val="nil"/>
              <w:bottom w:val="single" w:sz="4" w:space="0" w:color="auto"/>
              <w:right w:val="single" w:sz="4" w:space="0" w:color="auto"/>
            </w:tcBorders>
            <w:shd w:val="clear" w:color="auto" w:fill="C6EFCE"/>
            <w:noWrap/>
          </w:tcPr>
          <w:p w14:paraId="01387613" w14:textId="77777777" w:rsidR="00CB0FCB" w:rsidRDefault="00CB0FCB">
            <w:pPr>
              <w:spacing w:after="0" w:line="240" w:lineRule="auto"/>
              <w:rPr>
                <w:rFonts w:eastAsia="Times New Roman"/>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6E16717E" w14:textId="77777777" w:rsidR="00CB0FCB" w:rsidRDefault="009D2B11">
            <w:pPr>
              <w:pStyle w:val="P68B1DB1-Normal9"/>
              <w:spacing w:after="0" w:line="240" w:lineRule="auto"/>
              <w:rPr>
                <w:rFonts w:eastAsia="Times New Roman"/>
                <w:noProof/>
                <w:szCs w:val="18"/>
              </w:rPr>
            </w:pPr>
            <w:r>
              <w:rPr>
                <w:noProof/>
              </w:rPr>
              <w:t>Valsts tiesnešu skolā uzņemto tiesnešu skaits</w:t>
            </w:r>
          </w:p>
        </w:tc>
        <w:tc>
          <w:tcPr>
            <w:tcW w:w="857" w:type="dxa"/>
            <w:tcBorders>
              <w:top w:val="nil"/>
              <w:left w:val="nil"/>
              <w:bottom w:val="single" w:sz="4" w:space="0" w:color="auto"/>
              <w:right w:val="single" w:sz="4" w:space="0" w:color="auto"/>
            </w:tcBorders>
            <w:shd w:val="clear" w:color="auto" w:fill="C6EFCE"/>
            <w:noWrap/>
          </w:tcPr>
          <w:p w14:paraId="6E0CF09F" w14:textId="77777777" w:rsidR="00CB0FCB" w:rsidRDefault="009D2B11">
            <w:pPr>
              <w:pStyle w:val="P68B1DB1-Normal9"/>
              <w:spacing w:after="0" w:line="240" w:lineRule="auto"/>
              <w:rPr>
                <w:rFonts w:eastAsia="Times New Roman"/>
                <w:noProof/>
                <w:szCs w:val="18"/>
              </w:rPr>
            </w:pPr>
            <w:r>
              <w:rPr>
                <w:noProof/>
              </w:rPr>
              <w:t>10</w:t>
            </w:r>
          </w:p>
        </w:tc>
        <w:tc>
          <w:tcPr>
            <w:tcW w:w="587" w:type="dxa"/>
            <w:tcBorders>
              <w:top w:val="nil"/>
              <w:left w:val="nil"/>
              <w:bottom w:val="single" w:sz="4" w:space="0" w:color="auto"/>
              <w:right w:val="single" w:sz="4" w:space="0" w:color="auto"/>
            </w:tcBorders>
            <w:shd w:val="clear" w:color="auto" w:fill="C6EFCE"/>
            <w:noWrap/>
          </w:tcPr>
          <w:p w14:paraId="01780744" w14:textId="77777777" w:rsidR="00CB0FCB" w:rsidRDefault="009D2B11">
            <w:pPr>
              <w:pStyle w:val="P68B1DB1-Normal9"/>
              <w:spacing w:after="0" w:line="240" w:lineRule="auto"/>
              <w:rPr>
                <w:rFonts w:eastAsia="Times New Roman"/>
                <w:noProof/>
                <w:szCs w:val="18"/>
              </w:rPr>
            </w:pPr>
            <w:r>
              <w:rPr>
                <w:noProof/>
              </w:rPr>
              <w:t>25</w:t>
            </w:r>
          </w:p>
        </w:tc>
        <w:tc>
          <w:tcPr>
            <w:tcW w:w="846" w:type="dxa"/>
            <w:tcBorders>
              <w:top w:val="nil"/>
              <w:left w:val="nil"/>
              <w:bottom w:val="single" w:sz="4" w:space="0" w:color="auto"/>
              <w:right w:val="single" w:sz="4" w:space="0" w:color="auto"/>
            </w:tcBorders>
            <w:shd w:val="clear" w:color="auto" w:fill="C6EFCE"/>
            <w:noWrap/>
          </w:tcPr>
          <w:p w14:paraId="74BB66C9" w14:textId="77777777" w:rsidR="00CB0FCB" w:rsidRDefault="009D2B11">
            <w:pPr>
              <w:pStyle w:val="P68B1DB1-Normal9"/>
              <w:spacing w:after="0" w:line="240" w:lineRule="auto"/>
              <w:rPr>
                <w:rFonts w:eastAsia="Times New Roman"/>
                <w:noProof/>
                <w:szCs w:val="18"/>
              </w:rPr>
            </w:pPr>
            <w:r>
              <w:rPr>
                <w:noProof/>
              </w:rPr>
              <w:t>Q1</w:t>
            </w:r>
          </w:p>
        </w:tc>
        <w:tc>
          <w:tcPr>
            <w:tcW w:w="622" w:type="dxa"/>
            <w:tcBorders>
              <w:top w:val="nil"/>
              <w:left w:val="nil"/>
              <w:bottom w:val="single" w:sz="4" w:space="0" w:color="auto"/>
              <w:right w:val="single" w:sz="4" w:space="0" w:color="auto"/>
            </w:tcBorders>
            <w:shd w:val="clear" w:color="auto" w:fill="C6EFCE"/>
            <w:noWrap/>
          </w:tcPr>
          <w:p w14:paraId="546317DE" w14:textId="77777777" w:rsidR="00CB0FCB" w:rsidRDefault="009D2B11">
            <w:pPr>
              <w:pStyle w:val="P68B1DB1-Normal9"/>
              <w:spacing w:after="0" w:line="240" w:lineRule="auto"/>
              <w:rPr>
                <w:rFonts w:eastAsia="Times New Roman"/>
                <w:noProof/>
                <w:szCs w:val="18"/>
              </w:rPr>
            </w:pPr>
            <w:r>
              <w:rPr>
                <w:noProof/>
              </w:rPr>
              <w:t>2023</w:t>
            </w:r>
          </w:p>
        </w:tc>
        <w:tc>
          <w:tcPr>
            <w:tcW w:w="4885" w:type="dxa"/>
            <w:tcBorders>
              <w:top w:val="nil"/>
              <w:left w:val="nil"/>
              <w:bottom w:val="single" w:sz="4" w:space="0" w:color="auto"/>
              <w:right w:val="single" w:sz="4" w:space="0" w:color="auto"/>
            </w:tcBorders>
            <w:shd w:val="clear" w:color="auto" w:fill="C6EFCE"/>
            <w:noWrap/>
          </w:tcPr>
          <w:p w14:paraId="789785C6" w14:textId="77777777" w:rsidR="00CB0FCB" w:rsidRDefault="009D2B11">
            <w:pPr>
              <w:pStyle w:val="P68B1DB1-Normal9"/>
              <w:spacing w:after="0" w:line="240" w:lineRule="auto"/>
              <w:rPr>
                <w:rFonts w:eastAsia="Times New Roman"/>
                <w:noProof/>
                <w:szCs w:val="18"/>
              </w:rPr>
            </w:pPr>
            <w:r>
              <w:rPr>
                <w:noProof/>
              </w:rPr>
              <w:t>14 papildu miertiesneši, kas uzņemti valsts tiesnešu skolā, 1 revīzijas tiesas tiesnesis, kas reģistrēts valsts tiesnešu skolā. Tādējādi kopējais to tiesnešu skaits, kuri piedalās apmācībā, ir 25.</w:t>
            </w:r>
          </w:p>
        </w:tc>
      </w:tr>
      <w:tr w:rsidR="00CB0FCB" w14:paraId="1E9EA164"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13D30F3D" w14:textId="77777777" w:rsidR="00CB0FCB" w:rsidRDefault="009D2B11">
            <w:pPr>
              <w:pStyle w:val="P68B1DB1-Normal9"/>
              <w:spacing w:after="0" w:line="240" w:lineRule="auto"/>
              <w:rPr>
                <w:rFonts w:eastAsia="Times New Roman"/>
                <w:noProof/>
                <w:szCs w:val="18"/>
              </w:rPr>
            </w:pPr>
            <w:r>
              <w:rPr>
                <w:noProof/>
              </w:rPr>
              <w:t>229</w:t>
            </w:r>
          </w:p>
        </w:tc>
        <w:tc>
          <w:tcPr>
            <w:tcW w:w="1541" w:type="dxa"/>
            <w:tcBorders>
              <w:top w:val="nil"/>
              <w:left w:val="nil"/>
              <w:bottom w:val="single" w:sz="4" w:space="0" w:color="auto"/>
              <w:right w:val="single" w:sz="4" w:space="0" w:color="auto"/>
            </w:tcBorders>
            <w:shd w:val="clear" w:color="auto" w:fill="C6EFCE"/>
            <w:noWrap/>
          </w:tcPr>
          <w:p w14:paraId="22FC640A" w14:textId="77777777" w:rsidR="00CB0FCB" w:rsidRDefault="009D2B11">
            <w:pPr>
              <w:pStyle w:val="P68B1DB1-Normal9"/>
              <w:spacing w:after="0" w:line="240" w:lineRule="auto"/>
              <w:rPr>
                <w:rFonts w:eastAsia="Times New Roman"/>
                <w:noProof/>
                <w:szCs w:val="18"/>
              </w:rPr>
            </w:pPr>
            <w:r>
              <w:rPr>
                <w:noProof/>
              </w:rPr>
              <w:t xml:space="preserve"> 14–4.3. Uzlabot tiesu sistēmas efektivitāti — </w:t>
            </w:r>
          </w:p>
          <w:p w14:paraId="4796950C" w14:textId="77777777" w:rsidR="00CB0FCB" w:rsidRDefault="009D2B11">
            <w:pPr>
              <w:pStyle w:val="P68B1DB1-Normal9"/>
              <w:spacing w:after="0" w:line="240" w:lineRule="auto"/>
              <w:rPr>
                <w:rFonts w:eastAsia="Times New Roman"/>
                <w:noProof/>
                <w:szCs w:val="18"/>
              </w:rPr>
            </w:pPr>
            <w:r>
              <w:rPr>
                <w:noProof/>
              </w:rPr>
              <w:t>16727 Tieslietu digitālā pārveide (e-tiesiskums)</w:t>
            </w:r>
          </w:p>
        </w:tc>
        <w:tc>
          <w:tcPr>
            <w:tcW w:w="1424" w:type="dxa"/>
            <w:tcBorders>
              <w:top w:val="nil"/>
              <w:left w:val="nil"/>
              <w:bottom w:val="single" w:sz="4" w:space="0" w:color="auto"/>
              <w:right w:val="single" w:sz="4" w:space="0" w:color="auto"/>
            </w:tcBorders>
            <w:shd w:val="clear" w:color="auto" w:fill="C6EFCE"/>
            <w:noWrap/>
          </w:tcPr>
          <w:p w14:paraId="76E0B6C9"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nil"/>
              <w:left w:val="nil"/>
              <w:bottom w:val="single" w:sz="4" w:space="0" w:color="auto"/>
              <w:right w:val="single" w:sz="4" w:space="0" w:color="auto"/>
            </w:tcBorders>
            <w:shd w:val="clear" w:color="auto" w:fill="C6EFCE"/>
            <w:noWrap/>
          </w:tcPr>
          <w:p w14:paraId="25D13D86" w14:textId="77777777" w:rsidR="00CB0FCB" w:rsidRDefault="009D2B11">
            <w:pPr>
              <w:pStyle w:val="P68B1DB1-Normal9"/>
              <w:spacing w:after="0" w:line="240" w:lineRule="auto"/>
              <w:rPr>
                <w:rFonts w:eastAsia="Times New Roman"/>
                <w:noProof/>
                <w:szCs w:val="18"/>
              </w:rPr>
            </w:pPr>
            <w:r>
              <w:rPr>
                <w:noProof/>
              </w:rPr>
              <w:t>Modernizēt reģistra sistēmas un IT tiesu sistēmas</w:t>
            </w:r>
          </w:p>
        </w:tc>
        <w:tc>
          <w:tcPr>
            <w:tcW w:w="1552" w:type="dxa"/>
            <w:tcBorders>
              <w:top w:val="nil"/>
              <w:left w:val="nil"/>
              <w:bottom w:val="single" w:sz="4" w:space="0" w:color="auto"/>
              <w:right w:val="single" w:sz="4" w:space="0" w:color="auto"/>
            </w:tcBorders>
            <w:shd w:val="clear" w:color="auto" w:fill="C6EFCE"/>
            <w:noWrap/>
          </w:tcPr>
          <w:p w14:paraId="673204EF" w14:textId="77777777" w:rsidR="00CB0FCB" w:rsidRDefault="009D2B11">
            <w:pPr>
              <w:pStyle w:val="P68B1DB1-Normal9"/>
              <w:spacing w:after="0" w:line="240" w:lineRule="auto"/>
              <w:rPr>
                <w:rFonts w:eastAsia="Times New Roman"/>
                <w:noProof/>
                <w:szCs w:val="18"/>
              </w:rPr>
            </w:pPr>
            <w:r>
              <w:rPr>
                <w:noProof/>
              </w:rPr>
              <w:t xml:space="preserve">Projektu revīzijas ziņojumi, lai apstiprinātu līgumsaistību ievērošanu </w:t>
            </w:r>
          </w:p>
        </w:tc>
        <w:tc>
          <w:tcPr>
            <w:tcW w:w="992" w:type="dxa"/>
            <w:tcBorders>
              <w:top w:val="nil"/>
              <w:left w:val="nil"/>
              <w:bottom w:val="single" w:sz="4" w:space="0" w:color="auto"/>
              <w:right w:val="single" w:sz="4" w:space="0" w:color="auto"/>
            </w:tcBorders>
            <w:shd w:val="clear" w:color="auto" w:fill="C6EFCE"/>
            <w:noWrap/>
          </w:tcPr>
          <w:p w14:paraId="04F43B11" w14:textId="77777777" w:rsidR="00CB0FCB" w:rsidRDefault="00CB0FCB">
            <w:pPr>
              <w:spacing w:after="0" w:line="240" w:lineRule="auto"/>
              <w:rPr>
                <w:rFonts w:eastAsia="Times New Roman"/>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88AA06B" w14:textId="77777777" w:rsidR="00CB0FCB" w:rsidRDefault="00CB0FCB">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6938E6E9" w14:textId="77777777" w:rsidR="00CB0FCB" w:rsidRDefault="00CB0FCB">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6FF61C5" w14:textId="77777777" w:rsidR="00CB0FCB" w:rsidRDefault="009D2B11">
            <w:pPr>
              <w:pStyle w:val="P68B1DB1-Normal9"/>
              <w:spacing w:after="0" w:line="240" w:lineRule="auto"/>
              <w:rPr>
                <w:rFonts w:eastAsia="Times New Roman"/>
                <w:noProof/>
                <w:szCs w:val="18"/>
              </w:rPr>
            </w:pPr>
            <w:r>
              <w:rPr>
                <w:noProof/>
              </w:rPr>
              <w:t>2. CET.</w:t>
            </w:r>
          </w:p>
        </w:tc>
        <w:tc>
          <w:tcPr>
            <w:tcW w:w="622" w:type="dxa"/>
            <w:tcBorders>
              <w:top w:val="nil"/>
              <w:left w:val="nil"/>
              <w:bottom w:val="single" w:sz="4" w:space="0" w:color="auto"/>
              <w:right w:val="single" w:sz="4" w:space="0" w:color="auto"/>
            </w:tcBorders>
            <w:shd w:val="clear" w:color="auto" w:fill="C6EFCE"/>
            <w:noWrap/>
          </w:tcPr>
          <w:p w14:paraId="4E569656" w14:textId="77777777" w:rsidR="00CB0FCB" w:rsidRDefault="009D2B11">
            <w:pPr>
              <w:pStyle w:val="P68B1DB1-Normal9"/>
              <w:spacing w:after="0" w:line="240" w:lineRule="auto"/>
              <w:rPr>
                <w:rFonts w:eastAsia="Times New Roman"/>
                <w:noProof/>
                <w:szCs w:val="18"/>
              </w:rPr>
            </w:pPr>
            <w:r>
              <w:rPr>
                <w:noProof/>
              </w:rPr>
              <w:t>2023</w:t>
            </w:r>
          </w:p>
        </w:tc>
        <w:tc>
          <w:tcPr>
            <w:tcW w:w="4885" w:type="dxa"/>
            <w:tcBorders>
              <w:top w:val="nil"/>
              <w:left w:val="nil"/>
              <w:bottom w:val="single" w:sz="4" w:space="0" w:color="auto"/>
              <w:right w:val="single" w:sz="4" w:space="0" w:color="auto"/>
            </w:tcBorders>
            <w:shd w:val="clear" w:color="auto" w:fill="C6EFCE"/>
            <w:noWrap/>
          </w:tcPr>
          <w:p w14:paraId="6AD23DED" w14:textId="77777777" w:rsidR="00CB0FCB" w:rsidRDefault="009D2B11">
            <w:pPr>
              <w:pStyle w:val="P68B1DB1-Normal9"/>
              <w:spacing w:after="0" w:line="240" w:lineRule="auto"/>
              <w:rPr>
                <w:rFonts w:eastAsia="Times New Roman"/>
                <w:noProof/>
                <w:szCs w:val="18"/>
              </w:rPr>
            </w:pPr>
            <w:r>
              <w:rPr>
                <w:noProof/>
              </w:rPr>
              <w:t>Oficiālu pierādījumu saņemšana, izmantojot atbilstošus dokumentus (izpildes apliecinājumus, kvalitatīvas un kvantitatīvas pieņemšanas protokolus un izsniegtus rēķinus) par visu līgumisko saistību pienācīgu un precīzu izpildi līdz dienai, kad tās iesniegtas ārējam revidentam, saskaņā ar projektu kalendāriem, aptverot visus abu apakšprojektu elementus (tiesu reģistru sistēmas un IT tieslietu sistēmu (OSDDY-PP, Revīzijas palātas, Valsts sodāmības reģistrs) atjauninājumus), izmantojot piemērotus līdzekļus (piemēram, projektu revīzijas ziņojumus, kvalitatīvas/kvantitatīvas izpildes apliecinājumus un izmaksas pierādījumus).</w:t>
            </w:r>
          </w:p>
        </w:tc>
      </w:tr>
      <w:tr w:rsidR="00CB0FCB" w14:paraId="5C09B514"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46A22935" w14:textId="77777777" w:rsidR="00CB0FCB" w:rsidRDefault="009D2B11">
            <w:pPr>
              <w:pStyle w:val="P68B1DB1-Normal9"/>
              <w:spacing w:after="0" w:line="240" w:lineRule="auto"/>
              <w:rPr>
                <w:rFonts w:eastAsia="Times New Roman"/>
                <w:noProof/>
                <w:szCs w:val="18"/>
              </w:rPr>
            </w:pPr>
            <w:r>
              <w:rPr>
                <w:noProof/>
              </w:rPr>
              <w:t>230</w:t>
            </w:r>
          </w:p>
        </w:tc>
        <w:tc>
          <w:tcPr>
            <w:tcW w:w="1541" w:type="dxa"/>
            <w:tcBorders>
              <w:top w:val="nil"/>
              <w:left w:val="nil"/>
              <w:bottom w:val="single" w:sz="4" w:space="0" w:color="auto"/>
              <w:right w:val="single" w:sz="4" w:space="0" w:color="auto"/>
            </w:tcBorders>
            <w:shd w:val="clear" w:color="auto" w:fill="C6EFCE"/>
            <w:noWrap/>
            <w:hideMark/>
          </w:tcPr>
          <w:p w14:paraId="5613B2B7" w14:textId="77777777" w:rsidR="00CB0FCB" w:rsidRDefault="009D2B11">
            <w:pPr>
              <w:pStyle w:val="P68B1DB1-Normal9"/>
              <w:spacing w:after="0" w:line="240" w:lineRule="auto"/>
              <w:rPr>
                <w:rFonts w:eastAsia="Times New Roman"/>
                <w:noProof/>
                <w:szCs w:val="18"/>
              </w:rPr>
            </w:pPr>
            <w:r>
              <w:rPr>
                <w:noProof/>
              </w:rPr>
              <w:t xml:space="preserve"> 14–4.3. Uzlabot tiesu sistēmas efektivitāti — </w:t>
            </w:r>
          </w:p>
          <w:p w14:paraId="4CBBF5DD" w14:textId="77777777" w:rsidR="00CB0FCB" w:rsidRDefault="009D2B11">
            <w:pPr>
              <w:pStyle w:val="P68B1DB1-Normal9"/>
              <w:spacing w:after="0" w:line="240" w:lineRule="auto"/>
              <w:rPr>
                <w:rFonts w:eastAsia="Times New Roman"/>
                <w:noProof/>
                <w:szCs w:val="18"/>
              </w:rPr>
            </w:pPr>
            <w:r>
              <w:rPr>
                <w:noProof/>
              </w:rPr>
              <w:t>16575 Tiesvedības paātrināšana</w:t>
            </w:r>
          </w:p>
        </w:tc>
        <w:tc>
          <w:tcPr>
            <w:tcW w:w="1424" w:type="dxa"/>
            <w:tcBorders>
              <w:top w:val="nil"/>
              <w:left w:val="nil"/>
              <w:bottom w:val="single" w:sz="4" w:space="0" w:color="auto"/>
              <w:right w:val="single" w:sz="4" w:space="0" w:color="auto"/>
            </w:tcBorders>
            <w:shd w:val="clear" w:color="auto" w:fill="C6EFCE"/>
            <w:noWrap/>
            <w:hideMark/>
          </w:tcPr>
          <w:p w14:paraId="61D401E4" w14:textId="77777777" w:rsidR="00CB0FCB" w:rsidRDefault="009D2B11">
            <w:pPr>
              <w:pStyle w:val="P68B1DB1-Normal9"/>
              <w:spacing w:after="0" w:line="240" w:lineRule="auto"/>
              <w:rPr>
                <w:rFonts w:eastAsia="Times New Roman"/>
                <w:noProof/>
                <w:szCs w:val="18"/>
              </w:rPr>
            </w:pPr>
            <w:r>
              <w:rPr>
                <w:noProof/>
              </w:rPr>
              <w:t> Atskaites punkts</w:t>
            </w:r>
          </w:p>
        </w:tc>
        <w:tc>
          <w:tcPr>
            <w:tcW w:w="1397" w:type="dxa"/>
            <w:tcBorders>
              <w:top w:val="nil"/>
              <w:left w:val="nil"/>
              <w:bottom w:val="single" w:sz="4" w:space="0" w:color="auto"/>
              <w:right w:val="single" w:sz="4" w:space="0" w:color="auto"/>
            </w:tcBorders>
            <w:shd w:val="clear" w:color="auto" w:fill="C6EFCE"/>
            <w:noWrap/>
            <w:hideMark/>
          </w:tcPr>
          <w:p w14:paraId="1D59632B" w14:textId="77777777" w:rsidR="00CB0FCB" w:rsidRDefault="009D2B11">
            <w:pPr>
              <w:pStyle w:val="P68B1DB1-Normal9"/>
              <w:spacing w:after="0" w:line="240" w:lineRule="auto"/>
              <w:rPr>
                <w:rFonts w:eastAsia="Times New Roman"/>
                <w:noProof/>
                <w:szCs w:val="18"/>
              </w:rPr>
            </w:pPr>
            <w:r>
              <w:rPr>
                <w:noProof/>
              </w:rPr>
              <w:t>Stāšanās spēkā — Tiesu sekretāru snieguma rīks</w:t>
            </w:r>
          </w:p>
        </w:tc>
        <w:tc>
          <w:tcPr>
            <w:tcW w:w="1552" w:type="dxa"/>
            <w:tcBorders>
              <w:top w:val="nil"/>
              <w:left w:val="nil"/>
              <w:bottom w:val="single" w:sz="4" w:space="0" w:color="auto"/>
              <w:right w:val="single" w:sz="4" w:space="0" w:color="auto"/>
            </w:tcBorders>
            <w:shd w:val="clear" w:color="auto" w:fill="C6EFCE"/>
            <w:noWrap/>
            <w:hideMark/>
          </w:tcPr>
          <w:p w14:paraId="093E2C36" w14:textId="77777777" w:rsidR="00CB0FCB" w:rsidRDefault="009D2B11">
            <w:pPr>
              <w:pStyle w:val="P68B1DB1-Normal9"/>
              <w:spacing w:after="0" w:line="240" w:lineRule="auto"/>
              <w:rPr>
                <w:rFonts w:eastAsia="Times New Roman"/>
                <w:noProof/>
                <w:szCs w:val="18"/>
              </w:rPr>
            </w:pPr>
            <w:r>
              <w:rPr>
                <w:noProof/>
              </w:rPr>
              <w:t>Primāro un sekundāro tiesību aktu stāšanās spēkā</w:t>
            </w:r>
          </w:p>
        </w:tc>
        <w:tc>
          <w:tcPr>
            <w:tcW w:w="992" w:type="dxa"/>
            <w:tcBorders>
              <w:top w:val="nil"/>
              <w:left w:val="nil"/>
              <w:bottom w:val="single" w:sz="4" w:space="0" w:color="auto"/>
              <w:right w:val="single" w:sz="4" w:space="0" w:color="auto"/>
            </w:tcBorders>
            <w:shd w:val="clear" w:color="auto" w:fill="C6EFCE"/>
            <w:noWrap/>
            <w:hideMark/>
          </w:tcPr>
          <w:p w14:paraId="3132C0F3" w14:textId="77777777" w:rsidR="00CB0FCB" w:rsidRDefault="009D2B11">
            <w:pPr>
              <w:pStyle w:val="P68B1DB1-Normal9"/>
              <w:spacing w:after="0" w:line="240" w:lineRule="auto"/>
              <w:rPr>
                <w:rFonts w:eastAsia="Times New Roman"/>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03210000" w14:textId="77777777" w:rsidR="00CB0FCB" w:rsidRDefault="009D2B11">
            <w:pPr>
              <w:pStyle w:val="P68B1DB1-Normal9"/>
              <w:spacing w:after="0" w:line="240" w:lineRule="auto"/>
              <w:rPr>
                <w:rFonts w:eastAsia="Times New Roman"/>
                <w:noProof/>
                <w:szCs w:val="18"/>
              </w:rPr>
            </w:pPr>
            <w:r>
              <w:rPr>
                <w:noProof/>
              </w:rPr>
              <w:t xml:space="preserve"> </w:t>
            </w:r>
          </w:p>
        </w:tc>
        <w:tc>
          <w:tcPr>
            <w:tcW w:w="587" w:type="dxa"/>
            <w:tcBorders>
              <w:top w:val="nil"/>
              <w:left w:val="nil"/>
              <w:bottom w:val="single" w:sz="4" w:space="0" w:color="auto"/>
              <w:right w:val="single" w:sz="4" w:space="0" w:color="auto"/>
            </w:tcBorders>
            <w:shd w:val="clear" w:color="auto" w:fill="C6EFCE"/>
            <w:noWrap/>
            <w:hideMark/>
          </w:tcPr>
          <w:p w14:paraId="2409ABAF" w14:textId="77777777" w:rsidR="00CB0FCB" w:rsidRDefault="009D2B11">
            <w:pPr>
              <w:pStyle w:val="P68B1DB1-Normal9"/>
              <w:spacing w:after="0" w:line="240" w:lineRule="auto"/>
              <w:rPr>
                <w:rFonts w:eastAsia="Times New Roman"/>
                <w:noProof/>
                <w:szCs w:val="18"/>
              </w:rPr>
            </w:pPr>
            <w:r>
              <w:rPr>
                <w:noProof/>
              </w:rPr>
              <w:t xml:space="preserve"> </w:t>
            </w:r>
          </w:p>
        </w:tc>
        <w:tc>
          <w:tcPr>
            <w:tcW w:w="846" w:type="dxa"/>
            <w:tcBorders>
              <w:top w:val="nil"/>
              <w:left w:val="nil"/>
              <w:bottom w:val="single" w:sz="4" w:space="0" w:color="auto"/>
              <w:right w:val="single" w:sz="4" w:space="0" w:color="auto"/>
            </w:tcBorders>
            <w:shd w:val="clear" w:color="auto" w:fill="C6EFCE"/>
            <w:noWrap/>
            <w:hideMark/>
          </w:tcPr>
          <w:p w14:paraId="220C2E72" w14:textId="77777777" w:rsidR="00CB0FCB" w:rsidRDefault="009D2B11">
            <w:pPr>
              <w:pStyle w:val="P68B1DB1-Normal9"/>
              <w:spacing w:after="0" w:line="240" w:lineRule="auto"/>
              <w:rPr>
                <w:rFonts w:eastAsia="Times New Roman"/>
                <w:noProof/>
                <w:szCs w:val="18"/>
              </w:rPr>
            </w:pPr>
            <w:r>
              <w:rPr>
                <w:noProof/>
              </w:rPr>
              <w:t>2. CET.</w:t>
            </w:r>
          </w:p>
          <w:p w14:paraId="485E9C09" w14:textId="77777777" w:rsidR="00CB0FCB" w:rsidRDefault="00CB0FCB">
            <w:pPr>
              <w:spacing w:after="0" w:line="240" w:lineRule="auto"/>
              <w:rPr>
                <w:rFonts w:eastAsia="Times New Roman"/>
                <w:noProof/>
                <w:color w:val="006100"/>
                <w:sz w:val="18"/>
                <w:szCs w:val="18"/>
              </w:rPr>
            </w:pPr>
          </w:p>
        </w:tc>
        <w:tc>
          <w:tcPr>
            <w:tcW w:w="622" w:type="dxa"/>
            <w:tcBorders>
              <w:top w:val="nil"/>
              <w:left w:val="nil"/>
              <w:bottom w:val="single" w:sz="4" w:space="0" w:color="auto"/>
              <w:right w:val="single" w:sz="4" w:space="0" w:color="auto"/>
            </w:tcBorders>
            <w:shd w:val="clear" w:color="auto" w:fill="C6EFCE"/>
            <w:noWrap/>
            <w:hideMark/>
          </w:tcPr>
          <w:p w14:paraId="7094F031" w14:textId="77777777" w:rsidR="00CB0FCB" w:rsidRDefault="009D2B11">
            <w:pPr>
              <w:pStyle w:val="P68B1DB1-Normal9"/>
              <w:spacing w:after="0" w:line="240" w:lineRule="auto"/>
              <w:rPr>
                <w:rFonts w:eastAsia="Times New Roman"/>
                <w:noProof/>
                <w:szCs w:val="18"/>
              </w:rPr>
            </w:pPr>
            <w:r>
              <w:rPr>
                <w:noProof/>
              </w:rPr>
              <w:t>2023</w:t>
            </w:r>
          </w:p>
        </w:tc>
        <w:tc>
          <w:tcPr>
            <w:tcW w:w="4885" w:type="dxa"/>
            <w:tcBorders>
              <w:top w:val="nil"/>
              <w:left w:val="nil"/>
              <w:bottom w:val="single" w:sz="4" w:space="0" w:color="auto"/>
              <w:right w:val="single" w:sz="4" w:space="0" w:color="auto"/>
            </w:tcBorders>
            <w:shd w:val="clear" w:color="auto" w:fill="C6EFCE"/>
            <w:noWrap/>
            <w:hideMark/>
          </w:tcPr>
          <w:p w14:paraId="1CCF695C" w14:textId="77777777" w:rsidR="00CB0FCB" w:rsidRDefault="009D2B11">
            <w:pPr>
              <w:pStyle w:val="P68B1DB1-Normal9"/>
              <w:spacing w:after="0" w:line="240" w:lineRule="auto"/>
              <w:rPr>
                <w:rFonts w:eastAsia="Times New Roman" w:cs="Calibri"/>
                <w:noProof/>
                <w:szCs w:val="18"/>
              </w:rPr>
            </w:pPr>
            <w:r>
              <w:rPr>
                <w:noProof/>
              </w:rPr>
              <w:t>Stājas spēkā primārie un sekundārie tiesību akti, lai izveidotu pagaidu prēmiju sistēmu, kuras pamatā būtu tiesu ierēdņu snieguma rīka izstrāde, nosakot stratēģiskus mērķus un ieviešot objektīvus GDR (piemēram, pienākumu izpildes laiks, individuālais sniegums laika ziņā, saziņa un motivācija) pa departamentiem un/vai ierēdņu kategorijām, un sniegtu precīzus un objektīvus datus par prēmiju piešķiršanu; prēmijas, kas maksājamas pirmajā ceturksnī pēc attiecīgā gada beigām, pamatojoties uz attiecīgā gada rezultātiem.</w:t>
            </w:r>
          </w:p>
        </w:tc>
      </w:tr>
      <w:tr w:rsidR="00CB0FCB" w14:paraId="775137E5"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7B74A51E" w14:textId="77777777" w:rsidR="00CB0FCB" w:rsidRDefault="009D2B11">
            <w:pPr>
              <w:pStyle w:val="P68B1DB1-Normal9"/>
              <w:spacing w:after="0" w:line="240" w:lineRule="auto"/>
              <w:rPr>
                <w:rFonts w:eastAsia="Times New Roman"/>
                <w:noProof/>
                <w:szCs w:val="18"/>
              </w:rPr>
            </w:pPr>
            <w:r>
              <w:rPr>
                <w:noProof/>
              </w:rPr>
              <w:t>231</w:t>
            </w:r>
          </w:p>
        </w:tc>
        <w:tc>
          <w:tcPr>
            <w:tcW w:w="1541" w:type="dxa"/>
            <w:tcBorders>
              <w:top w:val="nil"/>
              <w:left w:val="nil"/>
              <w:bottom w:val="single" w:sz="4" w:space="0" w:color="auto"/>
              <w:right w:val="single" w:sz="4" w:space="0" w:color="auto"/>
            </w:tcBorders>
            <w:shd w:val="clear" w:color="auto" w:fill="C6EFCE"/>
            <w:noWrap/>
            <w:hideMark/>
          </w:tcPr>
          <w:p w14:paraId="44EF5C78" w14:textId="77777777" w:rsidR="00CB0FCB" w:rsidRDefault="009D2B11">
            <w:pPr>
              <w:pStyle w:val="P68B1DB1-Normal9"/>
              <w:spacing w:after="0" w:line="240" w:lineRule="auto"/>
              <w:rPr>
                <w:rFonts w:eastAsia="Times New Roman"/>
                <w:noProof/>
                <w:szCs w:val="18"/>
              </w:rPr>
            </w:pPr>
            <w:r>
              <w:rPr>
                <w:noProof/>
              </w:rPr>
              <w:t> 14–4.3. Uzlabot tiesu sistēmas efektivitāti — 16292_Jaunas tiesu ēkas</w:t>
            </w:r>
          </w:p>
        </w:tc>
        <w:tc>
          <w:tcPr>
            <w:tcW w:w="1424" w:type="dxa"/>
            <w:tcBorders>
              <w:top w:val="nil"/>
              <w:left w:val="nil"/>
              <w:bottom w:val="single" w:sz="4" w:space="0" w:color="auto"/>
              <w:right w:val="single" w:sz="4" w:space="0" w:color="auto"/>
            </w:tcBorders>
            <w:shd w:val="clear" w:color="auto" w:fill="C6EFCE"/>
            <w:noWrap/>
            <w:hideMark/>
          </w:tcPr>
          <w:p w14:paraId="2DBB4914" w14:textId="77777777" w:rsidR="00CB0FCB" w:rsidRDefault="009D2B11">
            <w:pPr>
              <w:pStyle w:val="P68B1DB1-Normal9"/>
              <w:spacing w:after="0" w:line="240" w:lineRule="auto"/>
              <w:rPr>
                <w:rFonts w:eastAsia="Times New Roman"/>
                <w:noProof/>
                <w:szCs w:val="18"/>
              </w:rPr>
            </w:pPr>
            <w:r>
              <w:rPr>
                <w:noProof/>
              </w:rPr>
              <w:t> Atskaites punkts</w:t>
            </w:r>
          </w:p>
        </w:tc>
        <w:tc>
          <w:tcPr>
            <w:tcW w:w="1397" w:type="dxa"/>
            <w:tcBorders>
              <w:top w:val="nil"/>
              <w:left w:val="nil"/>
              <w:bottom w:val="single" w:sz="4" w:space="0" w:color="auto"/>
              <w:right w:val="single" w:sz="4" w:space="0" w:color="auto"/>
            </w:tcBorders>
            <w:shd w:val="clear" w:color="auto" w:fill="C6EFCE"/>
            <w:noWrap/>
            <w:hideMark/>
          </w:tcPr>
          <w:p w14:paraId="04EF43CF" w14:textId="77777777" w:rsidR="00CB0FCB" w:rsidRDefault="009D2B11">
            <w:pPr>
              <w:pStyle w:val="P68B1DB1-Normal9"/>
              <w:spacing w:after="0" w:line="240" w:lineRule="auto"/>
              <w:rPr>
                <w:rFonts w:eastAsia="Times New Roman"/>
                <w:noProof/>
                <w:szCs w:val="18"/>
              </w:rPr>
            </w:pPr>
            <w:r>
              <w:rPr>
                <w:noProof/>
              </w:rPr>
              <w:t xml:space="preserve">Līgumi </w:t>
            </w:r>
          </w:p>
        </w:tc>
        <w:tc>
          <w:tcPr>
            <w:tcW w:w="1552" w:type="dxa"/>
            <w:tcBorders>
              <w:top w:val="nil"/>
              <w:left w:val="nil"/>
              <w:bottom w:val="single" w:sz="4" w:space="0" w:color="auto"/>
              <w:right w:val="single" w:sz="4" w:space="0" w:color="auto"/>
            </w:tcBorders>
            <w:shd w:val="clear" w:color="auto" w:fill="C6EFCE"/>
            <w:noWrap/>
            <w:hideMark/>
          </w:tcPr>
          <w:p w14:paraId="6A0910DF" w14:textId="77777777" w:rsidR="00CB0FCB" w:rsidRDefault="009D2B11">
            <w:pPr>
              <w:pStyle w:val="P68B1DB1-Normal9"/>
              <w:spacing w:after="0" w:line="240" w:lineRule="auto"/>
              <w:rPr>
                <w:rFonts w:eastAsia="Times New Roman"/>
                <w:noProof/>
                <w:szCs w:val="18"/>
              </w:rPr>
            </w:pPr>
            <w:r>
              <w:rPr>
                <w:noProof/>
              </w:rPr>
              <w:t>Līgumslēgšanas tiesību piešķiršana</w:t>
            </w:r>
          </w:p>
        </w:tc>
        <w:tc>
          <w:tcPr>
            <w:tcW w:w="992" w:type="dxa"/>
            <w:tcBorders>
              <w:top w:val="nil"/>
              <w:left w:val="nil"/>
              <w:bottom w:val="single" w:sz="4" w:space="0" w:color="auto"/>
              <w:right w:val="single" w:sz="4" w:space="0" w:color="auto"/>
            </w:tcBorders>
            <w:shd w:val="clear" w:color="auto" w:fill="C6EFCE"/>
            <w:noWrap/>
            <w:hideMark/>
          </w:tcPr>
          <w:p w14:paraId="78D92F72" w14:textId="77777777" w:rsidR="00CB0FCB" w:rsidRDefault="009D2B11">
            <w:pPr>
              <w:pStyle w:val="P68B1DB1-Normal9"/>
              <w:spacing w:after="0" w:line="240" w:lineRule="auto"/>
              <w:rPr>
                <w:rFonts w:eastAsia="Times New Roman"/>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3EFE32F5" w14:textId="77777777" w:rsidR="00CB0FCB" w:rsidRDefault="009D2B11">
            <w:pPr>
              <w:pStyle w:val="P68B1DB1-Normal9"/>
              <w:spacing w:after="0" w:line="240" w:lineRule="auto"/>
              <w:rPr>
                <w:rFonts w:eastAsia="Times New Roman"/>
                <w:noProof/>
                <w:szCs w:val="18"/>
              </w:rPr>
            </w:pPr>
            <w:r>
              <w:rPr>
                <w:noProof/>
              </w:rPr>
              <w:t xml:space="preserve"> </w:t>
            </w:r>
          </w:p>
        </w:tc>
        <w:tc>
          <w:tcPr>
            <w:tcW w:w="587" w:type="dxa"/>
            <w:tcBorders>
              <w:top w:val="nil"/>
              <w:left w:val="nil"/>
              <w:bottom w:val="single" w:sz="4" w:space="0" w:color="auto"/>
              <w:right w:val="single" w:sz="4" w:space="0" w:color="auto"/>
            </w:tcBorders>
            <w:shd w:val="clear" w:color="auto" w:fill="C6EFCE"/>
            <w:noWrap/>
            <w:hideMark/>
          </w:tcPr>
          <w:p w14:paraId="38F5B54D" w14:textId="77777777" w:rsidR="00CB0FCB" w:rsidRDefault="009D2B11">
            <w:pPr>
              <w:pStyle w:val="P68B1DB1-Normal9"/>
              <w:spacing w:after="0" w:line="240" w:lineRule="auto"/>
              <w:rPr>
                <w:rFonts w:eastAsia="Times New Roman"/>
                <w:noProof/>
                <w:szCs w:val="18"/>
              </w:rPr>
            </w:pPr>
            <w:r>
              <w:rPr>
                <w:noProof/>
              </w:rPr>
              <w:t xml:space="preserve"> </w:t>
            </w:r>
          </w:p>
        </w:tc>
        <w:tc>
          <w:tcPr>
            <w:tcW w:w="846" w:type="dxa"/>
            <w:tcBorders>
              <w:top w:val="nil"/>
              <w:left w:val="nil"/>
              <w:bottom w:val="single" w:sz="4" w:space="0" w:color="auto"/>
              <w:right w:val="single" w:sz="4" w:space="0" w:color="auto"/>
            </w:tcBorders>
            <w:shd w:val="clear" w:color="auto" w:fill="C6EFCE"/>
            <w:noWrap/>
            <w:hideMark/>
          </w:tcPr>
          <w:p w14:paraId="45390BB6" w14:textId="77777777" w:rsidR="00CB0FCB" w:rsidRDefault="009D2B11">
            <w:pPr>
              <w:pStyle w:val="P68B1DB1-Normal9"/>
              <w:spacing w:after="0" w:line="240" w:lineRule="auto"/>
              <w:rPr>
                <w:rFonts w:eastAsia="Times New Roman"/>
                <w:noProof/>
                <w:szCs w:val="18"/>
              </w:rPr>
            </w:pPr>
            <w:r>
              <w:rPr>
                <w:noProof/>
              </w:rPr>
              <w:t>2. CET.</w:t>
            </w:r>
          </w:p>
        </w:tc>
        <w:tc>
          <w:tcPr>
            <w:tcW w:w="622" w:type="dxa"/>
            <w:tcBorders>
              <w:top w:val="nil"/>
              <w:left w:val="nil"/>
              <w:bottom w:val="single" w:sz="4" w:space="0" w:color="auto"/>
              <w:right w:val="single" w:sz="4" w:space="0" w:color="auto"/>
            </w:tcBorders>
            <w:shd w:val="clear" w:color="auto" w:fill="C6EFCE"/>
            <w:noWrap/>
            <w:hideMark/>
          </w:tcPr>
          <w:p w14:paraId="38831C8F" w14:textId="77777777" w:rsidR="00CB0FCB" w:rsidRDefault="009D2B11">
            <w:pPr>
              <w:pStyle w:val="P68B1DB1-Normal9"/>
              <w:spacing w:after="0" w:line="240" w:lineRule="auto"/>
              <w:rPr>
                <w:rFonts w:eastAsia="Times New Roman"/>
                <w:noProof/>
                <w:szCs w:val="18"/>
              </w:rPr>
            </w:pPr>
            <w:r>
              <w:rPr>
                <w:noProof/>
              </w:rPr>
              <w:t>2023</w:t>
            </w:r>
          </w:p>
        </w:tc>
        <w:tc>
          <w:tcPr>
            <w:tcW w:w="4885" w:type="dxa"/>
            <w:tcBorders>
              <w:top w:val="nil"/>
              <w:left w:val="nil"/>
              <w:bottom w:val="single" w:sz="4" w:space="0" w:color="auto"/>
              <w:right w:val="single" w:sz="4" w:space="0" w:color="auto"/>
            </w:tcBorders>
            <w:shd w:val="clear" w:color="auto" w:fill="C6EFCE"/>
            <w:noWrap/>
            <w:hideMark/>
          </w:tcPr>
          <w:p w14:paraId="18EB72D1" w14:textId="77777777" w:rsidR="00CB0FCB" w:rsidRDefault="009D2B11">
            <w:pPr>
              <w:pStyle w:val="P68B1DB1-Normal9"/>
              <w:spacing w:after="0" w:line="240" w:lineRule="auto"/>
              <w:jc w:val="both"/>
              <w:rPr>
                <w:noProof/>
                <w:szCs w:val="18"/>
              </w:rPr>
            </w:pPr>
            <w:r>
              <w:rPr>
                <w:noProof/>
              </w:rPr>
              <w:t>Līgumu slēgšanas tiesību piešķiršana par būvniecības projektiem, kurus tiesu kartes pārskatīšana neietekmē.</w:t>
            </w:r>
          </w:p>
          <w:p w14:paraId="1BA07FBD" w14:textId="77777777" w:rsidR="00CB0FCB" w:rsidRDefault="009D2B11">
            <w:pPr>
              <w:pStyle w:val="P68B1DB1-Normal9"/>
              <w:spacing w:after="0" w:line="240" w:lineRule="auto"/>
              <w:rPr>
                <w:rFonts w:eastAsia="Times New Roman" w:cs="Calibri"/>
                <w:noProof/>
                <w:szCs w:val="18"/>
              </w:rPr>
            </w:pPr>
            <w:r>
              <w:rPr>
                <w:noProof/>
              </w:rPr>
              <w:t>Piešķiršanas noteikumos paredz, ka jaunās būvējamās ēkas sasniedz primārās enerģijas pieprasījumu (PED), kas ir vismaz par 20 % zemāks nekā GNEĒ prasība (gandrīz nulles enerģijas ēka, valsts direktīvas).</w:t>
            </w:r>
          </w:p>
        </w:tc>
      </w:tr>
      <w:tr w:rsidR="00CB0FCB" w14:paraId="3F591817"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1DA3BEA" w14:textId="77777777" w:rsidR="00CB0FCB" w:rsidRDefault="009D2B11">
            <w:pPr>
              <w:pStyle w:val="P68B1DB1-Normal9"/>
              <w:spacing w:after="0" w:line="240" w:lineRule="auto"/>
              <w:rPr>
                <w:rFonts w:eastAsia="Times New Roman" w:cs="Calibri"/>
                <w:noProof/>
                <w:szCs w:val="18"/>
              </w:rPr>
            </w:pPr>
            <w:r>
              <w:rPr>
                <w:noProof/>
              </w:rPr>
              <w:t>232</w:t>
            </w:r>
          </w:p>
        </w:tc>
        <w:tc>
          <w:tcPr>
            <w:tcW w:w="1541" w:type="dxa"/>
            <w:tcBorders>
              <w:top w:val="single" w:sz="4" w:space="0" w:color="auto"/>
              <w:left w:val="nil"/>
              <w:bottom w:val="single" w:sz="4" w:space="0" w:color="auto"/>
              <w:right w:val="single" w:sz="4" w:space="0" w:color="auto"/>
            </w:tcBorders>
            <w:shd w:val="clear" w:color="auto" w:fill="C6EFCE"/>
            <w:noWrap/>
          </w:tcPr>
          <w:p w14:paraId="2C392CE4" w14:textId="77777777" w:rsidR="00CB0FCB" w:rsidRDefault="009D2B11">
            <w:pPr>
              <w:pStyle w:val="P68B1DB1-Normal9"/>
              <w:spacing w:after="0" w:line="240" w:lineRule="auto"/>
              <w:rPr>
                <w:rFonts w:eastAsia="Times New Roman"/>
                <w:noProof/>
                <w:szCs w:val="18"/>
              </w:rPr>
            </w:pPr>
            <w:r>
              <w:rPr>
                <w:noProof/>
              </w:rPr>
              <w:t>14–4.3. Uzlabot tiesu sistēmas efektivitāti — 16575 tiesvedības paātrināšana</w:t>
            </w:r>
          </w:p>
        </w:tc>
        <w:tc>
          <w:tcPr>
            <w:tcW w:w="1424" w:type="dxa"/>
            <w:tcBorders>
              <w:top w:val="single" w:sz="4" w:space="0" w:color="auto"/>
              <w:left w:val="nil"/>
              <w:bottom w:val="single" w:sz="4" w:space="0" w:color="auto"/>
              <w:right w:val="single" w:sz="4" w:space="0" w:color="auto"/>
            </w:tcBorders>
            <w:shd w:val="clear" w:color="auto" w:fill="C6EFCE"/>
            <w:noWrap/>
          </w:tcPr>
          <w:p w14:paraId="287BF91A"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371035DC" w14:textId="77777777" w:rsidR="00CB0FCB" w:rsidRDefault="009D2B11">
            <w:pPr>
              <w:pStyle w:val="P68B1DB1-Normal9"/>
              <w:spacing w:after="0" w:line="240" w:lineRule="auto"/>
              <w:rPr>
                <w:rFonts w:eastAsia="Times New Roman"/>
                <w:noProof/>
                <w:szCs w:val="18"/>
              </w:rPr>
            </w:pPr>
            <w:r>
              <w:rPr>
                <w:noProof/>
              </w:rPr>
              <w:t>Tiesu kartes pārskatīšana — primārie tiesību akti — Civiltiesības un kriminālsods</w:t>
            </w:r>
          </w:p>
        </w:tc>
        <w:tc>
          <w:tcPr>
            <w:tcW w:w="1552" w:type="dxa"/>
            <w:tcBorders>
              <w:top w:val="single" w:sz="4" w:space="0" w:color="auto"/>
              <w:left w:val="nil"/>
              <w:bottom w:val="single" w:sz="4" w:space="0" w:color="auto"/>
              <w:right w:val="single" w:sz="4" w:space="0" w:color="auto"/>
            </w:tcBorders>
            <w:shd w:val="clear" w:color="auto" w:fill="C6EFCE"/>
            <w:noWrap/>
          </w:tcPr>
          <w:p w14:paraId="03EF037B" w14:textId="77777777" w:rsidR="00CB0FCB" w:rsidRDefault="009D2B11">
            <w:pPr>
              <w:pStyle w:val="P68B1DB1-Normal9"/>
              <w:spacing w:after="0" w:line="240" w:lineRule="auto"/>
              <w:rPr>
                <w:rFonts w:eastAsia="Times New Roman"/>
                <w:noProof/>
                <w:szCs w:val="18"/>
              </w:rPr>
            </w:pPr>
            <w:r>
              <w:rPr>
                <w:noProof/>
              </w:rPr>
              <w:t>Tiesību aktu stāšanās spēkā</w:t>
            </w:r>
          </w:p>
        </w:tc>
        <w:tc>
          <w:tcPr>
            <w:tcW w:w="992" w:type="dxa"/>
            <w:tcBorders>
              <w:top w:val="single" w:sz="4" w:space="0" w:color="auto"/>
              <w:left w:val="nil"/>
              <w:bottom w:val="single" w:sz="4" w:space="0" w:color="auto"/>
              <w:right w:val="single" w:sz="4" w:space="0" w:color="auto"/>
            </w:tcBorders>
            <w:shd w:val="clear" w:color="auto" w:fill="C6EFCE"/>
            <w:noWrap/>
          </w:tcPr>
          <w:p w14:paraId="03652EE6"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BC4DD48"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2A6A080C"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0C3759F" w14:textId="77777777" w:rsidR="00CB0FCB" w:rsidRDefault="009D2B11">
            <w:pPr>
              <w:pStyle w:val="P68B1DB1-Normal9"/>
              <w:spacing w:after="0" w:line="240" w:lineRule="auto"/>
              <w:rPr>
                <w:rFonts w:eastAsia="Times New Roman"/>
                <w:noProof/>
                <w:szCs w:val="18"/>
              </w:rPr>
            </w:pPr>
            <w:r>
              <w:rPr>
                <w:noProof/>
              </w:rPr>
              <w:t>4. CET.</w:t>
            </w:r>
          </w:p>
        </w:tc>
        <w:tc>
          <w:tcPr>
            <w:tcW w:w="622" w:type="dxa"/>
            <w:tcBorders>
              <w:top w:val="single" w:sz="4" w:space="0" w:color="auto"/>
              <w:left w:val="nil"/>
              <w:bottom w:val="single" w:sz="4" w:space="0" w:color="auto"/>
              <w:right w:val="single" w:sz="4" w:space="0" w:color="auto"/>
            </w:tcBorders>
            <w:shd w:val="clear" w:color="auto" w:fill="C6EFCE"/>
            <w:noWrap/>
          </w:tcPr>
          <w:p w14:paraId="2584369F" w14:textId="77777777" w:rsidR="00CB0FCB" w:rsidRDefault="009D2B11">
            <w:pPr>
              <w:pStyle w:val="P68B1DB1-Normal9"/>
              <w:spacing w:after="0" w:line="240" w:lineRule="auto"/>
              <w:rPr>
                <w:rFonts w:eastAsia="Times New Roman"/>
                <w:noProof/>
                <w:szCs w:val="18"/>
              </w:rPr>
            </w:pPr>
            <w:r>
              <w:rPr>
                <w:noProof/>
              </w:rPr>
              <w:t>2023</w:t>
            </w:r>
          </w:p>
        </w:tc>
        <w:tc>
          <w:tcPr>
            <w:tcW w:w="4885" w:type="dxa"/>
            <w:tcBorders>
              <w:top w:val="single" w:sz="4" w:space="0" w:color="auto"/>
              <w:left w:val="nil"/>
              <w:bottom w:val="single" w:sz="4" w:space="0" w:color="auto"/>
              <w:right w:val="single" w:sz="4" w:space="0" w:color="auto"/>
            </w:tcBorders>
            <w:shd w:val="clear" w:color="auto" w:fill="C6EFCE"/>
            <w:noWrap/>
          </w:tcPr>
          <w:p w14:paraId="5C302DC7" w14:textId="77777777" w:rsidR="00CB0FCB" w:rsidRDefault="009D2B11">
            <w:pPr>
              <w:pStyle w:val="P68B1DB1-Normal9"/>
              <w:spacing w:after="0" w:line="240" w:lineRule="auto"/>
              <w:rPr>
                <w:noProof/>
                <w:szCs w:val="18"/>
              </w:rPr>
            </w:pPr>
            <w:r>
              <w:rPr>
                <w:noProof/>
              </w:rPr>
              <w:t>Primāro tiesību aktu stāšanās spēkā, lai pārskatītu tiesu karti civiltiesību un krimināltiesību jomā.</w:t>
            </w:r>
          </w:p>
        </w:tc>
      </w:tr>
      <w:tr w:rsidR="00CB0FCB" w14:paraId="484D7CF3"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7FDFA4E" w14:textId="77777777" w:rsidR="00CB0FCB" w:rsidRDefault="009D2B11">
            <w:pPr>
              <w:pStyle w:val="P68B1DB1-Normal9"/>
              <w:spacing w:after="0" w:line="240" w:lineRule="auto"/>
              <w:rPr>
                <w:rFonts w:eastAsia="Times New Roman" w:cs="Calibri"/>
                <w:noProof/>
                <w:szCs w:val="18"/>
              </w:rPr>
            </w:pPr>
            <w:r>
              <w:rPr>
                <w:noProof/>
              </w:rPr>
              <w:t>233</w:t>
            </w:r>
          </w:p>
        </w:tc>
        <w:tc>
          <w:tcPr>
            <w:tcW w:w="1541" w:type="dxa"/>
            <w:tcBorders>
              <w:top w:val="single" w:sz="4" w:space="0" w:color="auto"/>
              <w:left w:val="nil"/>
              <w:bottom w:val="single" w:sz="4" w:space="0" w:color="auto"/>
              <w:right w:val="single" w:sz="4" w:space="0" w:color="auto"/>
            </w:tcBorders>
            <w:shd w:val="clear" w:color="auto" w:fill="C6EFCE"/>
            <w:noWrap/>
          </w:tcPr>
          <w:p w14:paraId="457854E8" w14:textId="77777777" w:rsidR="00CB0FCB" w:rsidRDefault="009D2B11">
            <w:pPr>
              <w:pStyle w:val="P68B1DB1-Normal9"/>
              <w:spacing w:after="0" w:line="240" w:lineRule="auto"/>
              <w:rPr>
                <w:rFonts w:eastAsia="Times New Roman"/>
                <w:noProof/>
                <w:szCs w:val="18"/>
              </w:rPr>
            </w:pPr>
            <w:r>
              <w:rPr>
                <w:noProof/>
              </w:rPr>
              <w:t>14–4.3. Uzlabot tiesu sistēmas efektivitāti — 16292_Jaunas tiesu ēkas</w:t>
            </w:r>
          </w:p>
        </w:tc>
        <w:tc>
          <w:tcPr>
            <w:tcW w:w="1424" w:type="dxa"/>
            <w:tcBorders>
              <w:top w:val="single" w:sz="4" w:space="0" w:color="auto"/>
              <w:left w:val="nil"/>
              <w:bottom w:val="single" w:sz="4" w:space="0" w:color="auto"/>
              <w:right w:val="single" w:sz="4" w:space="0" w:color="auto"/>
            </w:tcBorders>
            <w:shd w:val="clear" w:color="auto" w:fill="C6EFCE"/>
            <w:noWrap/>
          </w:tcPr>
          <w:p w14:paraId="345E2891"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1B4705D0" w14:textId="77777777" w:rsidR="00CB0FCB" w:rsidRDefault="009D2B11">
            <w:pPr>
              <w:pStyle w:val="P68B1DB1-Normal9"/>
              <w:spacing w:after="0" w:line="240" w:lineRule="auto"/>
              <w:rPr>
                <w:rFonts w:eastAsia="Times New Roman"/>
                <w:noProof/>
                <w:szCs w:val="18"/>
              </w:rPr>
            </w:pPr>
            <w:r>
              <w:rPr>
                <w:noProof/>
              </w:rPr>
              <w:t>Tiesu iestāžu ēku būvniecība un renovācija — iepirkumu izsludināšana</w:t>
            </w:r>
          </w:p>
        </w:tc>
        <w:tc>
          <w:tcPr>
            <w:tcW w:w="1552" w:type="dxa"/>
            <w:tcBorders>
              <w:top w:val="single" w:sz="4" w:space="0" w:color="auto"/>
              <w:left w:val="nil"/>
              <w:bottom w:val="single" w:sz="4" w:space="0" w:color="auto"/>
              <w:right w:val="single" w:sz="4" w:space="0" w:color="auto"/>
            </w:tcBorders>
            <w:shd w:val="clear" w:color="auto" w:fill="C6EFCE"/>
            <w:noWrap/>
          </w:tcPr>
          <w:p w14:paraId="0EB6CCD0" w14:textId="77777777" w:rsidR="00CB0FCB" w:rsidRDefault="009D2B11">
            <w:pPr>
              <w:pStyle w:val="P68B1DB1-Normal9"/>
              <w:spacing w:after="0" w:line="240" w:lineRule="auto"/>
              <w:rPr>
                <w:rFonts w:eastAsia="Times New Roman"/>
                <w:noProof/>
                <w:szCs w:val="18"/>
              </w:rPr>
            </w:pPr>
            <w:r>
              <w:rPr>
                <w:noProof/>
              </w:rPr>
              <w:t>Konkursu izsludināšana</w:t>
            </w:r>
          </w:p>
        </w:tc>
        <w:tc>
          <w:tcPr>
            <w:tcW w:w="992" w:type="dxa"/>
            <w:tcBorders>
              <w:top w:val="single" w:sz="4" w:space="0" w:color="auto"/>
              <w:left w:val="nil"/>
              <w:bottom w:val="single" w:sz="4" w:space="0" w:color="auto"/>
              <w:right w:val="single" w:sz="4" w:space="0" w:color="auto"/>
            </w:tcBorders>
            <w:shd w:val="clear" w:color="auto" w:fill="C6EFCE"/>
            <w:noWrap/>
          </w:tcPr>
          <w:p w14:paraId="15DC0FA5"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650FCBE"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BFCC9A8"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BD11A8F" w14:textId="77777777" w:rsidR="00CB0FCB" w:rsidRDefault="009D2B11">
            <w:pPr>
              <w:pStyle w:val="P68B1DB1-Normal9"/>
              <w:spacing w:after="0" w:line="240" w:lineRule="auto"/>
              <w:rPr>
                <w:rFonts w:eastAsia="Times New Roman"/>
                <w:noProof/>
                <w:szCs w:val="18"/>
              </w:rPr>
            </w:pPr>
            <w:r>
              <w:rPr>
                <w:noProof/>
              </w:rPr>
              <w:t>4. CET.</w:t>
            </w:r>
          </w:p>
        </w:tc>
        <w:tc>
          <w:tcPr>
            <w:tcW w:w="622" w:type="dxa"/>
            <w:tcBorders>
              <w:top w:val="single" w:sz="4" w:space="0" w:color="auto"/>
              <w:left w:val="nil"/>
              <w:bottom w:val="single" w:sz="4" w:space="0" w:color="auto"/>
              <w:right w:val="single" w:sz="4" w:space="0" w:color="auto"/>
            </w:tcBorders>
            <w:shd w:val="clear" w:color="auto" w:fill="C6EFCE"/>
            <w:noWrap/>
          </w:tcPr>
          <w:p w14:paraId="6FF4A255" w14:textId="77777777" w:rsidR="00CB0FCB" w:rsidRDefault="009D2B11">
            <w:pPr>
              <w:pStyle w:val="P68B1DB1-Normal9"/>
              <w:spacing w:after="0" w:line="240" w:lineRule="auto"/>
              <w:rPr>
                <w:rFonts w:eastAsia="Times New Roman"/>
                <w:noProof/>
                <w:szCs w:val="18"/>
              </w:rPr>
            </w:pPr>
            <w:r>
              <w:rPr>
                <w:noProof/>
              </w:rPr>
              <w:t>2023</w:t>
            </w:r>
          </w:p>
        </w:tc>
        <w:tc>
          <w:tcPr>
            <w:tcW w:w="4885" w:type="dxa"/>
            <w:tcBorders>
              <w:top w:val="single" w:sz="4" w:space="0" w:color="auto"/>
              <w:left w:val="nil"/>
              <w:bottom w:val="single" w:sz="4" w:space="0" w:color="auto"/>
              <w:right w:val="single" w:sz="4" w:space="0" w:color="auto"/>
            </w:tcBorders>
            <w:shd w:val="clear" w:color="auto" w:fill="C6EFCE"/>
            <w:noWrap/>
          </w:tcPr>
          <w:p w14:paraId="17049489" w14:textId="77777777" w:rsidR="00CB0FCB" w:rsidRDefault="009D2B11">
            <w:pPr>
              <w:pStyle w:val="P68B1DB1-Normal9"/>
              <w:spacing w:after="0" w:line="240" w:lineRule="auto"/>
              <w:rPr>
                <w:noProof/>
                <w:szCs w:val="18"/>
              </w:rPr>
            </w:pPr>
            <w:r>
              <w:rPr>
                <w:noProof/>
              </w:rPr>
              <w:t>Projektu saraksta pielāgošana saskaņā ar likumu par tiesu kartes pārskatīšanu.</w:t>
            </w:r>
          </w:p>
          <w:p w14:paraId="25C316C6" w14:textId="77777777" w:rsidR="00CB0FCB" w:rsidRDefault="009D2B11">
            <w:pPr>
              <w:pStyle w:val="P68B1DB1-Normal9"/>
              <w:spacing w:after="0" w:line="240" w:lineRule="auto"/>
              <w:rPr>
                <w:noProof/>
                <w:szCs w:val="18"/>
              </w:rPr>
            </w:pPr>
            <w:r>
              <w:rPr>
                <w:noProof/>
              </w:rPr>
              <w:t>Konkursa izsludināšana par projektiem, kas saistīti ar civillietu un krimināllietu tiesu namiem, kuri iekļauti pārskatītajā renovācijas sarakstā. Konkursa noteikumos paredz, ka jaunās būvējamās ēkas sasniedz primārās enerģijas pieprasījumu (PED), kas ir vismaz par 20 % zemāks nekā GNEĒ prasība (gandrīz nulles enerģijas ēka, valsts direktīvas).</w:t>
            </w:r>
          </w:p>
        </w:tc>
      </w:tr>
      <w:tr w:rsidR="00CB0FCB" w14:paraId="1F2CAF9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FBF5A01" w14:textId="77777777" w:rsidR="00CB0FCB" w:rsidRDefault="009D2B11">
            <w:pPr>
              <w:pStyle w:val="P68B1DB1-Normal9"/>
              <w:spacing w:after="0" w:line="240" w:lineRule="auto"/>
              <w:rPr>
                <w:rFonts w:eastAsia="Times New Roman" w:cs="Calibri"/>
                <w:noProof/>
                <w:szCs w:val="18"/>
              </w:rPr>
            </w:pPr>
            <w:r>
              <w:rPr>
                <w:noProof/>
              </w:rPr>
              <w:t>234</w:t>
            </w:r>
          </w:p>
        </w:tc>
        <w:tc>
          <w:tcPr>
            <w:tcW w:w="1541" w:type="dxa"/>
            <w:tcBorders>
              <w:top w:val="single" w:sz="4" w:space="0" w:color="auto"/>
              <w:left w:val="nil"/>
              <w:bottom w:val="single" w:sz="4" w:space="0" w:color="auto"/>
              <w:right w:val="single" w:sz="4" w:space="0" w:color="auto"/>
            </w:tcBorders>
            <w:shd w:val="clear" w:color="auto" w:fill="C6EFCE"/>
            <w:noWrap/>
          </w:tcPr>
          <w:p w14:paraId="4AECCF80" w14:textId="77777777" w:rsidR="00CB0FCB" w:rsidRDefault="009D2B11">
            <w:pPr>
              <w:pStyle w:val="P68B1DB1-Normal9"/>
              <w:spacing w:after="0" w:line="240" w:lineRule="auto"/>
              <w:rPr>
                <w:rFonts w:eastAsia="Times New Roman"/>
                <w:noProof/>
                <w:szCs w:val="18"/>
              </w:rPr>
            </w:pPr>
            <w:r>
              <w:rPr>
                <w:noProof/>
              </w:rPr>
              <w:t>14–4.3. Uzlabot tiesu sistēmas efektivitāti — 16575 tiesvedības paātrināšana</w:t>
            </w:r>
          </w:p>
        </w:tc>
        <w:tc>
          <w:tcPr>
            <w:tcW w:w="1424" w:type="dxa"/>
            <w:tcBorders>
              <w:top w:val="single" w:sz="4" w:space="0" w:color="auto"/>
              <w:left w:val="nil"/>
              <w:bottom w:val="single" w:sz="4" w:space="0" w:color="auto"/>
              <w:right w:val="single" w:sz="4" w:space="0" w:color="auto"/>
            </w:tcBorders>
            <w:shd w:val="clear" w:color="auto" w:fill="C6EFCE"/>
            <w:noWrap/>
          </w:tcPr>
          <w:p w14:paraId="79E133FE"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4F9496F3" w14:textId="77777777" w:rsidR="00CB0FCB" w:rsidRDefault="009D2B11">
            <w:pPr>
              <w:pStyle w:val="P68B1DB1-Normal9"/>
              <w:spacing w:after="0" w:line="240" w:lineRule="auto"/>
              <w:rPr>
                <w:rFonts w:eastAsia="Times New Roman"/>
                <w:noProof/>
                <w:szCs w:val="18"/>
              </w:rPr>
            </w:pPr>
            <w:r>
              <w:rPr>
                <w:noProof/>
              </w:rPr>
              <w:t>Tieslietu policijas darbība</w:t>
            </w:r>
          </w:p>
        </w:tc>
        <w:tc>
          <w:tcPr>
            <w:tcW w:w="1552" w:type="dxa"/>
            <w:tcBorders>
              <w:top w:val="single" w:sz="4" w:space="0" w:color="auto"/>
              <w:left w:val="nil"/>
              <w:bottom w:val="single" w:sz="4" w:space="0" w:color="auto"/>
              <w:right w:val="single" w:sz="4" w:space="0" w:color="auto"/>
            </w:tcBorders>
            <w:shd w:val="clear" w:color="auto" w:fill="C6EFCE"/>
            <w:noWrap/>
          </w:tcPr>
          <w:p w14:paraId="126FD5E7" w14:textId="77777777" w:rsidR="00CB0FCB" w:rsidRDefault="009D2B11">
            <w:pPr>
              <w:pStyle w:val="P68B1DB1-Normal9"/>
              <w:spacing w:after="0" w:line="240" w:lineRule="auto"/>
              <w:rPr>
                <w:rFonts w:eastAsia="Times New Roman"/>
                <w:noProof/>
                <w:szCs w:val="18"/>
              </w:rPr>
            </w:pPr>
            <w:r>
              <w:rPr>
                <w:noProof/>
              </w:rPr>
              <w:t>Tiesu policija pilnībā darbojas un darbojas gan centrālā, gan reģionālā līmenī</w:t>
            </w:r>
          </w:p>
        </w:tc>
        <w:tc>
          <w:tcPr>
            <w:tcW w:w="992" w:type="dxa"/>
            <w:tcBorders>
              <w:top w:val="single" w:sz="4" w:space="0" w:color="auto"/>
              <w:left w:val="nil"/>
              <w:bottom w:val="single" w:sz="4" w:space="0" w:color="auto"/>
              <w:right w:val="single" w:sz="4" w:space="0" w:color="auto"/>
            </w:tcBorders>
            <w:shd w:val="clear" w:color="auto" w:fill="C6EFCE"/>
            <w:noWrap/>
          </w:tcPr>
          <w:p w14:paraId="676DA86D"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74E34F90"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4F702BB7"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D49F49B" w14:textId="77777777" w:rsidR="00CB0FCB" w:rsidRDefault="009D2B11">
            <w:pPr>
              <w:pStyle w:val="P68B1DB1-Normal9"/>
              <w:spacing w:after="0" w:line="240" w:lineRule="auto"/>
              <w:rPr>
                <w:rFonts w:eastAsia="Times New Roman"/>
                <w:noProof/>
                <w:szCs w:val="18"/>
              </w:rPr>
            </w:pPr>
            <w:r>
              <w:rPr>
                <w:noProof/>
              </w:rPr>
              <w:t>2. CET.</w:t>
            </w:r>
          </w:p>
        </w:tc>
        <w:tc>
          <w:tcPr>
            <w:tcW w:w="622" w:type="dxa"/>
            <w:tcBorders>
              <w:top w:val="single" w:sz="4" w:space="0" w:color="auto"/>
              <w:left w:val="nil"/>
              <w:bottom w:val="single" w:sz="4" w:space="0" w:color="auto"/>
              <w:right w:val="single" w:sz="4" w:space="0" w:color="auto"/>
            </w:tcBorders>
            <w:shd w:val="clear" w:color="auto" w:fill="C6EFCE"/>
            <w:noWrap/>
          </w:tcPr>
          <w:p w14:paraId="3939B214" w14:textId="77777777" w:rsidR="00CB0FCB" w:rsidRDefault="009D2B11">
            <w:pPr>
              <w:pStyle w:val="P68B1DB1-Normal9"/>
              <w:spacing w:after="0" w:line="240" w:lineRule="auto"/>
              <w:rPr>
                <w:rFonts w:eastAsia="Times New Roman"/>
                <w:noProof/>
                <w:szCs w:val="18"/>
              </w:rPr>
            </w:pPr>
            <w:r>
              <w:rPr>
                <w:noProof/>
              </w:rPr>
              <w:t>2024</w:t>
            </w:r>
          </w:p>
        </w:tc>
        <w:tc>
          <w:tcPr>
            <w:tcW w:w="4885" w:type="dxa"/>
            <w:tcBorders>
              <w:top w:val="single" w:sz="4" w:space="0" w:color="auto"/>
              <w:left w:val="nil"/>
              <w:bottom w:val="single" w:sz="4" w:space="0" w:color="auto"/>
              <w:right w:val="single" w:sz="4" w:space="0" w:color="auto"/>
            </w:tcBorders>
            <w:shd w:val="clear" w:color="auto" w:fill="C6EFCE"/>
            <w:noWrap/>
          </w:tcPr>
          <w:p w14:paraId="757185F3" w14:textId="77777777" w:rsidR="00CB0FCB" w:rsidRDefault="009D2B11">
            <w:pPr>
              <w:pStyle w:val="P68B1DB1-Normal9"/>
              <w:spacing w:before="120" w:after="0" w:line="240" w:lineRule="auto"/>
              <w:jc w:val="both"/>
              <w:rPr>
                <w:rFonts w:eastAsia="Times New Roman"/>
                <w:noProof/>
                <w:szCs w:val="18"/>
              </w:rPr>
            </w:pPr>
            <w:r>
              <w:rPr>
                <w:noProof/>
              </w:rPr>
              <w:t>Tiesu policijas darbības uzsākšana visās tās kompetences jomās gan centrālās administrācijas līmenī, gan reģionālā līmenī tiesās</w:t>
            </w:r>
          </w:p>
        </w:tc>
      </w:tr>
      <w:tr w:rsidR="00CB0FCB" w14:paraId="39184696"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05823EC" w14:textId="77777777" w:rsidR="00CB0FCB" w:rsidRDefault="009D2B11">
            <w:pPr>
              <w:pStyle w:val="P68B1DB1-Normal9"/>
              <w:spacing w:after="0" w:line="240" w:lineRule="auto"/>
              <w:rPr>
                <w:rFonts w:eastAsia="Times New Roman" w:cs="Calibri"/>
                <w:noProof/>
                <w:szCs w:val="18"/>
              </w:rPr>
            </w:pPr>
            <w:r>
              <w:rPr>
                <w:noProof/>
              </w:rPr>
              <w:t>235</w:t>
            </w:r>
          </w:p>
        </w:tc>
        <w:tc>
          <w:tcPr>
            <w:tcW w:w="1541" w:type="dxa"/>
            <w:tcBorders>
              <w:top w:val="single" w:sz="4" w:space="0" w:color="auto"/>
              <w:left w:val="nil"/>
              <w:bottom w:val="single" w:sz="4" w:space="0" w:color="auto"/>
              <w:right w:val="single" w:sz="4" w:space="0" w:color="auto"/>
            </w:tcBorders>
            <w:shd w:val="clear" w:color="auto" w:fill="C6EFCE"/>
            <w:noWrap/>
          </w:tcPr>
          <w:p w14:paraId="2066CAD6" w14:textId="77777777" w:rsidR="00CB0FCB" w:rsidRDefault="009D2B11">
            <w:pPr>
              <w:pStyle w:val="P68B1DB1-Normal9"/>
              <w:spacing w:after="0" w:line="240" w:lineRule="auto"/>
              <w:rPr>
                <w:rFonts w:eastAsia="Times New Roman"/>
                <w:noProof/>
                <w:szCs w:val="18"/>
              </w:rPr>
            </w:pPr>
            <w:r>
              <w:rPr>
                <w:noProof/>
              </w:rPr>
              <w:t>14–4.3. Uzlabot tiesu sistēmas efektivitāti — 16733_Prasmes un digitālās prasmes tiesnešiem un tiesu iestāžu darbiniekiem (tiesu iestāžu darbiniekiem)</w:t>
            </w:r>
          </w:p>
        </w:tc>
        <w:tc>
          <w:tcPr>
            <w:tcW w:w="1424" w:type="dxa"/>
            <w:tcBorders>
              <w:top w:val="single" w:sz="4" w:space="0" w:color="auto"/>
              <w:left w:val="nil"/>
              <w:bottom w:val="single" w:sz="4" w:space="0" w:color="auto"/>
              <w:right w:val="single" w:sz="4" w:space="0" w:color="auto"/>
            </w:tcBorders>
            <w:shd w:val="clear" w:color="auto" w:fill="C6EFCE"/>
            <w:noWrap/>
          </w:tcPr>
          <w:p w14:paraId="22802CC4"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2A421772" w14:textId="77777777" w:rsidR="00CB0FCB" w:rsidRDefault="009D2B11">
            <w:pPr>
              <w:pStyle w:val="P68B1DB1-Normal9"/>
              <w:spacing w:after="0" w:line="240" w:lineRule="auto"/>
              <w:rPr>
                <w:rFonts w:eastAsia="Times New Roman"/>
                <w:noProof/>
                <w:szCs w:val="18"/>
              </w:rPr>
            </w:pPr>
            <w:r>
              <w:rPr>
                <w:noProof/>
              </w:rPr>
              <w:t>Mācības — Tiesneši un ierēdņi</w:t>
            </w:r>
          </w:p>
        </w:tc>
        <w:tc>
          <w:tcPr>
            <w:tcW w:w="1552" w:type="dxa"/>
            <w:tcBorders>
              <w:top w:val="single" w:sz="4" w:space="0" w:color="auto"/>
              <w:left w:val="nil"/>
              <w:bottom w:val="single" w:sz="4" w:space="0" w:color="auto"/>
              <w:right w:val="single" w:sz="4" w:space="0" w:color="auto"/>
            </w:tcBorders>
            <w:shd w:val="clear" w:color="auto" w:fill="C6EFCE"/>
            <w:noWrap/>
          </w:tcPr>
          <w:p w14:paraId="448A4BC0" w14:textId="77777777" w:rsidR="00CB0FCB" w:rsidRDefault="009D2B11">
            <w:pPr>
              <w:pStyle w:val="P68B1DB1-Normal9"/>
              <w:spacing w:after="0" w:line="240" w:lineRule="auto"/>
              <w:rPr>
                <w:noProof/>
                <w:szCs w:val="18"/>
              </w:rPr>
            </w:pPr>
            <w:r>
              <w:rPr>
                <w:noProof/>
              </w:rPr>
              <w:t xml:space="preserve">Ziņojums, kas apliecina </w:t>
            </w:r>
          </w:p>
          <w:p w14:paraId="0888EEB4" w14:textId="5B755299" w:rsidR="00CB0FCB" w:rsidRDefault="009D2B11">
            <w:pPr>
              <w:pStyle w:val="P68B1DB1-Normal9"/>
              <w:spacing w:after="0" w:line="240" w:lineRule="auto"/>
              <w:rPr>
                <w:noProof/>
                <w:szCs w:val="18"/>
              </w:rPr>
            </w:pPr>
            <w:r>
              <w:rPr>
                <w:noProof/>
              </w:rPr>
              <w:t>Izmaiņu īstenošana Valsts Tiesnešu skolas izglītības programmā un tiesnešu un ierēdņu uzņemšana mūžizglītībā</w:t>
            </w:r>
          </w:p>
        </w:tc>
        <w:tc>
          <w:tcPr>
            <w:tcW w:w="992" w:type="dxa"/>
            <w:tcBorders>
              <w:top w:val="single" w:sz="4" w:space="0" w:color="auto"/>
              <w:left w:val="nil"/>
              <w:bottom w:val="single" w:sz="4" w:space="0" w:color="auto"/>
              <w:right w:val="single" w:sz="4" w:space="0" w:color="auto"/>
            </w:tcBorders>
            <w:shd w:val="clear" w:color="auto" w:fill="C6EFCE"/>
            <w:noWrap/>
          </w:tcPr>
          <w:p w14:paraId="083A1CBA"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86CBAED"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3E4BE825"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115A950" w14:textId="3EEE9192" w:rsidR="00CB0FCB" w:rsidRDefault="009D2B11">
            <w:pPr>
              <w:pStyle w:val="P68B1DB1-Normal9"/>
              <w:spacing w:after="0" w:line="240" w:lineRule="auto"/>
              <w:rPr>
                <w:rFonts w:eastAsia="Times New Roman"/>
                <w:noProof/>
                <w:szCs w:val="18"/>
              </w:rPr>
            </w:pPr>
            <w:r>
              <w:rPr>
                <w:noProof/>
              </w:rPr>
              <w:t>2. CET.</w:t>
            </w:r>
          </w:p>
        </w:tc>
        <w:tc>
          <w:tcPr>
            <w:tcW w:w="622" w:type="dxa"/>
            <w:tcBorders>
              <w:top w:val="single" w:sz="4" w:space="0" w:color="auto"/>
              <w:left w:val="nil"/>
              <w:bottom w:val="single" w:sz="4" w:space="0" w:color="auto"/>
              <w:right w:val="single" w:sz="4" w:space="0" w:color="auto"/>
            </w:tcBorders>
            <w:shd w:val="clear" w:color="auto" w:fill="C6EFCE"/>
            <w:noWrap/>
          </w:tcPr>
          <w:p w14:paraId="370D1BAF" w14:textId="77777777" w:rsidR="00CB0FCB" w:rsidRDefault="009D2B11">
            <w:pPr>
              <w:pStyle w:val="P68B1DB1-Normal9"/>
              <w:spacing w:after="0" w:line="240" w:lineRule="auto"/>
              <w:rPr>
                <w:rFonts w:eastAsia="Times New Roman"/>
                <w:noProof/>
                <w:szCs w:val="18"/>
              </w:rPr>
            </w:pPr>
            <w:r>
              <w:rPr>
                <w:noProof/>
              </w:rPr>
              <w:t>2024</w:t>
            </w:r>
          </w:p>
        </w:tc>
        <w:tc>
          <w:tcPr>
            <w:tcW w:w="4885" w:type="dxa"/>
            <w:tcBorders>
              <w:top w:val="single" w:sz="4" w:space="0" w:color="auto"/>
              <w:left w:val="nil"/>
              <w:bottom w:val="single" w:sz="4" w:space="0" w:color="auto"/>
              <w:right w:val="single" w:sz="4" w:space="0" w:color="auto"/>
            </w:tcBorders>
            <w:shd w:val="clear" w:color="auto" w:fill="C6EFCE"/>
            <w:noWrap/>
          </w:tcPr>
          <w:p w14:paraId="0CEBD634" w14:textId="58A24A73" w:rsidR="00CB0FCB" w:rsidRDefault="009D2B11">
            <w:pPr>
              <w:pStyle w:val="P68B1DB1-Normal9"/>
              <w:spacing w:after="0" w:line="240" w:lineRule="auto"/>
              <w:rPr>
                <w:noProof/>
                <w:szCs w:val="18"/>
              </w:rPr>
            </w:pPr>
            <w:r>
              <w:rPr>
                <w:noProof/>
              </w:rPr>
              <w:t>To projektu pabeigšana, kas iekļauti reformā par tiesnešu un tiesu iestāžu darbinieku prasmēm un digitālajām prasmēm, ar: </w:t>
            </w:r>
          </w:p>
          <w:p w14:paraId="4E854EB9" w14:textId="0E5D2A9C" w:rsidR="00CB0FCB" w:rsidRDefault="009D2B11">
            <w:pPr>
              <w:pStyle w:val="P68B1DB1-Normal9"/>
              <w:numPr>
                <w:ilvl w:val="0"/>
                <w:numId w:val="24"/>
              </w:numPr>
              <w:spacing w:before="120" w:after="0" w:line="240" w:lineRule="auto"/>
              <w:jc w:val="both"/>
              <w:rPr>
                <w:noProof/>
                <w:szCs w:val="18"/>
              </w:rPr>
            </w:pPr>
            <w:r>
              <w:rPr>
                <w:noProof/>
              </w:rPr>
              <w:t>7029 tiesneši un ierēdņi ir piedalījušies mūžizglītībā un apmeklējuši vismaz vienu apmācības sesiju (semināru).</w:t>
            </w:r>
          </w:p>
          <w:p w14:paraId="6B29F422" w14:textId="27386BCE" w:rsidR="00CB0FCB" w:rsidRDefault="009D2B11">
            <w:pPr>
              <w:pStyle w:val="P68B1DB1-Normal9"/>
              <w:spacing w:before="120" w:after="0" w:line="240" w:lineRule="auto"/>
              <w:ind w:left="360"/>
              <w:jc w:val="both"/>
              <w:rPr>
                <w:noProof/>
                <w:szCs w:val="18"/>
              </w:rPr>
            </w:pPr>
            <w:r>
              <w:rPr>
                <w:noProof/>
              </w:rPr>
              <w:t>2. Darbojošās Valsts Tiesnešu skolas tiesnešu sekretāru izglītības programma</w:t>
            </w:r>
          </w:p>
          <w:p w14:paraId="4387AFE4" w14:textId="200D24F2" w:rsidR="00CB0FCB" w:rsidRDefault="009D2B11">
            <w:pPr>
              <w:pStyle w:val="P68B1DB1-Normal9"/>
              <w:numPr>
                <w:ilvl w:val="0"/>
                <w:numId w:val="25"/>
              </w:numPr>
              <w:spacing w:before="120" w:after="0" w:line="240" w:lineRule="auto"/>
              <w:jc w:val="both"/>
              <w:rPr>
                <w:noProof/>
                <w:szCs w:val="18"/>
              </w:rPr>
            </w:pPr>
            <w:r>
              <w:rPr>
                <w:noProof/>
              </w:rPr>
              <w:t xml:space="preserve">Izmaiņas atlases kritērijos </w:t>
            </w:r>
            <w:r>
              <w:rPr>
                <w:noProof/>
                <w:u w:val="single"/>
              </w:rPr>
              <w:t xml:space="preserve">saskaņā ar Likumu Nr. 4871/2021 </w:t>
            </w:r>
            <w:r>
              <w:rPr>
                <w:noProof/>
              </w:rPr>
              <w:t>un īstenoto izglītības programmu</w:t>
            </w:r>
          </w:p>
          <w:p w14:paraId="47739B43" w14:textId="1229676A" w:rsidR="00CB0FCB" w:rsidRDefault="009D2B11">
            <w:pPr>
              <w:spacing w:before="120" w:after="0" w:line="240" w:lineRule="auto"/>
              <w:rPr>
                <w:b/>
                <w:bCs/>
                <w:noProof/>
                <w:color w:val="006100"/>
                <w:sz w:val="18"/>
                <w:szCs w:val="18"/>
              </w:rPr>
            </w:pPr>
            <w:r>
              <w:rPr>
                <w:noProof/>
                <w:color w:val="006100"/>
                <w:sz w:val="18"/>
              </w:rPr>
              <w:t xml:space="preserve">Izmaiņas Valsts Tiesnešu skolas izglītības programmā, kuru mērķis jo īpaši ir uzlabot praktisko apmācību un piedāvāt kursus saskaņā ar iepriekš minēto likumu. </w:t>
            </w:r>
            <w:r>
              <w:rPr>
                <w:rFonts w:ascii="Times New Roman" w:hAnsi="Times New Roman"/>
                <w:noProof/>
                <w:sz w:val="24"/>
              </w:rPr>
              <w:t xml:space="preserve"> </w:t>
            </w:r>
            <w:r>
              <w:rPr>
                <w:noProof/>
                <w:color w:val="006100"/>
                <w:sz w:val="18"/>
              </w:rPr>
              <w:t>Mūžizglītības nodrošināšana tiesnešiem un tiesu ierēdņiem dažādās jomās saskaņā ar iepriekš minēto likumu; tiesnešiem šāda apmācība ir profesionālās izaugsmes priekšnoteikums.</w:t>
            </w:r>
            <w:r>
              <w:rPr>
                <w:rFonts w:ascii="Times New Roman" w:hAnsi="Times New Roman"/>
                <w:noProof/>
                <w:sz w:val="24"/>
              </w:rPr>
              <w:t xml:space="preserve"> </w:t>
            </w:r>
          </w:p>
        </w:tc>
      </w:tr>
      <w:tr w:rsidR="00CB0FCB" w14:paraId="27395684"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358BBE2" w14:textId="77777777" w:rsidR="00CB0FCB" w:rsidRDefault="009D2B11">
            <w:pPr>
              <w:pStyle w:val="P68B1DB1-Normal9"/>
              <w:spacing w:after="0" w:line="240" w:lineRule="auto"/>
              <w:rPr>
                <w:rFonts w:eastAsia="Times New Roman" w:cs="Calibri"/>
                <w:noProof/>
                <w:szCs w:val="18"/>
              </w:rPr>
            </w:pPr>
            <w:r>
              <w:rPr>
                <w:noProof/>
              </w:rPr>
              <w:t>236</w:t>
            </w:r>
          </w:p>
        </w:tc>
        <w:tc>
          <w:tcPr>
            <w:tcW w:w="1541" w:type="dxa"/>
            <w:tcBorders>
              <w:top w:val="single" w:sz="4" w:space="0" w:color="auto"/>
              <w:left w:val="nil"/>
              <w:bottom w:val="single" w:sz="4" w:space="0" w:color="auto"/>
              <w:right w:val="single" w:sz="4" w:space="0" w:color="auto"/>
            </w:tcBorders>
            <w:shd w:val="clear" w:color="auto" w:fill="C6EFCE"/>
            <w:noWrap/>
          </w:tcPr>
          <w:p w14:paraId="2E2CD3AD" w14:textId="77777777" w:rsidR="00CB0FCB" w:rsidRDefault="009D2B11">
            <w:pPr>
              <w:pStyle w:val="P68B1DB1-Normal9"/>
              <w:spacing w:after="0" w:line="240" w:lineRule="auto"/>
              <w:rPr>
                <w:rFonts w:eastAsia="Times New Roman"/>
                <w:noProof/>
                <w:szCs w:val="18"/>
              </w:rPr>
            </w:pPr>
            <w:r>
              <w:rPr>
                <w:noProof/>
              </w:rPr>
              <w:t>14–4.3. Uzlabot tiesu sistēmas efektivitāti — 16575 tiesvedības paātrināšana</w:t>
            </w:r>
          </w:p>
        </w:tc>
        <w:tc>
          <w:tcPr>
            <w:tcW w:w="1424" w:type="dxa"/>
            <w:tcBorders>
              <w:top w:val="single" w:sz="4" w:space="0" w:color="auto"/>
              <w:left w:val="nil"/>
              <w:bottom w:val="single" w:sz="4" w:space="0" w:color="auto"/>
              <w:right w:val="single" w:sz="4" w:space="0" w:color="auto"/>
            </w:tcBorders>
            <w:shd w:val="clear" w:color="auto" w:fill="C6EFCE"/>
            <w:noWrap/>
          </w:tcPr>
          <w:p w14:paraId="08C15005"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7B277DD2" w14:textId="62FFAA06" w:rsidR="00CB0FCB" w:rsidRDefault="009D2B11">
            <w:pPr>
              <w:pStyle w:val="P68B1DB1-Normal9"/>
              <w:spacing w:after="0" w:line="240" w:lineRule="auto"/>
              <w:rPr>
                <w:rFonts w:eastAsia="Times New Roman"/>
                <w:noProof/>
                <w:szCs w:val="18"/>
              </w:rPr>
            </w:pPr>
            <w:r>
              <w:rPr>
                <w:noProof/>
              </w:rPr>
              <w:t>Tiesu kartes pārskatīšana — pilnīga īstenošana</w:t>
            </w:r>
          </w:p>
        </w:tc>
        <w:tc>
          <w:tcPr>
            <w:tcW w:w="1552" w:type="dxa"/>
            <w:tcBorders>
              <w:top w:val="single" w:sz="4" w:space="0" w:color="auto"/>
              <w:left w:val="nil"/>
              <w:bottom w:val="single" w:sz="4" w:space="0" w:color="auto"/>
              <w:right w:val="single" w:sz="4" w:space="0" w:color="auto"/>
            </w:tcBorders>
            <w:shd w:val="clear" w:color="auto" w:fill="C6EFCE"/>
            <w:noWrap/>
          </w:tcPr>
          <w:p w14:paraId="3512CF5C" w14:textId="00547DAE" w:rsidR="00CB0FCB" w:rsidRDefault="009D2B11">
            <w:pPr>
              <w:pStyle w:val="P68B1DB1-Normal10"/>
              <w:spacing w:after="0" w:line="240" w:lineRule="auto"/>
              <w:rPr>
                <w:noProof/>
              </w:rPr>
            </w:pPr>
            <w:r>
              <w:rPr>
                <w:noProof/>
              </w:rPr>
              <w:t xml:space="preserve"> Tiesu administrācijas apliecinājumi, kas apstiprina visu reformēto struktūru darbību un funkcionalitāti.</w:t>
            </w:r>
          </w:p>
        </w:tc>
        <w:tc>
          <w:tcPr>
            <w:tcW w:w="992" w:type="dxa"/>
            <w:tcBorders>
              <w:top w:val="single" w:sz="4" w:space="0" w:color="auto"/>
              <w:left w:val="nil"/>
              <w:bottom w:val="single" w:sz="4" w:space="0" w:color="auto"/>
              <w:right w:val="single" w:sz="4" w:space="0" w:color="auto"/>
            </w:tcBorders>
            <w:shd w:val="clear" w:color="auto" w:fill="C6EFCE"/>
            <w:noWrap/>
          </w:tcPr>
          <w:p w14:paraId="2DA9CFD2"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6966522"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32B2ABE2"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B78D179" w14:textId="77777777" w:rsidR="00CB0FCB" w:rsidRDefault="009D2B11">
            <w:pPr>
              <w:pStyle w:val="P68B1DB1-Normal9"/>
              <w:spacing w:after="0" w:line="240" w:lineRule="auto"/>
              <w:rPr>
                <w:rFonts w:eastAsia="Times New Roman"/>
                <w:noProof/>
                <w:szCs w:val="18"/>
              </w:rPr>
            </w:pPr>
            <w:r>
              <w:rPr>
                <w:noProof/>
              </w:rPr>
              <w:t>4. CET.</w:t>
            </w:r>
          </w:p>
        </w:tc>
        <w:tc>
          <w:tcPr>
            <w:tcW w:w="622" w:type="dxa"/>
            <w:tcBorders>
              <w:top w:val="single" w:sz="4" w:space="0" w:color="auto"/>
              <w:left w:val="nil"/>
              <w:bottom w:val="single" w:sz="4" w:space="0" w:color="auto"/>
              <w:right w:val="single" w:sz="4" w:space="0" w:color="auto"/>
            </w:tcBorders>
            <w:shd w:val="clear" w:color="auto" w:fill="C6EFCE"/>
            <w:noWrap/>
          </w:tcPr>
          <w:p w14:paraId="3508D6AA" w14:textId="77777777" w:rsidR="00CB0FCB" w:rsidRDefault="009D2B11">
            <w:pPr>
              <w:pStyle w:val="P68B1DB1-Normal9"/>
              <w:spacing w:after="0" w:line="240" w:lineRule="auto"/>
              <w:rPr>
                <w:rFonts w:eastAsia="Times New Roman"/>
                <w:noProof/>
                <w:szCs w:val="18"/>
              </w:rPr>
            </w:pPr>
            <w:r>
              <w:rPr>
                <w:noProof/>
              </w:rPr>
              <w:t>2024</w:t>
            </w:r>
          </w:p>
        </w:tc>
        <w:tc>
          <w:tcPr>
            <w:tcW w:w="4885" w:type="dxa"/>
            <w:tcBorders>
              <w:top w:val="single" w:sz="4" w:space="0" w:color="auto"/>
              <w:left w:val="nil"/>
              <w:bottom w:val="single" w:sz="4" w:space="0" w:color="auto"/>
              <w:right w:val="single" w:sz="4" w:space="0" w:color="auto"/>
            </w:tcBorders>
            <w:shd w:val="clear" w:color="auto" w:fill="C6EFCE"/>
            <w:noWrap/>
          </w:tcPr>
          <w:p w14:paraId="2F200B14" w14:textId="77777777" w:rsidR="00CB0FCB" w:rsidRDefault="009D2B11">
            <w:pPr>
              <w:pStyle w:val="P68B1DB1-Normal9"/>
              <w:spacing w:after="0" w:line="240" w:lineRule="auto"/>
              <w:rPr>
                <w:noProof/>
                <w:szCs w:val="18"/>
              </w:rPr>
            </w:pPr>
            <w:r>
              <w:rPr>
                <w:noProof/>
              </w:rPr>
              <w:t>Tiesu kartes pārskatīšana</w:t>
            </w:r>
          </w:p>
          <w:p w14:paraId="7B55D780" w14:textId="4466390E" w:rsidR="00CB0FCB" w:rsidRDefault="009D2B11">
            <w:pPr>
              <w:pStyle w:val="P68B1DB1-Normal9"/>
              <w:spacing w:after="0" w:line="240" w:lineRule="auto"/>
              <w:rPr>
                <w:noProof/>
                <w:szCs w:val="18"/>
              </w:rPr>
            </w:pPr>
            <w:r>
              <w:rPr>
                <w:noProof/>
              </w:rPr>
              <w:t>Tiesu karšu pārskatīšanas pilnīga īstenošana attiecībā uz katru administratīvo, civiltiesību un krimināltiesību jomu, par ko liecina attiecīgo tiesu administrāciju oficiālie paziņojumi, kuros apstiprināta reformēto vienību darbības uzsākšana un funkcionalitāte.</w:t>
            </w:r>
          </w:p>
        </w:tc>
      </w:tr>
      <w:tr w:rsidR="00CB0FCB" w14:paraId="0673FA95"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DB8DA19" w14:textId="77777777" w:rsidR="00CB0FCB" w:rsidRDefault="009D2B11">
            <w:pPr>
              <w:pStyle w:val="P68B1DB1-Normal9"/>
              <w:spacing w:after="0" w:line="240" w:lineRule="auto"/>
              <w:rPr>
                <w:rFonts w:eastAsia="Times New Roman" w:cs="Calibri"/>
                <w:noProof/>
                <w:szCs w:val="18"/>
              </w:rPr>
            </w:pPr>
            <w:r>
              <w:rPr>
                <w:noProof/>
              </w:rPr>
              <w:t>237</w:t>
            </w:r>
          </w:p>
        </w:tc>
        <w:tc>
          <w:tcPr>
            <w:tcW w:w="1541" w:type="dxa"/>
            <w:tcBorders>
              <w:top w:val="single" w:sz="4" w:space="0" w:color="auto"/>
              <w:left w:val="nil"/>
              <w:bottom w:val="single" w:sz="4" w:space="0" w:color="auto"/>
              <w:right w:val="single" w:sz="4" w:space="0" w:color="auto"/>
            </w:tcBorders>
            <w:shd w:val="clear" w:color="auto" w:fill="C6EFCE"/>
            <w:noWrap/>
          </w:tcPr>
          <w:p w14:paraId="1793CA40" w14:textId="77777777" w:rsidR="00CB0FCB" w:rsidRDefault="009D2B11">
            <w:pPr>
              <w:pStyle w:val="P68B1DB1-Normal9"/>
              <w:spacing w:after="0" w:line="240" w:lineRule="auto"/>
              <w:rPr>
                <w:rFonts w:eastAsia="Times New Roman"/>
                <w:noProof/>
                <w:szCs w:val="18"/>
              </w:rPr>
            </w:pPr>
            <w:r>
              <w:rPr>
                <w:noProof/>
              </w:rPr>
              <w:t>14–4.3. Uzlabot tiesu sistēmas efektivitāti — 16292_Jaunas tiesu ēkas</w:t>
            </w:r>
          </w:p>
        </w:tc>
        <w:tc>
          <w:tcPr>
            <w:tcW w:w="1424" w:type="dxa"/>
            <w:tcBorders>
              <w:top w:val="single" w:sz="4" w:space="0" w:color="auto"/>
              <w:left w:val="nil"/>
              <w:bottom w:val="single" w:sz="4" w:space="0" w:color="auto"/>
              <w:right w:val="single" w:sz="4" w:space="0" w:color="auto"/>
            </w:tcBorders>
            <w:shd w:val="clear" w:color="auto" w:fill="C6EFCE"/>
            <w:noWrap/>
          </w:tcPr>
          <w:p w14:paraId="1BC2B293"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17496328" w14:textId="77777777" w:rsidR="00CB0FCB" w:rsidRDefault="009D2B11">
            <w:pPr>
              <w:pStyle w:val="P68B1DB1-Normal9"/>
              <w:spacing w:after="0" w:line="240" w:lineRule="auto"/>
              <w:rPr>
                <w:rFonts w:eastAsia="Times New Roman"/>
                <w:noProof/>
                <w:szCs w:val="18"/>
              </w:rPr>
            </w:pPr>
            <w:r>
              <w:rPr>
                <w:noProof/>
              </w:rPr>
              <w:t xml:space="preserve">Būvniecības un renovācijas darbi — e-identitāte — pabeigšana </w:t>
            </w:r>
          </w:p>
        </w:tc>
        <w:tc>
          <w:tcPr>
            <w:tcW w:w="1552" w:type="dxa"/>
            <w:tcBorders>
              <w:top w:val="single" w:sz="4" w:space="0" w:color="auto"/>
              <w:left w:val="nil"/>
              <w:bottom w:val="single" w:sz="4" w:space="0" w:color="auto"/>
              <w:right w:val="single" w:sz="4" w:space="0" w:color="auto"/>
            </w:tcBorders>
            <w:shd w:val="clear" w:color="auto" w:fill="C6EFCE"/>
            <w:noWrap/>
          </w:tcPr>
          <w:p w14:paraId="756DC062" w14:textId="77777777" w:rsidR="00CB0FCB" w:rsidRDefault="009D2B11">
            <w:pPr>
              <w:pStyle w:val="P68B1DB1-Normal9"/>
              <w:spacing w:after="0" w:line="240" w:lineRule="auto"/>
              <w:rPr>
                <w:noProof/>
                <w:szCs w:val="18"/>
              </w:rPr>
            </w:pPr>
            <w:r>
              <w:rPr>
                <w:noProof/>
              </w:rPr>
              <w:t>Ziņot, vai visi būvniecības projekti ir pilnībā pabeigti un nodoti lietotājiem. </w:t>
            </w:r>
          </w:p>
          <w:p w14:paraId="0E7A5B0D" w14:textId="77777777" w:rsidR="00CB0FCB" w:rsidRDefault="00CB0FCB">
            <w:pPr>
              <w:spacing w:after="0" w:line="240" w:lineRule="auto"/>
              <w:rPr>
                <w:rFonts w:cs="Calibri"/>
                <w:noProof/>
                <w:color w:val="006100"/>
                <w:sz w:val="18"/>
                <w:szCs w:val="18"/>
              </w:rPr>
            </w:pPr>
          </w:p>
          <w:p w14:paraId="0703C77C" w14:textId="57F6B0C8" w:rsidR="00CB0FCB" w:rsidRDefault="009D2B11">
            <w:pPr>
              <w:pStyle w:val="P68B1DB1-Normal9"/>
              <w:spacing w:after="0" w:line="240" w:lineRule="auto"/>
              <w:rPr>
                <w:noProof/>
                <w:szCs w:val="18"/>
              </w:rPr>
            </w:pPr>
            <w:r>
              <w:rPr>
                <w:noProof/>
              </w:rPr>
              <w:t>Tiesu iestāžu ēku e-identitātes sertifikāti</w:t>
            </w:r>
          </w:p>
          <w:p w14:paraId="370897A5" w14:textId="77777777" w:rsidR="00CB0FCB" w:rsidRDefault="00CB0FCB">
            <w:pPr>
              <w:spacing w:after="0" w:line="240" w:lineRule="auto"/>
              <w:rPr>
                <w:rFonts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5FAE663D"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0950F12"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3170085F"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1FDEE64" w14:textId="77777777" w:rsidR="00CB0FCB" w:rsidRDefault="009D2B11">
            <w:pPr>
              <w:pStyle w:val="P68B1DB1-Normal9"/>
              <w:spacing w:after="0" w:line="240" w:lineRule="auto"/>
              <w:rPr>
                <w:rFonts w:eastAsia="Times New Roman"/>
                <w:noProof/>
                <w:szCs w:val="18"/>
              </w:rPr>
            </w:pPr>
            <w:r>
              <w:rPr>
                <w:noProof/>
              </w:rPr>
              <w:t>4. CET.</w:t>
            </w:r>
          </w:p>
        </w:tc>
        <w:tc>
          <w:tcPr>
            <w:tcW w:w="622" w:type="dxa"/>
            <w:tcBorders>
              <w:top w:val="single" w:sz="4" w:space="0" w:color="auto"/>
              <w:left w:val="nil"/>
              <w:bottom w:val="single" w:sz="4" w:space="0" w:color="auto"/>
              <w:right w:val="single" w:sz="4" w:space="0" w:color="auto"/>
            </w:tcBorders>
            <w:shd w:val="clear" w:color="auto" w:fill="C6EFCE"/>
            <w:noWrap/>
          </w:tcPr>
          <w:p w14:paraId="75AF4FE9" w14:textId="77777777" w:rsidR="00CB0FCB" w:rsidRDefault="009D2B11">
            <w:pPr>
              <w:pStyle w:val="P68B1DB1-Normal9"/>
              <w:spacing w:after="0" w:line="240" w:lineRule="auto"/>
              <w:rPr>
                <w:rFonts w:eastAsia="Times New Roman"/>
                <w:noProof/>
                <w:szCs w:val="18"/>
              </w:rPr>
            </w:pPr>
            <w:r>
              <w:rPr>
                <w:noProof/>
              </w:rPr>
              <w:t>2025</w:t>
            </w:r>
          </w:p>
        </w:tc>
        <w:tc>
          <w:tcPr>
            <w:tcW w:w="4885" w:type="dxa"/>
            <w:tcBorders>
              <w:top w:val="single" w:sz="4" w:space="0" w:color="auto"/>
              <w:left w:val="nil"/>
              <w:bottom w:val="single" w:sz="4" w:space="0" w:color="auto"/>
              <w:right w:val="single" w:sz="4" w:space="0" w:color="auto"/>
            </w:tcBorders>
            <w:shd w:val="clear" w:color="auto" w:fill="C6EFCE"/>
            <w:noWrap/>
          </w:tcPr>
          <w:p w14:paraId="619998D3" w14:textId="5449A184" w:rsidR="00CB0FCB" w:rsidRDefault="009D2B11">
            <w:pPr>
              <w:pStyle w:val="P68B1DB1-Normal9"/>
              <w:spacing w:before="120" w:after="0" w:line="240" w:lineRule="auto"/>
              <w:jc w:val="both"/>
              <w:rPr>
                <w:noProof/>
                <w:szCs w:val="18"/>
              </w:rPr>
            </w:pPr>
            <w:r>
              <w:rPr>
                <w:noProof/>
              </w:rPr>
              <w:t xml:space="preserve">Visu jauno ēku un renovācijas pabeigšana saskaņā ar pārskatītās tiesu kartes vajadzībām. </w:t>
            </w:r>
          </w:p>
          <w:p w14:paraId="5C88C82B" w14:textId="27C62D2E" w:rsidR="00CB0FCB" w:rsidRDefault="009D2B11">
            <w:pPr>
              <w:pStyle w:val="P68B1DB1-Normal9"/>
              <w:spacing w:before="120" w:after="0" w:line="240" w:lineRule="auto"/>
              <w:jc w:val="both"/>
              <w:rPr>
                <w:b/>
                <w:bCs/>
                <w:noProof/>
                <w:szCs w:val="18"/>
              </w:rPr>
            </w:pPr>
            <w:r>
              <w:rPr>
                <w:noProof/>
              </w:rPr>
              <w:t>Tiesu iestāžu ēku e-identitātes sertifikāti, kas izsniegti, izmantojot e-identitātes platformu.</w:t>
            </w:r>
          </w:p>
        </w:tc>
      </w:tr>
      <w:tr w:rsidR="00CB0FCB" w14:paraId="664B706A"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A60DB41" w14:textId="77777777" w:rsidR="00CB0FCB" w:rsidRDefault="009D2B11">
            <w:pPr>
              <w:pStyle w:val="P68B1DB1-Normal9"/>
              <w:spacing w:after="0" w:line="240" w:lineRule="auto"/>
              <w:rPr>
                <w:rFonts w:eastAsia="Times New Roman" w:cs="Calibri"/>
                <w:noProof/>
                <w:szCs w:val="18"/>
              </w:rPr>
            </w:pPr>
            <w:r>
              <w:rPr>
                <w:noProof/>
              </w:rPr>
              <w:t>238</w:t>
            </w:r>
          </w:p>
        </w:tc>
        <w:tc>
          <w:tcPr>
            <w:tcW w:w="1541" w:type="dxa"/>
            <w:tcBorders>
              <w:top w:val="single" w:sz="4" w:space="0" w:color="auto"/>
              <w:left w:val="nil"/>
              <w:bottom w:val="single" w:sz="4" w:space="0" w:color="auto"/>
              <w:right w:val="single" w:sz="4" w:space="0" w:color="auto"/>
            </w:tcBorders>
            <w:shd w:val="clear" w:color="auto" w:fill="C6EFCE"/>
            <w:noWrap/>
          </w:tcPr>
          <w:p w14:paraId="60C81E22" w14:textId="77777777" w:rsidR="00CB0FCB" w:rsidRDefault="009D2B11">
            <w:pPr>
              <w:pStyle w:val="P68B1DB1-Normal9"/>
              <w:spacing w:after="0" w:line="240" w:lineRule="auto"/>
              <w:rPr>
                <w:rFonts w:eastAsia="Times New Roman"/>
                <w:noProof/>
                <w:szCs w:val="18"/>
              </w:rPr>
            </w:pPr>
            <w:r>
              <w:rPr>
                <w:noProof/>
              </w:rPr>
              <w:t>14–4.3. Uzlabot tiesu sistēmas efektivitāti — 16575 tiesvedības paātrināšana</w:t>
            </w:r>
          </w:p>
        </w:tc>
        <w:tc>
          <w:tcPr>
            <w:tcW w:w="1424" w:type="dxa"/>
            <w:tcBorders>
              <w:top w:val="single" w:sz="4" w:space="0" w:color="auto"/>
              <w:left w:val="nil"/>
              <w:bottom w:val="single" w:sz="4" w:space="0" w:color="auto"/>
              <w:right w:val="single" w:sz="4" w:space="0" w:color="auto"/>
            </w:tcBorders>
            <w:shd w:val="clear" w:color="auto" w:fill="C6EFCE"/>
            <w:noWrap/>
          </w:tcPr>
          <w:p w14:paraId="7838F02A"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3B627817" w14:textId="78C00A96" w:rsidR="00CB0FCB" w:rsidRDefault="009D2B11">
            <w:pPr>
              <w:pStyle w:val="P68B1DB1-Normal9"/>
              <w:spacing w:after="0" w:line="240" w:lineRule="auto"/>
              <w:rPr>
                <w:rFonts w:eastAsia="Times New Roman"/>
                <w:noProof/>
                <w:szCs w:val="18"/>
              </w:rPr>
            </w:pPr>
            <w:r>
              <w:rPr>
                <w:noProof/>
              </w:rPr>
              <w:t>Apmācība par mediāciju un vienotas digitālās sistēmas darbības sākšanu akreditētiem mediācijas centriem</w:t>
            </w:r>
          </w:p>
        </w:tc>
        <w:tc>
          <w:tcPr>
            <w:tcW w:w="1552" w:type="dxa"/>
            <w:tcBorders>
              <w:top w:val="single" w:sz="4" w:space="0" w:color="auto"/>
              <w:left w:val="nil"/>
              <w:bottom w:val="single" w:sz="4" w:space="0" w:color="auto"/>
              <w:right w:val="single" w:sz="4" w:space="0" w:color="auto"/>
            </w:tcBorders>
            <w:shd w:val="clear" w:color="auto" w:fill="C6EFCE"/>
            <w:noWrap/>
          </w:tcPr>
          <w:p w14:paraId="4BA5D582" w14:textId="7A630444" w:rsidR="00CB0FCB" w:rsidRDefault="009D2B11">
            <w:pPr>
              <w:pStyle w:val="P68B1DB1-Normal9"/>
              <w:spacing w:after="0" w:line="240" w:lineRule="auto"/>
              <w:rPr>
                <w:noProof/>
                <w:szCs w:val="18"/>
              </w:rPr>
            </w:pPr>
            <w:r>
              <w:rPr>
                <w:noProof/>
              </w:rPr>
              <w:t xml:space="preserve">Ziņojums, kas apstiprina, ka ir pabeigta apmācība par mediāciju pēc tam, kad ir sākusi darboties akreditētu starpniecības centru vienota digitālā sistēma  </w:t>
            </w:r>
          </w:p>
        </w:tc>
        <w:tc>
          <w:tcPr>
            <w:tcW w:w="992" w:type="dxa"/>
            <w:tcBorders>
              <w:top w:val="single" w:sz="4" w:space="0" w:color="auto"/>
              <w:left w:val="nil"/>
              <w:bottom w:val="single" w:sz="4" w:space="0" w:color="auto"/>
              <w:right w:val="single" w:sz="4" w:space="0" w:color="auto"/>
            </w:tcBorders>
            <w:shd w:val="clear" w:color="auto" w:fill="C6EFCE"/>
            <w:noWrap/>
          </w:tcPr>
          <w:p w14:paraId="33FCBD2F"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1F28F91" w14:textId="77777777" w:rsidR="00CB0FCB" w:rsidRDefault="00CB0FCB">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17A58D5"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DAED532" w14:textId="77777777" w:rsidR="00CB0FCB" w:rsidRDefault="009D2B11">
            <w:pPr>
              <w:pStyle w:val="P68B1DB1-Normal9"/>
              <w:spacing w:after="0" w:line="240" w:lineRule="auto"/>
              <w:rPr>
                <w:rFonts w:eastAsia="Times New Roman"/>
                <w:noProof/>
                <w:szCs w:val="18"/>
              </w:rPr>
            </w:pPr>
            <w:r>
              <w:rPr>
                <w:noProof/>
              </w:rPr>
              <w:t>4. CET.</w:t>
            </w:r>
          </w:p>
        </w:tc>
        <w:tc>
          <w:tcPr>
            <w:tcW w:w="622" w:type="dxa"/>
            <w:tcBorders>
              <w:top w:val="single" w:sz="4" w:space="0" w:color="auto"/>
              <w:left w:val="nil"/>
              <w:bottom w:val="single" w:sz="4" w:space="0" w:color="auto"/>
              <w:right w:val="single" w:sz="4" w:space="0" w:color="auto"/>
            </w:tcBorders>
            <w:shd w:val="clear" w:color="auto" w:fill="C6EFCE"/>
            <w:noWrap/>
          </w:tcPr>
          <w:p w14:paraId="1735CCA3" w14:textId="77777777" w:rsidR="00CB0FCB" w:rsidRDefault="009D2B11">
            <w:pPr>
              <w:pStyle w:val="P68B1DB1-Normal9"/>
              <w:spacing w:after="0" w:line="240" w:lineRule="auto"/>
              <w:rPr>
                <w:rFonts w:eastAsia="Times New Roman"/>
                <w:noProof/>
                <w:szCs w:val="18"/>
              </w:rPr>
            </w:pPr>
            <w:r>
              <w:rPr>
                <w:noProof/>
              </w:rPr>
              <w:t>2025</w:t>
            </w:r>
          </w:p>
        </w:tc>
        <w:tc>
          <w:tcPr>
            <w:tcW w:w="4885" w:type="dxa"/>
            <w:tcBorders>
              <w:top w:val="single" w:sz="4" w:space="0" w:color="auto"/>
              <w:left w:val="nil"/>
              <w:bottom w:val="single" w:sz="4" w:space="0" w:color="auto"/>
              <w:right w:val="single" w:sz="4" w:space="0" w:color="auto"/>
            </w:tcBorders>
            <w:shd w:val="clear" w:color="auto" w:fill="C6EFCE"/>
            <w:noWrap/>
          </w:tcPr>
          <w:p w14:paraId="2AAFB5BF" w14:textId="625902BC" w:rsidR="00CB0FCB" w:rsidRDefault="009D2B11">
            <w:pPr>
              <w:pStyle w:val="P68B1DB1-Normal9"/>
              <w:spacing w:after="0" w:line="240" w:lineRule="auto"/>
              <w:rPr>
                <w:noProof/>
                <w:szCs w:val="18"/>
              </w:rPr>
            </w:pPr>
            <w:r>
              <w:rPr>
                <w:noProof/>
              </w:rPr>
              <w:t xml:space="preserve">Apmācības pabeigšana par mediāciju praktizējošiem juristiem un/vai mediatoriem, kas piedalās programmā, izmantojot uzaicinājumu.  </w:t>
            </w:r>
          </w:p>
          <w:p w14:paraId="31DC2A31" w14:textId="7EE031DD" w:rsidR="00CB0FCB" w:rsidRDefault="009D2B11">
            <w:pPr>
              <w:pStyle w:val="P68B1DB1-Normal9"/>
              <w:spacing w:after="0" w:line="240" w:lineRule="auto"/>
              <w:rPr>
                <w:rFonts w:cs="Calibri"/>
                <w:b/>
                <w:noProof/>
                <w:szCs w:val="18"/>
              </w:rPr>
            </w:pPr>
            <w:r>
              <w:rPr>
                <w:noProof/>
              </w:rPr>
              <w:t xml:space="preserve"> </w:t>
            </w:r>
            <w:r>
              <w:rPr>
                <w:noProof/>
                <w:u w:val="single"/>
              </w:rPr>
              <w:t>Vienotas digitālās sistēmas darbības uzsākšana akreditētiem mediācijas centriem.</w:t>
            </w:r>
          </w:p>
        </w:tc>
      </w:tr>
      <w:tr w:rsidR="00CB0FCB" w14:paraId="54F3E09C"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72491CF" w14:textId="77777777" w:rsidR="00CB0FCB" w:rsidRDefault="009D2B11">
            <w:pPr>
              <w:pStyle w:val="P68B1DB1-Normal9"/>
              <w:spacing w:after="0" w:line="240" w:lineRule="auto"/>
              <w:rPr>
                <w:rFonts w:eastAsia="Times New Roman" w:cs="Calibri"/>
                <w:noProof/>
                <w:szCs w:val="18"/>
              </w:rPr>
            </w:pPr>
            <w:r>
              <w:rPr>
                <w:noProof/>
              </w:rPr>
              <w:t>239</w:t>
            </w:r>
          </w:p>
        </w:tc>
        <w:tc>
          <w:tcPr>
            <w:tcW w:w="1541" w:type="dxa"/>
            <w:tcBorders>
              <w:top w:val="single" w:sz="4" w:space="0" w:color="auto"/>
              <w:left w:val="nil"/>
              <w:bottom w:val="single" w:sz="4" w:space="0" w:color="auto"/>
              <w:right w:val="single" w:sz="4" w:space="0" w:color="auto"/>
            </w:tcBorders>
            <w:shd w:val="clear" w:color="auto" w:fill="C6EFCE"/>
            <w:noWrap/>
          </w:tcPr>
          <w:p w14:paraId="50FAA357" w14:textId="77777777" w:rsidR="00CB0FCB" w:rsidRDefault="009D2B11">
            <w:pPr>
              <w:pStyle w:val="P68B1DB1-Normal9"/>
              <w:spacing w:after="0" w:line="240" w:lineRule="auto"/>
              <w:rPr>
                <w:rFonts w:eastAsia="Times New Roman"/>
                <w:noProof/>
                <w:szCs w:val="18"/>
              </w:rPr>
            </w:pPr>
            <w:r>
              <w:rPr>
                <w:noProof/>
              </w:rPr>
              <w:t>14–4.3. Uzlabot tiesu sistēmas efektivitāti — 16727_Tiesu digitālā pārveide (e-tiesiskums)</w:t>
            </w:r>
          </w:p>
        </w:tc>
        <w:tc>
          <w:tcPr>
            <w:tcW w:w="1424" w:type="dxa"/>
            <w:tcBorders>
              <w:top w:val="single" w:sz="4" w:space="0" w:color="auto"/>
              <w:left w:val="nil"/>
              <w:bottom w:val="single" w:sz="4" w:space="0" w:color="auto"/>
              <w:right w:val="single" w:sz="4" w:space="0" w:color="auto"/>
            </w:tcBorders>
            <w:shd w:val="clear" w:color="auto" w:fill="C6EFCE"/>
            <w:noWrap/>
          </w:tcPr>
          <w:p w14:paraId="3A59253C" w14:textId="77777777" w:rsidR="00CB0FCB" w:rsidRDefault="009D2B11">
            <w:pPr>
              <w:pStyle w:val="P68B1DB1-Normal9"/>
              <w:spacing w:after="0" w:line="240" w:lineRule="auto"/>
              <w:rPr>
                <w:rFonts w:eastAsia="Times New Roman"/>
                <w:noProof/>
                <w:szCs w:val="18"/>
              </w:rPr>
            </w:pPr>
            <w:r>
              <w:rPr>
                <w:noProof/>
              </w:rPr>
              <w:t>Atskaites punkts</w:t>
            </w:r>
          </w:p>
        </w:tc>
        <w:tc>
          <w:tcPr>
            <w:tcW w:w="1397" w:type="dxa"/>
            <w:tcBorders>
              <w:top w:val="single" w:sz="4" w:space="0" w:color="auto"/>
              <w:left w:val="nil"/>
              <w:bottom w:val="single" w:sz="4" w:space="0" w:color="auto"/>
              <w:right w:val="single" w:sz="4" w:space="0" w:color="auto"/>
            </w:tcBorders>
            <w:shd w:val="clear" w:color="auto" w:fill="C6EFCE"/>
            <w:noWrap/>
          </w:tcPr>
          <w:p w14:paraId="08F64677" w14:textId="77777777" w:rsidR="00CB0FCB" w:rsidRDefault="009D2B11">
            <w:pPr>
              <w:pStyle w:val="P68B1DB1-Normal9"/>
              <w:spacing w:after="0" w:line="240" w:lineRule="auto"/>
              <w:rPr>
                <w:rFonts w:eastAsia="Times New Roman"/>
                <w:noProof/>
                <w:szCs w:val="18"/>
              </w:rPr>
            </w:pPr>
            <w:r>
              <w:rPr>
                <w:noProof/>
              </w:rPr>
              <w:t>Lietvedība un IT uzlabojumi</w:t>
            </w:r>
          </w:p>
        </w:tc>
        <w:tc>
          <w:tcPr>
            <w:tcW w:w="1552" w:type="dxa"/>
            <w:tcBorders>
              <w:top w:val="single" w:sz="4" w:space="0" w:color="auto"/>
              <w:left w:val="nil"/>
              <w:bottom w:val="single" w:sz="4" w:space="0" w:color="auto"/>
              <w:right w:val="single" w:sz="4" w:space="0" w:color="auto"/>
            </w:tcBorders>
            <w:shd w:val="clear" w:color="auto" w:fill="C6EFCE"/>
            <w:noWrap/>
          </w:tcPr>
          <w:p w14:paraId="6AFA0AA3" w14:textId="77777777" w:rsidR="00CB0FCB" w:rsidRDefault="009D2B11">
            <w:pPr>
              <w:pStyle w:val="P68B1DB1-Normal9"/>
              <w:spacing w:after="0" w:line="240" w:lineRule="auto"/>
              <w:rPr>
                <w:noProof/>
                <w:szCs w:val="18"/>
              </w:rPr>
            </w:pPr>
            <w:r>
              <w:rPr>
                <w:noProof/>
              </w:rPr>
              <w:t>Audio datu ierakstu sistēmas, kas pilnībā darbojas visās civiltiesās un krimināllietu tiesās.</w:t>
            </w:r>
          </w:p>
          <w:p w14:paraId="1576ED07" w14:textId="77777777" w:rsidR="00CB0FCB" w:rsidRDefault="00CB0FCB">
            <w:pPr>
              <w:spacing w:after="0" w:line="240" w:lineRule="auto"/>
              <w:rPr>
                <w:rFonts w:cs="Calibri"/>
                <w:noProof/>
                <w:color w:val="006100"/>
                <w:sz w:val="18"/>
                <w:szCs w:val="18"/>
              </w:rPr>
            </w:pPr>
          </w:p>
          <w:p w14:paraId="0E6FE8E8" w14:textId="77777777" w:rsidR="00CB0FCB" w:rsidRDefault="009D2B11">
            <w:pPr>
              <w:pStyle w:val="P68B1DB1-Normal9"/>
              <w:spacing w:after="0" w:line="240" w:lineRule="auto"/>
              <w:rPr>
                <w:rFonts w:cs="Calibri"/>
                <w:noProof/>
                <w:szCs w:val="18"/>
              </w:rPr>
            </w:pPr>
            <w:r>
              <w:rPr>
                <w:noProof/>
              </w:rPr>
              <w:t>OSDDY-PP II posms, OSDDY-DD, Revīzijas palāta un valstu sodāmības reģistra projekti ir pilnībā īstenoti, īstenoti un darbojas.</w:t>
            </w:r>
          </w:p>
        </w:tc>
        <w:tc>
          <w:tcPr>
            <w:tcW w:w="992" w:type="dxa"/>
            <w:tcBorders>
              <w:top w:val="single" w:sz="4" w:space="0" w:color="auto"/>
              <w:left w:val="nil"/>
              <w:bottom w:val="single" w:sz="4" w:space="0" w:color="auto"/>
              <w:right w:val="single" w:sz="4" w:space="0" w:color="auto"/>
            </w:tcBorders>
            <w:shd w:val="clear" w:color="auto" w:fill="C6EFCE"/>
            <w:noWrap/>
          </w:tcPr>
          <w:p w14:paraId="7646CB11" w14:textId="77777777" w:rsidR="00CB0FCB" w:rsidRDefault="00CB0FCB">
            <w:pPr>
              <w:spacing w:after="0" w:line="240" w:lineRule="auto"/>
              <w:rPr>
                <w:rFonts w:eastAsia="Times New Roman"/>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4E953A0" w14:textId="77777777" w:rsidR="00CB0FCB" w:rsidRDefault="00CB0FCB">
            <w:pPr>
              <w:spacing w:after="0" w:line="240" w:lineRule="auto"/>
              <w:rPr>
                <w:rFonts w:eastAsia="Times New Roman"/>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639CBC2" w14:textId="77777777" w:rsidR="00CB0FCB" w:rsidRDefault="00CB0FCB">
            <w:pPr>
              <w:spacing w:after="0" w:line="240" w:lineRule="auto"/>
              <w:rPr>
                <w:rFonts w:eastAsia="Times New Roman"/>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24AB8E2" w14:textId="77777777" w:rsidR="00CB0FCB" w:rsidRDefault="009D2B11">
            <w:pPr>
              <w:pStyle w:val="P68B1DB1-Normal9"/>
              <w:spacing w:after="0" w:line="240" w:lineRule="auto"/>
              <w:rPr>
                <w:rFonts w:eastAsia="Times New Roman"/>
                <w:noProof/>
                <w:szCs w:val="18"/>
              </w:rPr>
            </w:pPr>
            <w:r>
              <w:rPr>
                <w:noProof/>
              </w:rPr>
              <w:t>4. CET.</w:t>
            </w:r>
          </w:p>
        </w:tc>
        <w:tc>
          <w:tcPr>
            <w:tcW w:w="622" w:type="dxa"/>
            <w:tcBorders>
              <w:top w:val="single" w:sz="4" w:space="0" w:color="auto"/>
              <w:left w:val="nil"/>
              <w:bottom w:val="single" w:sz="4" w:space="0" w:color="auto"/>
              <w:right w:val="single" w:sz="4" w:space="0" w:color="auto"/>
            </w:tcBorders>
            <w:shd w:val="clear" w:color="auto" w:fill="C6EFCE"/>
            <w:noWrap/>
          </w:tcPr>
          <w:p w14:paraId="07A35CB2" w14:textId="77777777" w:rsidR="00CB0FCB" w:rsidRDefault="009D2B11">
            <w:pPr>
              <w:pStyle w:val="P68B1DB1-Normal9"/>
              <w:spacing w:after="0" w:line="240" w:lineRule="auto"/>
              <w:rPr>
                <w:rFonts w:eastAsia="Times New Roman"/>
                <w:noProof/>
                <w:szCs w:val="18"/>
              </w:rPr>
            </w:pPr>
            <w:r>
              <w:rPr>
                <w:noProof/>
              </w:rPr>
              <w:t>2025</w:t>
            </w:r>
          </w:p>
        </w:tc>
        <w:tc>
          <w:tcPr>
            <w:tcW w:w="4885" w:type="dxa"/>
            <w:tcBorders>
              <w:top w:val="single" w:sz="4" w:space="0" w:color="auto"/>
              <w:left w:val="nil"/>
              <w:bottom w:val="single" w:sz="4" w:space="0" w:color="auto"/>
              <w:right w:val="single" w:sz="4" w:space="0" w:color="auto"/>
            </w:tcBorders>
            <w:shd w:val="clear" w:color="auto" w:fill="C6EFCE"/>
            <w:noWrap/>
          </w:tcPr>
          <w:p w14:paraId="2127BAB0" w14:textId="77777777" w:rsidR="00CB0FCB" w:rsidRDefault="009D2B11">
            <w:pPr>
              <w:pStyle w:val="P68B1DB1-Normal9"/>
              <w:spacing w:after="0" w:line="240" w:lineRule="auto"/>
              <w:rPr>
                <w:noProof/>
                <w:szCs w:val="18"/>
              </w:rPr>
            </w:pPr>
            <w:r>
              <w:rPr>
                <w:noProof/>
              </w:rPr>
              <w:t xml:space="preserve">E-tiesiskums: Nodevumi “Tieslietu nozares IT sistēmu modernizācijai un paplašināšanai” attiecībā uz: </w:t>
            </w:r>
          </w:p>
          <w:p w14:paraId="0C31A7E1" w14:textId="77777777" w:rsidR="00CB0FCB" w:rsidRDefault="009D2B11">
            <w:pPr>
              <w:pStyle w:val="P68B1DB1-Normal9"/>
              <w:numPr>
                <w:ilvl w:val="0"/>
                <w:numId w:val="26"/>
              </w:numPr>
              <w:spacing w:before="120" w:after="0" w:line="240" w:lineRule="auto"/>
              <w:ind w:left="314"/>
              <w:jc w:val="both"/>
              <w:rPr>
                <w:noProof/>
                <w:szCs w:val="18"/>
              </w:rPr>
            </w:pPr>
            <w:r>
              <w:rPr>
                <w:noProof/>
              </w:rPr>
              <w:t>Modernizēt tiesu lietvedības sistēmu.</w:t>
            </w:r>
          </w:p>
          <w:p w14:paraId="680224EF" w14:textId="77777777" w:rsidR="00CB0FCB" w:rsidRDefault="009D2B11">
            <w:pPr>
              <w:pStyle w:val="P68B1DB1-Normal9"/>
              <w:numPr>
                <w:ilvl w:val="0"/>
                <w:numId w:val="26"/>
              </w:numPr>
              <w:spacing w:before="120" w:after="0" w:line="259" w:lineRule="auto"/>
              <w:ind w:left="314"/>
              <w:contextualSpacing/>
              <w:jc w:val="both"/>
              <w:rPr>
                <w:noProof/>
                <w:szCs w:val="18"/>
              </w:rPr>
            </w:pPr>
            <w:r>
              <w:rPr>
                <w:noProof/>
              </w:rPr>
              <w:t>Tieslietu nozares IT sistēmu uzlabošana un atbalsts civiltiesām un krimināltiesām, revīzijas tiesai un valsts sodāmības reģistram.</w:t>
            </w:r>
          </w:p>
          <w:p w14:paraId="354FE43E" w14:textId="77777777" w:rsidR="00CB0FCB" w:rsidRDefault="009D2B11">
            <w:pPr>
              <w:pStyle w:val="P68B1DB1-Normal9"/>
              <w:spacing w:after="0" w:line="240" w:lineRule="auto"/>
              <w:rPr>
                <w:rFonts w:eastAsia="Times New Roman"/>
                <w:noProof/>
                <w:szCs w:val="18"/>
              </w:rPr>
            </w:pPr>
            <w:r>
              <w:rPr>
                <w:noProof/>
              </w:rPr>
              <w:t>Apakšprojekti ietver: Tiesu uzskaites sistēmas modernizācija — Integrētās tiesu lietu pārvaldības sistēmas civiltiesām un krimināltiesām (OSDDY-PP A) atjaunināšana un atbalsta pakalpojumi un sistēmas ieviešana visās valsts civiltiesās un krimināltiesās (OSDDY-PP B).  — Valsts sodāmības reģistru sistēmas (NCRIS) modernizācijas un atbalsta pakalpojumi — Grieķijas Revīzijas palātas (ELSYN) Lietu pārvaldības sistēmas (“CMS”) modernizācija un atbalsta pakalpojumi</w:t>
            </w:r>
          </w:p>
        </w:tc>
      </w:tr>
    </w:tbl>
    <w:p w14:paraId="3AC882BD" w14:textId="77777777" w:rsidR="00CB0FCB" w:rsidRDefault="00CB0FCB">
      <w:pPr>
        <w:spacing w:before="120" w:after="120" w:line="240" w:lineRule="auto"/>
        <w:jc w:val="both"/>
        <w:rPr>
          <w:rFonts w:ascii="Times New Roman" w:hAnsi="Times New Roman" w:cs="Times New Roman"/>
          <w:noProof/>
          <w:sz w:val="24"/>
        </w:rPr>
        <w:sectPr w:rsidR="00CB0FCB" w:rsidSect="0030238F">
          <w:headerReference w:type="even" r:id="rId241"/>
          <w:headerReference w:type="default" r:id="rId242"/>
          <w:footerReference w:type="even" r:id="rId243"/>
          <w:footerReference w:type="default" r:id="rId244"/>
          <w:headerReference w:type="first" r:id="rId245"/>
          <w:footerReference w:type="first" r:id="rId246"/>
          <w:pgSz w:w="16839" w:h="11907" w:orient="landscape"/>
          <w:pgMar w:top="720" w:right="720" w:bottom="720" w:left="720" w:header="709" w:footer="212" w:gutter="0"/>
          <w:cols w:space="720"/>
          <w:docGrid w:linePitch="360"/>
        </w:sectPr>
      </w:pPr>
    </w:p>
    <w:p w14:paraId="394C5052" w14:textId="77777777" w:rsidR="00CB0FCB" w:rsidRDefault="009D2B11">
      <w:pPr>
        <w:pStyle w:val="P68B1DB1-Normal2"/>
        <w:spacing w:before="120" w:after="120" w:line="240" w:lineRule="auto"/>
        <w:ind w:firstLine="6"/>
        <w:jc w:val="both"/>
        <w:outlineLvl w:val="3"/>
        <w:rPr>
          <w:rFonts w:cs="Times New Roman"/>
          <w:bCs/>
          <w:noProof/>
        </w:rPr>
      </w:pPr>
      <w:r>
        <w:rPr>
          <w:noProof/>
        </w:rPr>
        <w:t>O. 4.4. KOMPONENTS: FINANŠU NOZARES UN KAPITĀLA TIRGUS STIPRINĀŠANA</w:t>
      </w:r>
    </w:p>
    <w:p w14:paraId="3FB23474" w14:textId="77777777" w:rsidR="00CB0FCB" w:rsidRDefault="009D2B11">
      <w:pPr>
        <w:pStyle w:val="P68B1DB1-Normal4"/>
        <w:spacing w:before="120" w:after="120" w:line="240" w:lineRule="auto"/>
        <w:jc w:val="both"/>
        <w:rPr>
          <w:rFonts w:cs="Times New Roman"/>
          <w:noProof/>
        </w:rPr>
      </w:pPr>
      <w:r>
        <w:rPr>
          <w:noProof/>
        </w:rPr>
        <w:t>Šā Grieķijas atveseļošanas un noturības plāna komponenta mērķis ir stiprināt finanšu sistēmas spēju atbalstīt ekonomikas attīstību, nodrošinot finansējumu uzņēmumiem un privātpersonām jaunu darbību attīstīšanai. Tā atbalsta to, ka Grieķijas banku nozarē tiek risināti augsti ienākumus nenesoši riska darījumi (INRD) un ieņēmumus nenesoši aizdevumi (INA), vienlaikus arī uzlabojot piekļuvi informācijai par uzņēmumu un privātpersonu kredītu profiliem tirgū. </w:t>
      </w:r>
    </w:p>
    <w:p w14:paraId="329317BD" w14:textId="77777777" w:rsidR="00CB0FCB" w:rsidRDefault="009D2B11">
      <w:pPr>
        <w:pStyle w:val="P68B1DB1-Normal4"/>
        <w:spacing w:before="120" w:after="120" w:line="240" w:lineRule="auto"/>
        <w:jc w:val="both"/>
        <w:rPr>
          <w:rFonts w:cs="Times New Roman"/>
          <w:noProof/>
        </w:rPr>
      </w:pPr>
      <w:r>
        <w:rPr>
          <w:noProof/>
        </w:rPr>
        <w:t>Komponents arī atbalsta privātā sektora parādsaistību novēršanu un stiprina kapitāla tirgus. Strukturālas pārmaiņas šajās divās jomās veicina izaugsmi un palielina Grieķijas ekonomikas noturību, ņemot vērā turpmākos satricinājumus. </w:t>
      </w:r>
    </w:p>
    <w:p w14:paraId="50028015" w14:textId="77777777" w:rsidR="00CB0FCB" w:rsidRDefault="009D2B11">
      <w:pPr>
        <w:pStyle w:val="P68B1DB1-Normal4"/>
        <w:spacing w:before="120" w:after="120" w:line="240" w:lineRule="auto"/>
        <w:jc w:val="both"/>
        <w:rPr>
          <w:rFonts w:cs="Times New Roman"/>
          <w:noProof/>
        </w:rPr>
      </w:pPr>
      <w:r>
        <w:rPr>
          <w:noProof/>
        </w:rPr>
        <w:t>Reformas saskaņā ar šo komponentu ietver: </w:t>
      </w:r>
    </w:p>
    <w:p w14:paraId="0AF877FB" w14:textId="77777777" w:rsidR="00CB0FCB" w:rsidRDefault="009D2B11">
      <w:pPr>
        <w:pStyle w:val="P68B1DB1-Normal4"/>
        <w:numPr>
          <w:ilvl w:val="0"/>
          <w:numId w:val="60"/>
        </w:numPr>
        <w:spacing w:before="120" w:after="120" w:line="240" w:lineRule="auto"/>
        <w:ind w:left="360"/>
        <w:jc w:val="both"/>
        <w:rPr>
          <w:rFonts w:cs="Times New Roman"/>
          <w:noProof/>
        </w:rPr>
      </w:pPr>
      <w:r>
        <w:rPr>
          <w:noProof/>
        </w:rPr>
        <w:t>Pastiprināta kapitāla tirgus uzraudzība un uzticamība </w:t>
      </w:r>
    </w:p>
    <w:p w14:paraId="791F7D32" w14:textId="77777777" w:rsidR="00CB0FCB" w:rsidRDefault="009D2B11">
      <w:pPr>
        <w:pStyle w:val="P68B1DB1-Normal4"/>
        <w:numPr>
          <w:ilvl w:val="0"/>
          <w:numId w:val="60"/>
        </w:numPr>
        <w:spacing w:before="120" w:after="120" w:line="240" w:lineRule="auto"/>
        <w:ind w:left="360"/>
        <w:jc w:val="both"/>
        <w:rPr>
          <w:rFonts w:cs="Times New Roman"/>
          <w:noProof/>
        </w:rPr>
      </w:pPr>
      <w:r>
        <w:rPr>
          <w:noProof/>
        </w:rPr>
        <w:t xml:space="preserve">Stiprināt finanšu sistēmas spēju pārvarēt mantotās problēmas un finansēt reālo ekonomiku </w:t>
      </w:r>
    </w:p>
    <w:p w14:paraId="4812DD07" w14:textId="77777777" w:rsidR="00CB0FCB" w:rsidRDefault="009D2B11">
      <w:pPr>
        <w:pStyle w:val="P68B1DB1-Normal4"/>
        <w:numPr>
          <w:ilvl w:val="0"/>
          <w:numId w:val="60"/>
        </w:numPr>
        <w:spacing w:before="120" w:after="120" w:line="240" w:lineRule="auto"/>
        <w:ind w:left="360"/>
        <w:jc w:val="both"/>
        <w:rPr>
          <w:rFonts w:cs="Times New Roman"/>
          <w:noProof/>
        </w:rPr>
      </w:pPr>
      <w:r>
        <w:rPr>
          <w:noProof/>
        </w:rPr>
        <w:t xml:space="preserve">Digitālās infrastruktūras modernizācija, kas nepieciešama, lai īstenotu jauno vienoto maksātnespējas regulējumu parāda pārstrukturēšanai un 2. iespēja </w:t>
      </w:r>
    </w:p>
    <w:p w14:paraId="16B624BF" w14:textId="4E52AB4D" w:rsidR="00CB0FCB" w:rsidRDefault="009D2B11">
      <w:pPr>
        <w:pStyle w:val="P68B1DB1-Normal22"/>
        <w:spacing w:before="120" w:after="120" w:line="240" w:lineRule="auto"/>
        <w:jc w:val="both"/>
        <w:rPr>
          <w:rFonts w:ascii="Times New Roman" w:hAnsi="Times New Roman" w:cs="Times New Roman"/>
          <w:noProof/>
        </w:rPr>
      </w:pPr>
      <w:r>
        <w:rPr>
          <w:rFonts w:ascii="Times New Roman" w:hAnsi="Times New Roman"/>
          <w:noProof/>
        </w:rPr>
        <w:t>Dažas no šīm reformām ietver darbības, ar kurām novērš informācijas trūkumu, kas kavē sekmīgu kredītu plūsmu un efektīvu riska uzraudzību. Tie ietver</w:t>
      </w:r>
      <w:r>
        <w:rPr>
          <w:rFonts w:asciiTheme="minorHAnsi" w:eastAsiaTheme="minorEastAsia" w:hAnsiTheme="minorHAnsi" w:cstheme="minorBidi"/>
          <w:noProof/>
        </w:rPr>
        <w:t>privātā parāda uzraudzības reģistra izveidi</w:t>
      </w:r>
      <w:r>
        <w:rPr>
          <w:rFonts w:ascii="Times New Roman" w:hAnsi="Times New Roman"/>
          <w:noProof/>
        </w:rPr>
        <w:t xml:space="preserve">, publiskas kredītreitingu informācijas sistēmas un centrālā kredītreģistra izstrādi. Turklāt Centrālais kredītu reģistrs, vācot attiecīgos datus, arī palīdz kredītu paplašināšanas novērošanas centram uzraudzīt kredītu paplašināšanas attīstību. Šīs darbības arī veicina Grieķijas ekonomikas digitālo pārkārtošanos, jo tās ir atkarīgas no informācijas tehnoloģijām. </w:t>
      </w:r>
    </w:p>
    <w:p w14:paraId="64AC66A3" w14:textId="77777777" w:rsidR="00CB0FCB" w:rsidRDefault="009D2B11">
      <w:pPr>
        <w:pStyle w:val="P68B1DB1-Normal4"/>
        <w:spacing w:before="120" w:after="120" w:line="240" w:lineRule="auto"/>
        <w:jc w:val="both"/>
        <w:rPr>
          <w:rFonts w:cs="Times New Roman"/>
          <w:noProof/>
        </w:rPr>
      </w:pPr>
      <w:r>
        <w:rPr>
          <w:noProof/>
        </w:rPr>
        <w:t>Pasākumi saskaņā ar šo komponentu veicina ekonomisko un institucionālo noturību, stiprina gatavību krīzēm un institucionālās spējas un tādējādi atbalsta konkrētai valstij adresēto ieteikumu “Strukturālās reformas ekonomikas darbības uzlabošanai” (2019. gada konkrētai valstij adresētais ieteikums Nr. 1 un 2020. gada konkrētai valstij adresētais ieteikums Nr. 4).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44EA5E58"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O.1. </w:t>
      </w:r>
      <w:r>
        <w:rPr>
          <w:noProof/>
        </w:rPr>
        <w:t xml:space="preserve"> </w:t>
      </w:r>
      <w:r>
        <w:rPr>
          <w:rFonts w:ascii="Times New Roman" w:hAnsi="Times New Roman"/>
          <w:b/>
          <w:noProof/>
          <w:sz w:val="24"/>
          <w:u w:val="single"/>
        </w:rPr>
        <w:t>Reformu un investīciju apraksts neatmaksājamam finansiālajam atbalstam</w:t>
      </w:r>
    </w:p>
    <w:p w14:paraId="6E323BB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Pastiprināta kapitāla tirgus uzraudzība un uzticamība (pasākums ID 16581)</w:t>
      </w:r>
    </w:p>
    <w:p w14:paraId="1829F550" w14:textId="77777777" w:rsidR="00CB0FCB" w:rsidRDefault="009D2B11">
      <w:pPr>
        <w:pStyle w:val="P68B1DB1-Normal4"/>
        <w:spacing w:before="120" w:after="120" w:line="240" w:lineRule="auto"/>
        <w:jc w:val="both"/>
        <w:rPr>
          <w:rFonts w:cs="Times New Roman"/>
          <w:noProof/>
        </w:rPr>
      </w:pPr>
      <w:r>
        <w:rPr>
          <w:noProof/>
        </w:rPr>
        <w:t>Reformas mērķis ir uzlabot kapitāla tirgu uzraudzību, 1) ieguldot Grieķijas Kapitāla tirgus komisijas (HCMC) digitālajā pārveidē un digitalizējot tās iekšējos procesus un organizāciju, un 2) kodificējot kapitāla tirgu regulatīvo un tiesisko regulējumu, lai uzlabotu kapitāla tirgus uzraudzības spēju. Reforma stājas spēkā līdz 2021. gada 1. ceturksnim un investīcijas IT sistēmā — līdz 2025. gada 31. decembrim.</w:t>
      </w:r>
    </w:p>
    <w:p w14:paraId="1CB4AE18"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Finanšu sistēmas spēju stiprināšana, lai pārvarētu mantotās problēmas un finansētu reālo ekonomiku (pasākums ID 16957)</w:t>
      </w:r>
    </w:p>
    <w:p w14:paraId="5A8792C1" w14:textId="77777777" w:rsidR="00CB0FCB" w:rsidRDefault="009D2B11">
      <w:pPr>
        <w:pStyle w:val="P68B1DB1-Normal4"/>
        <w:spacing w:before="120" w:after="120" w:line="240" w:lineRule="auto"/>
        <w:jc w:val="both"/>
        <w:rPr>
          <w:rFonts w:cs="Times New Roman"/>
          <w:noProof/>
        </w:rPr>
      </w:pPr>
      <w:r>
        <w:rPr>
          <w:noProof/>
        </w:rPr>
        <w:t xml:space="preserve">Šīs visaptverošās reformas mērķis ir samazināt privātā sektora parāda uzkrājumu, uzlabojot maksātnespējas procesu un dodot iespējas INA tirgum, kā arī novēršot turpmāku privātā sektora parāda uzkrāšanos, novēršot informācijas trūkumu.  Reforma sastāv no šādām daļām. </w:t>
      </w:r>
    </w:p>
    <w:p w14:paraId="1E15CD42" w14:textId="77777777" w:rsidR="00CB0FCB" w:rsidRDefault="009D2B11">
      <w:pPr>
        <w:pStyle w:val="P68B1DB1-ListParagraph39"/>
        <w:numPr>
          <w:ilvl w:val="0"/>
          <w:numId w:val="84"/>
        </w:numPr>
        <w:spacing w:before="120" w:after="240" w:line="240" w:lineRule="auto"/>
        <w:ind w:left="357" w:hanging="357"/>
        <w:contextualSpacing w:val="0"/>
        <w:jc w:val="both"/>
        <w:rPr>
          <w:rFonts w:cs="Times New Roman"/>
          <w:noProof/>
          <w:sz w:val="24"/>
        </w:rPr>
      </w:pPr>
      <w:r>
        <w:rPr>
          <w:noProof/>
          <w:sz w:val="24"/>
        </w:rPr>
        <w:t>Pirmkārt, tas attiecas uz</w:t>
      </w:r>
      <w:r>
        <w:rPr>
          <w:b/>
          <w:noProof/>
          <w:color w:val="000000" w:themeColor="text1"/>
          <w:sz w:val="24"/>
        </w:rPr>
        <w:t xml:space="preserve"> e-izsoles procesa </w:t>
      </w:r>
      <w:r>
        <w:rPr>
          <w:noProof/>
          <w:sz w:val="24"/>
        </w:rPr>
        <w:t>uzlabošanu</w:t>
      </w:r>
      <w:r>
        <w:rPr>
          <w:noProof/>
          <w:color w:val="000000" w:themeColor="text1"/>
          <w:sz w:val="24"/>
        </w:rPr>
        <w:t>un</w:t>
      </w:r>
      <w:r>
        <w:rPr>
          <w:noProof/>
          <w:sz w:val="24"/>
        </w:rPr>
        <w:t>informācijas, kas pieejama par izsolītajiem aktīviem e-izsoļu platformā,</w:t>
      </w:r>
      <w:r>
        <w:rPr>
          <w:b/>
          <w:noProof/>
          <w:color w:val="000000" w:themeColor="text1"/>
          <w:sz w:val="20"/>
        </w:rPr>
        <w:t xml:space="preserve"> </w:t>
      </w:r>
      <w:r>
        <w:rPr>
          <w:noProof/>
          <w:sz w:val="24"/>
        </w:rPr>
        <w:t xml:space="preserve">paplašināšanu. </w:t>
      </w:r>
    </w:p>
    <w:p w14:paraId="457019F8" w14:textId="77777777" w:rsidR="00CB0FCB" w:rsidRDefault="009D2B11">
      <w:pPr>
        <w:pStyle w:val="P68B1DB1-ListParagraph19"/>
        <w:numPr>
          <w:ilvl w:val="0"/>
          <w:numId w:val="84"/>
        </w:numPr>
        <w:spacing w:before="120" w:line="240" w:lineRule="auto"/>
        <w:ind w:left="357" w:hanging="357"/>
        <w:contextualSpacing w:val="0"/>
        <w:jc w:val="both"/>
        <w:rPr>
          <w:rFonts w:cs="Times New Roman"/>
          <w:noProof/>
        </w:rPr>
      </w:pPr>
      <w:r>
        <w:rPr>
          <w:noProof/>
        </w:rPr>
        <w:t xml:space="preserve">Otrkārt, tas attiecas uz valsts privātā parāda pārvaldības </w:t>
      </w:r>
      <w:r>
        <w:rPr>
          <w:b/>
          <w:noProof/>
        </w:rPr>
        <w:t>stratēģijā paredzēto politikas pasākumu</w:t>
      </w:r>
      <w:r>
        <w:rPr>
          <w:noProof/>
        </w:rPr>
        <w:t xml:space="preserve"> pabeigšanu, jo īpaši:</w:t>
      </w:r>
    </w:p>
    <w:p w14:paraId="78A11363" w14:textId="2D9F3137" w:rsidR="00CB0FCB" w:rsidRDefault="009D2B11">
      <w:pPr>
        <w:pStyle w:val="P68B1DB1-ListParagraph40"/>
        <w:numPr>
          <w:ilvl w:val="1"/>
          <w:numId w:val="84"/>
        </w:numPr>
        <w:spacing w:before="120" w:line="240" w:lineRule="auto"/>
        <w:jc w:val="both"/>
        <w:rPr>
          <w:rFonts w:cs="Times New Roman"/>
          <w:noProof/>
        </w:rPr>
      </w:pPr>
      <w:r>
        <w:rPr>
          <w:noProof/>
        </w:rPr>
        <w:t xml:space="preserve">Valsts kredītreitingu informācijas sistēmas izveide, lai novērstu informācijas asimetriju starp publiskā sektora struktūrām un bankām, pamatojoties uz publiskā sektora datiem un informāciju. </w:t>
      </w:r>
    </w:p>
    <w:p w14:paraId="5671A411" w14:textId="77777777" w:rsidR="00CB0FCB" w:rsidRDefault="009D2B11">
      <w:pPr>
        <w:pStyle w:val="P68B1DB1-ListParagraph19"/>
        <w:numPr>
          <w:ilvl w:val="1"/>
          <w:numId w:val="84"/>
        </w:numPr>
        <w:spacing w:before="120" w:after="240" w:line="240" w:lineRule="auto"/>
        <w:contextualSpacing w:val="0"/>
        <w:jc w:val="both"/>
        <w:rPr>
          <w:rFonts w:cs="Times New Roman"/>
          <w:noProof/>
        </w:rPr>
      </w:pPr>
      <w:r>
        <w:rPr>
          <w:b/>
          <w:noProof/>
        </w:rPr>
        <w:t xml:space="preserve"> Privātā</w:t>
      </w:r>
      <w:r>
        <w:rPr>
          <w:noProof/>
        </w:rPr>
        <w:t xml:space="preserve"> </w:t>
      </w:r>
      <w:r>
        <w:rPr>
          <w:b/>
          <w:noProof/>
        </w:rPr>
        <w:t>parāda uzraudzības reģistra</w:t>
      </w:r>
      <w:r>
        <w:rPr>
          <w:noProof/>
        </w:rPr>
        <w:t xml:space="preserve"> IT sistēmas ieviešana, kas vāc datus no publiskiem un privātiem kreditoriem, kā arī no citiem attiecīgiem avotiem.</w:t>
      </w:r>
    </w:p>
    <w:p w14:paraId="60AFF79E" w14:textId="4F2FC6FF" w:rsidR="00CB0FCB" w:rsidRDefault="009D2B11">
      <w:pPr>
        <w:pStyle w:val="P68B1DB1-ListParagraph40"/>
        <w:numPr>
          <w:ilvl w:val="1"/>
          <w:numId w:val="84"/>
        </w:numPr>
        <w:spacing w:before="120" w:after="240" w:line="240" w:lineRule="auto"/>
        <w:jc w:val="both"/>
        <w:rPr>
          <w:rFonts w:cs="Times New Roman"/>
          <w:noProof/>
        </w:rPr>
      </w:pPr>
      <w:r>
        <w:rPr>
          <w:noProof/>
        </w:rPr>
        <w:t>Atbalsts INA sekundārā tirgus padziļināšanai, izveidojot kopīgu INA darījumu platformu un izveidojot kopīgas datu veidnes.</w:t>
      </w:r>
    </w:p>
    <w:p w14:paraId="59BB4143" w14:textId="70B2A727" w:rsidR="00CB0FCB" w:rsidRDefault="009D2B11">
      <w:pPr>
        <w:pStyle w:val="ListParagraph"/>
        <w:numPr>
          <w:ilvl w:val="0"/>
          <w:numId w:val="8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Trešā apakšreforma attiecas uz</w:t>
      </w:r>
      <w:r>
        <w:rPr>
          <w:rFonts w:ascii="Times New Roman" w:hAnsi="Times New Roman"/>
          <w:b/>
          <w:noProof/>
          <w:sz w:val="24"/>
          <w:szCs w:val="24"/>
        </w:rPr>
        <w:t xml:space="preserve"> Centrālā kredītu reģistra (CCR) </w:t>
      </w:r>
      <w:r>
        <w:rPr>
          <w:rFonts w:ascii="Times New Roman" w:hAnsi="Times New Roman"/>
          <w:noProof/>
          <w:sz w:val="24"/>
          <w:szCs w:val="24"/>
        </w:rPr>
        <w:t>izveidi,</w:t>
      </w:r>
      <w:r>
        <w:rPr>
          <w:rFonts w:ascii="Times New Roman" w:hAnsi="Times New Roman"/>
          <w:noProof/>
          <w:color w:val="000000"/>
          <w:sz w:val="24"/>
          <w:szCs w:val="24"/>
        </w:rPr>
        <w:t xml:space="preserve">kas papildinātu Hercules aktīvu aizsardzības shēmu, uzlabojot INA sekundāro tirgu. CCR mitina Grieķijas Banka, un tajā reģistrē katra klienta aizdevuma maksājumu vēsturi un sniegtā nodrošinājuma veidus. CCR, vācot attiecīgos datus, veicina arī kredītu paplašināšanas novērošanas centra darbību un funkcijas, lai uzraudzītu kredītu paplašināšanas attīstību. </w:t>
      </w:r>
      <w:r>
        <w:rPr>
          <w:rFonts w:ascii="Times New Roman" w:hAnsi="Times New Roman"/>
          <w:noProof/>
          <w:sz w:val="24"/>
          <w:szCs w:val="24"/>
        </w:rPr>
        <w:t>CCR nodrošina piekļuvi kredītinformācijai, novēršot tirgus nepilnības, ko rada asimetriska informācija, tādējādi atvieglojot piekļuvi kredītam.</w:t>
      </w:r>
      <w:r>
        <w:rPr>
          <w:noProof/>
          <w:color w:val="000000"/>
          <w:bdr w:val="none" w:sz="0" w:space="0" w:color="auto" w:frame="1"/>
        </w:rPr>
        <w:t xml:space="preserve"> </w:t>
      </w:r>
    </w:p>
    <w:p w14:paraId="5ABE4403" w14:textId="04FF8D18" w:rsidR="00CB0FCB" w:rsidRDefault="009D2B11">
      <w:pPr>
        <w:pStyle w:val="P68B1DB1-ListParagraph41"/>
        <w:numPr>
          <w:ilvl w:val="0"/>
          <w:numId w:val="84"/>
        </w:numPr>
        <w:spacing w:before="120" w:after="120" w:line="240" w:lineRule="auto"/>
        <w:jc w:val="both"/>
        <w:rPr>
          <w:noProof/>
        </w:rPr>
      </w:pPr>
      <w:r>
        <w:rPr>
          <w:noProof/>
        </w:rPr>
        <w:t>Reformas mērķis ir arī paātrināt pret izpildes procedūru vērsto iebildumu izskatīšanu un racionalizēt tiesvedību, ieviešot mērķtiecīgus grozījumus Civilprocesa kodeksā, piemēram, bet ne tikai, a) ātrāku un elastīgāku noteikumu piemērošanu, kas paredzēti pagaidu noregulējuma procedūrā, pielāgojot to konkrētām izpildes procedūrām (spriedumi, kas pieprasa pilnīgus pierādījumus, pieļaujot pārsūdzības tiesības), lai paātrinātu un racionalizētu lietu (iebildumu) izskatīšanu; pirmsizsoles būtisko iebildumu, kas vērsti pret nosaukumu/maksājuma rīkojumu, nodalīšana (632. pants un turpmākie panti. CCP) no iebildumiem izpildes procesa laikā, kas rada procesuālus jautājumus pēc izpildes rīkojuma izsniegšanas (CPK 933. pants); izmaiņas tiesu teritoriālajā kompetencē attiecībā uz tādu strīdu izskatīšanu, kas saistīti ar izpildi (jurisdikcijas noteikšana). Saskaņā ar iepriekš definētu klauzulu, kas iekļauta līgumos, kurus kredītiestādes/finanšu iestādes parasti paraksta ar parādniekiem, Atēnu pirmās instances tiesa ir kompetentā tiesa gandrīz visās izpildes procedūrās visā valstī neatkarīgi no īpašuma atrašanās vietas. Šā noteikuma atcelšana atbrīvotu centrālo tiesu no ievērojama sloga un d) tāda likuma pieņemšanas, ar ko izveido mehānismu, lai īsākā laikposmā iegūtu vēl neizskatīto likvidācijas lietu izskatīšanas datumus, mērķis ir risināt neizskatīto lietu problēmu, kā arī ad hoc tiesnešu iztiesāšanas sastāvu izveide, lai to risinātu tiesās, kuras saskaras ar vislielāko slogu.</w:t>
      </w:r>
    </w:p>
    <w:p w14:paraId="7FC39182" w14:textId="77777777" w:rsidR="00CB0FCB" w:rsidRDefault="009D2B11">
      <w:pPr>
        <w:pStyle w:val="P68B1DB1-Normal4"/>
        <w:spacing w:before="120" w:after="120" w:line="240" w:lineRule="auto"/>
        <w:jc w:val="both"/>
        <w:rPr>
          <w:rFonts w:cs="Times New Roman"/>
          <w:noProof/>
          <w:szCs w:val="24"/>
        </w:rPr>
      </w:pPr>
      <w:r>
        <w:rPr>
          <w:noProof/>
        </w:rPr>
        <w:t>Vispārējās reformas īstenošanu pabeidz līdz 2025. gada 31. decembrim.</w:t>
      </w:r>
    </w:p>
    <w:p w14:paraId="0CB23731"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Digitālās infrastruktūras modernizācija, kas nepieciešama, lai īstenotu jauno vienoto maksātnespējas regulējumu parāda pārstrukturēšanai un otrās iespējas īstenošanai (ID 16580)</w:t>
      </w:r>
    </w:p>
    <w:p w14:paraId="2BFC1C28" w14:textId="77777777" w:rsidR="00CB0FCB" w:rsidRDefault="009D2B11">
      <w:pPr>
        <w:pStyle w:val="P68B1DB1-Normal4"/>
        <w:spacing w:before="120" w:after="120" w:line="240" w:lineRule="auto"/>
        <w:jc w:val="both"/>
        <w:rPr>
          <w:rFonts w:cs="Times New Roman"/>
          <w:noProof/>
        </w:rPr>
      </w:pPr>
      <w:r>
        <w:rPr>
          <w:noProof/>
        </w:rPr>
        <w:t>Reformas mērķis ir modernizēt nepieciešamo digitālo infrastruktūru, lai atbalstītu agrīnās brīdināšanas un preventīvās parādu pārstrukturēšanas procedūras, ko nodrošina jaunais vienotais/kodificētais tiesiskais regulējums fizisku un juridisku personu parādu pārvaldībai;</w:t>
      </w:r>
    </w:p>
    <w:p w14:paraId="01D0FDB5" w14:textId="77777777" w:rsidR="00CB0FCB" w:rsidRDefault="009D2B11">
      <w:pPr>
        <w:pStyle w:val="P68B1DB1-Normal4"/>
        <w:spacing w:before="120" w:after="120" w:line="240" w:lineRule="auto"/>
        <w:jc w:val="both"/>
        <w:rPr>
          <w:rFonts w:cs="Times New Roman"/>
          <w:noProof/>
        </w:rPr>
      </w:pPr>
      <w:r>
        <w:rPr>
          <w:noProof/>
        </w:rPr>
        <w:t>Šo reformu pabeidz līdz 2025. gada 31. decembrim.</w:t>
      </w:r>
    </w:p>
    <w:p w14:paraId="49A1ADB1" w14:textId="77777777" w:rsidR="00CB0FCB" w:rsidRDefault="00CB0FCB">
      <w:pPr>
        <w:spacing w:before="120" w:after="120" w:line="240" w:lineRule="auto"/>
        <w:ind w:left="709"/>
        <w:jc w:val="both"/>
        <w:rPr>
          <w:rFonts w:ascii="Times New Roman" w:hAnsi="Times New Roman" w:cs="Times New Roman"/>
          <w:b/>
          <w:bCs/>
          <w:noProof/>
          <w:sz w:val="24"/>
          <w:u w:val="single"/>
        </w:rPr>
      </w:pPr>
    </w:p>
    <w:p w14:paraId="3EB69964"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47"/>
          <w:headerReference w:type="default" r:id="rId248"/>
          <w:footerReference w:type="even" r:id="rId249"/>
          <w:footerReference w:type="default" r:id="rId250"/>
          <w:headerReference w:type="first" r:id="rId251"/>
          <w:footerReference w:type="first" r:id="rId252"/>
          <w:pgSz w:w="11907" w:h="16839"/>
          <w:pgMar w:top="1134" w:right="1417" w:bottom="1134" w:left="1417" w:header="709" w:footer="327" w:gutter="0"/>
          <w:cols w:space="720"/>
          <w:docGrid w:linePitch="360"/>
        </w:sectPr>
      </w:pPr>
    </w:p>
    <w:p w14:paraId="7E276698"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O.2.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4897CA2E" w14:textId="77777777" w:rsidR="00CB0FCB" w:rsidRDefault="00CB0FCB">
      <w:pPr>
        <w:rPr>
          <w:noProof/>
        </w:rPr>
      </w:pPr>
    </w:p>
    <w:p w14:paraId="02343562" w14:textId="77777777" w:rsidR="00CB0FCB" w:rsidRDefault="009D2B11">
      <w:pPr>
        <w:pStyle w:val="P68B1DB1-Normal6"/>
        <w:keepNext/>
        <w:keepLines/>
        <w:spacing w:before="40" w:after="0" w:line="240" w:lineRule="auto"/>
        <w:jc w:val="both"/>
        <w:outlineLvl w:val="4"/>
        <w:rPr>
          <w:rFonts w:eastAsia="Times New Roman"/>
          <w:noProof/>
        </w:rPr>
      </w:pPr>
      <w:r>
        <w:rPr>
          <w:noProof/>
        </w:rPr>
        <w:t>Grupa: Finanšu nozares un kapitāla tirgu stiprināšana</w:t>
      </w:r>
    </w:p>
    <w:p w14:paraId="27F0AEF2" w14:textId="77777777" w:rsidR="00CB0FCB" w:rsidRDefault="009D2B11">
      <w:pPr>
        <w:pStyle w:val="P68B1DB1-Normal4"/>
        <w:numPr>
          <w:ilvl w:val="0"/>
          <w:numId w:val="35"/>
        </w:numPr>
        <w:spacing w:before="120" w:after="0" w:line="240" w:lineRule="auto"/>
        <w:jc w:val="both"/>
        <w:rPr>
          <w:rFonts w:cs="Times New Roman"/>
          <w:noProof/>
        </w:rPr>
      </w:pPr>
      <w:r>
        <w:rPr>
          <w:noProof/>
        </w:rPr>
        <w:t>Pastiprināta kapitāla tirgus uzraudzība un uzticamība (ID: 16581)</w:t>
      </w:r>
    </w:p>
    <w:p w14:paraId="57743230" w14:textId="77777777" w:rsidR="00CB0FCB" w:rsidRDefault="009D2B11">
      <w:pPr>
        <w:pStyle w:val="P68B1DB1-Normal4"/>
        <w:numPr>
          <w:ilvl w:val="0"/>
          <w:numId w:val="35"/>
        </w:numPr>
        <w:spacing w:before="120" w:after="0" w:line="240" w:lineRule="auto"/>
        <w:jc w:val="both"/>
        <w:rPr>
          <w:rFonts w:cs="Times New Roman"/>
          <w:noProof/>
        </w:rPr>
      </w:pPr>
      <w:r>
        <w:rPr>
          <w:noProof/>
        </w:rPr>
        <w:t>Stiprināt finanšu sistēmas spēju pārvarēt mantotās problēmas un finansēt reālo ekonomiku (ID: 16957)</w:t>
      </w:r>
    </w:p>
    <w:p w14:paraId="1FB635BA" w14:textId="77777777" w:rsidR="00CB0FCB" w:rsidRDefault="009D2B11">
      <w:pPr>
        <w:pStyle w:val="P68B1DB1-Normal4"/>
        <w:numPr>
          <w:ilvl w:val="0"/>
          <w:numId w:val="35"/>
        </w:numPr>
        <w:spacing w:before="120" w:after="0" w:line="240" w:lineRule="auto"/>
        <w:jc w:val="both"/>
        <w:rPr>
          <w:rFonts w:cs="Times New Roman"/>
          <w:noProof/>
        </w:rPr>
      </w:pPr>
      <w:r>
        <w:rPr>
          <w:noProof/>
        </w:rPr>
        <w:t>Jaunā vienotā maksātnespējas regulējuma īstenošana parāda pārstrukturēšanai un 2. iespējai (ID: 16580)</w:t>
      </w:r>
    </w:p>
    <w:p w14:paraId="2C37F5B1" w14:textId="77777777" w:rsidR="00CB0FCB" w:rsidRDefault="00CB0FCB">
      <w:pPr>
        <w:spacing w:before="120" w:after="120" w:line="240" w:lineRule="auto"/>
        <w:ind w:left="720"/>
        <w:jc w:val="both"/>
        <w:rPr>
          <w:rFonts w:ascii="Times New Roman" w:hAnsi="Times New Roman" w:cs="Times New Roman"/>
          <w:noProof/>
          <w:sz w:val="24"/>
        </w:rPr>
      </w:pPr>
    </w:p>
    <w:tbl>
      <w:tblPr>
        <w:tblW w:w="15889" w:type="dxa"/>
        <w:jc w:val="center"/>
        <w:tblLook w:val="04A0" w:firstRow="1" w:lastRow="0" w:firstColumn="1" w:lastColumn="0" w:noHBand="0" w:noVBand="1"/>
      </w:tblPr>
      <w:tblGrid>
        <w:gridCol w:w="1027"/>
        <w:gridCol w:w="1942"/>
        <w:gridCol w:w="1807"/>
        <w:gridCol w:w="1474"/>
        <w:gridCol w:w="1576"/>
        <w:gridCol w:w="968"/>
        <w:gridCol w:w="1396"/>
        <w:gridCol w:w="766"/>
        <w:gridCol w:w="1027"/>
        <w:gridCol w:w="673"/>
        <w:gridCol w:w="5194"/>
      </w:tblGrid>
      <w:tr w:rsidR="00CB0FCB" w14:paraId="280ADEFD" w14:textId="77777777">
        <w:trPr>
          <w:trHeight w:val="695"/>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D947F6"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AA9F35"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AA6B06"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253" w:type="dxa"/>
            <w:vMerge w:val="restart"/>
            <w:tcBorders>
              <w:top w:val="single" w:sz="4" w:space="0" w:color="auto"/>
              <w:left w:val="nil"/>
              <w:bottom w:val="single" w:sz="4" w:space="0" w:color="auto"/>
              <w:right w:val="single" w:sz="4" w:space="0" w:color="auto"/>
            </w:tcBorders>
            <w:shd w:val="clear" w:color="auto" w:fill="BDD7EE"/>
            <w:vAlign w:val="center"/>
            <w:hideMark/>
          </w:tcPr>
          <w:p w14:paraId="77D8BCE9"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D44109"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Kvalitatīvie rādītāji </w:t>
            </w:r>
            <w:r>
              <w:rPr>
                <w:noProof/>
                <w:sz w:val="24"/>
              </w:rPr>
              <w:t xml:space="preserve"> </w:t>
            </w:r>
            <w:r>
              <w:rPr>
                <w:b/>
                <w:noProof/>
                <w:sz w:val="18"/>
              </w:rPr>
              <w:t>(atskaites punktiem)</w:t>
            </w:r>
          </w:p>
        </w:tc>
        <w:tc>
          <w:tcPr>
            <w:tcW w:w="2412" w:type="dxa"/>
            <w:gridSpan w:val="3"/>
            <w:tcBorders>
              <w:top w:val="single" w:sz="4" w:space="0" w:color="auto"/>
              <w:left w:val="nil"/>
              <w:bottom w:val="single" w:sz="4" w:space="0" w:color="auto"/>
              <w:right w:val="single" w:sz="4" w:space="0" w:color="auto"/>
            </w:tcBorders>
            <w:shd w:val="clear" w:color="auto" w:fill="BDD7EE"/>
            <w:vAlign w:val="center"/>
            <w:hideMark/>
          </w:tcPr>
          <w:p w14:paraId="79CFE2FD" w14:textId="77777777" w:rsidR="00CB0FCB" w:rsidRDefault="009D2B11">
            <w:pPr>
              <w:pStyle w:val="P68B1DB1-Normal37"/>
              <w:spacing w:after="0" w:line="240" w:lineRule="auto"/>
              <w:jc w:val="center"/>
              <w:rPr>
                <w:rFonts w:eastAsia="Times New Roman" w:cs="Times New Roman"/>
                <w:b/>
                <w:bCs/>
                <w:noProof/>
                <w:sz w:val="18"/>
                <w:szCs w:val="18"/>
              </w:rPr>
            </w:pPr>
            <w:r>
              <w:rPr>
                <w:b/>
                <w:noProof/>
                <w:sz w:val="18"/>
              </w:rPr>
              <w:t xml:space="preserve">Kvantitatīvie rādītāji </w:t>
            </w:r>
            <w:r>
              <w:rPr>
                <w:noProof/>
                <w:sz w:val="24"/>
              </w:rPr>
              <w:t xml:space="preserve"> </w:t>
            </w:r>
            <w:r>
              <w:rPr>
                <w:b/>
                <w:noProof/>
                <w:sz w:val="18"/>
              </w:rPr>
              <w:t>(mērķrādītājiem)</w:t>
            </w:r>
          </w:p>
        </w:tc>
        <w:tc>
          <w:tcPr>
            <w:tcW w:w="1519" w:type="dxa"/>
            <w:gridSpan w:val="2"/>
            <w:tcBorders>
              <w:top w:val="single" w:sz="4" w:space="0" w:color="auto"/>
              <w:left w:val="nil"/>
              <w:bottom w:val="single" w:sz="4" w:space="0" w:color="auto"/>
              <w:right w:val="single" w:sz="4" w:space="0" w:color="auto"/>
            </w:tcBorders>
            <w:shd w:val="clear" w:color="auto" w:fill="BDD7EE"/>
            <w:vAlign w:val="center"/>
            <w:hideMark/>
          </w:tcPr>
          <w:p w14:paraId="3743F341"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51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4D7DB75"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647FAA56" w14:textId="77777777">
        <w:trPr>
          <w:trHeight w:val="610"/>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4194E53" w14:textId="77777777" w:rsidR="00CB0FCB" w:rsidRDefault="00CB0FCB">
            <w:pPr>
              <w:spacing w:after="0" w:line="240" w:lineRule="auto"/>
              <w:rPr>
                <w:rFonts w:ascii="Times New Roman" w:eastAsia="Times New Roman" w:hAnsi="Times New Roman" w:cs="Times New Roman"/>
                <w:b/>
                <w:bCs/>
                <w:noProof/>
                <w:sz w:val="18"/>
                <w:szCs w:val="18"/>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19DEABC2"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0E6FF0A5" w14:textId="77777777" w:rsidR="00CB0FCB" w:rsidRDefault="00CB0FCB">
            <w:pPr>
              <w:spacing w:after="0" w:line="240" w:lineRule="auto"/>
              <w:rPr>
                <w:rFonts w:ascii="Times New Roman" w:eastAsia="Times New Roman" w:hAnsi="Times New Roman" w:cs="Times New Roman"/>
                <w:b/>
                <w:bCs/>
                <w:noProof/>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776FA222" w14:textId="77777777" w:rsidR="00CB0FCB" w:rsidRDefault="00CB0FCB">
            <w:pPr>
              <w:spacing w:after="0" w:line="240" w:lineRule="auto"/>
              <w:rPr>
                <w:rFonts w:ascii="Times New Roman" w:eastAsia="Times New Roman" w:hAnsi="Times New Roman" w:cs="Times New Roman"/>
                <w:b/>
                <w:bCs/>
                <w:noProof/>
                <w:sz w:val="18"/>
                <w:szCs w:val="18"/>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10ABFB66" w14:textId="77777777" w:rsidR="00CB0FCB" w:rsidRDefault="00CB0FCB">
            <w:pPr>
              <w:spacing w:after="0" w:line="240" w:lineRule="auto"/>
              <w:rPr>
                <w:rFonts w:ascii="Times New Roman" w:eastAsia="Times New Roman" w:hAnsi="Times New Roman" w:cs="Times New Roman"/>
                <w:b/>
                <w:bCs/>
                <w:noProof/>
                <w:sz w:val="18"/>
                <w:szCs w:val="18"/>
              </w:rPr>
            </w:pPr>
          </w:p>
        </w:tc>
        <w:tc>
          <w:tcPr>
            <w:tcW w:w="96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0D83413"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nil"/>
              <w:left w:val="nil"/>
              <w:bottom w:val="single" w:sz="4" w:space="0" w:color="auto"/>
              <w:right w:val="single" w:sz="4" w:space="0" w:color="auto"/>
            </w:tcBorders>
            <w:shd w:val="clear" w:color="auto" w:fill="BDD7EE"/>
            <w:vAlign w:val="center"/>
            <w:hideMark/>
          </w:tcPr>
          <w:p w14:paraId="71528355"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587" w:type="dxa"/>
            <w:tcBorders>
              <w:top w:val="nil"/>
              <w:left w:val="nil"/>
              <w:bottom w:val="single" w:sz="4" w:space="0" w:color="auto"/>
              <w:right w:val="single" w:sz="4" w:space="0" w:color="auto"/>
            </w:tcBorders>
            <w:shd w:val="clear" w:color="auto" w:fill="BDD7EE"/>
            <w:vAlign w:val="center"/>
            <w:hideMark/>
          </w:tcPr>
          <w:p w14:paraId="05854A32"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846" w:type="dxa"/>
            <w:tcBorders>
              <w:top w:val="nil"/>
              <w:left w:val="nil"/>
              <w:bottom w:val="single" w:sz="4" w:space="0" w:color="auto"/>
              <w:right w:val="single" w:sz="4" w:space="0" w:color="auto"/>
            </w:tcBorders>
            <w:shd w:val="clear" w:color="auto" w:fill="BDD7EE"/>
            <w:vAlign w:val="center"/>
            <w:hideMark/>
          </w:tcPr>
          <w:p w14:paraId="657C0C72"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673" w:type="dxa"/>
            <w:tcBorders>
              <w:top w:val="nil"/>
              <w:left w:val="nil"/>
              <w:bottom w:val="single" w:sz="4" w:space="0" w:color="auto"/>
              <w:right w:val="single" w:sz="4" w:space="0" w:color="auto"/>
            </w:tcBorders>
            <w:shd w:val="clear" w:color="auto" w:fill="BDD7EE"/>
            <w:vAlign w:val="center"/>
            <w:hideMark/>
          </w:tcPr>
          <w:p w14:paraId="62F658AA"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5194" w:type="dxa"/>
            <w:vMerge/>
            <w:tcBorders>
              <w:top w:val="single" w:sz="4" w:space="0" w:color="auto"/>
              <w:bottom w:val="single" w:sz="4" w:space="0" w:color="auto"/>
              <w:right w:val="single" w:sz="4" w:space="0" w:color="auto"/>
            </w:tcBorders>
            <w:vAlign w:val="center"/>
            <w:hideMark/>
          </w:tcPr>
          <w:p w14:paraId="1FB45723"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4AD02F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0B6902B" w14:textId="77777777" w:rsidR="00CB0FCB" w:rsidRDefault="009D2B11">
            <w:pPr>
              <w:pStyle w:val="P68B1DB1-Normal9"/>
              <w:spacing w:after="0" w:line="240" w:lineRule="auto"/>
              <w:rPr>
                <w:rFonts w:eastAsia="Times New Roman" w:cs="Calibri"/>
                <w:noProof/>
                <w:szCs w:val="18"/>
              </w:rPr>
            </w:pPr>
            <w:r>
              <w:rPr>
                <w:noProof/>
              </w:rPr>
              <w:t>240</w:t>
            </w:r>
          </w:p>
        </w:tc>
        <w:tc>
          <w:tcPr>
            <w:tcW w:w="1942" w:type="dxa"/>
            <w:tcBorders>
              <w:top w:val="single" w:sz="4" w:space="0" w:color="auto"/>
              <w:left w:val="nil"/>
              <w:bottom w:val="single" w:sz="4" w:space="0" w:color="auto"/>
              <w:right w:val="single" w:sz="4" w:space="0" w:color="auto"/>
            </w:tcBorders>
            <w:shd w:val="clear" w:color="auto" w:fill="C6EFCE"/>
            <w:noWrap/>
          </w:tcPr>
          <w:p w14:paraId="46C57CD0" w14:textId="77777777" w:rsidR="00CB0FCB" w:rsidRDefault="009D2B11">
            <w:pPr>
              <w:pStyle w:val="P68B1DB1-Normal9"/>
              <w:spacing w:after="0" w:line="240" w:lineRule="auto"/>
              <w:rPr>
                <w:rFonts w:eastAsia="Times New Roman" w:cs="Calibri"/>
                <w:noProof/>
                <w:szCs w:val="18"/>
              </w:rPr>
            </w:pPr>
            <w:r>
              <w:rPr>
                <w:noProof/>
              </w:rPr>
              <w:t>15–4.4. Stiprināt finanšu nozari un kapitāla tirgus — 16581_Uzlabota kapitāla tirgus uzraudzība un uzticamība</w:t>
            </w:r>
          </w:p>
        </w:tc>
        <w:tc>
          <w:tcPr>
            <w:tcW w:w="966" w:type="dxa"/>
            <w:tcBorders>
              <w:top w:val="single" w:sz="4" w:space="0" w:color="auto"/>
              <w:left w:val="nil"/>
              <w:bottom w:val="single" w:sz="4" w:space="0" w:color="auto"/>
              <w:right w:val="single" w:sz="4" w:space="0" w:color="auto"/>
            </w:tcBorders>
            <w:shd w:val="clear" w:color="auto" w:fill="C6EFCE"/>
            <w:noWrap/>
          </w:tcPr>
          <w:p w14:paraId="2152246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53" w:type="dxa"/>
            <w:tcBorders>
              <w:top w:val="single" w:sz="4" w:space="0" w:color="auto"/>
              <w:left w:val="nil"/>
              <w:bottom w:val="single" w:sz="4" w:space="0" w:color="auto"/>
              <w:right w:val="single" w:sz="4" w:space="0" w:color="auto"/>
            </w:tcBorders>
            <w:shd w:val="clear" w:color="auto" w:fill="C6EFCE"/>
            <w:noWrap/>
          </w:tcPr>
          <w:p w14:paraId="674C8D3D" w14:textId="77777777" w:rsidR="00CB0FCB" w:rsidRDefault="009D2B11">
            <w:pPr>
              <w:pStyle w:val="P68B1DB1-Normal9"/>
              <w:spacing w:after="0" w:line="240" w:lineRule="auto"/>
              <w:rPr>
                <w:rFonts w:eastAsia="Times New Roman" w:cs="Calibri"/>
                <w:noProof/>
                <w:szCs w:val="18"/>
              </w:rPr>
            </w:pPr>
            <w:r>
              <w:rPr>
                <w:noProof/>
              </w:rPr>
              <w:t>Kapitāla tirgi, uzraudzība, uzraudzības procesu digitalizācija, kapitāla tirgu savienība (KTS)</w:t>
            </w:r>
          </w:p>
        </w:tc>
        <w:tc>
          <w:tcPr>
            <w:tcW w:w="1576" w:type="dxa"/>
            <w:tcBorders>
              <w:top w:val="single" w:sz="4" w:space="0" w:color="auto"/>
              <w:left w:val="nil"/>
              <w:bottom w:val="single" w:sz="4" w:space="0" w:color="auto"/>
              <w:right w:val="single" w:sz="4" w:space="0" w:color="auto"/>
            </w:tcBorders>
            <w:shd w:val="clear" w:color="auto" w:fill="C6EFCE"/>
            <w:noWrap/>
          </w:tcPr>
          <w:p w14:paraId="7ED351F8" w14:textId="77777777" w:rsidR="00CB0FCB" w:rsidRDefault="009D2B11">
            <w:pPr>
              <w:pStyle w:val="P68B1DB1-Normal9"/>
              <w:spacing w:after="0" w:line="240" w:lineRule="auto"/>
              <w:rPr>
                <w:rFonts w:eastAsia="Times New Roman" w:cs="Calibri"/>
                <w:noProof/>
                <w:szCs w:val="18"/>
              </w:rPr>
            </w:pPr>
            <w:r>
              <w:rPr>
                <w:noProof/>
              </w:rPr>
              <w:t>Tiesību aktu stāšanās spēkā (atsauce uz “Oficiālo Vēstnesi”)</w:t>
            </w:r>
          </w:p>
        </w:tc>
        <w:tc>
          <w:tcPr>
            <w:tcW w:w="968" w:type="dxa"/>
            <w:tcBorders>
              <w:top w:val="single" w:sz="4" w:space="0" w:color="auto"/>
              <w:left w:val="nil"/>
              <w:bottom w:val="single" w:sz="4" w:space="0" w:color="auto"/>
              <w:right w:val="single" w:sz="4" w:space="0" w:color="auto"/>
            </w:tcBorders>
            <w:shd w:val="clear" w:color="auto" w:fill="C6EFCE"/>
            <w:noWrap/>
          </w:tcPr>
          <w:p w14:paraId="0BFC9E1E"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54AA4A9"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B9BD756"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34A0E678"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nil"/>
              <w:left w:val="nil"/>
              <w:bottom w:val="single" w:sz="4" w:space="0" w:color="auto"/>
              <w:right w:val="single" w:sz="4" w:space="0" w:color="auto"/>
            </w:tcBorders>
            <w:shd w:val="clear" w:color="auto" w:fill="C6EFCE"/>
            <w:noWrap/>
          </w:tcPr>
          <w:p w14:paraId="1BB65679" w14:textId="77777777" w:rsidR="00CB0FCB" w:rsidRDefault="009D2B11">
            <w:pPr>
              <w:pStyle w:val="P68B1DB1-Normal9"/>
              <w:spacing w:after="0" w:line="240" w:lineRule="auto"/>
              <w:rPr>
                <w:rFonts w:eastAsia="Times New Roman" w:cs="Calibri"/>
                <w:noProof/>
                <w:szCs w:val="18"/>
              </w:rPr>
            </w:pPr>
            <w:r>
              <w:rPr>
                <w:noProof/>
              </w:rPr>
              <w:t>2021</w:t>
            </w:r>
          </w:p>
        </w:tc>
        <w:tc>
          <w:tcPr>
            <w:tcW w:w="5194" w:type="dxa"/>
            <w:tcBorders>
              <w:top w:val="single" w:sz="4" w:space="0" w:color="auto"/>
              <w:left w:val="nil"/>
              <w:bottom w:val="single" w:sz="4" w:space="0" w:color="auto"/>
              <w:right w:val="single" w:sz="4" w:space="0" w:color="auto"/>
            </w:tcBorders>
            <w:shd w:val="clear" w:color="auto" w:fill="C6EFCE"/>
            <w:noWrap/>
          </w:tcPr>
          <w:p w14:paraId="3D20215F" w14:textId="77777777" w:rsidR="00CB0FCB" w:rsidRDefault="009D2B11">
            <w:pPr>
              <w:pStyle w:val="P68B1DB1-Normal9"/>
              <w:spacing w:before="120" w:after="120" w:line="240" w:lineRule="auto"/>
              <w:jc w:val="both"/>
              <w:rPr>
                <w:rFonts w:eastAsia="Times New Roman" w:cs="Calibri"/>
                <w:noProof/>
                <w:szCs w:val="18"/>
              </w:rPr>
            </w:pPr>
            <w:r>
              <w:rPr>
                <w:noProof/>
              </w:rPr>
              <w:t xml:space="preserve">Stājas spēkā jauns likums par Grieķijas Kapitāla tirgus komisiju, kas grozīs iekšējos procesus un organizāciju. </w:t>
            </w:r>
          </w:p>
        </w:tc>
      </w:tr>
      <w:tr w:rsidR="00CB0FCB" w14:paraId="413C46B7"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4C56B1B0" w14:textId="77777777" w:rsidR="00CB0FCB" w:rsidRDefault="009D2B11">
            <w:pPr>
              <w:pStyle w:val="P68B1DB1-Normal9"/>
              <w:spacing w:after="0" w:line="240" w:lineRule="auto"/>
              <w:rPr>
                <w:rFonts w:eastAsia="Times New Roman" w:cs="Calibri"/>
                <w:noProof/>
                <w:szCs w:val="18"/>
              </w:rPr>
            </w:pPr>
            <w:r>
              <w:rPr>
                <w:noProof/>
              </w:rPr>
              <w:t>241</w:t>
            </w:r>
          </w:p>
        </w:tc>
        <w:tc>
          <w:tcPr>
            <w:tcW w:w="1942" w:type="dxa"/>
            <w:tcBorders>
              <w:top w:val="nil"/>
              <w:left w:val="nil"/>
              <w:bottom w:val="single" w:sz="4" w:space="0" w:color="auto"/>
              <w:right w:val="single" w:sz="4" w:space="0" w:color="auto"/>
            </w:tcBorders>
            <w:shd w:val="clear" w:color="auto" w:fill="C6EFCE"/>
            <w:noWrap/>
          </w:tcPr>
          <w:p w14:paraId="34EB9A7C" w14:textId="77777777" w:rsidR="00CB0FCB" w:rsidRDefault="009D2B11">
            <w:pPr>
              <w:pStyle w:val="P68B1DB1-Normal9"/>
              <w:spacing w:after="0" w:line="240" w:lineRule="auto"/>
              <w:rPr>
                <w:rFonts w:eastAsia="Times New Roman" w:cs="Calibri"/>
                <w:noProof/>
                <w:szCs w:val="18"/>
              </w:rPr>
            </w:pPr>
            <w:r>
              <w:rPr>
                <w:noProof/>
              </w:rPr>
              <w:t>15–4.4. Stiprināt finanšu nozari un kapitāla tirgus — 16580_Jaunā vienotā maksātnespējas regulējuma īstenošana parāda pārstrukturēšanai un 2. iespēja</w:t>
            </w:r>
          </w:p>
        </w:tc>
        <w:tc>
          <w:tcPr>
            <w:tcW w:w="966" w:type="dxa"/>
            <w:tcBorders>
              <w:top w:val="nil"/>
              <w:left w:val="nil"/>
              <w:bottom w:val="single" w:sz="4" w:space="0" w:color="auto"/>
              <w:right w:val="single" w:sz="4" w:space="0" w:color="auto"/>
            </w:tcBorders>
            <w:shd w:val="clear" w:color="auto" w:fill="C6EFCE"/>
            <w:noWrap/>
          </w:tcPr>
          <w:p w14:paraId="4D924FF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53" w:type="dxa"/>
            <w:tcBorders>
              <w:top w:val="nil"/>
              <w:left w:val="nil"/>
              <w:bottom w:val="single" w:sz="4" w:space="0" w:color="auto"/>
              <w:right w:val="single" w:sz="4" w:space="0" w:color="auto"/>
            </w:tcBorders>
            <w:shd w:val="clear" w:color="auto" w:fill="C6EFCE"/>
            <w:noWrap/>
          </w:tcPr>
          <w:p w14:paraId="0112135E" w14:textId="77777777" w:rsidR="00CB0FCB" w:rsidRDefault="009D2B11">
            <w:pPr>
              <w:pStyle w:val="P68B1DB1-Normal9"/>
              <w:spacing w:after="0" w:line="240" w:lineRule="auto"/>
              <w:rPr>
                <w:rFonts w:eastAsia="Times New Roman" w:cs="Calibri"/>
                <w:noProof/>
                <w:szCs w:val="18"/>
              </w:rPr>
            </w:pPr>
            <w:r>
              <w:rPr>
                <w:noProof/>
              </w:rPr>
              <w:t>Uzraudzība, uzraudzības procesu digitalizācija, KTS, kapitāla tirgi, preventīva parāda pārstrukturēšana</w:t>
            </w:r>
          </w:p>
        </w:tc>
        <w:tc>
          <w:tcPr>
            <w:tcW w:w="1576" w:type="dxa"/>
            <w:tcBorders>
              <w:top w:val="nil"/>
              <w:left w:val="nil"/>
              <w:bottom w:val="single" w:sz="4" w:space="0" w:color="auto"/>
              <w:right w:val="single" w:sz="4" w:space="0" w:color="auto"/>
            </w:tcBorders>
            <w:shd w:val="clear" w:color="auto" w:fill="C6EFCE"/>
            <w:noWrap/>
          </w:tcPr>
          <w:p w14:paraId="2D7DBAD1" w14:textId="77777777" w:rsidR="00CB0FCB" w:rsidRDefault="009D2B11">
            <w:pPr>
              <w:pStyle w:val="P68B1DB1-Normal9"/>
              <w:spacing w:after="0" w:line="240" w:lineRule="auto"/>
              <w:rPr>
                <w:rFonts w:eastAsia="Times New Roman" w:cs="Calibri"/>
                <w:noProof/>
                <w:szCs w:val="18"/>
              </w:rPr>
            </w:pPr>
            <w:r>
              <w:rPr>
                <w:noProof/>
              </w:rPr>
              <w:t>Ziņojumi, kas apliecina iepriekš minēto sistēmu darbību, tostarp attiecīgā gadījumā saites uz tīmekļa vietnēm</w:t>
            </w:r>
          </w:p>
        </w:tc>
        <w:tc>
          <w:tcPr>
            <w:tcW w:w="968" w:type="dxa"/>
            <w:tcBorders>
              <w:top w:val="nil"/>
              <w:left w:val="nil"/>
              <w:bottom w:val="single" w:sz="4" w:space="0" w:color="auto"/>
              <w:right w:val="single" w:sz="4" w:space="0" w:color="auto"/>
            </w:tcBorders>
            <w:shd w:val="clear" w:color="auto" w:fill="C6EFCE"/>
            <w:noWrap/>
          </w:tcPr>
          <w:p w14:paraId="4B74AA36"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5B2A721"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1C2867D"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EAE39A8"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nil"/>
              <w:left w:val="nil"/>
              <w:bottom w:val="single" w:sz="4" w:space="0" w:color="auto"/>
              <w:right w:val="single" w:sz="4" w:space="0" w:color="auto"/>
            </w:tcBorders>
            <w:shd w:val="clear" w:color="auto" w:fill="C6EFCE"/>
            <w:noWrap/>
          </w:tcPr>
          <w:p w14:paraId="5CE6D079" w14:textId="77777777" w:rsidR="00CB0FCB" w:rsidRDefault="009D2B11">
            <w:pPr>
              <w:pStyle w:val="P68B1DB1-Normal9"/>
              <w:spacing w:after="0" w:line="240" w:lineRule="auto"/>
              <w:rPr>
                <w:rFonts w:eastAsia="Times New Roman" w:cs="Calibri"/>
                <w:noProof/>
                <w:szCs w:val="18"/>
              </w:rPr>
            </w:pPr>
            <w:r>
              <w:rPr>
                <w:noProof/>
              </w:rPr>
              <w:t>2025</w:t>
            </w:r>
          </w:p>
        </w:tc>
        <w:tc>
          <w:tcPr>
            <w:tcW w:w="5194" w:type="dxa"/>
            <w:tcBorders>
              <w:top w:val="nil"/>
              <w:left w:val="nil"/>
              <w:bottom w:val="single" w:sz="4" w:space="0" w:color="auto"/>
              <w:right w:val="single" w:sz="4" w:space="0" w:color="auto"/>
            </w:tcBorders>
            <w:shd w:val="clear" w:color="auto" w:fill="C6EFCE"/>
            <w:noWrap/>
          </w:tcPr>
          <w:p w14:paraId="1DD8A81F" w14:textId="77777777" w:rsidR="00CB0FCB" w:rsidRDefault="009D2B11">
            <w:pPr>
              <w:pStyle w:val="P68B1DB1-Normal9"/>
              <w:spacing w:after="0" w:line="240" w:lineRule="auto"/>
              <w:rPr>
                <w:rFonts w:cs="Calibri"/>
                <w:noProof/>
                <w:szCs w:val="18"/>
              </w:rPr>
            </w:pPr>
            <w:r>
              <w:rPr>
                <w:noProof/>
              </w:rPr>
              <w:t>Agrīnās brīdināšanas un preventīvās parādu pārstrukturēšanas mehānisma atjaunināšana, kas ļauj privātpersonām un uzņēmumiem izvairīties no pārmērīgām parādsaistībām, kā arī risināt parādu nokārtošanas problēmu, izmantojot ārpustiesas procesus.</w:t>
            </w:r>
          </w:p>
          <w:p w14:paraId="1BB671E6" w14:textId="50ED374E" w:rsidR="00CB0FCB" w:rsidRDefault="009D2B11">
            <w:pPr>
              <w:pStyle w:val="P68B1DB1-Normal9"/>
              <w:spacing w:after="0" w:line="240" w:lineRule="auto"/>
              <w:rPr>
                <w:rFonts w:eastAsia="Times New Roman" w:cs="Calibri"/>
                <w:noProof/>
                <w:szCs w:val="18"/>
              </w:rPr>
            </w:pPr>
            <w:r>
              <w:rPr>
                <w:noProof/>
              </w:rPr>
              <w:t>Darbuzņēmējs modernizē agrīnās brīdināšanas un preventīvās parādu pārstrukturēšanas IT sistēmas, ko pārvalda Finanšu ministrija/SecPD pēc to darbības novērtēšanas.</w:t>
            </w:r>
          </w:p>
        </w:tc>
      </w:tr>
      <w:tr w:rsidR="00CB0FCB" w14:paraId="58732F84"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4071C33B" w14:textId="77777777" w:rsidR="00CB0FCB" w:rsidRDefault="009D2B11">
            <w:pPr>
              <w:pStyle w:val="P68B1DB1-Normal9"/>
              <w:spacing w:after="0" w:line="240" w:lineRule="auto"/>
              <w:rPr>
                <w:rFonts w:eastAsia="Times New Roman" w:cs="Calibri"/>
                <w:noProof/>
                <w:szCs w:val="18"/>
              </w:rPr>
            </w:pPr>
            <w:r>
              <w:rPr>
                <w:noProof/>
              </w:rPr>
              <w:t>243</w:t>
            </w:r>
          </w:p>
        </w:tc>
        <w:tc>
          <w:tcPr>
            <w:tcW w:w="1942" w:type="dxa"/>
            <w:tcBorders>
              <w:top w:val="nil"/>
              <w:left w:val="nil"/>
              <w:bottom w:val="single" w:sz="4" w:space="0" w:color="auto"/>
              <w:right w:val="single" w:sz="4" w:space="0" w:color="auto"/>
            </w:tcBorders>
            <w:shd w:val="clear" w:color="auto" w:fill="C6EFCE"/>
            <w:noWrap/>
          </w:tcPr>
          <w:p w14:paraId="675B85B9" w14:textId="77777777" w:rsidR="00CB0FCB" w:rsidRDefault="009D2B11">
            <w:pPr>
              <w:pStyle w:val="P68B1DB1-Normal9"/>
              <w:spacing w:after="0" w:line="240" w:lineRule="auto"/>
              <w:rPr>
                <w:rFonts w:eastAsia="Times New Roman" w:cs="Calibri"/>
                <w:noProof/>
                <w:szCs w:val="18"/>
              </w:rPr>
            </w:pPr>
            <w:r>
              <w:rPr>
                <w:noProof/>
              </w:rPr>
              <w:t>15–4.4. Stiprināt finanšu nozari un kapitāla tirgus — 16581_Uzlabota kapitāla tirgus uzraudzība un uzticamība</w:t>
            </w:r>
          </w:p>
        </w:tc>
        <w:tc>
          <w:tcPr>
            <w:tcW w:w="966" w:type="dxa"/>
            <w:tcBorders>
              <w:top w:val="nil"/>
              <w:left w:val="nil"/>
              <w:bottom w:val="single" w:sz="4" w:space="0" w:color="auto"/>
              <w:right w:val="single" w:sz="4" w:space="0" w:color="auto"/>
            </w:tcBorders>
            <w:shd w:val="clear" w:color="auto" w:fill="C6EFCE"/>
            <w:noWrap/>
          </w:tcPr>
          <w:p w14:paraId="3D25FB8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53" w:type="dxa"/>
            <w:tcBorders>
              <w:top w:val="nil"/>
              <w:left w:val="nil"/>
              <w:bottom w:val="single" w:sz="4" w:space="0" w:color="auto"/>
              <w:right w:val="single" w:sz="4" w:space="0" w:color="auto"/>
            </w:tcBorders>
            <w:shd w:val="clear" w:color="auto" w:fill="C6EFCE"/>
            <w:noWrap/>
          </w:tcPr>
          <w:p w14:paraId="752E298D" w14:textId="0FE01DE0" w:rsidR="00CB0FCB" w:rsidRDefault="009D2B11">
            <w:pPr>
              <w:pStyle w:val="P68B1DB1-Normal9"/>
              <w:spacing w:after="0" w:line="240" w:lineRule="auto"/>
              <w:rPr>
                <w:rFonts w:eastAsia="Times New Roman" w:cs="Calibri"/>
                <w:noProof/>
                <w:szCs w:val="18"/>
              </w:rPr>
            </w:pPr>
            <w:r>
              <w:rPr>
                <w:noProof/>
              </w:rPr>
              <w:t>Uzraudzības procesa digitalizācija un Grieķijas Kapitāla tirgus komisijas organizācija</w:t>
            </w:r>
          </w:p>
        </w:tc>
        <w:tc>
          <w:tcPr>
            <w:tcW w:w="1576" w:type="dxa"/>
            <w:tcBorders>
              <w:top w:val="nil"/>
              <w:left w:val="nil"/>
              <w:bottom w:val="single" w:sz="4" w:space="0" w:color="auto"/>
              <w:right w:val="single" w:sz="4" w:space="0" w:color="auto"/>
            </w:tcBorders>
            <w:shd w:val="clear" w:color="auto" w:fill="C6EFCE"/>
            <w:noWrap/>
          </w:tcPr>
          <w:p w14:paraId="06FCEE14" w14:textId="77777777" w:rsidR="00CB0FCB" w:rsidRDefault="009D2B11">
            <w:pPr>
              <w:pStyle w:val="P68B1DB1-Normal9"/>
              <w:spacing w:after="0" w:line="240" w:lineRule="auto"/>
              <w:rPr>
                <w:rFonts w:eastAsia="Times New Roman" w:cs="Calibri"/>
                <w:noProof/>
                <w:szCs w:val="18"/>
              </w:rPr>
            </w:pPr>
            <w:r>
              <w:rPr>
                <w:noProof/>
              </w:rPr>
              <w:t>Ziņojums, kas apliecina uzraudzības procesa digitalizāciju un Grieķijas Kapitāla tirgus komisijas organizāciju</w:t>
            </w:r>
          </w:p>
        </w:tc>
        <w:tc>
          <w:tcPr>
            <w:tcW w:w="968" w:type="dxa"/>
            <w:tcBorders>
              <w:top w:val="nil"/>
              <w:left w:val="nil"/>
              <w:bottom w:val="single" w:sz="4" w:space="0" w:color="auto"/>
              <w:right w:val="single" w:sz="4" w:space="0" w:color="auto"/>
            </w:tcBorders>
            <w:shd w:val="clear" w:color="auto" w:fill="C6EFCE"/>
            <w:noWrap/>
          </w:tcPr>
          <w:p w14:paraId="30461F74"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D3162BC"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3AA5859D"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7B039E2A" w14:textId="77777777" w:rsidR="00CB0FCB" w:rsidRDefault="009D2B11">
            <w:pPr>
              <w:pStyle w:val="P68B1DB1-Normal9"/>
              <w:spacing w:after="0" w:line="240" w:lineRule="auto"/>
              <w:rPr>
                <w:rFonts w:eastAsia="Times New Roman" w:cs="Calibri"/>
                <w:noProof/>
                <w:szCs w:val="18"/>
              </w:rPr>
            </w:pPr>
            <w:r>
              <w:rPr>
                <w:noProof/>
              </w:rPr>
              <w:t>4. CET.</w:t>
            </w:r>
          </w:p>
        </w:tc>
        <w:tc>
          <w:tcPr>
            <w:tcW w:w="673" w:type="dxa"/>
            <w:tcBorders>
              <w:top w:val="nil"/>
              <w:left w:val="nil"/>
              <w:bottom w:val="single" w:sz="4" w:space="0" w:color="auto"/>
              <w:right w:val="single" w:sz="4" w:space="0" w:color="auto"/>
            </w:tcBorders>
            <w:shd w:val="clear" w:color="auto" w:fill="C6EFCE"/>
            <w:noWrap/>
          </w:tcPr>
          <w:p w14:paraId="54D7B20F" w14:textId="77777777" w:rsidR="00CB0FCB" w:rsidRDefault="009D2B11">
            <w:pPr>
              <w:pStyle w:val="P68B1DB1-Normal9"/>
              <w:spacing w:after="0" w:line="240" w:lineRule="auto"/>
              <w:rPr>
                <w:rFonts w:eastAsia="Times New Roman" w:cs="Calibri"/>
                <w:noProof/>
                <w:szCs w:val="18"/>
              </w:rPr>
            </w:pPr>
            <w:r>
              <w:rPr>
                <w:noProof/>
              </w:rPr>
              <w:t>2025</w:t>
            </w:r>
          </w:p>
        </w:tc>
        <w:tc>
          <w:tcPr>
            <w:tcW w:w="5194" w:type="dxa"/>
            <w:tcBorders>
              <w:top w:val="nil"/>
              <w:left w:val="nil"/>
              <w:bottom w:val="single" w:sz="4" w:space="0" w:color="auto"/>
              <w:right w:val="single" w:sz="4" w:space="0" w:color="auto"/>
            </w:tcBorders>
            <w:shd w:val="clear" w:color="auto" w:fill="C6EFCE"/>
            <w:noWrap/>
          </w:tcPr>
          <w:p w14:paraId="71D6CC94" w14:textId="35ADE1E5" w:rsidR="00CB0FCB" w:rsidRDefault="009D2B11">
            <w:pPr>
              <w:pStyle w:val="P68B1DB1-Normal10"/>
              <w:spacing w:before="120" w:after="0" w:line="240" w:lineRule="auto"/>
              <w:jc w:val="both"/>
              <w:rPr>
                <w:rFonts w:eastAsia="Times New Roman" w:cs="Calibri"/>
                <w:noProof/>
              </w:rPr>
            </w:pPr>
            <w:r>
              <w:rPr>
                <w:noProof/>
              </w:rPr>
              <w:t xml:space="preserve">1. Ceļveža izstrāde un kiberdrošības procedūru atjaunināšana, pamatojoties uz minēto ceļvedi, 2. It infrastruktūras un lietojumprogrammu izveide vai iegāde, lai sistemātiski saņemtu, uzglabātu, izgūtu un pārvaldītu darījumus ar akciju tirgus datiem un papildu informāciju brīdinājumu un revīzijas ziņojumu sagatavošanai un pārvaldībai; 3. Plaša mēroga IT sistēmas ieviešana un visu to datu integrācija, kurus pašlaik (un nākotnē) vāc Grieķijas Kapitāla tirgu komisijas darbinieki, ļaujot veikt daudzdimensionālu analīzi, pārskatīšanu un pārskatu par pašreizējiem tirgus apstākļiem, ļaujot precizēt procedūras un intervences; Kapitāla tirgu tiesiskā regulējuma un tiesiskā regulējuma kodifikācija, lai uzlabotu kapitāla tirgus uzraudzības spējas. </w:t>
            </w:r>
          </w:p>
        </w:tc>
      </w:tr>
      <w:tr w:rsidR="00CB0FCB" w14:paraId="083FCCC5"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55F2CE91" w14:textId="77777777" w:rsidR="00CB0FCB" w:rsidRDefault="009D2B11">
            <w:pPr>
              <w:pStyle w:val="P68B1DB1-Normal9"/>
              <w:spacing w:after="0" w:line="240" w:lineRule="auto"/>
              <w:rPr>
                <w:noProof/>
              </w:rPr>
            </w:pPr>
            <w:r>
              <w:rPr>
                <w:noProof/>
              </w:rPr>
              <w:t>244a</w:t>
            </w:r>
          </w:p>
        </w:tc>
        <w:tc>
          <w:tcPr>
            <w:tcW w:w="1942" w:type="dxa"/>
            <w:tcBorders>
              <w:top w:val="nil"/>
              <w:left w:val="nil"/>
              <w:bottom w:val="single" w:sz="4" w:space="0" w:color="auto"/>
              <w:right w:val="single" w:sz="4" w:space="0" w:color="auto"/>
            </w:tcBorders>
            <w:shd w:val="clear" w:color="auto" w:fill="C6EFCE"/>
            <w:noWrap/>
          </w:tcPr>
          <w:p w14:paraId="5EEB74EE" w14:textId="77777777" w:rsidR="00CB0FCB" w:rsidRDefault="009D2B11">
            <w:pPr>
              <w:pStyle w:val="P68B1DB1-Normal9"/>
              <w:spacing w:after="0" w:line="240" w:lineRule="auto"/>
              <w:rPr>
                <w:noProof/>
              </w:rPr>
            </w:pPr>
            <w:r>
              <w:rPr>
                <w:noProof/>
              </w:rPr>
              <w:t>15–4.4. Stiprināt finanšu nozari un kapitāla tirgus — 16957_Stiprināt finanšu sistēmas spēju pārvarēt mantotās problēmas un finansēt reālo ekonomiku</w:t>
            </w:r>
          </w:p>
        </w:tc>
        <w:tc>
          <w:tcPr>
            <w:tcW w:w="966" w:type="dxa"/>
            <w:tcBorders>
              <w:top w:val="nil"/>
              <w:left w:val="nil"/>
              <w:bottom w:val="single" w:sz="4" w:space="0" w:color="auto"/>
              <w:right w:val="single" w:sz="4" w:space="0" w:color="auto"/>
            </w:tcBorders>
            <w:shd w:val="clear" w:color="auto" w:fill="C6EFCE"/>
            <w:noWrap/>
          </w:tcPr>
          <w:p w14:paraId="09F1A9A7" w14:textId="77777777" w:rsidR="00CB0FCB" w:rsidRDefault="009D2B11">
            <w:pPr>
              <w:pStyle w:val="P68B1DB1-Normal9"/>
              <w:spacing w:after="0" w:line="240" w:lineRule="auto"/>
              <w:rPr>
                <w:noProof/>
              </w:rPr>
            </w:pPr>
            <w:r>
              <w:rPr>
                <w:noProof/>
              </w:rPr>
              <w:t>Atskaites punkts</w:t>
            </w:r>
          </w:p>
        </w:tc>
        <w:tc>
          <w:tcPr>
            <w:tcW w:w="1253" w:type="dxa"/>
            <w:tcBorders>
              <w:top w:val="nil"/>
              <w:left w:val="nil"/>
              <w:bottom w:val="single" w:sz="4" w:space="0" w:color="auto"/>
              <w:right w:val="single" w:sz="4" w:space="0" w:color="auto"/>
            </w:tcBorders>
            <w:shd w:val="clear" w:color="auto" w:fill="C6EFCE"/>
            <w:noWrap/>
          </w:tcPr>
          <w:p w14:paraId="17062152" w14:textId="77777777" w:rsidR="00CB0FCB" w:rsidRDefault="009D2B11">
            <w:pPr>
              <w:pStyle w:val="P68B1DB1-Normal9"/>
              <w:spacing w:after="0" w:line="240" w:lineRule="auto"/>
              <w:rPr>
                <w:noProof/>
              </w:rPr>
            </w:pPr>
            <w:r>
              <w:rPr>
                <w:noProof/>
              </w:rPr>
              <w:t>E-izsoles parāda piedziņai</w:t>
            </w:r>
          </w:p>
        </w:tc>
        <w:tc>
          <w:tcPr>
            <w:tcW w:w="1576" w:type="dxa"/>
            <w:tcBorders>
              <w:top w:val="nil"/>
              <w:left w:val="nil"/>
              <w:bottom w:val="single" w:sz="4" w:space="0" w:color="auto"/>
              <w:right w:val="single" w:sz="4" w:space="0" w:color="auto"/>
            </w:tcBorders>
            <w:shd w:val="clear" w:color="auto" w:fill="C6EFCE"/>
            <w:noWrap/>
          </w:tcPr>
          <w:p w14:paraId="6138FC5C" w14:textId="77777777" w:rsidR="00CB0FCB" w:rsidRDefault="009D2B11">
            <w:pPr>
              <w:pStyle w:val="P68B1DB1-Normal9"/>
              <w:spacing w:after="0" w:line="240" w:lineRule="auto"/>
              <w:rPr>
                <w:noProof/>
              </w:rPr>
            </w:pPr>
            <w:r>
              <w:rPr>
                <w:noProof/>
              </w:rPr>
              <w:t xml:space="preserve">Tiesību aktu stāšanās spēkā </w:t>
            </w:r>
          </w:p>
        </w:tc>
        <w:tc>
          <w:tcPr>
            <w:tcW w:w="968" w:type="dxa"/>
            <w:tcBorders>
              <w:top w:val="nil"/>
              <w:left w:val="nil"/>
              <w:bottom w:val="single" w:sz="4" w:space="0" w:color="auto"/>
              <w:right w:val="single" w:sz="4" w:space="0" w:color="auto"/>
            </w:tcBorders>
            <w:shd w:val="clear" w:color="auto" w:fill="C6EFCE"/>
            <w:noWrap/>
          </w:tcPr>
          <w:p w14:paraId="623650C1" w14:textId="77777777" w:rsidR="00CB0FCB" w:rsidRDefault="00CB0FCB">
            <w:pPr>
              <w:spacing w:after="0" w:line="240" w:lineRule="auto"/>
              <w:rPr>
                <w:noProof/>
                <w:color w:val="006100"/>
                <w:sz w:val="18"/>
              </w:rPr>
            </w:pPr>
          </w:p>
        </w:tc>
        <w:tc>
          <w:tcPr>
            <w:tcW w:w="857" w:type="dxa"/>
            <w:tcBorders>
              <w:top w:val="nil"/>
              <w:left w:val="nil"/>
              <w:bottom w:val="single" w:sz="4" w:space="0" w:color="auto"/>
              <w:right w:val="single" w:sz="4" w:space="0" w:color="auto"/>
            </w:tcBorders>
            <w:shd w:val="clear" w:color="auto" w:fill="C6EFCE"/>
            <w:noWrap/>
          </w:tcPr>
          <w:p w14:paraId="58C4D534" w14:textId="77777777" w:rsidR="00CB0FCB" w:rsidRDefault="00CB0FCB">
            <w:pPr>
              <w:spacing w:after="0" w:line="240" w:lineRule="auto"/>
              <w:rPr>
                <w:noProof/>
                <w:color w:val="006100"/>
                <w:sz w:val="18"/>
              </w:rPr>
            </w:pPr>
          </w:p>
        </w:tc>
        <w:tc>
          <w:tcPr>
            <w:tcW w:w="587" w:type="dxa"/>
            <w:tcBorders>
              <w:top w:val="nil"/>
              <w:left w:val="nil"/>
              <w:bottom w:val="single" w:sz="4" w:space="0" w:color="auto"/>
              <w:right w:val="single" w:sz="4" w:space="0" w:color="auto"/>
            </w:tcBorders>
            <w:shd w:val="clear" w:color="auto" w:fill="C6EFCE"/>
            <w:noWrap/>
          </w:tcPr>
          <w:p w14:paraId="1234049C" w14:textId="77777777" w:rsidR="00CB0FCB" w:rsidRDefault="00CB0FCB">
            <w:pPr>
              <w:spacing w:after="0" w:line="240" w:lineRule="auto"/>
              <w:rPr>
                <w:noProof/>
                <w:color w:val="006100"/>
                <w:sz w:val="18"/>
              </w:rPr>
            </w:pPr>
          </w:p>
        </w:tc>
        <w:tc>
          <w:tcPr>
            <w:tcW w:w="846" w:type="dxa"/>
            <w:tcBorders>
              <w:top w:val="nil"/>
              <w:left w:val="nil"/>
              <w:bottom w:val="single" w:sz="4" w:space="0" w:color="auto"/>
              <w:right w:val="single" w:sz="4" w:space="0" w:color="auto"/>
            </w:tcBorders>
            <w:shd w:val="clear" w:color="auto" w:fill="C6EFCE"/>
            <w:noWrap/>
          </w:tcPr>
          <w:p w14:paraId="70A18A8B" w14:textId="77777777" w:rsidR="00CB0FCB" w:rsidRDefault="009D2B11">
            <w:pPr>
              <w:pStyle w:val="P68B1DB1-Normal9"/>
              <w:spacing w:after="0" w:line="240" w:lineRule="auto"/>
              <w:rPr>
                <w:noProof/>
              </w:rPr>
            </w:pPr>
            <w:r>
              <w:rPr>
                <w:noProof/>
              </w:rPr>
              <w:t>2. CET.</w:t>
            </w:r>
          </w:p>
        </w:tc>
        <w:tc>
          <w:tcPr>
            <w:tcW w:w="673" w:type="dxa"/>
            <w:tcBorders>
              <w:top w:val="nil"/>
              <w:left w:val="nil"/>
              <w:bottom w:val="single" w:sz="4" w:space="0" w:color="auto"/>
              <w:right w:val="single" w:sz="4" w:space="0" w:color="auto"/>
            </w:tcBorders>
            <w:shd w:val="clear" w:color="auto" w:fill="C6EFCE"/>
            <w:noWrap/>
          </w:tcPr>
          <w:p w14:paraId="004CE758" w14:textId="77777777" w:rsidR="00CB0FCB" w:rsidRDefault="009D2B11">
            <w:pPr>
              <w:pStyle w:val="P68B1DB1-Normal9"/>
              <w:spacing w:after="0" w:line="240" w:lineRule="auto"/>
              <w:rPr>
                <w:noProof/>
              </w:rPr>
            </w:pPr>
            <w:r>
              <w:rPr>
                <w:noProof/>
              </w:rPr>
              <w:t>2024</w:t>
            </w:r>
          </w:p>
        </w:tc>
        <w:tc>
          <w:tcPr>
            <w:tcW w:w="5194" w:type="dxa"/>
            <w:tcBorders>
              <w:top w:val="nil"/>
              <w:left w:val="nil"/>
              <w:bottom w:val="single" w:sz="4" w:space="0" w:color="auto"/>
              <w:right w:val="single" w:sz="4" w:space="0" w:color="auto"/>
            </w:tcBorders>
            <w:shd w:val="clear" w:color="auto" w:fill="C6EFCE"/>
            <w:noWrap/>
          </w:tcPr>
          <w:p w14:paraId="2153BD5D" w14:textId="77777777" w:rsidR="00CB0FCB" w:rsidRDefault="009D2B11">
            <w:pPr>
              <w:pStyle w:val="P68B1DB1-Normal9"/>
              <w:spacing w:after="0" w:line="240" w:lineRule="auto"/>
              <w:rPr>
                <w:noProof/>
              </w:rPr>
            </w:pPr>
            <w:r>
              <w:rPr>
                <w:noProof/>
              </w:rPr>
              <w:t>Tiesību aktu pieņemšana un stāšanās spēkā, lai:</w:t>
            </w:r>
          </w:p>
          <w:p w14:paraId="24945A93" w14:textId="77777777" w:rsidR="00CB0FCB" w:rsidRDefault="009D2B11">
            <w:pPr>
              <w:pStyle w:val="P68B1DB1-ListParagraph20"/>
              <w:numPr>
                <w:ilvl w:val="0"/>
                <w:numId w:val="89"/>
              </w:numPr>
              <w:spacing w:after="0" w:line="240" w:lineRule="auto"/>
              <w:ind w:left="670" w:hanging="310"/>
              <w:rPr>
                <w:noProof/>
              </w:rPr>
            </w:pPr>
            <w:r>
              <w:rPr>
                <w:noProof/>
              </w:rPr>
              <w:t>Paplašināt e-izsoļu platformā pieejamo informāciju par izsolītajiem aktīviem, tostarp attiecīgo informāciju, kas pieejama notāru publiskajos arhīvos;</w:t>
            </w:r>
          </w:p>
          <w:p w14:paraId="6A638DB2" w14:textId="77777777" w:rsidR="00CB0FCB" w:rsidRDefault="009D2B11">
            <w:pPr>
              <w:pStyle w:val="P68B1DB1-ListParagraph20"/>
              <w:numPr>
                <w:ilvl w:val="0"/>
                <w:numId w:val="89"/>
              </w:numPr>
              <w:spacing w:after="0" w:line="240" w:lineRule="auto"/>
              <w:ind w:left="670" w:hanging="310"/>
              <w:rPr>
                <w:noProof/>
              </w:rPr>
            </w:pPr>
            <w:r>
              <w:rPr>
                <w:noProof/>
              </w:rPr>
              <w:t>Atturošo faktoru likvidēšana, ko rada ar īpašumu saistīti nokavēti parādi (piemēram, komunālo pakalpojumu rēķini).</w:t>
            </w:r>
          </w:p>
        </w:tc>
      </w:tr>
      <w:tr w:rsidR="00CB0FCB" w14:paraId="41300807"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129F52A6" w14:textId="77777777" w:rsidR="00CB0FCB" w:rsidRDefault="009D2B11">
            <w:pPr>
              <w:pStyle w:val="P68B1DB1-Normal9"/>
              <w:spacing w:after="0" w:line="240" w:lineRule="auto"/>
              <w:rPr>
                <w:noProof/>
              </w:rPr>
            </w:pPr>
            <w:r>
              <w:rPr>
                <w:noProof/>
              </w:rPr>
              <w:t>244b</w:t>
            </w:r>
          </w:p>
        </w:tc>
        <w:tc>
          <w:tcPr>
            <w:tcW w:w="1942" w:type="dxa"/>
            <w:tcBorders>
              <w:top w:val="nil"/>
              <w:left w:val="nil"/>
              <w:bottom w:val="single" w:sz="4" w:space="0" w:color="auto"/>
              <w:right w:val="single" w:sz="4" w:space="0" w:color="auto"/>
            </w:tcBorders>
            <w:shd w:val="clear" w:color="auto" w:fill="C6EFCE"/>
            <w:noWrap/>
          </w:tcPr>
          <w:p w14:paraId="05325CCF" w14:textId="77777777" w:rsidR="00CB0FCB" w:rsidRDefault="009D2B11">
            <w:pPr>
              <w:pStyle w:val="P68B1DB1-Normal9"/>
              <w:spacing w:after="0" w:line="240" w:lineRule="auto"/>
              <w:rPr>
                <w:noProof/>
              </w:rPr>
            </w:pPr>
            <w:r>
              <w:rPr>
                <w:noProof/>
              </w:rPr>
              <w:t>15–4.4. Stiprināt finanšu nozari un kapitāla tirgus — 16957_Stiprināt finanšu sistēmas spēju pārvarēt mantotās problēmas un finansēt reālo ekonomiku</w:t>
            </w:r>
          </w:p>
        </w:tc>
        <w:tc>
          <w:tcPr>
            <w:tcW w:w="966" w:type="dxa"/>
            <w:tcBorders>
              <w:top w:val="nil"/>
              <w:left w:val="nil"/>
              <w:bottom w:val="single" w:sz="4" w:space="0" w:color="auto"/>
              <w:right w:val="single" w:sz="4" w:space="0" w:color="auto"/>
            </w:tcBorders>
            <w:shd w:val="clear" w:color="auto" w:fill="C6EFCE"/>
            <w:noWrap/>
          </w:tcPr>
          <w:p w14:paraId="781F3502" w14:textId="77777777" w:rsidR="00CB0FCB" w:rsidRDefault="009D2B11">
            <w:pPr>
              <w:pStyle w:val="P68B1DB1-Normal9"/>
              <w:spacing w:after="0" w:line="240" w:lineRule="auto"/>
              <w:rPr>
                <w:noProof/>
              </w:rPr>
            </w:pPr>
            <w:r>
              <w:rPr>
                <w:noProof/>
              </w:rPr>
              <w:t>Atskaites punkts</w:t>
            </w:r>
          </w:p>
        </w:tc>
        <w:tc>
          <w:tcPr>
            <w:tcW w:w="1253" w:type="dxa"/>
            <w:tcBorders>
              <w:top w:val="nil"/>
              <w:left w:val="nil"/>
              <w:bottom w:val="single" w:sz="4" w:space="0" w:color="auto"/>
              <w:right w:val="single" w:sz="4" w:space="0" w:color="auto"/>
            </w:tcBorders>
            <w:shd w:val="clear" w:color="auto" w:fill="C6EFCE"/>
            <w:noWrap/>
          </w:tcPr>
          <w:p w14:paraId="60417653" w14:textId="77777777" w:rsidR="00CB0FCB" w:rsidRDefault="009D2B11">
            <w:pPr>
              <w:pStyle w:val="P68B1DB1-Normal9"/>
              <w:spacing w:after="0" w:line="240" w:lineRule="auto"/>
              <w:rPr>
                <w:noProof/>
              </w:rPr>
            </w:pPr>
            <w:r>
              <w:rPr>
                <w:noProof/>
              </w:rPr>
              <w:t xml:space="preserve">Līguma slēgšanas tiesību piešķiršana finanšu nozares pasākumiem </w:t>
            </w:r>
          </w:p>
        </w:tc>
        <w:tc>
          <w:tcPr>
            <w:tcW w:w="1576" w:type="dxa"/>
            <w:tcBorders>
              <w:top w:val="nil"/>
              <w:left w:val="nil"/>
              <w:bottom w:val="single" w:sz="4" w:space="0" w:color="auto"/>
              <w:right w:val="single" w:sz="4" w:space="0" w:color="auto"/>
            </w:tcBorders>
            <w:shd w:val="clear" w:color="auto" w:fill="C6EFCE"/>
            <w:noWrap/>
          </w:tcPr>
          <w:p w14:paraId="4A653DDF" w14:textId="77777777" w:rsidR="00CB0FCB" w:rsidRDefault="009D2B11">
            <w:pPr>
              <w:pStyle w:val="P68B1DB1-Normal9"/>
              <w:spacing w:after="0" w:line="240" w:lineRule="auto"/>
              <w:rPr>
                <w:noProof/>
              </w:rPr>
            </w:pPr>
            <w:r>
              <w:rPr>
                <w:noProof/>
              </w:rPr>
              <w:t>Paziņojums par līgumu slēgšanas tiesību piešķiršanu</w:t>
            </w:r>
          </w:p>
        </w:tc>
        <w:tc>
          <w:tcPr>
            <w:tcW w:w="968" w:type="dxa"/>
            <w:tcBorders>
              <w:top w:val="nil"/>
              <w:left w:val="nil"/>
              <w:bottom w:val="single" w:sz="4" w:space="0" w:color="auto"/>
              <w:right w:val="single" w:sz="4" w:space="0" w:color="auto"/>
            </w:tcBorders>
            <w:shd w:val="clear" w:color="auto" w:fill="C6EFCE"/>
            <w:noWrap/>
          </w:tcPr>
          <w:p w14:paraId="2903672F" w14:textId="77777777" w:rsidR="00CB0FCB" w:rsidRDefault="00CB0FCB">
            <w:pPr>
              <w:spacing w:after="0" w:line="240" w:lineRule="auto"/>
              <w:rPr>
                <w:noProof/>
                <w:color w:val="006100"/>
                <w:sz w:val="18"/>
              </w:rPr>
            </w:pPr>
          </w:p>
        </w:tc>
        <w:tc>
          <w:tcPr>
            <w:tcW w:w="857" w:type="dxa"/>
            <w:tcBorders>
              <w:top w:val="nil"/>
              <w:left w:val="nil"/>
              <w:bottom w:val="single" w:sz="4" w:space="0" w:color="auto"/>
              <w:right w:val="single" w:sz="4" w:space="0" w:color="auto"/>
            </w:tcBorders>
            <w:shd w:val="clear" w:color="auto" w:fill="C6EFCE"/>
            <w:noWrap/>
          </w:tcPr>
          <w:p w14:paraId="029A4162" w14:textId="77777777" w:rsidR="00CB0FCB" w:rsidRDefault="00CB0FCB">
            <w:pPr>
              <w:spacing w:after="0" w:line="240" w:lineRule="auto"/>
              <w:rPr>
                <w:noProof/>
                <w:color w:val="006100"/>
                <w:sz w:val="18"/>
              </w:rPr>
            </w:pPr>
          </w:p>
        </w:tc>
        <w:tc>
          <w:tcPr>
            <w:tcW w:w="587" w:type="dxa"/>
            <w:tcBorders>
              <w:top w:val="nil"/>
              <w:left w:val="nil"/>
              <w:bottom w:val="single" w:sz="4" w:space="0" w:color="auto"/>
              <w:right w:val="single" w:sz="4" w:space="0" w:color="auto"/>
            </w:tcBorders>
            <w:shd w:val="clear" w:color="auto" w:fill="C6EFCE"/>
            <w:noWrap/>
          </w:tcPr>
          <w:p w14:paraId="72CAEEC4" w14:textId="77777777" w:rsidR="00CB0FCB" w:rsidRDefault="00CB0FCB">
            <w:pPr>
              <w:spacing w:after="0" w:line="240" w:lineRule="auto"/>
              <w:rPr>
                <w:noProof/>
                <w:color w:val="006100"/>
                <w:sz w:val="18"/>
              </w:rPr>
            </w:pPr>
          </w:p>
        </w:tc>
        <w:tc>
          <w:tcPr>
            <w:tcW w:w="846" w:type="dxa"/>
            <w:tcBorders>
              <w:top w:val="nil"/>
              <w:left w:val="nil"/>
              <w:bottom w:val="single" w:sz="4" w:space="0" w:color="auto"/>
              <w:right w:val="single" w:sz="4" w:space="0" w:color="auto"/>
            </w:tcBorders>
            <w:shd w:val="clear" w:color="auto" w:fill="C6EFCE"/>
            <w:noWrap/>
          </w:tcPr>
          <w:p w14:paraId="6E36CED0" w14:textId="77777777" w:rsidR="00CB0FCB" w:rsidRDefault="009D2B11">
            <w:pPr>
              <w:pStyle w:val="P68B1DB1-Normal9"/>
              <w:spacing w:after="0" w:line="240" w:lineRule="auto"/>
              <w:rPr>
                <w:noProof/>
              </w:rPr>
            </w:pPr>
            <w:r>
              <w:rPr>
                <w:noProof/>
              </w:rPr>
              <w:t>2. CET.</w:t>
            </w:r>
          </w:p>
        </w:tc>
        <w:tc>
          <w:tcPr>
            <w:tcW w:w="673" w:type="dxa"/>
            <w:tcBorders>
              <w:top w:val="nil"/>
              <w:left w:val="nil"/>
              <w:bottom w:val="single" w:sz="4" w:space="0" w:color="auto"/>
              <w:right w:val="single" w:sz="4" w:space="0" w:color="auto"/>
            </w:tcBorders>
            <w:shd w:val="clear" w:color="auto" w:fill="C6EFCE"/>
            <w:noWrap/>
          </w:tcPr>
          <w:p w14:paraId="47A8EAD6" w14:textId="77777777" w:rsidR="00CB0FCB" w:rsidRDefault="009D2B11">
            <w:pPr>
              <w:pStyle w:val="P68B1DB1-Normal9"/>
              <w:spacing w:after="0" w:line="240" w:lineRule="auto"/>
              <w:rPr>
                <w:noProof/>
              </w:rPr>
            </w:pPr>
            <w:r>
              <w:rPr>
                <w:noProof/>
              </w:rPr>
              <w:t>2024</w:t>
            </w:r>
          </w:p>
        </w:tc>
        <w:tc>
          <w:tcPr>
            <w:tcW w:w="5194" w:type="dxa"/>
            <w:tcBorders>
              <w:top w:val="nil"/>
              <w:left w:val="nil"/>
              <w:bottom w:val="single" w:sz="4" w:space="0" w:color="auto"/>
              <w:right w:val="single" w:sz="4" w:space="0" w:color="auto"/>
            </w:tcBorders>
            <w:shd w:val="clear" w:color="auto" w:fill="C6EFCE"/>
            <w:noWrap/>
          </w:tcPr>
          <w:p w14:paraId="3645F586" w14:textId="77777777" w:rsidR="00CB0FCB" w:rsidRDefault="009D2B11">
            <w:pPr>
              <w:pStyle w:val="P68B1DB1-Normal9"/>
              <w:spacing w:after="0" w:line="240" w:lineRule="auto"/>
              <w:rPr>
                <w:noProof/>
              </w:rPr>
            </w:pPr>
            <w:r>
              <w:rPr>
                <w:noProof/>
              </w:rPr>
              <w:t>Līguma slēgšanas tiesību piešķiršana par:</w:t>
            </w:r>
          </w:p>
          <w:p w14:paraId="34E8F118" w14:textId="77D37B94" w:rsidR="00CB0FCB" w:rsidRDefault="009D2B11">
            <w:pPr>
              <w:pStyle w:val="P68B1DB1-ListParagraph38"/>
              <w:numPr>
                <w:ilvl w:val="0"/>
                <w:numId w:val="85"/>
              </w:numPr>
              <w:spacing w:after="0" w:line="240" w:lineRule="auto"/>
              <w:rPr>
                <w:rFonts w:asciiTheme="minorHAnsi" w:eastAsiaTheme="minorEastAsia" w:hAnsiTheme="minorHAnsi" w:cstheme="minorBidi"/>
                <w:noProof/>
              </w:rPr>
            </w:pPr>
            <w:r>
              <w:rPr>
                <w:noProof/>
              </w:rPr>
              <w:t xml:space="preserve">Valsts kredītreitingu </w:t>
            </w:r>
            <w:r>
              <w:rPr>
                <w:rFonts w:asciiTheme="minorHAnsi" w:eastAsiaTheme="minorEastAsia" w:hAnsiTheme="minorHAnsi" w:cstheme="minorBidi"/>
                <w:noProof/>
              </w:rPr>
              <w:t xml:space="preserve">informācijas sistēmas izstrāde; </w:t>
            </w:r>
          </w:p>
          <w:p w14:paraId="6775F045" w14:textId="77777777" w:rsidR="00CB0FCB" w:rsidRDefault="009D2B11">
            <w:pPr>
              <w:pStyle w:val="P68B1DB1-ListParagraph20"/>
              <w:numPr>
                <w:ilvl w:val="0"/>
                <w:numId w:val="85"/>
              </w:numPr>
              <w:spacing w:after="0" w:line="240" w:lineRule="auto"/>
              <w:rPr>
                <w:noProof/>
              </w:rPr>
            </w:pPr>
            <w:r>
              <w:rPr>
                <w:noProof/>
              </w:rPr>
              <w:t>Privātā parāda uzraudzības reģistra izveide;</w:t>
            </w:r>
          </w:p>
          <w:p w14:paraId="328F7D01" w14:textId="77777777" w:rsidR="00CB0FCB" w:rsidRDefault="009D2B11">
            <w:pPr>
              <w:pStyle w:val="P68B1DB1-ListParagraph20"/>
              <w:numPr>
                <w:ilvl w:val="0"/>
                <w:numId w:val="85"/>
              </w:numPr>
              <w:spacing w:after="0" w:line="240" w:lineRule="auto"/>
              <w:rPr>
                <w:noProof/>
              </w:rPr>
            </w:pPr>
            <w:r>
              <w:rPr>
                <w:noProof/>
              </w:rPr>
              <w:t>Centrālā kredītu reģistra izveide.</w:t>
            </w:r>
          </w:p>
          <w:p w14:paraId="45BB6575" w14:textId="77777777" w:rsidR="00CB0FCB" w:rsidRDefault="00CB0FCB">
            <w:pPr>
              <w:spacing w:after="0" w:line="240" w:lineRule="auto"/>
              <w:rPr>
                <w:noProof/>
                <w:color w:val="006100"/>
                <w:sz w:val="18"/>
              </w:rPr>
            </w:pPr>
          </w:p>
        </w:tc>
      </w:tr>
      <w:tr w:rsidR="00CB0FCB" w14:paraId="3C491FF7"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AB0DC2B" w14:textId="77777777" w:rsidR="00CB0FCB" w:rsidRDefault="009D2B11">
            <w:pPr>
              <w:pStyle w:val="P68B1DB1-Normal9"/>
              <w:spacing w:after="0" w:line="240" w:lineRule="auto"/>
              <w:rPr>
                <w:noProof/>
              </w:rPr>
            </w:pPr>
            <w:r>
              <w:rPr>
                <w:noProof/>
              </w:rPr>
              <w:t>244c</w:t>
            </w:r>
          </w:p>
        </w:tc>
        <w:tc>
          <w:tcPr>
            <w:tcW w:w="1942" w:type="dxa"/>
            <w:tcBorders>
              <w:top w:val="single" w:sz="4" w:space="0" w:color="auto"/>
              <w:left w:val="single" w:sz="4" w:space="0" w:color="auto"/>
              <w:bottom w:val="single" w:sz="4" w:space="0" w:color="auto"/>
              <w:right w:val="single" w:sz="4" w:space="0" w:color="auto"/>
            </w:tcBorders>
            <w:shd w:val="clear" w:color="auto" w:fill="C6EFCE"/>
            <w:noWrap/>
          </w:tcPr>
          <w:p w14:paraId="1DFB3F7B" w14:textId="77777777" w:rsidR="00CB0FCB" w:rsidRDefault="009D2B11">
            <w:pPr>
              <w:pStyle w:val="P68B1DB1-Normal9"/>
              <w:spacing w:after="0" w:line="240" w:lineRule="auto"/>
              <w:rPr>
                <w:noProof/>
              </w:rPr>
            </w:pPr>
            <w:r>
              <w:rPr>
                <w:noProof/>
              </w:rPr>
              <w:t>15–4.4. Stiprināt finanšu nozari un kapitāla tirgus — 16957_Stiprināt finanšu sistēmas spēju pārvarēt mantotās problēmas un finansēt reālo ekonomiku</w:t>
            </w:r>
          </w:p>
        </w:tc>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ABF0DB3" w14:textId="77777777" w:rsidR="00CB0FCB" w:rsidRDefault="009D2B11">
            <w:pPr>
              <w:pStyle w:val="P68B1DB1-Normal9"/>
              <w:spacing w:after="0" w:line="240" w:lineRule="auto"/>
              <w:rPr>
                <w:noProof/>
              </w:rPr>
            </w:pPr>
            <w:r>
              <w:rPr>
                <w:noProof/>
              </w:rPr>
              <w:t>Atskaites punkts</w:t>
            </w:r>
          </w:p>
        </w:tc>
        <w:tc>
          <w:tcPr>
            <w:tcW w:w="1253" w:type="dxa"/>
            <w:tcBorders>
              <w:top w:val="single" w:sz="4" w:space="0" w:color="auto"/>
              <w:left w:val="single" w:sz="4" w:space="0" w:color="auto"/>
              <w:bottom w:val="single" w:sz="4" w:space="0" w:color="auto"/>
              <w:right w:val="single" w:sz="4" w:space="0" w:color="auto"/>
            </w:tcBorders>
            <w:shd w:val="clear" w:color="auto" w:fill="C6EFCE"/>
            <w:noWrap/>
          </w:tcPr>
          <w:p w14:paraId="1E7D78D3" w14:textId="77777777" w:rsidR="00CB0FCB" w:rsidRDefault="009D2B11">
            <w:pPr>
              <w:pStyle w:val="P68B1DB1-Normal9"/>
              <w:spacing w:after="0" w:line="240" w:lineRule="auto"/>
              <w:rPr>
                <w:noProof/>
              </w:rPr>
            </w:pPr>
            <w:r>
              <w:rPr>
                <w:noProof/>
              </w:rPr>
              <w:t>Valsts privātā parāda pārvaldības stratēģijas politikas darbību pabeigšana, Centrālā kredītu reģistra izveide</w:t>
            </w:r>
          </w:p>
        </w:tc>
        <w:tc>
          <w:tcPr>
            <w:tcW w:w="1576" w:type="dxa"/>
            <w:tcBorders>
              <w:top w:val="single" w:sz="4" w:space="0" w:color="auto"/>
              <w:left w:val="single" w:sz="4" w:space="0" w:color="auto"/>
              <w:bottom w:val="single" w:sz="4" w:space="0" w:color="auto"/>
              <w:right w:val="single" w:sz="4" w:space="0" w:color="auto"/>
            </w:tcBorders>
            <w:shd w:val="clear" w:color="auto" w:fill="C6EFCE"/>
            <w:noWrap/>
          </w:tcPr>
          <w:p w14:paraId="4E91069A" w14:textId="77777777" w:rsidR="00CB0FCB" w:rsidRDefault="009D2B11">
            <w:pPr>
              <w:pStyle w:val="P68B1DB1-Normal9"/>
              <w:spacing w:after="0" w:line="240" w:lineRule="auto"/>
              <w:rPr>
                <w:noProof/>
              </w:rPr>
            </w:pPr>
            <w:r>
              <w:rPr>
                <w:noProof/>
              </w:rPr>
              <w:t>Ziņojums, kas apliecina, ka visas darbības ir pabeigtas, tostarp attiecīgā gadījumā par attiecīgo tiesību aktu stāšanos spēkā</w:t>
            </w:r>
          </w:p>
        </w:tc>
        <w:tc>
          <w:tcPr>
            <w:tcW w:w="968" w:type="dxa"/>
            <w:tcBorders>
              <w:top w:val="single" w:sz="4" w:space="0" w:color="auto"/>
              <w:left w:val="single" w:sz="4" w:space="0" w:color="auto"/>
              <w:bottom w:val="single" w:sz="4" w:space="0" w:color="auto"/>
              <w:right w:val="single" w:sz="4" w:space="0" w:color="auto"/>
            </w:tcBorders>
            <w:shd w:val="clear" w:color="auto" w:fill="C6EFCE"/>
            <w:noWrap/>
          </w:tcPr>
          <w:p w14:paraId="2CB71485" w14:textId="77777777" w:rsidR="00CB0FCB" w:rsidRDefault="00CB0FCB">
            <w:pPr>
              <w:spacing w:after="0" w:line="240" w:lineRule="auto"/>
              <w:rPr>
                <w:noProof/>
                <w:color w:val="006100"/>
                <w:sz w:val="18"/>
              </w:rPr>
            </w:pPr>
          </w:p>
        </w:tc>
        <w:tc>
          <w:tcPr>
            <w:tcW w:w="857" w:type="dxa"/>
            <w:tcBorders>
              <w:top w:val="single" w:sz="4" w:space="0" w:color="auto"/>
              <w:left w:val="single" w:sz="4" w:space="0" w:color="auto"/>
              <w:bottom w:val="single" w:sz="4" w:space="0" w:color="auto"/>
              <w:right w:val="single" w:sz="4" w:space="0" w:color="auto"/>
            </w:tcBorders>
            <w:shd w:val="clear" w:color="auto" w:fill="C6EFCE"/>
            <w:noWrap/>
          </w:tcPr>
          <w:p w14:paraId="069AEC3D" w14:textId="77777777" w:rsidR="00CB0FCB" w:rsidRDefault="00CB0FCB">
            <w:pPr>
              <w:spacing w:after="0" w:line="240" w:lineRule="auto"/>
              <w:rPr>
                <w:noProof/>
                <w:color w:val="006100"/>
                <w:sz w:val="18"/>
              </w:rPr>
            </w:pPr>
          </w:p>
        </w:tc>
        <w:tc>
          <w:tcPr>
            <w:tcW w:w="587" w:type="dxa"/>
            <w:tcBorders>
              <w:top w:val="single" w:sz="4" w:space="0" w:color="auto"/>
              <w:left w:val="single" w:sz="4" w:space="0" w:color="auto"/>
              <w:bottom w:val="single" w:sz="4" w:space="0" w:color="auto"/>
              <w:right w:val="single" w:sz="4" w:space="0" w:color="auto"/>
            </w:tcBorders>
            <w:shd w:val="clear" w:color="auto" w:fill="C6EFCE"/>
            <w:noWrap/>
          </w:tcPr>
          <w:p w14:paraId="0065A34D" w14:textId="77777777" w:rsidR="00CB0FCB" w:rsidRDefault="00CB0FCB">
            <w:pPr>
              <w:spacing w:after="0" w:line="240" w:lineRule="auto"/>
              <w:rPr>
                <w:noProof/>
                <w:color w:val="006100"/>
                <w:sz w:val="18"/>
              </w:rPr>
            </w:pPr>
          </w:p>
        </w:tc>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56366ADB" w14:textId="77777777" w:rsidR="00CB0FCB" w:rsidRDefault="009D2B11">
            <w:pPr>
              <w:pStyle w:val="P68B1DB1-Normal9"/>
              <w:spacing w:after="0" w:line="240" w:lineRule="auto"/>
              <w:rPr>
                <w:noProof/>
              </w:rPr>
            </w:pPr>
            <w:r>
              <w:rPr>
                <w:noProof/>
              </w:rPr>
              <w:t>4. CET.</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14:paraId="00AE4202" w14:textId="77777777" w:rsidR="00CB0FCB" w:rsidRDefault="009D2B11">
            <w:pPr>
              <w:pStyle w:val="P68B1DB1-Normal9"/>
              <w:spacing w:after="0" w:line="240" w:lineRule="auto"/>
              <w:rPr>
                <w:noProof/>
              </w:rPr>
            </w:pPr>
            <w:r>
              <w:rPr>
                <w:noProof/>
              </w:rPr>
              <w:t>2025</w:t>
            </w:r>
          </w:p>
        </w:tc>
        <w:tc>
          <w:tcPr>
            <w:tcW w:w="5194" w:type="dxa"/>
            <w:tcBorders>
              <w:top w:val="single" w:sz="4" w:space="0" w:color="auto"/>
              <w:left w:val="single" w:sz="4" w:space="0" w:color="auto"/>
              <w:bottom w:val="single" w:sz="4" w:space="0" w:color="auto"/>
              <w:right w:val="single" w:sz="4" w:space="0" w:color="auto"/>
            </w:tcBorders>
            <w:shd w:val="clear" w:color="auto" w:fill="C6EFCE"/>
            <w:noWrap/>
          </w:tcPr>
          <w:p w14:paraId="3826FE8D" w14:textId="77777777" w:rsidR="00CB0FCB" w:rsidRDefault="009D2B11">
            <w:pPr>
              <w:pStyle w:val="P68B1DB1-ListParagraph20"/>
              <w:numPr>
                <w:ilvl w:val="0"/>
                <w:numId w:val="87"/>
              </w:numPr>
              <w:spacing w:after="0" w:line="240" w:lineRule="auto"/>
              <w:ind w:left="113" w:hanging="142"/>
              <w:rPr>
                <w:noProof/>
              </w:rPr>
            </w:pPr>
            <w:r>
              <w:rPr>
                <w:noProof/>
              </w:rPr>
              <w:t xml:space="preserve"> Valsts privātā parāda pārvaldības stratēģijā paredzēto politikas darbību pabeigšana, jo īpaši:   </w:t>
            </w:r>
          </w:p>
          <w:p w14:paraId="4B002710" w14:textId="77777777" w:rsidR="00CB0FCB" w:rsidRDefault="00CB0FCB">
            <w:pPr>
              <w:spacing w:after="0" w:line="240" w:lineRule="auto"/>
              <w:rPr>
                <w:noProof/>
                <w:color w:val="006100"/>
                <w:sz w:val="18"/>
              </w:rPr>
            </w:pPr>
          </w:p>
          <w:p w14:paraId="5FE76CD3" w14:textId="2C98BB39" w:rsidR="00CB0FCB" w:rsidRDefault="009D2B11">
            <w:pPr>
              <w:pStyle w:val="P68B1DB1-ListParagraph38"/>
              <w:numPr>
                <w:ilvl w:val="1"/>
                <w:numId w:val="88"/>
              </w:numPr>
              <w:spacing w:after="0" w:line="240" w:lineRule="auto"/>
              <w:ind w:left="397" w:hanging="284"/>
              <w:rPr>
                <w:noProof/>
              </w:rPr>
            </w:pPr>
            <w:r>
              <w:rPr>
                <w:noProof/>
              </w:rPr>
              <w:t>Izveidot Kredītreitingu</w:t>
            </w:r>
            <w:r>
              <w:rPr>
                <w:rFonts w:asciiTheme="minorHAnsi" w:eastAsiaTheme="minorEastAsia" w:hAnsiTheme="minorHAnsi" w:cstheme="minorBidi"/>
                <w:noProof/>
              </w:rPr>
              <w:t xml:space="preserve">informācijas sistēmu (PCRIS). </w:t>
            </w:r>
            <w:r>
              <w:rPr>
                <w:noProof/>
              </w:rPr>
              <w:t xml:space="preserve">Viņš ietver IT sistēmas izstrādi, kas ietver centrālo datubāzi un vienotu kredītreitingu sistēmu debitoru (fizisku un juridisku personu) kredītspējas novērtēšanai, pamatojoties uz publiskā sektora datiem. </w:t>
            </w:r>
          </w:p>
          <w:p w14:paraId="4C46B697" w14:textId="77777777" w:rsidR="00CB0FCB" w:rsidRDefault="00CB0FCB">
            <w:pPr>
              <w:spacing w:after="0" w:line="240" w:lineRule="auto"/>
              <w:rPr>
                <w:noProof/>
                <w:color w:val="006100"/>
                <w:sz w:val="18"/>
              </w:rPr>
            </w:pPr>
          </w:p>
          <w:p w14:paraId="4FD793D3" w14:textId="77777777" w:rsidR="00CB0FCB" w:rsidRDefault="009D2B11">
            <w:pPr>
              <w:pStyle w:val="P68B1DB1-ListParagraph20"/>
              <w:numPr>
                <w:ilvl w:val="1"/>
                <w:numId w:val="88"/>
              </w:numPr>
              <w:spacing w:after="0" w:line="240" w:lineRule="auto"/>
              <w:ind w:left="397" w:hanging="284"/>
              <w:rPr>
                <w:noProof/>
              </w:rPr>
            </w:pPr>
            <w:r>
              <w:rPr>
                <w:noProof/>
              </w:rPr>
              <w:t>Privātā parāda uzraudzības reģistra IT sistēmas ieviešana, kas vāc datus no publiskiem un privātiem kreditoriem, kā arī no citiem attiecīgiem avotiem.</w:t>
            </w:r>
          </w:p>
          <w:p w14:paraId="1C4EDEBF" w14:textId="77777777" w:rsidR="00CB0FCB" w:rsidRDefault="00CB0FCB">
            <w:pPr>
              <w:spacing w:after="0" w:line="240" w:lineRule="auto"/>
              <w:rPr>
                <w:noProof/>
                <w:color w:val="006100"/>
                <w:sz w:val="18"/>
              </w:rPr>
            </w:pPr>
          </w:p>
          <w:p w14:paraId="18C3F7BE" w14:textId="77777777" w:rsidR="00CB0FCB" w:rsidRDefault="009D2B11">
            <w:pPr>
              <w:pStyle w:val="P68B1DB1-ListParagraph20"/>
              <w:numPr>
                <w:ilvl w:val="1"/>
                <w:numId w:val="88"/>
              </w:numPr>
              <w:spacing w:after="0" w:line="240" w:lineRule="auto"/>
              <w:ind w:left="397" w:hanging="284"/>
              <w:rPr>
                <w:noProof/>
              </w:rPr>
            </w:pPr>
            <w:r>
              <w:rPr>
                <w:noProof/>
              </w:rPr>
              <w:t xml:space="preserve">INA darījumu veicināšana, veicot šādas darbības: </w:t>
            </w:r>
          </w:p>
          <w:p w14:paraId="7E30E708" w14:textId="56AB88C2" w:rsidR="00CB0FCB" w:rsidRDefault="009D2B11">
            <w:pPr>
              <w:pStyle w:val="P68B1DB1-ListParagraph38"/>
              <w:numPr>
                <w:ilvl w:val="0"/>
                <w:numId w:val="86"/>
              </w:numPr>
              <w:spacing w:after="0" w:line="240" w:lineRule="auto"/>
              <w:ind w:left="851" w:hanging="567"/>
              <w:rPr>
                <w:noProof/>
              </w:rPr>
            </w:pPr>
            <w:r>
              <w:rPr>
                <w:noProof/>
              </w:rPr>
              <w:t>Izveidot un veicināt vienotas datu veidnes izmantošanu ienākumus nenesošu aizdevumu darījumiem, tostarp INA aizdevumiem, kas ir kļuvuši atkārtoti pēc pārstrukturēšanas, un kas papildinātu esošo EBI veidni;</w:t>
            </w:r>
          </w:p>
          <w:p w14:paraId="351C0CE0" w14:textId="77777777" w:rsidR="00CB0FCB" w:rsidRDefault="009D2B11">
            <w:pPr>
              <w:pStyle w:val="P68B1DB1-ListParagraph20"/>
              <w:numPr>
                <w:ilvl w:val="0"/>
                <w:numId w:val="86"/>
              </w:numPr>
              <w:spacing w:after="0" w:line="240" w:lineRule="auto"/>
              <w:ind w:left="851" w:hanging="567"/>
              <w:rPr>
                <w:noProof/>
              </w:rPr>
            </w:pPr>
            <w:r>
              <w:rPr>
                <w:noProof/>
              </w:rPr>
              <w:t>Vienotas veidnes izveide portfeļa izvērtēšanai un izvērtēšanai;</w:t>
            </w:r>
          </w:p>
          <w:p w14:paraId="1026C7AB" w14:textId="77777777" w:rsidR="00CB0FCB" w:rsidRDefault="009D2B11">
            <w:pPr>
              <w:pStyle w:val="P68B1DB1-ListParagraph20"/>
              <w:numPr>
                <w:ilvl w:val="0"/>
                <w:numId w:val="86"/>
              </w:numPr>
              <w:spacing w:after="0" w:line="240" w:lineRule="auto"/>
              <w:ind w:left="851" w:hanging="567"/>
              <w:rPr>
                <w:noProof/>
              </w:rPr>
            </w:pPr>
            <w:r>
              <w:rPr>
                <w:noProof/>
              </w:rPr>
              <w:t>Izveidot darījumu platformu INA portfeļiem, lai palīdzētu pārdevējiem un pircējiem efektīvi un konfidenciāli apmainīties ar informāciju un iesniegt piedāvājumus, vienlaikus ņemot vērā tirgū esošos risinājumus.</w:t>
            </w:r>
          </w:p>
          <w:p w14:paraId="3AC699E1" w14:textId="77777777" w:rsidR="00CB0FCB" w:rsidRDefault="00CB0FCB">
            <w:pPr>
              <w:pStyle w:val="ListParagraph"/>
              <w:spacing w:after="0" w:line="240" w:lineRule="auto"/>
              <w:ind w:left="851"/>
              <w:rPr>
                <w:noProof/>
                <w:color w:val="006100"/>
                <w:sz w:val="18"/>
              </w:rPr>
            </w:pPr>
          </w:p>
          <w:p w14:paraId="700A0D66" w14:textId="2607AB7F" w:rsidR="00CB0FCB" w:rsidRDefault="009D2B11">
            <w:pPr>
              <w:pStyle w:val="P68B1DB1-ListParagraph38"/>
              <w:numPr>
                <w:ilvl w:val="0"/>
                <w:numId w:val="87"/>
              </w:numPr>
              <w:spacing w:after="0" w:line="240" w:lineRule="auto"/>
              <w:ind w:left="113" w:hanging="142"/>
              <w:rPr>
                <w:noProof/>
              </w:rPr>
            </w:pPr>
            <w:r>
              <w:rPr>
                <w:noProof/>
              </w:rPr>
              <w:t xml:space="preserve"> Centrālā kredītu reģistra (CCR) izveide un nepieciešamās IT infrastruktūras ieviešana kā valsts datubāze, ko uztur Grieķijas Banka (BoG), kurā reģistrē katra aizdevuma maksājumu vēsturi un sniegtā nodrošinājuma veidus. CCR, vācot attiecīgos datus, arī palīdz kredītu paplašināšanas novērošanas centra darbībā un funkcijās, lai uzraudzītu kredītu paplašināšanas attīstību. Valde darbojas kā datu pārzinis un nodrošina stingru drošības un datu aizsardzības protokolu ieviešanu. </w:t>
            </w:r>
          </w:p>
          <w:p w14:paraId="31E3FA80" w14:textId="114782B4" w:rsidR="00CB0FCB" w:rsidRDefault="009D2B11">
            <w:pPr>
              <w:pStyle w:val="P68B1DB1-ListParagraph38"/>
              <w:numPr>
                <w:ilvl w:val="0"/>
                <w:numId w:val="87"/>
              </w:numPr>
              <w:spacing w:after="0" w:line="240" w:lineRule="auto"/>
              <w:ind w:left="113" w:hanging="142"/>
              <w:rPr>
                <w:noProof/>
              </w:rPr>
            </w:pPr>
            <w:r>
              <w:rPr>
                <w:noProof/>
              </w:rPr>
              <w:t xml:space="preserve"> Stājas spēkā tiesību akti par lietu izskatīšanu un pārvaldību un neizskatīto lietu skaita samazināšana izpildes procedūrās, kuru mērķis ir racionalizēt procedūras un paātrināt lietu izšķiršanu, veicot grozījumus Civilprocesa kodeksā, un izveidot mehānismu, lai pārplānotu tiesas sēdes datumus gan “pirmsizsoles”, gan “pēcizsoles” iebildumiem.</w:t>
            </w:r>
          </w:p>
          <w:p w14:paraId="4CB0F8E4" w14:textId="77777777" w:rsidR="00CB0FCB" w:rsidRDefault="00CB0FCB">
            <w:pPr>
              <w:spacing w:after="0" w:line="240" w:lineRule="auto"/>
              <w:rPr>
                <w:noProof/>
                <w:color w:val="006100"/>
                <w:sz w:val="18"/>
              </w:rPr>
            </w:pPr>
          </w:p>
        </w:tc>
      </w:tr>
    </w:tbl>
    <w:p w14:paraId="5C5C181A" w14:textId="77777777" w:rsidR="00CB0FCB" w:rsidRDefault="00CB0FCB">
      <w:pPr>
        <w:spacing w:before="120" w:after="120" w:line="240" w:lineRule="auto"/>
        <w:ind w:left="709"/>
        <w:jc w:val="both"/>
        <w:rPr>
          <w:rFonts w:ascii="Times New Roman" w:hAnsi="Times New Roman" w:cs="Times New Roman"/>
          <w:noProof/>
          <w:sz w:val="24"/>
          <w:szCs w:val="24"/>
        </w:rPr>
      </w:pPr>
    </w:p>
    <w:p w14:paraId="54158153" w14:textId="77777777" w:rsidR="00CB0FCB" w:rsidRDefault="00CB0FCB">
      <w:pPr>
        <w:spacing w:before="120" w:after="120" w:line="240" w:lineRule="auto"/>
        <w:ind w:left="709"/>
        <w:jc w:val="both"/>
        <w:rPr>
          <w:rFonts w:ascii="Times New Roman" w:hAnsi="Times New Roman" w:cs="Times New Roman"/>
          <w:noProof/>
          <w:sz w:val="24"/>
          <w:szCs w:val="24"/>
        </w:rPr>
      </w:pPr>
    </w:p>
    <w:p w14:paraId="4FE84E92"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53"/>
          <w:headerReference w:type="default" r:id="rId254"/>
          <w:footerReference w:type="even" r:id="rId255"/>
          <w:footerReference w:type="default" r:id="rId256"/>
          <w:headerReference w:type="first" r:id="rId257"/>
          <w:footerReference w:type="first" r:id="rId258"/>
          <w:pgSz w:w="16839" w:h="11907" w:orient="landscape"/>
          <w:pgMar w:top="720" w:right="720" w:bottom="720" w:left="720" w:header="709" w:footer="501" w:gutter="0"/>
          <w:cols w:space="720"/>
          <w:docGrid w:linePitch="360"/>
        </w:sectPr>
      </w:pPr>
    </w:p>
    <w:p w14:paraId="1E1B0B69" w14:textId="77777777" w:rsidR="00CB0FCB" w:rsidRDefault="009D2B11">
      <w:pPr>
        <w:pStyle w:val="P68B1DB1-Normal2"/>
        <w:spacing w:before="120" w:after="120" w:line="240" w:lineRule="auto"/>
        <w:ind w:firstLine="6"/>
        <w:jc w:val="both"/>
        <w:outlineLvl w:val="3"/>
        <w:rPr>
          <w:rFonts w:cs="Times New Roman"/>
          <w:bCs/>
          <w:noProof/>
        </w:rPr>
      </w:pPr>
      <w:r>
        <w:rPr>
          <w:noProof/>
        </w:rPr>
        <w:t>P. 4.5. KOMPONENTS: VEICINĀT PĒTNIECĪBU UN INOVĀCIJU,</w:t>
      </w:r>
    </w:p>
    <w:p w14:paraId="0E9182DB" w14:textId="77777777" w:rsidR="00CB0FCB" w:rsidRDefault="009D2B11">
      <w:pPr>
        <w:pStyle w:val="P68B1DB1-Normal4"/>
        <w:spacing w:before="120" w:after="120" w:line="240" w:lineRule="auto"/>
        <w:jc w:val="both"/>
        <w:rPr>
          <w:rFonts w:cs="Times New Roman"/>
          <w:noProof/>
        </w:rPr>
      </w:pPr>
      <w:r>
        <w:rPr>
          <w:noProof/>
        </w:rPr>
        <w:t>Šā Grieķijas atveseļošanas un noturības plāna komponenta galvenie mērķi ir palielināt publiskās un privātās investīcijas pētniecībā un izstrādē, stiprināt saiknes starp zinātni un uzņēmumiem un attīstīt novatorisku pētniecības un izstrādes infrastruktūru, lai uzlabotu Grieķijas sniegumu pētniecības un inovācijas jomā. Paredzams, ka to panāks ar mērķtiecīgām reformām un investīcijām, lai palielinātu publiskos un privātos pētniecības un izstrādes izdevumus, uzlabotu valsts pētniecības infrastruktūru, veicinātu pētniecības finansējumu, palielinātu Grieķijas pētniecības ekosistēmas internacionalizāciju un attīstītu sadarbību pētniecības jomā. Komponents ietver arī civilās aizsardzības informācijas sistēmas izstrādi, kas reāllaikā informē kompetentās iestādes par fiziskām parādībām un dabas katastrofām, vienlaikus atbalstot to sadarbību. Šīs investīcijas arī veicina digitālo pārveidi, izstrādājot progresīvas digitālās tehnoloģijas un digitalizējot civilās aizsardzības metodes, kā arī veicina zaļo pārkārtošanos, mazinot klimata pārmaiņu ietekmi, lai nodrošinātu civilo aizsardzību. Komponents palīdz īstenot konkrētai valstij adresētos ieteikumus par publiskajām un privātajām investīcijām (2019. gada konkrētai valstij adresētais ieteikums Nr. 2 un 2020. gada konkrētai valstij adresētais ieteikums Nr. 3).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7F55B883" w14:textId="77777777" w:rsidR="00CB0FCB" w:rsidRDefault="009D2B11">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P.1. </w:t>
      </w:r>
      <w:r>
        <w:rPr>
          <w:noProof/>
        </w:rPr>
        <w:t xml:space="preserve"> </w:t>
      </w:r>
      <w:r>
        <w:rPr>
          <w:rFonts w:ascii="Times New Roman" w:hAnsi="Times New Roman"/>
          <w:b/>
          <w:noProof/>
          <w:sz w:val="24"/>
          <w:u w:val="single"/>
        </w:rPr>
        <w:t>Reformu un investīciju apraksts neatmaksājamam finansiālajam atbalstam</w:t>
      </w:r>
    </w:p>
    <w:p w14:paraId="16947932"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Izveide — Izvēršana — Pētniecības centru infrastruktūras modernizācija, ko uzrauga Pētniecības un inovācijas ģenerālsekretariāts (GSRI) (pasākums ID 16624)</w:t>
      </w:r>
    </w:p>
    <w:p w14:paraId="58FA3387" w14:textId="570BECAD" w:rsidR="00CB0FCB" w:rsidRDefault="009D2B11">
      <w:pPr>
        <w:pStyle w:val="P68B1DB1-Normal4"/>
        <w:spacing w:before="120" w:after="120" w:line="240" w:lineRule="auto"/>
        <w:jc w:val="both"/>
        <w:rPr>
          <w:rFonts w:cs="Times New Roman"/>
          <w:noProof/>
        </w:rPr>
      </w:pPr>
      <w:r>
        <w:rPr>
          <w:noProof/>
        </w:rPr>
        <w:t xml:space="preserve">Investīcija ietver 11 pētniecības centru infrastruktūras un/vai aprīkojuma modernizāciju, lai uzlabotu to pētniecības spējas un spējas svarīgās zinātnes un tehnoloģiju jomās. Ieguldījumi jo īpaši attiecas uz šādiem pētniecības centriem: Pētniecības un tehnoloģiju fonds Hellas; Athena Pētniecības un inovācijas centrs; BSRC Fleming; Pētniecības un tehnoloģiju centrs (Hellas); Grieķijas Valsts pētniecības fonds; Biomedicīniskās pētniecības fonda Atēnu akadēmija; Atēnu Nacionālā observatorija; Grieķijas Jūras pētniecības centrs; Grieķijas Pastēra institūts; Valsts sociālās pētniecības centrs; Grieķijas Atomenerģijas komisija. </w:t>
      </w:r>
    </w:p>
    <w:p w14:paraId="11979D02" w14:textId="2FEA7154" w:rsidR="00CB0FCB" w:rsidRDefault="009D2B11">
      <w:pPr>
        <w:pStyle w:val="P68B1DB1-Normal5"/>
        <w:spacing w:before="120" w:after="120" w:line="240" w:lineRule="auto"/>
        <w:jc w:val="both"/>
        <w:rPr>
          <w:rFonts w:cs="Times New Roman"/>
          <w:noProof/>
        </w:rPr>
      </w:pPr>
      <w:r>
        <w:rPr>
          <w:noProof/>
        </w:rPr>
        <w:t>Lai nodrošinātu, ka pasākums atbilst tehniskajiem norādījumiem “nenodarīt būtisku kaitējumu” (2021/C58/01), uzaicinājumos iesniegt projektus noteiktajos atbilstības kritērijos neiekļauj šādu darbību sarakstu:</w:t>
      </w:r>
      <w:r>
        <w:rPr>
          <w:noProof/>
          <w:color w:val="FF0000"/>
        </w:rPr>
        <w:t xml:space="preserve"> </w:t>
      </w:r>
      <w:r>
        <w:rPr>
          <w:noProof/>
        </w:rPr>
        <w:t>I) darbības, kas saistītas ar fosilo kurināmo, tostarp pakārtotu izmantošanu</w:t>
      </w:r>
      <w:r>
        <w:rPr>
          <w:noProof/>
        </w:rPr>
        <w:footnoteReference w:id="15"/>
      </w:r>
      <w:r>
        <w:rPr>
          <w:noProof/>
        </w:rPr>
        <w:t>; II) darbības saskaņā ar ES emisijas kvotu tirdzniecības sistēmu (ETS), kuru prognozētās siltumnīcefekta gāzu emisijas nav zemākas par attiecīgajām līmeņatzīmēm</w:t>
      </w:r>
      <w:r>
        <w:rPr>
          <w:noProof/>
        </w:rPr>
        <w:footnoteReference w:id="16"/>
      </w:r>
      <w:r>
        <w:rPr>
          <w:noProof/>
        </w:rPr>
        <w:t>; III) darbības, kas saistītas ar atkritumu poligoniem, sadedzināšanas iekārtām</w:t>
      </w:r>
      <w:r>
        <w:rPr>
          <w:noProof/>
        </w:rPr>
        <w:footnoteReference w:id="17"/>
      </w:r>
      <w:r>
        <w:rPr>
          <w:noProof/>
        </w:rPr>
        <w:t xml:space="preserve"> un mehāniski bioloģiskās apstrādes iekārtām</w:t>
      </w:r>
      <w:r>
        <w:rPr>
          <w:noProof/>
        </w:rPr>
        <w:footnoteReference w:id="18"/>
      </w:r>
      <w:r>
        <w:rPr>
          <w:noProof/>
        </w:rPr>
        <w:t>; un iv) darbības, kurās atkritumu ilgtermiņa apglabāšana var radīt kaitējumu videi. Darba uzdevumā papildus nosaka, ka var atlasīt tikai tās darbības, kas atbilst attiecīgajiem ES un valsts tiesību aktiem vides jomā.</w:t>
      </w:r>
    </w:p>
    <w:p w14:paraId="1282F50B" w14:textId="77777777" w:rsidR="00CB0FCB" w:rsidRDefault="009D2B11">
      <w:pPr>
        <w:pStyle w:val="P68B1DB1-Normal4"/>
        <w:spacing w:before="120" w:after="120" w:line="240" w:lineRule="auto"/>
        <w:jc w:val="both"/>
        <w:rPr>
          <w:rFonts w:cs="Times New Roman"/>
          <w:noProof/>
        </w:rPr>
      </w:pPr>
      <w:r>
        <w:rPr>
          <w:noProof/>
        </w:rPr>
        <w:t>Investīciju īstenošanu pabeidz līdz 2025. gada 31. decembrim.</w:t>
      </w:r>
    </w:p>
    <w:p w14:paraId="44FF6D0E"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Fundamentālie un lietišķie pētījumi (pasākums ID 16618)</w:t>
      </w:r>
    </w:p>
    <w:p w14:paraId="1607858F" w14:textId="77777777" w:rsidR="00CB0FCB" w:rsidRDefault="009D2B11">
      <w:pPr>
        <w:pStyle w:val="P68B1DB1-Normal4"/>
        <w:spacing w:before="120" w:after="120" w:line="240" w:lineRule="auto"/>
        <w:jc w:val="both"/>
        <w:rPr>
          <w:rFonts w:cs="Times New Roman"/>
          <w:noProof/>
        </w:rPr>
      </w:pPr>
      <w:r>
        <w:rPr>
          <w:noProof/>
        </w:rPr>
        <w:t xml:space="preserve">Ieguldījumu veido septiņi apakšprojekti: horizontālā finansējuma nodrošināšana fundamentālajiem pētījumiem; II) finansiāls atbalsts vadošajiem pētniecības projektiem starpdisciplinārajās nozarēs ar praktisku pielietojumu Grieķijas ekonomikai; III) finansiāls atbalsts lietišķajiem pētījumiem precīzijas medicīnā; IV) finansējuma nodrošināšana bezpilota sistēmu pētniecības un izstrādes centram, lai atbalstītu bezpilota lidaparātu lietišķos pētījumus; piemērota pētniecības un inovācijas institūta izveide mākslīgā intelekta, datu apstrādes un algoritmu izstrādes jomā; VI) finansiāls atbalsts tirgū tulkojamu ilgtspējīgu materiālu tehnoloģiju nodrošināšanai; VII) finansiāls atbalsts dalībai Eiropas partnerībās, proti, Euro-HPC (augstas veiktspējas datošana) un galvenajās digitālajās tehnoloģijās. Investīcijas mērķis ir izveidot struktūras lietišķās pētniecības atbalstam ilgtermiņā un veicināt “dziļo tehnoloģiju” inovācijas ekosistēmu, finansējot starpdisciplināras pētniecības un izstrādes darbības, kas ietekmē rūpniecību. Investīciju īstenošanu pabeidz līdz 2025. gada 31. decembrim. </w:t>
      </w:r>
    </w:p>
    <w:p w14:paraId="399B7FC3"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w:t>
      </w:r>
      <w:r>
        <w:rPr>
          <w:noProof/>
          <w:vertAlign w:val="superscript"/>
        </w:rPr>
        <w:t>ORAX</w:t>
      </w:r>
      <w:r>
        <w:rPr>
          <w:noProof/>
        </w:rPr>
        <w:t>: Tellis Holistic &amp; Hybrid Operation Rackggedised Autonomā eXemplary sistēma (pasākums ID 16654)</w:t>
      </w:r>
    </w:p>
    <w:p w14:paraId="1D813A40" w14:textId="77777777" w:rsidR="00CB0FCB" w:rsidRDefault="009D2B11">
      <w:pPr>
        <w:pStyle w:val="P68B1DB1-Normal4"/>
        <w:spacing w:before="120" w:after="120" w:line="240" w:lineRule="auto"/>
        <w:jc w:val="both"/>
        <w:rPr>
          <w:rFonts w:cs="Times New Roman"/>
          <w:noProof/>
        </w:rPr>
      </w:pPr>
      <w:r>
        <w:rPr>
          <w:noProof/>
          <w:color w:val="000000"/>
        </w:rPr>
        <w:t xml:space="preserve">Investīcija ietver nākamās paaudzes informācijas sistēmas izstrādi, kas, paredzams, apvienos dažādus sadarbīgās infrastruktūras veidus un veidus, lai uzlabotu iestāžu lēmumu pieņemšanu reāllaikā. Sistēmu </w:t>
      </w:r>
      <w:r>
        <w:rPr>
          <w:noProof/>
        </w:rPr>
        <w:t>veido</w:t>
      </w:r>
      <w:r>
        <w:rPr>
          <w:noProof/>
          <w:color w:val="000000"/>
        </w:rPr>
        <w:t xml:space="preserve"> mūsdienīgas tehnoloģijas, piemēram, mākslīgais intelekts, un tā ir izstrādāta tā, lai ilgtermiņā apmierinātu dažāda galalietotāju loka vajadzības.</w:t>
      </w:r>
      <w:r>
        <w:rPr>
          <w:noProof/>
        </w:rPr>
        <w:t xml:space="preserve"> Paredzams, ka tas veicinās robežu pārvaldību, cīņu pret noziedzību un terorismu, kiberdrošību, kritiskās infrastruktūras aizsardzību un noturību, meklēšanu un glābšanu un noturību pret katastrofām. Investīciju īstenošanu pabeidz līdz 2025. gada 31. decembrim.</w:t>
      </w:r>
    </w:p>
    <w:p w14:paraId="01A47DF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Pētniecība — Izveidot jauninājumus (pasākums ID 16971)</w:t>
      </w:r>
    </w:p>
    <w:p w14:paraId="1E8263D3" w14:textId="77777777" w:rsidR="00CB0FCB" w:rsidRDefault="009D2B11">
      <w:pPr>
        <w:pStyle w:val="P68B1DB1-Normal4"/>
        <w:spacing w:before="120" w:after="120" w:line="240" w:lineRule="auto"/>
        <w:jc w:val="both"/>
        <w:rPr>
          <w:rFonts w:cs="Times New Roman"/>
          <w:noProof/>
        </w:rPr>
      </w:pPr>
      <w:r>
        <w:rPr>
          <w:noProof/>
        </w:rPr>
        <w:t xml:space="preserve">Investīcijas mērķis ir atbalstīt 36 projektu priekšlikumus, kas novērtēti ar ļoti augstu vērtējumu “izcilības” kritērijā pārdomātas specializācijas (RIS3) nozarēs, bet kas budžeta ierobežojumu dēļ netika finansēti saskaņā ar “Apvārsnis 2020”. Investīcijas atbalsta atlasītos priekšlikumus ar finansējumu, un paredzams, ka tās piesaistīs līdzfinansējumu no privātā sektora, stiprinot saikni starp publiskās zinātnes nozari un uzņēmumiem. Nozares, kas ir tiesīgas saņemt finansējumu, ir šādas: I) vide un ilgtspējīga attīstība; II) enerģija; III) </w:t>
      </w:r>
      <w:r>
        <w:rPr>
          <w:noProof/>
          <w:color w:val="000000"/>
        </w:rPr>
        <w:t>informācijas un komunikāciju tehnoloģijas;</w:t>
      </w:r>
      <w:r>
        <w:rPr>
          <w:noProof/>
        </w:rPr>
        <w:t xml:space="preserve"> IV) veselība un farmācija; V) transportēšanas un piegādes ķēde; VI) lauksaimniecības pārtikas un pārtikas rūpniecība; VII) materiāli un uzbūve; un viii) tūrisms, kultūra un radošās nozares. Investīciju īstenošanu pabeidz līdz 2025. gada 31. decembrim.</w:t>
      </w:r>
    </w:p>
    <w:p w14:paraId="0B3C545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“Apvārsnis 2020” “Izcilības zīmogs”: vadošo inovatīvo uzņēmumu finansēšana (pasākums ID 16622)</w:t>
      </w:r>
    </w:p>
    <w:p w14:paraId="247D80C4" w14:textId="35CE895D" w:rsidR="00CB0FCB" w:rsidRDefault="009D2B11">
      <w:pPr>
        <w:pStyle w:val="P68B1DB1-Normal4"/>
        <w:spacing w:before="120" w:after="120" w:line="240" w:lineRule="auto"/>
        <w:jc w:val="both"/>
        <w:rPr>
          <w:rFonts w:cs="Times New Roman"/>
          <w:noProof/>
        </w:rPr>
      </w:pPr>
      <w:r>
        <w:rPr>
          <w:noProof/>
        </w:rPr>
        <w:t xml:space="preserve">Investīcija attiecas uz 12 projektu priekšlikumiem, ko iesnieguši mazie un vidējie uzņēmumi, kuri ir saņēmuši izcilības zīmoga “Apvārsnis 2020” kvalitātes zīmi un ir tiesīgi saņemt dotāciju, bet budžeta ierobežojumu dēļ tos nefinansē saskaņā ar “Apvārsnis 2020”. Investīcijas atbalsta šos priekšlikumus, palielinot saņēmēju privāto finansējumu. Nozares, kas ir tiesīgas saņemt finansējumu, ir šādas: I) vide un ilgtspējīga attīstība; II) enerģija; III) </w:t>
      </w:r>
      <w:r>
        <w:rPr>
          <w:noProof/>
          <w:color w:val="000000"/>
        </w:rPr>
        <w:t>informācijas un komunikāciju tehnoloģijas;</w:t>
      </w:r>
      <w:r>
        <w:rPr>
          <w:noProof/>
        </w:rPr>
        <w:t xml:space="preserve"> IV) veselība un farmācija; V) transportēšanas un piegādes ķēde; VI) lauksaimniecības pārtikas un pārtikas rūpniecība; un vii) materiāli un būvniecība. Investīciju īstenošanu pabeidz līdz 2025. gada 31. decembrim.</w:t>
      </w:r>
    </w:p>
    <w:p w14:paraId="7DC19C87"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Grieķijas pētniecības un inovācijas ekosistēmas izslēgšana (pasākums ID 16621)</w:t>
      </w:r>
    </w:p>
    <w:p w14:paraId="079EEDE1" w14:textId="77777777" w:rsidR="00CB0FCB" w:rsidRDefault="009D2B11">
      <w:pPr>
        <w:pStyle w:val="P68B1DB1-Normal4"/>
        <w:spacing w:before="120" w:after="120" w:line="240" w:lineRule="auto"/>
        <w:jc w:val="both"/>
        <w:rPr>
          <w:rFonts w:cs="Times New Roman"/>
          <w:noProof/>
        </w:rPr>
      </w:pPr>
      <w:r>
        <w:rPr>
          <w:noProof/>
        </w:rPr>
        <w:t>Reforma ietver valsts jaunuzņēmumu un inovācijas ekosistēmas popularizēšanu un globālu publicitāti, kā arī atbalstu programmatūras izstrādei, uzturēšanai un modernizācijas un izvērtēšanas procesam. Šīs darbības īsteno, izmantojot ELEVATE Greece, kas uztur digitālu portālu, kurš ļauj valsts jaunuzņēmumiem reģistrēties un iegūt valdības akreditāciju kā “jaunuzņēmumi”. Reformas īstenošanu pabeidz līdz 2025. gada 31. decembrim.</w:t>
      </w:r>
    </w:p>
    <w:p w14:paraId="77189226" w14:textId="77777777" w:rsidR="00CB0FCB" w:rsidRDefault="00CB0FCB">
      <w:pPr>
        <w:spacing w:before="120" w:after="120" w:line="240" w:lineRule="auto"/>
        <w:ind w:left="709"/>
        <w:jc w:val="both"/>
        <w:rPr>
          <w:rFonts w:ascii="Times New Roman" w:hAnsi="Times New Roman" w:cs="Times New Roman"/>
          <w:noProof/>
          <w:sz w:val="24"/>
        </w:rPr>
      </w:pPr>
    </w:p>
    <w:p w14:paraId="139105A2"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59"/>
          <w:headerReference w:type="default" r:id="rId260"/>
          <w:footerReference w:type="even" r:id="rId261"/>
          <w:footerReference w:type="default" r:id="rId262"/>
          <w:headerReference w:type="first" r:id="rId263"/>
          <w:footerReference w:type="first" r:id="rId264"/>
          <w:pgSz w:w="11907" w:h="16839"/>
          <w:pgMar w:top="1134" w:right="1417" w:bottom="1134" w:left="1417" w:header="709" w:footer="468" w:gutter="0"/>
          <w:cols w:space="720"/>
          <w:docGrid w:linePitch="360"/>
        </w:sectPr>
      </w:pPr>
    </w:p>
    <w:p w14:paraId="3D91D4D8"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P.2.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1E9F36C4" w14:textId="77777777" w:rsidR="00CB0FCB" w:rsidRDefault="00CB0FCB">
      <w:pPr>
        <w:rPr>
          <w:noProof/>
        </w:rPr>
      </w:pPr>
    </w:p>
    <w:p w14:paraId="5D04BDF1" w14:textId="77777777" w:rsidR="00CB0FCB" w:rsidRDefault="009D2B11">
      <w:pPr>
        <w:pStyle w:val="P68B1DB1-Normal6"/>
        <w:keepNext/>
        <w:keepLines/>
        <w:spacing w:before="40" w:after="0" w:line="240" w:lineRule="auto"/>
        <w:jc w:val="both"/>
        <w:outlineLvl w:val="4"/>
        <w:rPr>
          <w:rFonts w:eastAsia="Times New Roman"/>
          <w:noProof/>
        </w:rPr>
      </w:pPr>
      <w:r>
        <w:rPr>
          <w:noProof/>
        </w:rPr>
        <w:t>Grupa: Veicināt pētniecību un inovāciju,</w:t>
      </w:r>
    </w:p>
    <w:p w14:paraId="19F79DFF" w14:textId="77777777" w:rsidR="00CB0FCB" w:rsidRDefault="009D2B11">
      <w:pPr>
        <w:pStyle w:val="P68B1DB1-Normal4"/>
        <w:numPr>
          <w:ilvl w:val="0"/>
          <w:numId w:val="34"/>
        </w:numPr>
        <w:spacing w:before="120" w:after="0" w:line="240" w:lineRule="auto"/>
        <w:jc w:val="both"/>
        <w:rPr>
          <w:rFonts w:cs="Times New Roman"/>
          <w:noProof/>
        </w:rPr>
      </w:pPr>
      <w:r>
        <w:rPr>
          <w:noProof/>
        </w:rPr>
        <w:t>Izveide — Izvēršana — Pētniecības un tehnoloģiju ģenerālsekretariāta (GSRT) uzraudzīto pētniecības centru infrastruktūras modernizācija (ID: 16624)</w:t>
      </w:r>
    </w:p>
    <w:p w14:paraId="4B74F223" w14:textId="77777777" w:rsidR="00CB0FCB" w:rsidRDefault="009D2B11">
      <w:pPr>
        <w:pStyle w:val="P68B1DB1-Normal4"/>
        <w:numPr>
          <w:ilvl w:val="0"/>
          <w:numId w:val="34"/>
        </w:numPr>
        <w:spacing w:before="120" w:after="0" w:line="240" w:lineRule="auto"/>
        <w:jc w:val="both"/>
        <w:rPr>
          <w:rFonts w:cs="Times New Roman"/>
          <w:noProof/>
        </w:rPr>
      </w:pPr>
      <w:r>
        <w:rPr>
          <w:noProof/>
        </w:rPr>
        <w:t>Fundamentālie un lietišķie pētījumi (ID: 16618)</w:t>
      </w:r>
    </w:p>
    <w:p w14:paraId="607A12E3" w14:textId="77777777" w:rsidR="00CB0FCB" w:rsidRDefault="009D2B11">
      <w:pPr>
        <w:pStyle w:val="P68B1DB1-Normal4"/>
        <w:numPr>
          <w:ilvl w:val="0"/>
          <w:numId w:val="34"/>
        </w:numPr>
        <w:spacing w:before="120" w:after="0" w:line="240" w:lineRule="auto"/>
        <w:jc w:val="both"/>
        <w:rPr>
          <w:rFonts w:cs="Times New Roman"/>
          <w:noProof/>
        </w:rPr>
      </w:pPr>
      <w:r>
        <w:rPr>
          <w:noProof/>
        </w:rPr>
        <w:t>ORAX: Tellis Holistic &amp; Hybrid Operation Ryggedised Autonomous eXemplary system (ID: 16654)</w:t>
      </w:r>
    </w:p>
    <w:p w14:paraId="46337711" w14:textId="77777777" w:rsidR="00CB0FCB" w:rsidRDefault="009D2B11">
      <w:pPr>
        <w:pStyle w:val="P68B1DB1-Normal4"/>
        <w:numPr>
          <w:ilvl w:val="0"/>
          <w:numId w:val="34"/>
        </w:numPr>
        <w:spacing w:before="120" w:after="0" w:line="240" w:lineRule="auto"/>
        <w:jc w:val="both"/>
        <w:rPr>
          <w:rFonts w:cs="Times New Roman"/>
          <w:noProof/>
        </w:rPr>
      </w:pPr>
      <w:r>
        <w:rPr>
          <w:noProof/>
        </w:rPr>
        <w:t>Pētniecība — Izveidot jauninājumus (ID: 16971)</w:t>
      </w:r>
    </w:p>
    <w:p w14:paraId="3F6B9088" w14:textId="77777777" w:rsidR="00CB0FCB" w:rsidRDefault="009D2B11">
      <w:pPr>
        <w:pStyle w:val="P68B1DB1-Normal4"/>
        <w:numPr>
          <w:ilvl w:val="0"/>
          <w:numId w:val="34"/>
        </w:numPr>
        <w:spacing w:before="120" w:after="0" w:line="240" w:lineRule="auto"/>
        <w:jc w:val="both"/>
        <w:rPr>
          <w:rFonts w:cs="Times New Roman"/>
          <w:noProof/>
        </w:rPr>
      </w:pPr>
      <w:r>
        <w:rPr>
          <w:noProof/>
        </w:rPr>
        <w:t>“Apvārsnis 2020” “Izcilības zīmogs”: galveno inovatīvo uzņēmumu finansēšana (ID: 16622)</w:t>
      </w:r>
    </w:p>
    <w:p w14:paraId="1C948494" w14:textId="77777777" w:rsidR="00CB0FCB" w:rsidRDefault="009D2B11">
      <w:pPr>
        <w:pStyle w:val="P68B1DB1-Normal4"/>
        <w:numPr>
          <w:ilvl w:val="0"/>
          <w:numId w:val="34"/>
        </w:numPr>
        <w:spacing w:before="120" w:after="120" w:line="240" w:lineRule="auto"/>
        <w:jc w:val="both"/>
        <w:rPr>
          <w:rFonts w:cs="Times New Roman"/>
          <w:noProof/>
        </w:rPr>
      </w:pPr>
      <w:r>
        <w:rPr>
          <w:noProof/>
        </w:rPr>
        <w:t>Grieķijas pētniecības un inovācijas ekosistēmas izslēgšana (ID: 16621)</w:t>
      </w:r>
    </w:p>
    <w:tbl>
      <w:tblPr>
        <w:tblW w:w="16018" w:type="dxa"/>
        <w:jc w:val="center"/>
        <w:tblLayout w:type="fixed"/>
        <w:tblLook w:val="04A0" w:firstRow="1" w:lastRow="0" w:firstColumn="1" w:lastColumn="0" w:noHBand="0" w:noVBand="1"/>
      </w:tblPr>
      <w:tblGrid>
        <w:gridCol w:w="1110"/>
        <w:gridCol w:w="2055"/>
        <w:gridCol w:w="1094"/>
        <w:gridCol w:w="1794"/>
        <w:gridCol w:w="1774"/>
        <w:gridCol w:w="960"/>
        <w:gridCol w:w="960"/>
        <w:gridCol w:w="607"/>
        <w:gridCol w:w="992"/>
        <w:gridCol w:w="707"/>
        <w:gridCol w:w="3965"/>
      </w:tblGrid>
      <w:tr w:rsidR="00CB0FCB" w14:paraId="4FDEA420" w14:textId="77777777">
        <w:trPr>
          <w:trHeight w:val="740"/>
          <w:tblHeader/>
          <w:jc w:val="center"/>
        </w:trPr>
        <w:tc>
          <w:tcPr>
            <w:tcW w:w="1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AEED12"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C99412"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4249CA"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794" w:type="dxa"/>
            <w:vMerge w:val="restart"/>
            <w:tcBorders>
              <w:top w:val="single" w:sz="4" w:space="0" w:color="auto"/>
              <w:left w:val="nil"/>
              <w:bottom w:val="single" w:sz="4" w:space="0" w:color="auto"/>
              <w:right w:val="single" w:sz="4" w:space="0" w:color="auto"/>
            </w:tcBorders>
            <w:shd w:val="clear" w:color="auto" w:fill="BDD7EE"/>
            <w:vAlign w:val="center"/>
            <w:hideMark/>
          </w:tcPr>
          <w:p w14:paraId="5B15764A"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67DFA7"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527" w:type="dxa"/>
            <w:gridSpan w:val="3"/>
            <w:tcBorders>
              <w:top w:val="single" w:sz="4" w:space="0" w:color="auto"/>
              <w:left w:val="nil"/>
              <w:bottom w:val="single" w:sz="4" w:space="0" w:color="auto"/>
              <w:right w:val="single" w:sz="4" w:space="0" w:color="auto"/>
            </w:tcBorders>
            <w:shd w:val="clear" w:color="auto" w:fill="BDD7EE"/>
            <w:vAlign w:val="center"/>
            <w:hideMark/>
          </w:tcPr>
          <w:p w14:paraId="68FC03A6"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699" w:type="dxa"/>
            <w:gridSpan w:val="2"/>
            <w:tcBorders>
              <w:top w:val="single" w:sz="4" w:space="0" w:color="auto"/>
              <w:left w:val="nil"/>
              <w:bottom w:val="single" w:sz="4" w:space="0" w:color="auto"/>
              <w:right w:val="single" w:sz="4" w:space="0" w:color="auto"/>
            </w:tcBorders>
            <w:shd w:val="clear" w:color="auto" w:fill="BDD7EE"/>
            <w:vAlign w:val="center"/>
            <w:hideMark/>
          </w:tcPr>
          <w:p w14:paraId="2724EC6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8E9B0A"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12A15BDD" w14:textId="77777777">
        <w:trPr>
          <w:trHeight w:val="526"/>
          <w:tblHeader/>
          <w:jc w:val="center"/>
        </w:trPr>
        <w:tc>
          <w:tcPr>
            <w:tcW w:w="1110" w:type="dxa"/>
            <w:vMerge/>
            <w:tcBorders>
              <w:top w:val="single" w:sz="4" w:space="0" w:color="auto"/>
              <w:left w:val="single" w:sz="4" w:space="0" w:color="auto"/>
              <w:bottom w:val="single" w:sz="4" w:space="0" w:color="auto"/>
              <w:right w:val="single" w:sz="4" w:space="0" w:color="auto"/>
            </w:tcBorders>
            <w:vAlign w:val="center"/>
            <w:hideMark/>
          </w:tcPr>
          <w:p w14:paraId="2B4B4322" w14:textId="77777777" w:rsidR="00CB0FCB" w:rsidRDefault="00CB0FCB">
            <w:pPr>
              <w:spacing w:after="0" w:line="240" w:lineRule="auto"/>
              <w:rPr>
                <w:rFonts w:ascii="Times New Roman" w:eastAsia="Times New Roman" w:hAnsi="Times New Roman" w:cs="Times New Roman"/>
                <w:b/>
                <w:bCs/>
                <w:noProof/>
                <w:sz w:val="18"/>
                <w:szCs w:val="18"/>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15B2B39" w14:textId="77777777" w:rsidR="00CB0FCB" w:rsidRDefault="00CB0FCB">
            <w:pPr>
              <w:spacing w:after="0" w:line="240" w:lineRule="auto"/>
              <w:rPr>
                <w:rFonts w:ascii="Times New Roman" w:eastAsia="Times New Roman" w:hAnsi="Times New Roman" w:cs="Times New Roman"/>
                <w:b/>
                <w:bCs/>
                <w:noProof/>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195E235" w14:textId="77777777" w:rsidR="00CB0FCB" w:rsidRDefault="00CB0FCB">
            <w:pPr>
              <w:spacing w:after="0" w:line="240" w:lineRule="auto"/>
              <w:rPr>
                <w:rFonts w:ascii="Times New Roman" w:eastAsia="Times New Roman" w:hAnsi="Times New Roman" w:cs="Times New Roman"/>
                <w:b/>
                <w:bCs/>
                <w:noProof/>
                <w:sz w:val="18"/>
                <w:szCs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E13BD16" w14:textId="77777777" w:rsidR="00CB0FCB" w:rsidRDefault="00CB0FCB">
            <w:pPr>
              <w:spacing w:after="0" w:line="240" w:lineRule="auto"/>
              <w:rPr>
                <w:rFonts w:ascii="Times New Roman" w:eastAsia="Times New Roman" w:hAnsi="Times New Roman" w:cs="Times New Roman"/>
                <w:b/>
                <w:bCs/>
                <w:noProof/>
                <w:sz w:val="18"/>
                <w:szCs w:val="18"/>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2649ABF4" w14:textId="77777777" w:rsidR="00CB0FCB" w:rsidRDefault="00CB0FCB">
            <w:pPr>
              <w:spacing w:after="0" w:line="240" w:lineRule="auto"/>
              <w:rPr>
                <w:rFonts w:ascii="Times New Roman" w:eastAsia="Times New Roman" w:hAnsi="Times New Roman" w:cs="Times New Roman"/>
                <w:b/>
                <w:bCs/>
                <w:noProof/>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3567F40"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960" w:type="dxa"/>
            <w:tcBorders>
              <w:top w:val="nil"/>
              <w:left w:val="nil"/>
              <w:bottom w:val="single" w:sz="4" w:space="0" w:color="auto"/>
              <w:right w:val="single" w:sz="4" w:space="0" w:color="auto"/>
            </w:tcBorders>
            <w:shd w:val="clear" w:color="auto" w:fill="BDD7EE"/>
            <w:vAlign w:val="center"/>
            <w:hideMark/>
          </w:tcPr>
          <w:p w14:paraId="585CA702"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607" w:type="dxa"/>
            <w:tcBorders>
              <w:top w:val="nil"/>
              <w:left w:val="nil"/>
              <w:bottom w:val="single" w:sz="4" w:space="0" w:color="auto"/>
              <w:right w:val="single" w:sz="4" w:space="0" w:color="auto"/>
            </w:tcBorders>
            <w:shd w:val="clear" w:color="auto" w:fill="BDD7EE"/>
            <w:vAlign w:val="center"/>
            <w:hideMark/>
          </w:tcPr>
          <w:p w14:paraId="757FD768"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992" w:type="dxa"/>
            <w:tcBorders>
              <w:top w:val="nil"/>
              <w:left w:val="nil"/>
              <w:bottom w:val="single" w:sz="4" w:space="0" w:color="auto"/>
              <w:right w:val="single" w:sz="4" w:space="0" w:color="auto"/>
            </w:tcBorders>
            <w:shd w:val="clear" w:color="auto" w:fill="BDD7EE"/>
            <w:vAlign w:val="center"/>
            <w:hideMark/>
          </w:tcPr>
          <w:p w14:paraId="4477AF43"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707" w:type="dxa"/>
            <w:tcBorders>
              <w:top w:val="nil"/>
              <w:left w:val="nil"/>
              <w:bottom w:val="single" w:sz="4" w:space="0" w:color="auto"/>
              <w:right w:val="single" w:sz="4" w:space="0" w:color="auto"/>
            </w:tcBorders>
            <w:shd w:val="clear" w:color="auto" w:fill="BDD7EE"/>
            <w:vAlign w:val="center"/>
            <w:hideMark/>
          </w:tcPr>
          <w:p w14:paraId="3E8B6832"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3965" w:type="dxa"/>
            <w:vMerge/>
            <w:tcBorders>
              <w:top w:val="single" w:sz="4" w:space="0" w:color="auto"/>
              <w:bottom w:val="single" w:sz="4" w:space="0" w:color="auto"/>
              <w:right w:val="single" w:sz="4" w:space="0" w:color="auto"/>
            </w:tcBorders>
            <w:vAlign w:val="center"/>
            <w:hideMark/>
          </w:tcPr>
          <w:p w14:paraId="05290B40"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796AE372"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534DD6F2" w14:textId="77777777" w:rsidR="00CB0FCB" w:rsidRDefault="009D2B11">
            <w:pPr>
              <w:pStyle w:val="P68B1DB1-Normal9"/>
              <w:spacing w:after="0" w:line="240" w:lineRule="auto"/>
              <w:rPr>
                <w:rFonts w:eastAsia="Times New Roman" w:cs="Calibri"/>
                <w:noProof/>
                <w:szCs w:val="18"/>
              </w:rPr>
            </w:pPr>
            <w:r>
              <w:rPr>
                <w:noProof/>
              </w:rPr>
              <w:t>245</w:t>
            </w:r>
          </w:p>
        </w:tc>
        <w:tc>
          <w:tcPr>
            <w:tcW w:w="2055" w:type="dxa"/>
            <w:tcBorders>
              <w:top w:val="single" w:sz="4" w:space="0" w:color="auto"/>
              <w:left w:val="nil"/>
              <w:bottom w:val="single" w:sz="4" w:space="0" w:color="auto"/>
              <w:right w:val="single" w:sz="4" w:space="0" w:color="auto"/>
            </w:tcBorders>
            <w:shd w:val="clear" w:color="auto" w:fill="C6EFCE"/>
            <w:noWrap/>
          </w:tcPr>
          <w:p w14:paraId="6C3BDB73" w14:textId="77777777" w:rsidR="00CB0FCB" w:rsidRDefault="009D2B11">
            <w:pPr>
              <w:pStyle w:val="P68B1DB1-Normal9"/>
              <w:spacing w:after="0" w:line="240" w:lineRule="auto"/>
              <w:rPr>
                <w:rFonts w:eastAsia="Times New Roman" w:cs="Calibri"/>
                <w:noProof/>
                <w:szCs w:val="18"/>
              </w:rPr>
            </w:pPr>
            <w:r>
              <w:rPr>
                <w:noProof/>
              </w:rPr>
              <w:t>16–4,5. Veicināt pētniecību un inovāciju — 16618_Pamatpētniecība un lietišķā pētniecība</w:t>
            </w:r>
          </w:p>
        </w:tc>
        <w:tc>
          <w:tcPr>
            <w:tcW w:w="1094" w:type="dxa"/>
            <w:tcBorders>
              <w:top w:val="single" w:sz="4" w:space="0" w:color="auto"/>
              <w:left w:val="nil"/>
              <w:bottom w:val="single" w:sz="4" w:space="0" w:color="auto"/>
              <w:right w:val="single" w:sz="4" w:space="0" w:color="auto"/>
            </w:tcBorders>
            <w:shd w:val="clear" w:color="auto" w:fill="C6EFCE"/>
            <w:noWrap/>
          </w:tcPr>
          <w:p w14:paraId="4F5ECD4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single" w:sz="4" w:space="0" w:color="auto"/>
              <w:left w:val="nil"/>
              <w:bottom w:val="single" w:sz="4" w:space="0" w:color="auto"/>
              <w:right w:val="single" w:sz="4" w:space="0" w:color="auto"/>
            </w:tcBorders>
            <w:shd w:val="clear" w:color="auto" w:fill="C6EFCE"/>
            <w:noWrap/>
          </w:tcPr>
          <w:p w14:paraId="02F6ED00" w14:textId="77777777" w:rsidR="00CB0FCB" w:rsidRDefault="009D2B11">
            <w:pPr>
              <w:pStyle w:val="P68B1DB1-Normal9"/>
              <w:spacing w:after="0" w:line="240" w:lineRule="auto"/>
              <w:rPr>
                <w:rFonts w:eastAsia="Times New Roman" w:cs="Calibri"/>
                <w:noProof/>
                <w:szCs w:val="18"/>
              </w:rPr>
            </w:pPr>
            <w:r>
              <w:rPr>
                <w:noProof/>
              </w:rPr>
              <w:t>Tiesību akti par fundamentālo un lietišķo pētniecību</w:t>
            </w:r>
          </w:p>
        </w:tc>
        <w:tc>
          <w:tcPr>
            <w:tcW w:w="1774" w:type="dxa"/>
            <w:tcBorders>
              <w:top w:val="single" w:sz="4" w:space="0" w:color="auto"/>
              <w:left w:val="nil"/>
              <w:bottom w:val="single" w:sz="4" w:space="0" w:color="auto"/>
              <w:right w:val="single" w:sz="4" w:space="0" w:color="auto"/>
            </w:tcBorders>
            <w:shd w:val="clear" w:color="auto" w:fill="C6EFCE"/>
            <w:noWrap/>
          </w:tcPr>
          <w:p w14:paraId="55EECD4D" w14:textId="77777777" w:rsidR="00CB0FCB" w:rsidRDefault="009D2B11">
            <w:pPr>
              <w:pStyle w:val="P68B1DB1-Normal9"/>
              <w:spacing w:after="0" w:line="240" w:lineRule="auto"/>
              <w:rPr>
                <w:rFonts w:eastAsia="Times New Roman" w:cs="Calibri"/>
                <w:noProof/>
                <w:szCs w:val="18"/>
              </w:rPr>
            </w:pPr>
            <w:r>
              <w:rPr>
                <w:noProof/>
              </w:rPr>
              <w:t>Tiesību aktu stāšanās spēkā (primārie un sekundārie tiesību akti, ar ko izveido juridiskās personas)</w:t>
            </w:r>
          </w:p>
        </w:tc>
        <w:tc>
          <w:tcPr>
            <w:tcW w:w="960" w:type="dxa"/>
            <w:tcBorders>
              <w:top w:val="single" w:sz="4" w:space="0" w:color="auto"/>
              <w:left w:val="nil"/>
              <w:bottom w:val="single" w:sz="4" w:space="0" w:color="auto"/>
              <w:right w:val="single" w:sz="4" w:space="0" w:color="auto"/>
            </w:tcBorders>
            <w:shd w:val="clear" w:color="auto" w:fill="C6EFCE"/>
            <w:noWrap/>
          </w:tcPr>
          <w:p w14:paraId="4546D492"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4955CE77" w14:textId="77777777" w:rsidR="00CB0FCB" w:rsidRDefault="00CB0FCB">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7BDE7482"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202891CB" w14:textId="77777777" w:rsidR="00CB0FCB" w:rsidRDefault="009D2B11">
            <w:pPr>
              <w:pStyle w:val="P68B1DB1-Normal9"/>
              <w:spacing w:after="0" w:line="240" w:lineRule="auto"/>
              <w:rPr>
                <w:rFonts w:eastAsia="Times New Roman" w:cs="Calibri"/>
                <w:noProof/>
                <w:szCs w:val="18"/>
              </w:rPr>
            </w:pPr>
            <w:r>
              <w:rPr>
                <w:noProof/>
              </w:rPr>
              <w:t>Q1</w:t>
            </w:r>
          </w:p>
        </w:tc>
        <w:tc>
          <w:tcPr>
            <w:tcW w:w="707" w:type="dxa"/>
            <w:tcBorders>
              <w:top w:val="nil"/>
              <w:left w:val="nil"/>
              <w:bottom w:val="single" w:sz="4" w:space="0" w:color="auto"/>
              <w:right w:val="single" w:sz="4" w:space="0" w:color="auto"/>
            </w:tcBorders>
            <w:shd w:val="clear" w:color="auto" w:fill="C6EFCE"/>
            <w:noWrap/>
          </w:tcPr>
          <w:p w14:paraId="4F6DE83F" w14:textId="77777777" w:rsidR="00CB0FCB" w:rsidRDefault="009D2B11">
            <w:pPr>
              <w:pStyle w:val="P68B1DB1-Normal9"/>
              <w:spacing w:after="0" w:line="240" w:lineRule="auto"/>
              <w:rPr>
                <w:rFonts w:eastAsia="Times New Roman" w:cs="Calibri"/>
                <w:noProof/>
                <w:szCs w:val="18"/>
              </w:rPr>
            </w:pPr>
            <w:r>
              <w:rPr>
                <w:noProof/>
              </w:rPr>
              <w:t>2022</w:t>
            </w:r>
          </w:p>
        </w:tc>
        <w:tc>
          <w:tcPr>
            <w:tcW w:w="3965" w:type="dxa"/>
            <w:tcBorders>
              <w:top w:val="single" w:sz="4" w:space="0" w:color="auto"/>
              <w:left w:val="nil"/>
              <w:bottom w:val="single" w:sz="4" w:space="0" w:color="auto"/>
              <w:right w:val="single" w:sz="4" w:space="0" w:color="auto"/>
            </w:tcBorders>
            <w:shd w:val="clear" w:color="auto" w:fill="C6EFCE"/>
            <w:noWrap/>
          </w:tcPr>
          <w:p w14:paraId="46738803" w14:textId="77777777" w:rsidR="00CB0FCB" w:rsidRDefault="009D2B11">
            <w:pPr>
              <w:pStyle w:val="P68B1DB1-Normal9"/>
              <w:spacing w:after="0" w:line="240" w:lineRule="auto"/>
              <w:rPr>
                <w:rFonts w:eastAsia="Times New Roman" w:cs="Calibri"/>
                <w:noProof/>
                <w:szCs w:val="18"/>
              </w:rPr>
            </w:pPr>
            <w:r>
              <w:rPr>
                <w:noProof/>
              </w:rPr>
              <w:t>Stājas spēkā pārskatīts pamata un lietišķās pētniecības tiesiskais regulējums un tiek izdoti sekundārie tiesību akti, ar kuriem izveido tiesību subjektus.</w:t>
            </w:r>
          </w:p>
          <w:p w14:paraId="5935ADBC" w14:textId="77777777" w:rsidR="00CB0FCB" w:rsidRDefault="00CB0FCB">
            <w:pPr>
              <w:spacing w:after="0" w:line="240" w:lineRule="auto"/>
              <w:rPr>
                <w:rFonts w:eastAsia="Times New Roman" w:cs="Calibri"/>
                <w:noProof/>
                <w:color w:val="006100"/>
                <w:sz w:val="18"/>
                <w:szCs w:val="18"/>
              </w:rPr>
            </w:pPr>
          </w:p>
          <w:p w14:paraId="7B56EC8B" w14:textId="77777777" w:rsidR="00CB0FCB" w:rsidRDefault="009D2B11">
            <w:pPr>
              <w:pStyle w:val="P68B1DB1-Normal9"/>
              <w:spacing w:after="0" w:line="240" w:lineRule="auto"/>
              <w:rPr>
                <w:rFonts w:eastAsia="Times New Roman" w:cs="Calibri"/>
                <w:noProof/>
                <w:szCs w:val="18"/>
              </w:rPr>
            </w:pPr>
            <w:r>
              <w:rPr>
                <w:noProof/>
              </w:rPr>
              <w:t xml:space="preserve">Tiesiskais regulējums: pārdefinēt pētniecības jomas, kurās finansēt uzaicinājumus iesniegt priekšlikumus saskaņā ar atjaunināto valsts pārdomātas specializācijas stratēģiju (RIS3); izveidot jaunu pārvaldības struktūru, lai uzlabotu šo projektu pārvaldību un koordināciju; un c) noteikt jaunu pētniecības struktūru juridisko statusu. </w:t>
            </w:r>
          </w:p>
          <w:p w14:paraId="50BD9C3D" w14:textId="77777777" w:rsidR="00CB0FCB" w:rsidRDefault="00CB0FCB">
            <w:pPr>
              <w:spacing w:after="0" w:line="240" w:lineRule="auto"/>
              <w:rPr>
                <w:rFonts w:eastAsia="Times New Roman" w:cs="Calibri"/>
                <w:noProof/>
                <w:color w:val="006100"/>
                <w:sz w:val="18"/>
                <w:szCs w:val="18"/>
              </w:rPr>
            </w:pPr>
          </w:p>
          <w:p w14:paraId="151FA0DC" w14:textId="77777777" w:rsidR="00CB0FCB" w:rsidRDefault="009D2B11">
            <w:pPr>
              <w:pStyle w:val="P68B1DB1-Normal9"/>
              <w:spacing w:after="0" w:line="240" w:lineRule="auto"/>
              <w:rPr>
                <w:rFonts w:eastAsia="Times New Roman" w:cs="Calibri"/>
                <w:noProof/>
                <w:szCs w:val="18"/>
              </w:rPr>
            </w:pPr>
            <w:r>
              <w:rPr>
                <w:noProof/>
              </w:rPr>
              <w:t>Pētniecības jomas kopīgi no jauna definē Valsts pētniecības un inovācijas padome (NCRI) un Attīstības ministrijas Pētniecības un inovācijas ģenerālsekretariāts (GSRI).</w:t>
            </w:r>
          </w:p>
        </w:tc>
      </w:tr>
      <w:tr w:rsidR="00CB0FCB" w14:paraId="33839893" w14:textId="77777777">
        <w:trPr>
          <w:trHeight w:val="309"/>
          <w:jc w:val="center"/>
        </w:trPr>
        <w:tc>
          <w:tcPr>
            <w:tcW w:w="1110" w:type="dxa"/>
            <w:tcBorders>
              <w:top w:val="nil"/>
              <w:left w:val="single" w:sz="4" w:space="0" w:color="auto"/>
              <w:bottom w:val="single" w:sz="4" w:space="0" w:color="auto"/>
              <w:right w:val="single" w:sz="4" w:space="0" w:color="auto"/>
            </w:tcBorders>
            <w:shd w:val="clear" w:color="auto" w:fill="C6EFCE"/>
            <w:noWrap/>
          </w:tcPr>
          <w:p w14:paraId="14A49037" w14:textId="77777777" w:rsidR="00CB0FCB" w:rsidRDefault="009D2B11">
            <w:pPr>
              <w:pStyle w:val="P68B1DB1-Normal9"/>
              <w:spacing w:after="0" w:line="240" w:lineRule="auto"/>
              <w:rPr>
                <w:rFonts w:eastAsia="Times New Roman" w:cs="Calibri"/>
                <w:noProof/>
                <w:szCs w:val="18"/>
              </w:rPr>
            </w:pPr>
            <w:r>
              <w:rPr>
                <w:noProof/>
              </w:rPr>
              <w:t>246</w:t>
            </w:r>
          </w:p>
        </w:tc>
        <w:tc>
          <w:tcPr>
            <w:tcW w:w="2055" w:type="dxa"/>
            <w:tcBorders>
              <w:top w:val="nil"/>
              <w:left w:val="nil"/>
              <w:bottom w:val="single" w:sz="4" w:space="0" w:color="auto"/>
              <w:right w:val="single" w:sz="4" w:space="0" w:color="auto"/>
            </w:tcBorders>
            <w:shd w:val="clear" w:color="auto" w:fill="C6EFCE"/>
            <w:noWrap/>
          </w:tcPr>
          <w:p w14:paraId="083D54F1" w14:textId="77777777" w:rsidR="00CB0FCB" w:rsidRDefault="009D2B11">
            <w:pPr>
              <w:pStyle w:val="P68B1DB1-Normal9"/>
              <w:spacing w:after="0" w:line="240" w:lineRule="auto"/>
              <w:rPr>
                <w:rFonts w:eastAsia="Times New Roman" w:cs="Calibri"/>
                <w:noProof/>
                <w:szCs w:val="18"/>
              </w:rPr>
            </w:pPr>
            <w:r>
              <w:rPr>
                <w:noProof/>
              </w:rPr>
              <w:t>16–4,5. Veicināt pētniecību un inovāciju — 16624_Creation — Izvēršana — Pētniecības un inovācijas ģenerālsekretariāta (GSRI) uzraudzīto pētniecības centru infrastruktūras modernizācija</w:t>
            </w:r>
          </w:p>
        </w:tc>
        <w:tc>
          <w:tcPr>
            <w:tcW w:w="1094" w:type="dxa"/>
            <w:tcBorders>
              <w:top w:val="nil"/>
              <w:left w:val="nil"/>
              <w:bottom w:val="single" w:sz="4" w:space="0" w:color="auto"/>
              <w:right w:val="single" w:sz="4" w:space="0" w:color="auto"/>
            </w:tcBorders>
            <w:shd w:val="clear" w:color="auto" w:fill="C6EFCE"/>
            <w:noWrap/>
          </w:tcPr>
          <w:p w14:paraId="33F0558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nil"/>
              <w:left w:val="nil"/>
              <w:bottom w:val="single" w:sz="4" w:space="0" w:color="auto"/>
              <w:right w:val="single" w:sz="4" w:space="0" w:color="auto"/>
            </w:tcBorders>
            <w:shd w:val="clear" w:color="auto" w:fill="C6EFCE"/>
            <w:noWrap/>
          </w:tcPr>
          <w:p w14:paraId="260EDE50" w14:textId="77777777" w:rsidR="00CB0FCB" w:rsidRDefault="009D2B11">
            <w:pPr>
              <w:pStyle w:val="P68B1DB1-Normal9"/>
              <w:spacing w:after="0" w:line="240" w:lineRule="auto"/>
              <w:rPr>
                <w:rFonts w:eastAsia="Times New Roman" w:cs="Calibri"/>
                <w:noProof/>
                <w:szCs w:val="18"/>
              </w:rPr>
            </w:pPr>
            <w:r>
              <w:rPr>
                <w:noProof/>
              </w:rPr>
              <w:t>Uzaicinājums iesniegt priekšlikumus pētniecības centriem</w:t>
            </w:r>
          </w:p>
        </w:tc>
        <w:tc>
          <w:tcPr>
            <w:tcW w:w="1774" w:type="dxa"/>
            <w:tcBorders>
              <w:top w:val="nil"/>
              <w:left w:val="nil"/>
              <w:bottom w:val="single" w:sz="4" w:space="0" w:color="auto"/>
              <w:right w:val="single" w:sz="4" w:space="0" w:color="auto"/>
            </w:tcBorders>
            <w:shd w:val="clear" w:color="auto" w:fill="C6EFCE"/>
            <w:noWrap/>
          </w:tcPr>
          <w:p w14:paraId="23735F9B" w14:textId="77777777" w:rsidR="00CB0FCB" w:rsidRDefault="009D2B11">
            <w:pPr>
              <w:pStyle w:val="P68B1DB1-Normal9"/>
              <w:spacing w:after="0" w:line="240" w:lineRule="auto"/>
              <w:rPr>
                <w:rFonts w:eastAsia="Times New Roman" w:cs="Calibri"/>
                <w:noProof/>
                <w:szCs w:val="18"/>
              </w:rPr>
            </w:pPr>
            <w:r>
              <w:rPr>
                <w:noProof/>
              </w:rPr>
              <w:t>Izsludināts uzaicinājums iesniegt priekšlikumus un publicētas konkursa specifikācijas</w:t>
            </w:r>
          </w:p>
        </w:tc>
        <w:tc>
          <w:tcPr>
            <w:tcW w:w="960" w:type="dxa"/>
            <w:tcBorders>
              <w:top w:val="nil"/>
              <w:left w:val="nil"/>
              <w:bottom w:val="single" w:sz="4" w:space="0" w:color="auto"/>
              <w:right w:val="single" w:sz="4" w:space="0" w:color="auto"/>
            </w:tcBorders>
            <w:shd w:val="clear" w:color="auto" w:fill="C6EFCE"/>
            <w:noWrap/>
          </w:tcPr>
          <w:p w14:paraId="1C278E29"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34856DFF" w14:textId="77777777" w:rsidR="00CB0FCB" w:rsidRDefault="00CB0FCB">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7DD9A4D4"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21954703" w14:textId="77777777" w:rsidR="00CB0FCB" w:rsidRDefault="009D2B11">
            <w:pPr>
              <w:pStyle w:val="P68B1DB1-Normal9"/>
              <w:spacing w:after="0" w:line="240" w:lineRule="auto"/>
              <w:rPr>
                <w:rFonts w:eastAsia="Times New Roman" w:cs="Calibri"/>
                <w:noProof/>
                <w:szCs w:val="18"/>
              </w:rPr>
            </w:pPr>
            <w:r>
              <w:rPr>
                <w:noProof/>
              </w:rPr>
              <w:t>Q1</w:t>
            </w:r>
          </w:p>
        </w:tc>
        <w:tc>
          <w:tcPr>
            <w:tcW w:w="707" w:type="dxa"/>
            <w:tcBorders>
              <w:top w:val="nil"/>
              <w:left w:val="nil"/>
              <w:bottom w:val="single" w:sz="4" w:space="0" w:color="auto"/>
              <w:right w:val="single" w:sz="4" w:space="0" w:color="auto"/>
            </w:tcBorders>
            <w:shd w:val="clear" w:color="auto" w:fill="C6EFCE"/>
            <w:noWrap/>
          </w:tcPr>
          <w:p w14:paraId="76D20A70" w14:textId="77777777" w:rsidR="00CB0FCB" w:rsidRDefault="009D2B11">
            <w:pPr>
              <w:pStyle w:val="P68B1DB1-Normal9"/>
              <w:spacing w:after="0" w:line="240" w:lineRule="auto"/>
              <w:rPr>
                <w:rFonts w:eastAsia="Times New Roman" w:cs="Calibri"/>
                <w:noProof/>
                <w:szCs w:val="18"/>
              </w:rPr>
            </w:pPr>
            <w:r>
              <w:rPr>
                <w:noProof/>
              </w:rPr>
              <w:t>2022</w:t>
            </w:r>
          </w:p>
        </w:tc>
        <w:tc>
          <w:tcPr>
            <w:tcW w:w="3965" w:type="dxa"/>
            <w:tcBorders>
              <w:top w:val="nil"/>
              <w:left w:val="nil"/>
              <w:bottom w:val="single" w:sz="4" w:space="0" w:color="auto"/>
              <w:right w:val="single" w:sz="4" w:space="0" w:color="auto"/>
            </w:tcBorders>
            <w:shd w:val="clear" w:color="auto" w:fill="C6EFCE"/>
            <w:noWrap/>
          </w:tcPr>
          <w:p w14:paraId="72E76E69" w14:textId="77777777" w:rsidR="00CB0FCB" w:rsidRDefault="009D2B11">
            <w:pPr>
              <w:pStyle w:val="P68B1DB1-Normal9"/>
              <w:spacing w:after="0" w:line="240" w:lineRule="auto"/>
              <w:rPr>
                <w:rFonts w:eastAsia="Times New Roman" w:cs="Calibri"/>
                <w:noProof/>
                <w:szCs w:val="18"/>
              </w:rPr>
            </w:pPr>
            <w:r>
              <w:rPr>
                <w:noProof/>
              </w:rPr>
              <w:t>Izsludināt uzaicinājumu iesniegt priekšlikumus — Izvēršana — Pētniecības centru infrastruktūras modernizācija, tostarp publicēt konkursa specifikācijas, kas nodrošina, ka atlasītie pieteikumi atbilst Tehniskajiem norādījumiem “nenodarīt būtisku kaitējumu” (2021/C58/01), izmantojot izslēgšanas sarakstu un prasību par atbilstību attiecīgajiem ES un valsts tiesību aktiem vides jomā.</w:t>
            </w:r>
          </w:p>
        </w:tc>
      </w:tr>
      <w:tr w:rsidR="00CB0FCB" w14:paraId="346D1E71" w14:textId="77777777">
        <w:trPr>
          <w:trHeight w:val="309"/>
          <w:jc w:val="center"/>
        </w:trPr>
        <w:tc>
          <w:tcPr>
            <w:tcW w:w="1110" w:type="dxa"/>
            <w:tcBorders>
              <w:top w:val="nil"/>
              <w:left w:val="single" w:sz="4" w:space="0" w:color="auto"/>
              <w:bottom w:val="single" w:sz="4" w:space="0" w:color="auto"/>
              <w:right w:val="single" w:sz="4" w:space="0" w:color="auto"/>
            </w:tcBorders>
            <w:shd w:val="clear" w:color="auto" w:fill="C6EFCE"/>
            <w:noWrap/>
          </w:tcPr>
          <w:p w14:paraId="5A80FE91" w14:textId="77777777" w:rsidR="00CB0FCB" w:rsidRDefault="009D2B11">
            <w:pPr>
              <w:pStyle w:val="P68B1DB1-Normal9"/>
              <w:spacing w:after="0" w:line="240" w:lineRule="auto"/>
              <w:rPr>
                <w:rFonts w:eastAsia="Times New Roman" w:cs="Calibri"/>
                <w:noProof/>
                <w:szCs w:val="18"/>
              </w:rPr>
            </w:pPr>
            <w:r>
              <w:rPr>
                <w:noProof/>
              </w:rPr>
              <w:t>247</w:t>
            </w:r>
          </w:p>
        </w:tc>
        <w:tc>
          <w:tcPr>
            <w:tcW w:w="2055" w:type="dxa"/>
            <w:tcBorders>
              <w:top w:val="nil"/>
              <w:left w:val="nil"/>
              <w:bottom w:val="single" w:sz="4" w:space="0" w:color="auto"/>
              <w:right w:val="single" w:sz="4" w:space="0" w:color="auto"/>
            </w:tcBorders>
            <w:shd w:val="clear" w:color="auto" w:fill="C6EFCE"/>
            <w:noWrap/>
          </w:tcPr>
          <w:p w14:paraId="21B2DF3D" w14:textId="77777777" w:rsidR="00CB0FCB" w:rsidRDefault="009D2B11">
            <w:pPr>
              <w:pStyle w:val="P68B1DB1-Normal9"/>
              <w:spacing w:after="0" w:line="240" w:lineRule="auto"/>
              <w:rPr>
                <w:rFonts w:eastAsia="Times New Roman" w:cs="Calibri"/>
                <w:noProof/>
                <w:szCs w:val="18"/>
              </w:rPr>
            </w:pPr>
            <w:r>
              <w:rPr>
                <w:noProof/>
              </w:rPr>
              <w:t>16–4,5. Veicināt pētniecību un inovāciju — 16624_Creation — Izvēršana — Pētniecības un inovācijas ģenerālsekretariāta (GSRI) uzraudzīto pētniecības centru infrastruktūras modernizācija</w:t>
            </w:r>
          </w:p>
        </w:tc>
        <w:tc>
          <w:tcPr>
            <w:tcW w:w="1094" w:type="dxa"/>
            <w:tcBorders>
              <w:top w:val="nil"/>
              <w:left w:val="nil"/>
              <w:bottom w:val="single" w:sz="4" w:space="0" w:color="auto"/>
              <w:right w:val="single" w:sz="4" w:space="0" w:color="auto"/>
            </w:tcBorders>
            <w:shd w:val="clear" w:color="auto" w:fill="C6EFCE"/>
            <w:noWrap/>
          </w:tcPr>
          <w:p w14:paraId="662AE37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nil"/>
              <w:left w:val="nil"/>
              <w:bottom w:val="single" w:sz="4" w:space="0" w:color="auto"/>
              <w:right w:val="single" w:sz="4" w:space="0" w:color="auto"/>
            </w:tcBorders>
            <w:shd w:val="clear" w:color="auto" w:fill="C6EFCE"/>
            <w:noWrap/>
          </w:tcPr>
          <w:p w14:paraId="1665A1A1" w14:textId="77777777" w:rsidR="00CB0FCB" w:rsidRDefault="009D2B11">
            <w:pPr>
              <w:pStyle w:val="P68B1DB1-Normal9"/>
              <w:spacing w:after="0" w:line="240" w:lineRule="auto"/>
              <w:rPr>
                <w:rFonts w:eastAsia="Times New Roman" w:cs="Calibri"/>
                <w:noProof/>
                <w:szCs w:val="18"/>
              </w:rPr>
            </w:pPr>
            <w:r>
              <w:rPr>
                <w:noProof/>
              </w:rPr>
              <w:t>Līgumu slēgšanas tiesību piešķiršana pētniecības centriem — būvdarbi</w:t>
            </w:r>
          </w:p>
        </w:tc>
        <w:tc>
          <w:tcPr>
            <w:tcW w:w="1774" w:type="dxa"/>
            <w:tcBorders>
              <w:top w:val="nil"/>
              <w:left w:val="nil"/>
              <w:bottom w:val="single" w:sz="4" w:space="0" w:color="auto"/>
              <w:right w:val="single" w:sz="4" w:space="0" w:color="auto"/>
            </w:tcBorders>
            <w:shd w:val="clear" w:color="auto" w:fill="C6EFCE"/>
            <w:noWrap/>
          </w:tcPr>
          <w:p w14:paraId="53F65CF4" w14:textId="77777777" w:rsidR="00CB0FCB" w:rsidRDefault="009D2B11">
            <w:pPr>
              <w:pStyle w:val="P68B1DB1-Normal9"/>
              <w:spacing w:after="0" w:line="240" w:lineRule="auto"/>
              <w:rPr>
                <w:rFonts w:eastAsia="Times New Roman" w:cs="Calibri"/>
                <w:noProof/>
                <w:szCs w:val="18"/>
              </w:rPr>
            </w:pPr>
            <w:r>
              <w:rPr>
                <w:noProof/>
              </w:rPr>
              <w:t>Paziņojums par būvdarbu līgumu slēgšanas tiesību piešķiršanu</w:t>
            </w:r>
          </w:p>
        </w:tc>
        <w:tc>
          <w:tcPr>
            <w:tcW w:w="960" w:type="dxa"/>
            <w:tcBorders>
              <w:top w:val="nil"/>
              <w:left w:val="nil"/>
              <w:bottom w:val="single" w:sz="4" w:space="0" w:color="auto"/>
              <w:right w:val="single" w:sz="4" w:space="0" w:color="auto"/>
            </w:tcBorders>
            <w:shd w:val="clear" w:color="auto" w:fill="C6EFCE"/>
            <w:noWrap/>
          </w:tcPr>
          <w:p w14:paraId="2D58D0B6"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434BA850" w14:textId="77777777" w:rsidR="00CB0FCB" w:rsidRDefault="00CB0FCB">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4884E8DE"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2DE66464" w14:textId="77777777" w:rsidR="00CB0FCB" w:rsidRDefault="009D2B11">
            <w:pPr>
              <w:pStyle w:val="P68B1DB1-Normal9"/>
              <w:spacing w:after="0" w:line="240" w:lineRule="auto"/>
              <w:rPr>
                <w:rFonts w:eastAsia="Times New Roman" w:cs="Calibri"/>
                <w:noProof/>
                <w:szCs w:val="18"/>
              </w:rPr>
            </w:pPr>
            <w:r>
              <w:rPr>
                <w:noProof/>
              </w:rPr>
              <w:t>Q1</w:t>
            </w:r>
          </w:p>
        </w:tc>
        <w:tc>
          <w:tcPr>
            <w:tcW w:w="707" w:type="dxa"/>
            <w:tcBorders>
              <w:top w:val="nil"/>
              <w:left w:val="nil"/>
              <w:bottom w:val="single" w:sz="4" w:space="0" w:color="auto"/>
              <w:right w:val="single" w:sz="4" w:space="0" w:color="auto"/>
            </w:tcBorders>
            <w:shd w:val="clear" w:color="auto" w:fill="C6EFCE"/>
            <w:noWrap/>
          </w:tcPr>
          <w:p w14:paraId="7AA61EB3" w14:textId="77777777" w:rsidR="00CB0FCB" w:rsidRDefault="009D2B11">
            <w:pPr>
              <w:pStyle w:val="P68B1DB1-Normal9"/>
              <w:spacing w:after="0" w:line="240" w:lineRule="auto"/>
              <w:rPr>
                <w:rFonts w:eastAsia="Times New Roman" w:cs="Calibri"/>
                <w:noProof/>
                <w:szCs w:val="18"/>
              </w:rPr>
            </w:pPr>
            <w:r>
              <w:rPr>
                <w:noProof/>
              </w:rPr>
              <w:t>2024</w:t>
            </w:r>
          </w:p>
        </w:tc>
        <w:tc>
          <w:tcPr>
            <w:tcW w:w="3965" w:type="dxa"/>
            <w:tcBorders>
              <w:top w:val="nil"/>
              <w:left w:val="nil"/>
              <w:bottom w:val="single" w:sz="4" w:space="0" w:color="auto"/>
              <w:right w:val="single" w:sz="4" w:space="0" w:color="auto"/>
            </w:tcBorders>
            <w:shd w:val="clear" w:color="auto" w:fill="C6EFCE"/>
            <w:noWrap/>
          </w:tcPr>
          <w:p w14:paraId="51F4B914" w14:textId="5041D761" w:rsidR="00CB0FCB" w:rsidRDefault="009D2B11">
            <w:pPr>
              <w:pStyle w:val="P68B1DB1-Normal9"/>
              <w:spacing w:after="0" w:line="240" w:lineRule="auto"/>
              <w:rPr>
                <w:noProof/>
              </w:rPr>
            </w:pPr>
            <w:r>
              <w:rPr>
                <w:noProof/>
              </w:rPr>
              <w:t>Paziņojums par būvdarbu līgumu slēgšanas tiesību piešķiršanu attiecībā uz šādiem pētniecības centriem: Pētniecības un tehnoloģiju fonds Hellas; Athena Pētniecības un inovācijas centrs; BSRC Fleming; Pētniecības un tehnoloģiju centrs (Hellas); Grieķijas Valsts pētniecības fonds; Biomedicīniskās pētniecības fonda Atēnu akadēmija; Atēnu Nacionālā observatorija; Grieķijas Jūras pētniecības centrs; Grieķijas Pastēra institūts.</w:t>
            </w:r>
          </w:p>
        </w:tc>
      </w:tr>
      <w:tr w:rsidR="00CB0FCB" w14:paraId="63E9C2F5" w14:textId="77777777">
        <w:trPr>
          <w:trHeight w:val="309"/>
          <w:jc w:val="center"/>
        </w:trPr>
        <w:tc>
          <w:tcPr>
            <w:tcW w:w="1110" w:type="dxa"/>
            <w:tcBorders>
              <w:top w:val="nil"/>
              <w:left w:val="single" w:sz="4" w:space="0" w:color="auto"/>
              <w:bottom w:val="single" w:sz="4" w:space="0" w:color="auto"/>
              <w:right w:val="single" w:sz="4" w:space="0" w:color="auto"/>
            </w:tcBorders>
            <w:shd w:val="clear" w:color="auto" w:fill="C6EFCE"/>
            <w:noWrap/>
          </w:tcPr>
          <w:p w14:paraId="59359749" w14:textId="77777777" w:rsidR="00CB0FCB" w:rsidRDefault="009D2B11">
            <w:pPr>
              <w:pStyle w:val="P68B1DB1-Normal9"/>
              <w:spacing w:after="0" w:line="240" w:lineRule="auto"/>
              <w:rPr>
                <w:rFonts w:eastAsia="Times New Roman" w:cs="Calibri"/>
                <w:noProof/>
                <w:szCs w:val="18"/>
              </w:rPr>
            </w:pPr>
            <w:r>
              <w:rPr>
                <w:noProof/>
              </w:rPr>
              <w:t>247a</w:t>
            </w:r>
          </w:p>
        </w:tc>
        <w:tc>
          <w:tcPr>
            <w:tcW w:w="2055" w:type="dxa"/>
            <w:tcBorders>
              <w:top w:val="nil"/>
              <w:left w:val="nil"/>
              <w:bottom w:val="single" w:sz="4" w:space="0" w:color="auto"/>
              <w:right w:val="single" w:sz="4" w:space="0" w:color="auto"/>
            </w:tcBorders>
            <w:shd w:val="clear" w:color="auto" w:fill="C6EFCE"/>
            <w:noWrap/>
          </w:tcPr>
          <w:p w14:paraId="77F9BB3C" w14:textId="77777777" w:rsidR="00CB0FCB" w:rsidRDefault="009D2B11">
            <w:pPr>
              <w:pStyle w:val="P68B1DB1-Normal9"/>
              <w:spacing w:after="0" w:line="240" w:lineRule="auto"/>
              <w:rPr>
                <w:rFonts w:eastAsia="Times New Roman"/>
                <w:noProof/>
                <w:szCs w:val="18"/>
              </w:rPr>
            </w:pPr>
            <w:r>
              <w:rPr>
                <w:noProof/>
              </w:rPr>
              <w:t>16–4,5. Veicināt pētniecību un inovāciju — 16624_Creation — Izvēršana — Pētniecības un inovācijas ģenerālsekretariāta (GSRI) uzraudzīto pētniecības centru infrastruktūras modernizācija</w:t>
            </w:r>
          </w:p>
        </w:tc>
        <w:tc>
          <w:tcPr>
            <w:tcW w:w="1094" w:type="dxa"/>
            <w:tcBorders>
              <w:top w:val="nil"/>
              <w:left w:val="nil"/>
              <w:bottom w:val="single" w:sz="4" w:space="0" w:color="auto"/>
              <w:right w:val="single" w:sz="4" w:space="0" w:color="auto"/>
            </w:tcBorders>
            <w:shd w:val="clear" w:color="auto" w:fill="C6EFCE"/>
            <w:noWrap/>
          </w:tcPr>
          <w:p w14:paraId="4290E65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nil"/>
              <w:left w:val="nil"/>
              <w:bottom w:val="single" w:sz="4" w:space="0" w:color="auto"/>
              <w:right w:val="single" w:sz="4" w:space="0" w:color="auto"/>
            </w:tcBorders>
            <w:shd w:val="clear" w:color="auto" w:fill="C6EFCE"/>
            <w:noWrap/>
          </w:tcPr>
          <w:p w14:paraId="4BE11655" w14:textId="0E358A87" w:rsidR="00CB0FCB" w:rsidRDefault="009D2B11">
            <w:pPr>
              <w:pStyle w:val="P68B1DB1-Normal9"/>
              <w:spacing w:after="0" w:line="240" w:lineRule="auto"/>
              <w:rPr>
                <w:rFonts w:eastAsia="Times New Roman" w:cs="Calibri"/>
                <w:noProof/>
                <w:szCs w:val="18"/>
              </w:rPr>
            </w:pPr>
            <w:r>
              <w:rPr>
                <w:noProof/>
              </w:rPr>
              <w:t xml:space="preserve">Līgumu slēgšanas tiesību piešķiršana pētniecības centriem — aprīkojuma un ēku iegāde </w:t>
            </w:r>
          </w:p>
        </w:tc>
        <w:tc>
          <w:tcPr>
            <w:tcW w:w="1774" w:type="dxa"/>
            <w:tcBorders>
              <w:top w:val="nil"/>
              <w:left w:val="nil"/>
              <w:bottom w:val="single" w:sz="4" w:space="0" w:color="auto"/>
              <w:right w:val="single" w:sz="4" w:space="0" w:color="auto"/>
            </w:tcBorders>
            <w:shd w:val="clear" w:color="auto" w:fill="C6EFCE"/>
            <w:noWrap/>
          </w:tcPr>
          <w:p w14:paraId="15229159" w14:textId="37100415" w:rsidR="00CB0FCB" w:rsidRDefault="009D2B11">
            <w:pPr>
              <w:pStyle w:val="P68B1DB1-Normal9"/>
              <w:spacing w:after="0" w:line="240" w:lineRule="auto"/>
              <w:rPr>
                <w:rFonts w:eastAsia="Times New Roman" w:cs="Calibri"/>
                <w:noProof/>
                <w:szCs w:val="18"/>
              </w:rPr>
            </w:pPr>
            <w:r>
              <w:rPr>
                <w:noProof/>
              </w:rPr>
              <w:t>Paziņojums par iekārtu un ēku iepirkumu līgumu slēgšanas tiesību piešķiršanu</w:t>
            </w:r>
          </w:p>
        </w:tc>
        <w:tc>
          <w:tcPr>
            <w:tcW w:w="960" w:type="dxa"/>
            <w:tcBorders>
              <w:top w:val="nil"/>
              <w:left w:val="nil"/>
              <w:bottom w:val="single" w:sz="4" w:space="0" w:color="auto"/>
              <w:right w:val="single" w:sz="4" w:space="0" w:color="auto"/>
            </w:tcBorders>
            <w:shd w:val="clear" w:color="auto" w:fill="C6EFCE"/>
            <w:noWrap/>
          </w:tcPr>
          <w:p w14:paraId="6A2ECE55"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20AE8C44" w14:textId="77777777" w:rsidR="00CB0FCB" w:rsidRDefault="00CB0FCB">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6347CA11"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541FE550" w14:textId="77777777" w:rsidR="00CB0FCB" w:rsidRDefault="009D2B11">
            <w:pPr>
              <w:pStyle w:val="P68B1DB1-Normal9"/>
              <w:spacing w:after="0" w:line="240" w:lineRule="auto"/>
              <w:rPr>
                <w:rFonts w:eastAsia="Times New Roman" w:cs="Calibri"/>
                <w:noProof/>
                <w:szCs w:val="18"/>
              </w:rPr>
            </w:pPr>
            <w:r>
              <w:rPr>
                <w:noProof/>
              </w:rPr>
              <w:t>CET.</w:t>
            </w:r>
          </w:p>
        </w:tc>
        <w:tc>
          <w:tcPr>
            <w:tcW w:w="707" w:type="dxa"/>
            <w:tcBorders>
              <w:top w:val="nil"/>
              <w:left w:val="nil"/>
              <w:bottom w:val="single" w:sz="4" w:space="0" w:color="auto"/>
              <w:right w:val="single" w:sz="4" w:space="0" w:color="auto"/>
            </w:tcBorders>
            <w:shd w:val="clear" w:color="auto" w:fill="C6EFCE"/>
            <w:noWrap/>
          </w:tcPr>
          <w:p w14:paraId="66AD008E" w14:textId="77777777" w:rsidR="00CB0FCB" w:rsidRDefault="009D2B11">
            <w:pPr>
              <w:pStyle w:val="P68B1DB1-Normal9"/>
              <w:spacing w:after="0" w:line="240" w:lineRule="auto"/>
              <w:rPr>
                <w:rFonts w:eastAsia="Times New Roman" w:cs="Calibri"/>
                <w:noProof/>
                <w:szCs w:val="18"/>
              </w:rPr>
            </w:pPr>
            <w:r>
              <w:rPr>
                <w:noProof/>
              </w:rPr>
              <w:t>2024</w:t>
            </w:r>
          </w:p>
        </w:tc>
        <w:tc>
          <w:tcPr>
            <w:tcW w:w="3965" w:type="dxa"/>
            <w:tcBorders>
              <w:top w:val="nil"/>
              <w:left w:val="nil"/>
              <w:bottom w:val="single" w:sz="4" w:space="0" w:color="auto"/>
              <w:right w:val="single" w:sz="4" w:space="0" w:color="auto"/>
            </w:tcBorders>
            <w:shd w:val="clear" w:color="auto" w:fill="C6EFCE"/>
            <w:noWrap/>
          </w:tcPr>
          <w:p w14:paraId="15FB4744" w14:textId="1EB9F38F" w:rsidR="00CB0FCB" w:rsidRDefault="009D2B11">
            <w:pPr>
              <w:pStyle w:val="P68B1DB1-Normal9"/>
              <w:spacing w:after="0" w:line="240" w:lineRule="auto"/>
              <w:rPr>
                <w:noProof/>
              </w:rPr>
            </w:pPr>
            <w:r>
              <w:rPr>
                <w:noProof/>
              </w:rPr>
              <w:t>Paziņojums par līgumu slēgšanas tiesību piešķiršanu attiecībā uz: I) šādu pētniecības centru aprīkojums: Pētniecības un tehnoloģiju fonds Hellas; Athena Pētniecības un inovācijas centrs; BSRC Fleming; Pētniecības un tehnoloģiju centrs (Hellas); Grieķijas Valsts pētniecības fonds; Biomedicīniskās pētniecības fonda Atēnu akadēmija; Atēnu Nacionālā observatorija; Grieķijas Jūras pētniecības centrs; Grieķijas Pastēra institūts; Valsts sociālās pētniecības centrs; Grieķijas Atomenerģijas komisija; II) ēku iegādi šādiem pētniecības centriem: Athena Pētniecības un inovācijas centrs; Atēnu Nacionālā observatorija; Valsts sociālās pētniecības centrs.</w:t>
            </w:r>
          </w:p>
        </w:tc>
      </w:tr>
      <w:tr w:rsidR="00CB0FCB" w14:paraId="6CE0DD48" w14:textId="77777777">
        <w:trPr>
          <w:trHeight w:val="309"/>
          <w:jc w:val="center"/>
        </w:trPr>
        <w:tc>
          <w:tcPr>
            <w:tcW w:w="1110" w:type="dxa"/>
            <w:tcBorders>
              <w:top w:val="nil"/>
              <w:left w:val="single" w:sz="4" w:space="0" w:color="auto"/>
              <w:bottom w:val="single" w:sz="4" w:space="0" w:color="auto"/>
              <w:right w:val="single" w:sz="4" w:space="0" w:color="auto"/>
            </w:tcBorders>
            <w:shd w:val="clear" w:color="auto" w:fill="C6EFCE"/>
            <w:noWrap/>
          </w:tcPr>
          <w:p w14:paraId="19E9273E" w14:textId="77777777" w:rsidR="00CB0FCB" w:rsidRDefault="009D2B11">
            <w:pPr>
              <w:pStyle w:val="P68B1DB1-Normal9"/>
              <w:spacing w:after="0" w:line="240" w:lineRule="auto"/>
              <w:rPr>
                <w:rFonts w:eastAsia="Times New Roman" w:cs="Calibri"/>
                <w:noProof/>
                <w:szCs w:val="18"/>
              </w:rPr>
            </w:pPr>
            <w:r>
              <w:rPr>
                <w:noProof/>
              </w:rPr>
              <w:t>248</w:t>
            </w:r>
          </w:p>
        </w:tc>
        <w:tc>
          <w:tcPr>
            <w:tcW w:w="2055" w:type="dxa"/>
            <w:tcBorders>
              <w:top w:val="nil"/>
              <w:left w:val="nil"/>
              <w:bottom w:val="single" w:sz="4" w:space="0" w:color="auto"/>
              <w:right w:val="single" w:sz="4" w:space="0" w:color="auto"/>
            </w:tcBorders>
            <w:shd w:val="clear" w:color="auto" w:fill="C6EFCE"/>
            <w:noWrap/>
          </w:tcPr>
          <w:p w14:paraId="20934121" w14:textId="7429DFD4" w:rsidR="00CB0FCB" w:rsidRDefault="009D2B11">
            <w:pPr>
              <w:pStyle w:val="P68B1DB1-Normal9"/>
              <w:spacing w:after="0" w:line="240" w:lineRule="auto"/>
              <w:rPr>
                <w:rFonts w:eastAsia="Times New Roman" w:cs="Calibri"/>
                <w:noProof/>
                <w:szCs w:val="18"/>
              </w:rPr>
            </w:pPr>
            <w:r>
              <w:rPr>
                <w:noProof/>
              </w:rPr>
              <w:t>16–4,5. Veicināt pētniecību un inovāciju — 16654_ TH2ORAX: Trellis Holistic &amp; Hybrid Operation Rackggedised Autonomā eXemplary sistēma</w:t>
            </w:r>
          </w:p>
        </w:tc>
        <w:tc>
          <w:tcPr>
            <w:tcW w:w="1094" w:type="dxa"/>
            <w:tcBorders>
              <w:top w:val="nil"/>
              <w:left w:val="nil"/>
              <w:bottom w:val="single" w:sz="4" w:space="0" w:color="auto"/>
              <w:right w:val="single" w:sz="4" w:space="0" w:color="auto"/>
            </w:tcBorders>
            <w:shd w:val="clear" w:color="auto" w:fill="C6EFCE"/>
            <w:noWrap/>
          </w:tcPr>
          <w:p w14:paraId="4C364D0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nil"/>
              <w:left w:val="nil"/>
              <w:bottom w:val="single" w:sz="4" w:space="0" w:color="auto"/>
              <w:right w:val="single" w:sz="4" w:space="0" w:color="auto"/>
            </w:tcBorders>
            <w:shd w:val="clear" w:color="auto" w:fill="C6EFCE"/>
            <w:noWrap/>
          </w:tcPr>
          <w:p w14:paraId="5A35EEAB" w14:textId="77777777" w:rsidR="00CB0FCB" w:rsidRDefault="009D2B11">
            <w:pPr>
              <w:pStyle w:val="P68B1DB1-Normal9"/>
              <w:spacing w:after="0" w:line="240" w:lineRule="auto"/>
              <w:rPr>
                <w:rFonts w:eastAsia="Times New Roman" w:cs="Calibri"/>
                <w:noProof/>
                <w:szCs w:val="18"/>
              </w:rPr>
            </w:pPr>
            <w:r>
              <w:rPr>
                <w:noProof/>
              </w:rPr>
              <w:t>Līgumu slēgšanas tiesību piešķiršana TH2ORAX</w:t>
            </w:r>
          </w:p>
        </w:tc>
        <w:tc>
          <w:tcPr>
            <w:tcW w:w="1774" w:type="dxa"/>
            <w:tcBorders>
              <w:top w:val="nil"/>
              <w:left w:val="nil"/>
              <w:bottom w:val="single" w:sz="4" w:space="0" w:color="auto"/>
              <w:right w:val="single" w:sz="4" w:space="0" w:color="auto"/>
            </w:tcBorders>
            <w:shd w:val="clear" w:color="auto" w:fill="C6EFCE"/>
            <w:noWrap/>
          </w:tcPr>
          <w:p w14:paraId="6211E9E4" w14:textId="77777777" w:rsidR="00CB0FCB" w:rsidRDefault="009D2B11">
            <w:pPr>
              <w:pStyle w:val="P68B1DB1-Normal9"/>
              <w:spacing w:after="0" w:line="240" w:lineRule="auto"/>
              <w:rPr>
                <w:rFonts w:eastAsia="Times New Roman" w:cs="Calibri"/>
                <w:noProof/>
                <w:szCs w:val="18"/>
              </w:rPr>
            </w:pPr>
            <w:r>
              <w:rPr>
                <w:noProof/>
              </w:rPr>
              <w:t>Paziņojums par līgumu slēgšanas tiesību piešķiršanu</w:t>
            </w:r>
          </w:p>
        </w:tc>
        <w:tc>
          <w:tcPr>
            <w:tcW w:w="960" w:type="dxa"/>
            <w:tcBorders>
              <w:top w:val="nil"/>
              <w:left w:val="nil"/>
              <w:bottom w:val="single" w:sz="4" w:space="0" w:color="auto"/>
              <w:right w:val="single" w:sz="4" w:space="0" w:color="auto"/>
            </w:tcBorders>
            <w:shd w:val="clear" w:color="auto" w:fill="C6EFCE"/>
            <w:noWrap/>
          </w:tcPr>
          <w:p w14:paraId="6446AC83"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065511E2" w14:textId="77777777" w:rsidR="00CB0FCB" w:rsidRDefault="00CB0FCB">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089BBAFC"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59610BA5" w14:textId="77777777" w:rsidR="00CB0FCB" w:rsidRDefault="009D2B11">
            <w:pPr>
              <w:pStyle w:val="P68B1DB1-Normal9"/>
              <w:spacing w:after="0" w:line="240" w:lineRule="auto"/>
              <w:rPr>
                <w:rFonts w:eastAsia="Times New Roman" w:cs="Calibri"/>
                <w:noProof/>
                <w:szCs w:val="18"/>
              </w:rPr>
            </w:pPr>
            <w:r>
              <w:rPr>
                <w:noProof/>
              </w:rPr>
              <w:t>2. CET.</w:t>
            </w:r>
          </w:p>
        </w:tc>
        <w:tc>
          <w:tcPr>
            <w:tcW w:w="707" w:type="dxa"/>
            <w:tcBorders>
              <w:top w:val="nil"/>
              <w:left w:val="nil"/>
              <w:bottom w:val="single" w:sz="4" w:space="0" w:color="auto"/>
              <w:right w:val="single" w:sz="4" w:space="0" w:color="auto"/>
            </w:tcBorders>
            <w:shd w:val="clear" w:color="auto" w:fill="C6EFCE"/>
            <w:noWrap/>
          </w:tcPr>
          <w:p w14:paraId="7B089852" w14:textId="77777777" w:rsidR="00CB0FCB" w:rsidRDefault="009D2B11">
            <w:pPr>
              <w:pStyle w:val="P68B1DB1-Normal9"/>
              <w:spacing w:after="0" w:line="240" w:lineRule="auto"/>
              <w:rPr>
                <w:rFonts w:eastAsia="Times New Roman" w:cs="Calibri"/>
                <w:noProof/>
                <w:szCs w:val="18"/>
              </w:rPr>
            </w:pPr>
            <w:r>
              <w:rPr>
                <w:noProof/>
              </w:rPr>
              <w:t>2024</w:t>
            </w:r>
          </w:p>
        </w:tc>
        <w:tc>
          <w:tcPr>
            <w:tcW w:w="3965" w:type="dxa"/>
            <w:tcBorders>
              <w:top w:val="nil"/>
              <w:left w:val="nil"/>
              <w:bottom w:val="single" w:sz="4" w:space="0" w:color="auto"/>
              <w:right w:val="single" w:sz="4" w:space="0" w:color="auto"/>
            </w:tcBorders>
            <w:shd w:val="clear" w:color="auto" w:fill="C6EFCE"/>
            <w:noWrap/>
          </w:tcPr>
          <w:p w14:paraId="13C88AC3" w14:textId="77777777" w:rsidR="00CB0FCB" w:rsidRDefault="009D2B11">
            <w:pPr>
              <w:pStyle w:val="P68B1DB1-Normal9"/>
              <w:spacing w:after="0" w:line="240" w:lineRule="auto"/>
              <w:rPr>
                <w:rFonts w:eastAsia="Times New Roman" w:cs="Calibri"/>
                <w:noProof/>
                <w:szCs w:val="18"/>
              </w:rPr>
            </w:pPr>
            <w:r>
              <w:rPr>
                <w:noProof/>
              </w:rPr>
              <w:t>Līguma slēgšanas tiesību piešķiršana TH2ORAX projektam.</w:t>
            </w:r>
          </w:p>
          <w:p w14:paraId="3EEB8883" w14:textId="77777777" w:rsidR="00CB0FCB" w:rsidRDefault="009D2B11">
            <w:pPr>
              <w:pStyle w:val="P68B1DB1-Normal9"/>
              <w:spacing w:after="0" w:line="240" w:lineRule="auto"/>
              <w:rPr>
                <w:rFonts w:eastAsia="Times New Roman" w:cs="Calibri"/>
                <w:noProof/>
                <w:szCs w:val="18"/>
              </w:rPr>
            </w:pPr>
            <w:r>
              <w:rPr>
                <w:noProof/>
              </w:rPr>
              <w:t xml:space="preserve">Attīstības un investīciju ministrija kopā ar Pētniecības un inovācijas ģenerālsekretariātu (GSRI) ir atbildīga par novērtēšanas procesa efektīvu īstenošanu. Līguma(-u) slēgšanas tiesības piešķir, pamatojoties uz labāko cenas kvalitātes koeficientu. </w:t>
            </w:r>
          </w:p>
        </w:tc>
      </w:tr>
      <w:tr w:rsidR="00CB0FCB" w14:paraId="520FCB66"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09960F3E" w14:textId="77777777" w:rsidR="00CB0FCB" w:rsidRDefault="009D2B11">
            <w:pPr>
              <w:pStyle w:val="P68B1DB1-Normal9"/>
              <w:spacing w:after="0" w:line="240" w:lineRule="auto"/>
              <w:rPr>
                <w:rFonts w:eastAsia="Times New Roman" w:cs="Calibri"/>
                <w:noProof/>
                <w:szCs w:val="18"/>
              </w:rPr>
            </w:pPr>
            <w:r>
              <w:rPr>
                <w:noProof/>
              </w:rPr>
              <w:t>249</w:t>
            </w:r>
          </w:p>
        </w:tc>
        <w:tc>
          <w:tcPr>
            <w:tcW w:w="2055" w:type="dxa"/>
            <w:tcBorders>
              <w:top w:val="single" w:sz="4" w:space="0" w:color="auto"/>
              <w:left w:val="nil"/>
              <w:bottom w:val="single" w:sz="4" w:space="0" w:color="auto"/>
              <w:right w:val="single" w:sz="4" w:space="0" w:color="auto"/>
            </w:tcBorders>
            <w:shd w:val="clear" w:color="auto" w:fill="C6EFCE"/>
            <w:noWrap/>
          </w:tcPr>
          <w:p w14:paraId="5CD36935" w14:textId="77777777" w:rsidR="00CB0FCB" w:rsidRDefault="009D2B11">
            <w:pPr>
              <w:pStyle w:val="P68B1DB1-Normal9"/>
              <w:spacing w:after="0" w:line="240" w:lineRule="auto"/>
              <w:rPr>
                <w:rFonts w:eastAsia="Times New Roman" w:cs="Calibri"/>
                <w:noProof/>
                <w:szCs w:val="18"/>
              </w:rPr>
            </w:pPr>
            <w:r>
              <w:rPr>
                <w:noProof/>
              </w:rPr>
              <w:t>16–4,5. Veicināt pētniecību un inovāciju — 16624_Creation — Izvēršana — Pētniecības un inovācijas ģenerālsekretariāta (GSRI) uzraudzīto pētniecības centru infrastruktūras modernizācija</w:t>
            </w:r>
          </w:p>
        </w:tc>
        <w:tc>
          <w:tcPr>
            <w:tcW w:w="1094" w:type="dxa"/>
            <w:tcBorders>
              <w:top w:val="single" w:sz="4" w:space="0" w:color="auto"/>
              <w:left w:val="nil"/>
              <w:bottom w:val="single" w:sz="4" w:space="0" w:color="auto"/>
              <w:right w:val="single" w:sz="4" w:space="0" w:color="auto"/>
            </w:tcBorders>
            <w:shd w:val="clear" w:color="auto" w:fill="C6EFCE"/>
            <w:noWrap/>
          </w:tcPr>
          <w:p w14:paraId="3577EC1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single" w:sz="4" w:space="0" w:color="auto"/>
              <w:left w:val="nil"/>
              <w:bottom w:val="single" w:sz="4" w:space="0" w:color="auto"/>
              <w:right w:val="single" w:sz="4" w:space="0" w:color="auto"/>
            </w:tcBorders>
            <w:shd w:val="clear" w:color="auto" w:fill="C6EFCE"/>
            <w:noWrap/>
          </w:tcPr>
          <w:p w14:paraId="54AA413E" w14:textId="77777777" w:rsidR="00CB0FCB" w:rsidRDefault="009D2B11">
            <w:pPr>
              <w:pStyle w:val="P68B1DB1-Normal9"/>
              <w:spacing w:after="0" w:line="240" w:lineRule="auto"/>
              <w:rPr>
                <w:rFonts w:eastAsia="Times New Roman" w:cs="Calibri"/>
                <w:noProof/>
                <w:szCs w:val="18"/>
              </w:rPr>
            </w:pPr>
            <w:r>
              <w:rPr>
                <w:noProof/>
              </w:rPr>
              <w:t>Pētniecības centru projektu pabeigšana</w:t>
            </w:r>
          </w:p>
        </w:tc>
        <w:tc>
          <w:tcPr>
            <w:tcW w:w="1774" w:type="dxa"/>
            <w:tcBorders>
              <w:top w:val="single" w:sz="4" w:space="0" w:color="auto"/>
              <w:left w:val="nil"/>
              <w:bottom w:val="single" w:sz="4" w:space="0" w:color="auto"/>
              <w:right w:val="single" w:sz="4" w:space="0" w:color="auto"/>
            </w:tcBorders>
            <w:shd w:val="clear" w:color="auto" w:fill="C6EFCE"/>
            <w:noWrap/>
          </w:tcPr>
          <w:p w14:paraId="2295DB84" w14:textId="77777777" w:rsidR="00CB0FCB" w:rsidRDefault="009D2B11">
            <w:pPr>
              <w:pStyle w:val="P68B1DB1-Normal9"/>
              <w:spacing w:after="0" w:line="240" w:lineRule="auto"/>
              <w:rPr>
                <w:rFonts w:eastAsia="Times New Roman" w:cs="Calibri"/>
                <w:noProof/>
                <w:szCs w:val="18"/>
              </w:rPr>
            </w:pPr>
            <w:r>
              <w:rPr>
                <w:noProof/>
              </w:rPr>
              <w:t>Pētniecības un inovācijas ģenerālsekretariāta (GSRI) ziņojums, kas apliecina, ka projekti ir pabeigti</w:t>
            </w:r>
          </w:p>
        </w:tc>
        <w:tc>
          <w:tcPr>
            <w:tcW w:w="960" w:type="dxa"/>
            <w:tcBorders>
              <w:top w:val="single" w:sz="4" w:space="0" w:color="auto"/>
              <w:left w:val="nil"/>
              <w:bottom w:val="single" w:sz="4" w:space="0" w:color="auto"/>
              <w:right w:val="single" w:sz="4" w:space="0" w:color="auto"/>
            </w:tcBorders>
            <w:shd w:val="clear" w:color="auto" w:fill="C6EFCE"/>
            <w:noWrap/>
          </w:tcPr>
          <w:p w14:paraId="6A131152"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88C63BB" w14:textId="77777777" w:rsidR="00CB0FCB" w:rsidRDefault="00CB0FCB">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3CDB012F"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8C9327B" w14:textId="77777777" w:rsidR="00CB0FCB" w:rsidRDefault="009D2B11">
            <w:pPr>
              <w:pStyle w:val="P68B1DB1-Normal9"/>
              <w:spacing w:after="0" w:line="240" w:lineRule="auto"/>
              <w:rPr>
                <w:rFonts w:eastAsia="Times New Roman" w:cs="Calibri"/>
                <w:noProof/>
                <w:szCs w:val="18"/>
              </w:rPr>
            </w:pPr>
            <w:r>
              <w:rPr>
                <w:noProof/>
              </w:rPr>
              <w:t>4. CET.</w:t>
            </w:r>
          </w:p>
        </w:tc>
        <w:tc>
          <w:tcPr>
            <w:tcW w:w="707" w:type="dxa"/>
            <w:tcBorders>
              <w:top w:val="single" w:sz="4" w:space="0" w:color="auto"/>
              <w:left w:val="nil"/>
              <w:bottom w:val="single" w:sz="4" w:space="0" w:color="auto"/>
              <w:right w:val="single" w:sz="4" w:space="0" w:color="auto"/>
            </w:tcBorders>
            <w:shd w:val="clear" w:color="auto" w:fill="C6EFCE"/>
            <w:noWrap/>
          </w:tcPr>
          <w:p w14:paraId="19A25A53" w14:textId="77777777" w:rsidR="00CB0FCB" w:rsidRDefault="009D2B11">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046FDA21" w14:textId="5EC16BCC" w:rsidR="00CB0FCB" w:rsidRDefault="009D2B11">
            <w:pPr>
              <w:pStyle w:val="P68B1DB1-Normal9"/>
              <w:spacing w:after="0" w:line="240" w:lineRule="auto"/>
              <w:rPr>
                <w:rFonts w:eastAsia="Times New Roman" w:cs="Calibri"/>
                <w:noProof/>
                <w:szCs w:val="18"/>
              </w:rPr>
            </w:pPr>
            <w:r>
              <w:rPr>
                <w:noProof/>
              </w:rPr>
              <w:t>Visu apakšprojektu pabeigšana sadaļā “Izveidošana” — Izvēršana — GSRI uzraudzīto pētniecības centru infrastruktūras modernizācija, proti: Pētniecības un tehnoloģiju fonds Hellas; Athena Pētniecības un inovācijas centrs; BSRC Fleming; Pētniecības un tehnoloģiju centrs (Hellas); Grieķijas Valsts pētniecības fonds; Biomedicīniskās pētniecības fonda Atēnu akadēmija; Atēnu Nacionālā observatorija; Grieķijas Jūras pētniecības centrs; Grieķijas Pastēra institūts; Valsts sociālās pētniecības centrs; Grieķijas Atomenerģijas komisija.</w:t>
            </w:r>
          </w:p>
        </w:tc>
      </w:tr>
      <w:tr w:rsidR="00CB0FCB" w14:paraId="4CDCADE3"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42FAF6B9" w14:textId="77777777" w:rsidR="00CB0FCB" w:rsidRDefault="009D2B11">
            <w:pPr>
              <w:pStyle w:val="P68B1DB1-Normal9"/>
              <w:spacing w:after="0" w:line="240" w:lineRule="auto"/>
              <w:rPr>
                <w:rFonts w:eastAsia="Times New Roman" w:cs="Calibri"/>
                <w:noProof/>
                <w:szCs w:val="18"/>
              </w:rPr>
            </w:pPr>
            <w:r>
              <w:rPr>
                <w:noProof/>
              </w:rPr>
              <w:t>250</w:t>
            </w:r>
          </w:p>
        </w:tc>
        <w:tc>
          <w:tcPr>
            <w:tcW w:w="2055" w:type="dxa"/>
            <w:tcBorders>
              <w:top w:val="single" w:sz="4" w:space="0" w:color="auto"/>
              <w:left w:val="nil"/>
              <w:bottom w:val="single" w:sz="4" w:space="0" w:color="auto"/>
              <w:right w:val="single" w:sz="4" w:space="0" w:color="auto"/>
            </w:tcBorders>
            <w:shd w:val="clear" w:color="auto" w:fill="C6EFCE"/>
            <w:noWrap/>
          </w:tcPr>
          <w:p w14:paraId="30D7FBE9" w14:textId="77777777" w:rsidR="00CB0FCB" w:rsidRDefault="009D2B11">
            <w:pPr>
              <w:pStyle w:val="P68B1DB1-Normal9"/>
              <w:spacing w:after="0" w:line="240" w:lineRule="auto"/>
              <w:rPr>
                <w:rFonts w:eastAsia="Times New Roman" w:cs="Calibri"/>
                <w:noProof/>
                <w:szCs w:val="18"/>
              </w:rPr>
            </w:pPr>
            <w:r>
              <w:rPr>
                <w:noProof/>
              </w:rPr>
              <w:t>16–4,5. Veicināt pētniecību un inovāciju — 16618_Pamatpētniecība un lietišķā pētniecība</w:t>
            </w:r>
          </w:p>
        </w:tc>
        <w:tc>
          <w:tcPr>
            <w:tcW w:w="1094" w:type="dxa"/>
            <w:tcBorders>
              <w:top w:val="single" w:sz="4" w:space="0" w:color="auto"/>
              <w:left w:val="nil"/>
              <w:bottom w:val="single" w:sz="4" w:space="0" w:color="auto"/>
              <w:right w:val="single" w:sz="4" w:space="0" w:color="auto"/>
            </w:tcBorders>
            <w:shd w:val="clear" w:color="auto" w:fill="C6EFCE"/>
            <w:noWrap/>
          </w:tcPr>
          <w:p w14:paraId="68E7F84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single" w:sz="4" w:space="0" w:color="auto"/>
              <w:left w:val="nil"/>
              <w:bottom w:val="single" w:sz="4" w:space="0" w:color="auto"/>
              <w:right w:val="single" w:sz="4" w:space="0" w:color="auto"/>
            </w:tcBorders>
            <w:shd w:val="clear" w:color="auto" w:fill="C6EFCE"/>
            <w:noWrap/>
          </w:tcPr>
          <w:p w14:paraId="262CA572" w14:textId="77777777" w:rsidR="00CB0FCB" w:rsidRDefault="009D2B11">
            <w:pPr>
              <w:pStyle w:val="P68B1DB1-Normal9"/>
              <w:spacing w:after="0" w:line="240" w:lineRule="auto"/>
              <w:rPr>
                <w:rFonts w:eastAsia="Times New Roman" w:cs="Calibri"/>
                <w:noProof/>
                <w:szCs w:val="18"/>
              </w:rPr>
            </w:pPr>
            <w:r>
              <w:rPr>
                <w:noProof/>
              </w:rPr>
              <w:t>Fundamentālo un lietišķo pētījumu projektu pabeigšana</w:t>
            </w:r>
          </w:p>
        </w:tc>
        <w:tc>
          <w:tcPr>
            <w:tcW w:w="1774" w:type="dxa"/>
            <w:tcBorders>
              <w:top w:val="single" w:sz="4" w:space="0" w:color="auto"/>
              <w:left w:val="nil"/>
              <w:bottom w:val="single" w:sz="4" w:space="0" w:color="auto"/>
              <w:right w:val="single" w:sz="4" w:space="0" w:color="auto"/>
            </w:tcBorders>
            <w:shd w:val="clear" w:color="auto" w:fill="C6EFCE"/>
            <w:noWrap/>
          </w:tcPr>
          <w:p w14:paraId="19D3BE3D" w14:textId="77777777" w:rsidR="00CB0FCB" w:rsidRDefault="009D2B11">
            <w:pPr>
              <w:pStyle w:val="P68B1DB1-Normal9"/>
              <w:spacing w:after="0" w:line="240" w:lineRule="auto"/>
              <w:rPr>
                <w:rFonts w:eastAsia="Times New Roman" w:cs="Calibri"/>
                <w:noProof/>
                <w:szCs w:val="18"/>
              </w:rPr>
            </w:pPr>
            <w:r>
              <w:rPr>
                <w:noProof/>
              </w:rPr>
              <w:t>Pētniecības un inovācijas ģenerālsekretariāta (GSRI) ziņojums, kas apliecina, ka projekti ir pabeigti</w:t>
            </w:r>
          </w:p>
        </w:tc>
        <w:tc>
          <w:tcPr>
            <w:tcW w:w="960" w:type="dxa"/>
            <w:tcBorders>
              <w:top w:val="single" w:sz="4" w:space="0" w:color="auto"/>
              <w:left w:val="nil"/>
              <w:bottom w:val="single" w:sz="4" w:space="0" w:color="auto"/>
              <w:right w:val="single" w:sz="4" w:space="0" w:color="auto"/>
            </w:tcBorders>
            <w:shd w:val="clear" w:color="auto" w:fill="C6EFCE"/>
            <w:noWrap/>
          </w:tcPr>
          <w:p w14:paraId="6B35E9FF"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0E5ED28D" w14:textId="77777777" w:rsidR="00CB0FCB" w:rsidRDefault="00CB0FCB">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66C028E3"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4ED791C" w14:textId="77777777" w:rsidR="00CB0FCB" w:rsidRDefault="009D2B11">
            <w:pPr>
              <w:pStyle w:val="P68B1DB1-Normal9"/>
              <w:spacing w:after="0" w:line="240" w:lineRule="auto"/>
              <w:rPr>
                <w:rFonts w:eastAsia="Times New Roman" w:cs="Calibri"/>
                <w:noProof/>
                <w:szCs w:val="18"/>
              </w:rPr>
            </w:pPr>
            <w:r>
              <w:rPr>
                <w:noProof/>
              </w:rPr>
              <w:t>4. CET.</w:t>
            </w:r>
          </w:p>
        </w:tc>
        <w:tc>
          <w:tcPr>
            <w:tcW w:w="707" w:type="dxa"/>
            <w:tcBorders>
              <w:top w:val="single" w:sz="4" w:space="0" w:color="auto"/>
              <w:left w:val="nil"/>
              <w:bottom w:val="single" w:sz="4" w:space="0" w:color="auto"/>
              <w:right w:val="single" w:sz="4" w:space="0" w:color="auto"/>
            </w:tcBorders>
            <w:shd w:val="clear" w:color="auto" w:fill="C6EFCE"/>
            <w:noWrap/>
          </w:tcPr>
          <w:p w14:paraId="554C0F8C" w14:textId="77777777" w:rsidR="00CB0FCB" w:rsidRDefault="009D2B11">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75C22536" w14:textId="77777777" w:rsidR="00CB0FCB" w:rsidRDefault="009D2B11">
            <w:pPr>
              <w:pStyle w:val="P68B1DB1-Normal9"/>
              <w:spacing w:after="0" w:line="240" w:lineRule="auto"/>
              <w:rPr>
                <w:noProof/>
              </w:rPr>
            </w:pPr>
            <w:r>
              <w:rPr>
                <w:noProof/>
              </w:rPr>
              <w:t>Šādu pamata lietišķās pētniecības pasākuma apakšprojektu pabeigšana: Fundamentālo pētījumu finansēšana; Fundamentālie pētniecības projekti starpnozaru nozaru izaicinājumos; mākslīgā intelekta, datu apstrādes un algoritmu izstrādes lietišķā pētniecības un inovācijas institūta izveide; tirgū tulkojamu ilgtspējīgu materiālu tehnoloģiju nodrošināšana; dalība Eiropas partnerībās augstas veiktspējas datošanai (Euro-HPC) un galvenajās digitālajās tehnoloģijās; lietišķie pētījumi dronu izstrādei (finansējums bezpilota sistēmu pētniecības un izstrādes centram); lietišķie pētījumi precīzijas medicīnā.</w:t>
            </w:r>
          </w:p>
          <w:p w14:paraId="61FD48BF" w14:textId="479D3BE1" w:rsidR="00CB0FCB" w:rsidRDefault="00CB0FCB">
            <w:pPr>
              <w:spacing w:after="0" w:line="240" w:lineRule="auto"/>
              <w:rPr>
                <w:rFonts w:eastAsia="Times New Roman" w:cs="Calibri"/>
                <w:noProof/>
                <w:color w:val="006100"/>
                <w:sz w:val="18"/>
                <w:szCs w:val="18"/>
              </w:rPr>
            </w:pPr>
          </w:p>
        </w:tc>
      </w:tr>
      <w:tr w:rsidR="00CB0FCB" w14:paraId="262857A9"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4907C9E3" w14:textId="77777777" w:rsidR="00CB0FCB" w:rsidRDefault="009D2B11">
            <w:pPr>
              <w:pStyle w:val="P68B1DB1-Normal9"/>
              <w:spacing w:after="0" w:line="240" w:lineRule="auto"/>
              <w:rPr>
                <w:rFonts w:eastAsia="Times New Roman" w:cs="Calibri"/>
                <w:noProof/>
                <w:szCs w:val="18"/>
              </w:rPr>
            </w:pPr>
            <w:r>
              <w:rPr>
                <w:noProof/>
              </w:rPr>
              <w:t>251</w:t>
            </w:r>
          </w:p>
        </w:tc>
        <w:tc>
          <w:tcPr>
            <w:tcW w:w="2055" w:type="dxa"/>
            <w:tcBorders>
              <w:top w:val="single" w:sz="4" w:space="0" w:color="auto"/>
              <w:left w:val="nil"/>
              <w:bottom w:val="single" w:sz="4" w:space="0" w:color="auto"/>
              <w:right w:val="single" w:sz="4" w:space="0" w:color="auto"/>
            </w:tcBorders>
            <w:shd w:val="clear" w:color="auto" w:fill="C6EFCE"/>
            <w:noWrap/>
          </w:tcPr>
          <w:p w14:paraId="4AD8DCEF" w14:textId="77777777" w:rsidR="00CB0FCB" w:rsidRDefault="009D2B11">
            <w:pPr>
              <w:pStyle w:val="P68B1DB1-Normal9"/>
              <w:spacing w:after="0" w:line="240" w:lineRule="auto"/>
              <w:rPr>
                <w:rFonts w:eastAsia="Times New Roman" w:cs="Calibri"/>
                <w:noProof/>
                <w:szCs w:val="18"/>
              </w:rPr>
            </w:pPr>
            <w:r>
              <w:rPr>
                <w:noProof/>
              </w:rPr>
              <w:t>16–4,5. Veicināt pētniecību un inovāciju — 16654_TH 2 ORAX: Trellis Holistic &amp; Hybrid Operation Rackggedised Autonomā eXemplary sistēma</w:t>
            </w:r>
          </w:p>
        </w:tc>
        <w:tc>
          <w:tcPr>
            <w:tcW w:w="1094" w:type="dxa"/>
            <w:tcBorders>
              <w:top w:val="single" w:sz="4" w:space="0" w:color="auto"/>
              <w:left w:val="nil"/>
              <w:bottom w:val="single" w:sz="4" w:space="0" w:color="auto"/>
              <w:right w:val="single" w:sz="4" w:space="0" w:color="auto"/>
            </w:tcBorders>
            <w:shd w:val="clear" w:color="auto" w:fill="C6EFCE"/>
            <w:noWrap/>
          </w:tcPr>
          <w:p w14:paraId="7CA0A3F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single" w:sz="4" w:space="0" w:color="auto"/>
              <w:left w:val="nil"/>
              <w:bottom w:val="single" w:sz="4" w:space="0" w:color="auto"/>
              <w:right w:val="single" w:sz="4" w:space="0" w:color="auto"/>
            </w:tcBorders>
            <w:shd w:val="clear" w:color="auto" w:fill="C6EFCE"/>
            <w:noWrap/>
          </w:tcPr>
          <w:p w14:paraId="39C07269" w14:textId="77777777" w:rsidR="00CB0FCB" w:rsidRDefault="009D2B11">
            <w:pPr>
              <w:pStyle w:val="P68B1DB1-Normal9"/>
              <w:spacing w:after="0" w:line="240" w:lineRule="auto"/>
              <w:rPr>
                <w:rFonts w:eastAsia="Times New Roman" w:cs="Calibri"/>
                <w:noProof/>
                <w:szCs w:val="18"/>
              </w:rPr>
            </w:pPr>
            <w:r>
              <w:rPr>
                <w:noProof/>
              </w:rPr>
              <w:t>Projekta TH2ORAX pabeigšana</w:t>
            </w:r>
          </w:p>
        </w:tc>
        <w:tc>
          <w:tcPr>
            <w:tcW w:w="1774" w:type="dxa"/>
            <w:tcBorders>
              <w:top w:val="single" w:sz="4" w:space="0" w:color="auto"/>
              <w:left w:val="nil"/>
              <w:bottom w:val="single" w:sz="4" w:space="0" w:color="auto"/>
              <w:right w:val="single" w:sz="4" w:space="0" w:color="auto"/>
            </w:tcBorders>
            <w:shd w:val="clear" w:color="auto" w:fill="C6EFCE"/>
            <w:noWrap/>
          </w:tcPr>
          <w:p w14:paraId="26F1FAE4" w14:textId="77777777" w:rsidR="00CB0FCB" w:rsidRDefault="009D2B11">
            <w:pPr>
              <w:pStyle w:val="P68B1DB1-Normal9"/>
              <w:spacing w:after="0" w:line="240" w:lineRule="auto"/>
              <w:rPr>
                <w:rFonts w:eastAsia="Times New Roman" w:cs="Calibri"/>
                <w:noProof/>
                <w:szCs w:val="18"/>
              </w:rPr>
            </w:pPr>
            <w:r>
              <w:rPr>
                <w:noProof/>
              </w:rPr>
              <w:t>Pētniecības un inovācijas ģenerālsekretariāta (GSRI) ziņojums, kas apliecina, ka projekts ir pabeigts</w:t>
            </w:r>
          </w:p>
        </w:tc>
        <w:tc>
          <w:tcPr>
            <w:tcW w:w="960" w:type="dxa"/>
            <w:tcBorders>
              <w:top w:val="single" w:sz="4" w:space="0" w:color="auto"/>
              <w:left w:val="nil"/>
              <w:bottom w:val="single" w:sz="4" w:space="0" w:color="auto"/>
              <w:right w:val="single" w:sz="4" w:space="0" w:color="auto"/>
            </w:tcBorders>
            <w:shd w:val="clear" w:color="auto" w:fill="C6EFCE"/>
            <w:noWrap/>
          </w:tcPr>
          <w:p w14:paraId="2C32C104"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3223752B" w14:textId="77777777" w:rsidR="00CB0FCB" w:rsidRDefault="00CB0FCB">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1552CDBD"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24AB7A58" w14:textId="77777777" w:rsidR="00CB0FCB" w:rsidRDefault="009D2B11">
            <w:pPr>
              <w:pStyle w:val="P68B1DB1-Normal9"/>
              <w:spacing w:after="0" w:line="240" w:lineRule="auto"/>
              <w:rPr>
                <w:rFonts w:eastAsia="Times New Roman" w:cs="Calibri"/>
                <w:noProof/>
                <w:szCs w:val="18"/>
              </w:rPr>
            </w:pPr>
            <w:r>
              <w:rPr>
                <w:noProof/>
              </w:rPr>
              <w:t>4. CET.</w:t>
            </w:r>
          </w:p>
        </w:tc>
        <w:tc>
          <w:tcPr>
            <w:tcW w:w="707" w:type="dxa"/>
            <w:tcBorders>
              <w:top w:val="single" w:sz="4" w:space="0" w:color="auto"/>
              <w:left w:val="nil"/>
              <w:bottom w:val="single" w:sz="4" w:space="0" w:color="auto"/>
              <w:right w:val="single" w:sz="4" w:space="0" w:color="auto"/>
            </w:tcBorders>
            <w:shd w:val="clear" w:color="auto" w:fill="C6EFCE"/>
            <w:noWrap/>
          </w:tcPr>
          <w:p w14:paraId="61813BA9" w14:textId="77777777" w:rsidR="00CB0FCB" w:rsidRDefault="009D2B11">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35DABD5A" w14:textId="77777777" w:rsidR="00CB0FCB" w:rsidRDefault="009D2B11">
            <w:pPr>
              <w:pStyle w:val="P68B1DB1-Normal9"/>
              <w:spacing w:after="0" w:line="240" w:lineRule="auto"/>
              <w:rPr>
                <w:rFonts w:eastAsia="Times New Roman" w:cs="Calibri"/>
                <w:noProof/>
                <w:szCs w:val="18"/>
              </w:rPr>
            </w:pPr>
            <w:r>
              <w:rPr>
                <w:noProof/>
              </w:rPr>
              <w:t>Projekta TH2ORAX pabeigšana</w:t>
            </w:r>
          </w:p>
          <w:p w14:paraId="239F024F" w14:textId="77777777" w:rsidR="00CB0FCB" w:rsidRDefault="009D2B11">
            <w:pPr>
              <w:pStyle w:val="P68B1DB1-Normal9"/>
              <w:pBdr>
                <w:top w:val="nil"/>
                <w:left w:val="nil"/>
                <w:bottom w:val="nil"/>
                <w:right w:val="nil"/>
                <w:between w:val="nil"/>
              </w:pBdr>
              <w:spacing w:after="0" w:line="240" w:lineRule="auto"/>
              <w:rPr>
                <w:rFonts w:eastAsia="Times New Roman" w:cs="Calibri"/>
                <w:noProof/>
                <w:szCs w:val="18"/>
              </w:rPr>
            </w:pPr>
            <w:r>
              <w:rPr>
                <w:noProof/>
              </w:rPr>
              <w:t>Izstrādājot holistisku platformu, kas nodrošina situācijas apzināšanos, tiek pabeigtas lēmumu pieņemšanas spējas, kas uzlabo visu attiecīgo kompetento iestāžu koordināciju un sinhronizāciju reāllaikā un 24 stundas diennaktī 7 dienas nedēļā visā Grieķijas teritorijā starpdisciplinārā un starpministriju līmenī, un ar to saistīto pabeigšanas ziņojumu izdod GSRI.</w:t>
            </w:r>
          </w:p>
        </w:tc>
      </w:tr>
      <w:tr w:rsidR="00CB0FCB" w14:paraId="3148C17F"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74B7A264" w14:textId="77777777" w:rsidR="00CB0FCB" w:rsidRDefault="009D2B11">
            <w:pPr>
              <w:pStyle w:val="P68B1DB1-Normal9"/>
              <w:spacing w:after="0" w:line="240" w:lineRule="auto"/>
              <w:rPr>
                <w:rFonts w:eastAsia="Times New Roman" w:cs="Calibri"/>
                <w:noProof/>
                <w:szCs w:val="18"/>
              </w:rPr>
            </w:pPr>
            <w:r>
              <w:rPr>
                <w:noProof/>
              </w:rPr>
              <w:t>252</w:t>
            </w:r>
          </w:p>
        </w:tc>
        <w:tc>
          <w:tcPr>
            <w:tcW w:w="2055" w:type="dxa"/>
            <w:tcBorders>
              <w:top w:val="single" w:sz="4" w:space="0" w:color="auto"/>
              <w:left w:val="nil"/>
              <w:bottom w:val="single" w:sz="4" w:space="0" w:color="auto"/>
              <w:right w:val="single" w:sz="4" w:space="0" w:color="auto"/>
            </w:tcBorders>
            <w:shd w:val="clear" w:color="auto" w:fill="C6EFCE"/>
            <w:noWrap/>
          </w:tcPr>
          <w:p w14:paraId="43DDD8C7" w14:textId="77777777" w:rsidR="00CB0FCB" w:rsidRDefault="009D2B11">
            <w:pPr>
              <w:pStyle w:val="P68B1DB1-Normal9"/>
              <w:spacing w:after="0" w:line="240" w:lineRule="auto"/>
              <w:rPr>
                <w:rFonts w:eastAsia="Times New Roman" w:cs="Calibri"/>
                <w:noProof/>
                <w:szCs w:val="18"/>
              </w:rPr>
            </w:pPr>
            <w:r>
              <w:rPr>
                <w:noProof/>
              </w:rPr>
              <w:t>16–4,5. Pētniecības un inovācijas veicināšana — 16971_Pētniecība — Izveidot — Inovācijas</w:t>
            </w:r>
          </w:p>
        </w:tc>
        <w:tc>
          <w:tcPr>
            <w:tcW w:w="1094" w:type="dxa"/>
            <w:tcBorders>
              <w:top w:val="single" w:sz="4" w:space="0" w:color="auto"/>
              <w:left w:val="nil"/>
              <w:bottom w:val="single" w:sz="4" w:space="0" w:color="auto"/>
              <w:right w:val="single" w:sz="4" w:space="0" w:color="auto"/>
            </w:tcBorders>
            <w:shd w:val="clear" w:color="auto" w:fill="C6EFCE"/>
            <w:noWrap/>
          </w:tcPr>
          <w:p w14:paraId="30D22D4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single" w:sz="4" w:space="0" w:color="auto"/>
              <w:left w:val="nil"/>
              <w:bottom w:val="single" w:sz="4" w:space="0" w:color="auto"/>
              <w:right w:val="single" w:sz="4" w:space="0" w:color="auto"/>
            </w:tcBorders>
            <w:shd w:val="clear" w:color="auto" w:fill="C6EFCE"/>
            <w:noWrap/>
          </w:tcPr>
          <w:p w14:paraId="0A1FAE40" w14:textId="77777777" w:rsidR="00CB0FCB" w:rsidRDefault="009D2B11">
            <w:pPr>
              <w:pStyle w:val="P68B1DB1-Normal9"/>
              <w:spacing w:after="0" w:line="240" w:lineRule="auto"/>
              <w:rPr>
                <w:rFonts w:eastAsia="Times New Roman" w:cs="Calibri"/>
                <w:noProof/>
                <w:szCs w:val="18"/>
              </w:rPr>
            </w:pPr>
            <w:r>
              <w:rPr>
                <w:noProof/>
              </w:rPr>
              <w:t>Pētniecības pabeigšana — Izveidot — Inovācijas projekti</w:t>
            </w:r>
          </w:p>
        </w:tc>
        <w:tc>
          <w:tcPr>
            <w:tcW w:w="1774" w:type="dxa"/>
            <w:tcBorders>
              <w:top w:val="single" w:sz="4" w:space="0" w:color="auto"/>
              <w:left w:val="nil"/>
              <w:bottom w:val="single" w:sz="4" w:space="0" w:color="auto"/>
              <w:right w:val="single" w:sz="4" w:space="0" w:color="auto"/>
            </w:tcBorders>
            <w:shd w:val="clear" w:color="auto" w:fill="C6EFCE"/>
            <w:noWrap/>
          </w:tcPr>
          <w:p w14:paraId="7C6C7C3A" w14:textId="77777777" w:rsidR="00CB0FCB" w:rsidRDefault="009D2B11">
            <w:pPr>
              <w:pStyle w:val="P68B1DB1-Normal9"/>
              <w:spacing w:after="0" w:line="240" w:lineRule="auto"/>
              <w:rPr>
                <w:rFonts w:eastAsia="Times New Roman" w:cs="Calibri"/>
                <w:noProof/>
                <w:szCs w:val="18"/>
              </w:rPr>
            </w:pPr>
            <w:r>
              <w:rPr>
                <w:noProof/>
              </w:rPr>
              <w:t>Pētniecības un inovācijas ģenerālsekretariāta (GSRI) ziņojums, kas apliecina, ka projekti ir pabeigti</w:t>
            </w:r>
          </w:p>
        </w:tc>
        <w:tc>
          <w:tcPr>
            <w:tcW w:w="960" w:type="dxa"/>
            <w:tcBorders>
              <w:top w:val="single" w:sz="4" w:space="0" w:color="auto"/>
              <w:left w:val="nil"/>
              <w:bottom w:val="single" w:sz="4" w:space="0" w:color="auto"/>
              <w:right w:val="single" w:sz="4" w:space="0" w:color="auto"/>
            </w:tcBorders>
            <w:shd w:val="clear" w:color="auto" w:fill="C6EFCE"/>
            <w:noWrap/>
          </w:tcPr>
          <w:p w14:paraId="68E6B900"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6541F9F" w14:textId="77777777" w:rsidR="00CB0FCB" w:rsidRDefault="00CB0FCB">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144E02D0"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0FCE9658" w14:textId="77777777" w:rsidR="00CB0FCB" w:rsidRDefault="009D2B11">
            <w:pPr>
              <w:pStyle w:val="P68B1DB1-Normal9"/>
              <w:spacing w:after="0" w:line="240" w:lineRule="auto"/>
              <w:rPr>
                <w:rFonts w:eastAsia="Times New Roman" w:cs="Calibri"/>
                <w:noProof/>
                <w:szCs w:val="18"/>
              </w:rPr>
            </w:pPr>
            <w:r>
              <w:rPr>
                <w:noProof/>
              </w:rPr>
              <w:t>4. CET.</w:t>
            </w:r>
          </w:p>
        </w:tc>
        <w:tc>
          <w:tcPr>
            <w:tcW w:w="707" w:type="dxa"/>
            <w:tcBorders>
              <w:top w:val="single" w:sz="4" w:space="0" w:color="auto"/>
              <w:left w:val="nil"/>
              <w:bottom w:val="single" w:sz="4" w:space="0" w:color="auto"/>
              <w:right w:val="single" w:sz="4" w:space="0" w:color="auto"/>
            </w:tcBorders>
            <w:shd w:val="clear" w:color="auto" w:fill="C6EFCE"/>
            <w:noWrap/>
          </w:tcPr>
          <w:p w14:paraId="036A6AF7" w14:textId="77777777" w:rsidR="00CB0FCB" w:rsidRDefault="009D2B11">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249633AA" w14:textId="2A60CFBE" w:rsidR="00CB0FCB" w:rsidRDefault="009D2B11">
            <w:pPr>
              <w:pStyle w:val="P68B1DB1-Normal9"/>
              <w:spacing w:after="0" w:line="240" w:lineRule="auto"/>
              <w:rPr>
                <w:rFonts w:eastAsia="Times New Roman" w:cs="Calibri"/>
                <w:noProof/>
                <w:szCs w:val="18"/>
              </w:rPr>
            </w:pPr>
            <w:r>
              <w:rPr>
                <w:noProof/>
              </w:rPr>
              <w:t>Visu pētniecības jaunrades pasākuma atbalsttiesīgo projektu pabeigšana šādās nozarēs: I) vide un ilgtspējīga attīstība; II) enerģija; III) informācijas un komunikāciju tehnoloģijas; IV) veselība un farmācija; V) transportēšanas un piegādes ķēde; VI) lauksaimniecības pārtikas un pārtikas rūpniecība; VII) materiāli un uzbūve; un viii) tūrisms, kultūra un radošās nozares.</w:t>
            </w:r>
          </w:p>
        </w:tc>
      </w:tr>
      <w:tr w:rsidR="00CB0FCB" w14:paraId="44C7CB73"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4F33FC94" w14:textId="77777777" w:rsidR="00CB0FCB" w:rsidRDefault="009D2B11">
            <w:pPr>
              <w:pStyle w:val="P68B1DB1-Normal9"/>
              <w:spacing w:after="0" w:line="240" w:lineRule="auto"/>
              <w:rPr>
                <w:rFonts w:eastAsia="Times New Roman" w:cs="Calibri"/>
                <w:noProof/>
                <w:szCs w:val="18"/>
              </w:rPr>
            </w:pPr>
            <w:r>
              <w:rPr>
                <w:noProof/>
              </w:rPr>
              <w:t>253</w:t>
            </w:r>
          </w:p>
        </w:tc>
        <w:tc>
          <w:tcPr>
            <w:tcW w:w="2055" w:type="dxa"/>
            <w:tcBorders>
              <w:top w:val="single" w:sz="4" w:space="0" w:color="auto"/>
              <w:left w:val="nil"/>
              <w:bottom w:val="single" w:sz="4" w:space="0" w:color="auto"/>
              <w:right w:val="single" w:sz="4" w:space="0" w:color="auto"/>
            </w:tcBorders>
            <w:shd w:val="clear" w:color="auto" w:fill="C6EFCE"/>
            <w:noWrap/>
          </w:tcPr>
          <w:p w14:paraId="186D92A2" w14:textId="77777777" w:rsidR="00CB0FCB" w:rsidRDefault="009D2B11">
            <w:pPr>
              <w:pStyle w:val="P68B1DB1-Normal9"/>
              <w:spacing w:after="0" w:line="240" w:lineRule="auto"/>
              <w:rPr>
                <w:rFonts w:eastAsia="Times New Roman" w:cs="Calibri"/>
                <w:noProof/>
                <w:szCs w:val="18"/>
              </w:rPr>
            </w:pPr>
            <w:r>
              <w:rPr>
                <w:noProof/>
              </w:rPr>
              <w:t>16–4,5. Veicināt pētniecību un inovāciju — 16621_Grieķijas pētniecības un inovācijas ekosistēmas paplašināšana</w:t>
            </w:r>
          </w:p>
        </w:tc>
        <w:tc>
          <w:tcPr>
            <w:tcW w:w="1094" w:type="dxa"/>
            <w:tcBorders>
              <w:top w:val="single" w:sz="4" w:space="0" w:color="auto"/>
              <w:left w:val="nil"/>
              <w:bottom w:val="single" w:sz="4" w:space="0" w:color="auto"/>
              <w:right w:val="single" w:sz="4" w:space="0" w:color="auto"/>
            </w:tcBorders>
            <w:shd w:val="clear" w:color="auto" w:fill="C6EFCE"/>
            <w:noWrap/>
          </w:tcPr>
          <w:p w14:paraId="3E9F14A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single" w:sz="4" w:space="0" w:color="auto"/>
              <w:left w:val="nil"/>
              <w:bottom w:val="single" w:sz="4" w:space="0" w:color="auto"/>
              <w:right w:val="single" w:sz="4" w:space="0" w:color="auto"/>
            </w:tcBorders>
            <w:shd w:val="clear" w:color="auto" w:fill="C6EFCE"/>
            <w:noWrap/>
          </w:tcPr>
          <w:p w14:paraId="77E87FFE" w14:textId="77777777" w:rsidR="00CB0FCB" w:rsidRDefault="009D2B11">
            <w:pPr>
              <w:pStyle w:val="P68B1DB1-Normal9"/>
              <w:spacing w:after="0" w:line="240" w:lineRule="auto"/>
              <w:rPr>
                <w:rFonts w:eastAsia="Times New Roman" w:cs="Calibri"/>
                <w:noProof/>
                <w:szCs w:val="18"/>
              </w:rPr>
            </w:pPr>
            <w:r>
              <w:rPr>
                <w:noProof/>
              </w:rPr>
              <w:t>Pētniecības un inovācijas ekosistēmu projektu izvirduma pabeigšana</w:t>
            </w:r>
          </w:p>
        </w:tc>
        <w:tc>
          <w:tcPr>
            <w:tcW w:w="1774" w:type="dxa"/>
            <w:tcBorders>
              <w:top w:val="single" w:sz="4" w:space="0" w:color="auto"/>
              <w:left w:val="nil"/>
              <w:bottom w:val="single" w:sz="4" w:space="0" w:color="auto"/>
              <w:right w:val="single" w:sz="4" w:space="0" w:color="auto"/>
            </w:tcBorders>
            <w:shd w:val="clear" w:color="auto" w:fill="C6EFCE"/>
            <w:noWrap/>
          </w:tcPr>
          <w:p w14:paraId="2D8322FE" w14:textId="77777777" w:rsidR="00CB0FCB" w:rsidRDefault="009D2B11">
            <w:pPr>
              <w:pStyle w:val="P68B1DB1-Normal9"/>
              <w:spacing w:after="0" w:line="240" w:lineRule="auto"/>
              <w:rPr>
                <w:rFonts w:eastAsia="Times New Roman" w:cs="Calibri"/>
                <w:noProof/>
                <w:szCs w:val="18"/>
              </w:rPr>
            </w:pPr>
            <w:r>
              <w:rPr>
                <w:noProof/>
              </w:rPr>
              <w:t>Pētniecības un inovācijas ģenerālsekretariāta (GSRI) ziņojums, kas apliecina, ka projekti ir pabeigti</w:t>
            </w:r>
          </w:p>
        </w:tc>
        <w:tc>
          <w:tcPr>
            <w:tcW w:w="960" w:type="dxa"/>
            <w:tcBorders>
              <w:top w:val="single" w:sz="4" w:space="0" w:color="auto"/>
              <w:left w:val="nil"/>
              <w:bottom w:val="single" w:sz="4" w:space="0" w:color="auto"/>
              <w:right w:val="single" w:sz="4" w:space="0" w:color="auto"/>
            </w:tcBorders>
            <w:shd w:val="clear" w:color="auto" w:fill="C6EFCE"/>
            <w:noWrap/>
          </w:tcPr>
          <w:p w14:paraId="1AE23D85"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45EE996" w14:textId="77777777" w:rsidR="00CB0FCB" w:rsidRDefault="00CB0FCB">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78340A43"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F7AA665" w14:textId="77777777" w:rsidR="00CB0FCB" w:rsidRDefault="009D2B11">
            <w:pPr>
              <w:pStyle w:val="P68B1DB1-Normal9"/>
              <w:spacing w:after="0" w:line="240" w:lineRule="auto"/>
              <w:rPr>
                <w:rFonts w:eastAsia="Times New Roman" w:cs="Calibri"/>
                <w:noProof/>
                <w:szCs w:val="18"/>
              </w:rPr>
            </w:pPr>
            <w:r>
              <w:rPr>
                <w:noProof/>
              </w:rPr>
              <w:t>4. CET.</w:t>
            </w:r>
          </w:p>
        </w:tc>
        <w:tc>
          <w:tcPr>
            <w:tcW w:w="707" w:type="dxa"/>
            <w:tcBorders>
              <w:top w:val="single" w:sz="4" w:space="0" w:color="auto"/>
              <w:left w:val="nil"/>
              <w:bottom w:val="single" w:sz="4" w:space="0" w:color="auto"/>
              <w:right w:val="single" w:sz="4" w:space="0" w:color="auto"/>
            </w:tcBorders>
            <w:shd w:val="clear" w:color="auto" w:fill="C6EFCE"/>
            <w:noWrap/>
          </w:tcPr>
          <w:p w14:paraId="1F4E6CDA" w14:textId="77777777" w:rsidR="00CB0FCB" w:rsidRDefault="009D2B11">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1EB299ED" w14:textId="79C2BB26" w:rsidR="00CB0FCB" w:rsidRDefault="009D2B11">
            <w:pPr>
              <w:pStyle w:val="P68B1DB1-Normal9"/>
              <w:spacing w:after="0" w:line="240" w:lineRule="auto"/>
              <w:rPr>
                <w:rFonts w:eastAsia="Times New Roman" w:cs="Calibri"/>
                <w:noProof/>
                <w:szCs w:val="18"/>
              </w:rPr>
            </w:pPr>
            <w:r>
              <w:rPr>
                <w:noProof/>
              </w:rPr>
              <w:t>Šādu pētniecības un inovācijas ekosistēmas pasākuma izvēršanas apakšprojektu pabeigšana: valsts jaunuzņēmumu un inovācijas ekosistēmas popularizēšana un globāla publicitāte; programmatūras izstrādes, uzturēšanas un modernizācijas izvērtēšanas procesa atbalsts.</w:t>
            </w:r>
          </w:p>
        </w:tc>
      </w:tr>
      <w:tr w:rsidR="00CB0FCB" w14:paraId="25A0013C"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3FD4D704" w14:textId="77777777" w:rsidR="00CB0FCB" w:rsidRDefault="009D2B11">
            <w:pPr>
              <w:pStyle w:val="P68B1DB1-Normal9"/>
              <w:spacing w:after="0" w:line="240" w:lineRule="auto"/>
              <w:rPr>
                <w:rFonts w:eastAsia="Times New Roman" w:cs="Calibri"/>
                <w:noProof/>
                <w:szCs w:val="18"/>
              </w:rPr>
            </w:pPr>
            <w:r>
              <w:rPr>
                <w:noProof/>
              </w:rPr>
              <w:t>346</w:t>
            </w:r>
          </w:p>
        </w:tc>
        <w:tc>
          <w:tcPr>
            <w:tcW w:w="2055" w:type="dxa"/>
            <w:tcBorders>
              <w:top w:val="single" w:sz="4" w:space="0" w:color="auto"/>
              <w:left w:val="nil"/>
              <w:bottom w:val="single" w:sz="4" w:space="0" w:color="auto"/>
              <w:right w:val="single" w:sz="4" w:space="0" w:color="auto"/>
            </w:tcBorders>
            <w:shd w:val="clear" w:color="auto" w:fill="C6EFCE"/>
            <w:noWrap/>
          </w:tcPr>
          <w:p w14:paraId="63497EEE" w14:textId="77777777" w:rsidR="00CB0FCB" w:rsidRDefault="009D2B11">
            <w:pPr>
              <w:pStyle w:val="P68B1DB1-Normal9"/>
              <w:spacing w:after="0" w:line="240" w:lineRule="auto"/>
              <w:rPr>
                <w:rFonts w:eastAsia="Times New Roman" w:cs="Calibri"/>
                <w:noProof/>
                <w:szCs w:val="18"/>
              </w:rPr>
            </w:pPr>
            <w:r>
              <w:rPr>
                <w:noProof/>
              </w:rPr>
              <w:t>16–4,5. Pētniecības un inovācijas veicināšana — 16622_HORIZON 2020 “Izcilības zīmogs”: galveno inovatīvo uzņēmumu finansēšana</w:t>
            </w:r>
          </w:p>
        </w:tc>
        <w:tc>
          <w:tcPr>
            <w:tcW w:w="1094" w:type="dxa"/>
            <w:tcBorders>
              <w:top w:val="single" w:sz="4" w:space="0" w:color="auto"/>
              <w:left w:val="nil"/>
              <w:bottom w:val="single" w:sz="4" w:space="0" w:color="auto"/>
              <w:right w:val="single" w:sz="4" w:space="0" w:color="auto"/>
            </w:tcBorders>
            <w:shd w:val="clear" w:color="auto" w:fill="C6EFCE"/>
            <w:noWrap/>
          </w:tcPr>
          <w:p w14:paraId="15975F6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794" w:type="dxa"/>
            <w:tcBorders>
              <w:top w:val="single" w:sz="4" w:space="0" w:color="auto"/>
              <w:left w:val="nil"/>
              <w:bottom w:val="single" w:sz="4" w:space="0" w:color="auto"/>
              <w:right w:val="single" w:sz="4" w:space="0" w:color="auto"/>
            </w:tcBorders>
            <w:shd w:val="clear" w:color="auto" w:fill="C6EFCE"/>
            <w:noWrap/>
          </w:tcPr>
          <w:p w14:paraId="6B34D92C" w14:textId="77777777" w:rsidR="00CB0FCB" w:rsidRDefault="009D2B11">
            <w:pPr>
              <w:pStyle w:val="P68B1DB1-Normal9"/>
              <w:spacing w:after="0" w:line="240" w:lineRule="auto"/>
              <w:rPr>
                <w:rFonts w:eastAsia="Times New Roman" w:cs="Calibri"/>
                <w:noProof/>
                <w:szCs w:val="18"/>
              </w:rPr>
            </w:pPr>
            <w:r>
              <w:rPr>
                <w:noProof/>
              </w:rPr>
              <w:t>Mazo un vidējo uzņēmumu īstenoto projektu pabeigšana</w:t>
            </w:r>
          </w:p>
        </w:tc>
        <w:tc>
          <w:tcPr>
            <w:tcW w:w="1774" w:type="dxa"/>
            <w:tcBorders>
              <w:top w:val="single" w:sz="4" w:space="0" w:color="auto"/>
              <w:left w:val="nil"/>
              <w:bottom w:val="single" w:sz="4" w:space="0" w:color="auto"/>
              <w:right w:val="single" w:sz="4" w:space="0" w:color="auto"/>
            </w:tcBorders>
            <w:shd w:val="clear" w:color="auto" w:fill="C6EFCE"/>
            <w:noWrap/>
          </w:tcPr>
          <w:p w14:paraId="657C617F" w14:textId="77777777" w:rsidR="00CB0FCB" w:rsidRDefault="009D2B11">
            <w:pPr>
              <w:pStyle w:val="P68B1DB1-Normal9"/>
              <w:spacing w:after="0" w:line="240" w:lineRule="auto"/>
              <w:rPr>
                <w:rFonts w:eastAsia="Times New Roman" w:cs="Calibri"/>
                <w:noProof/>
                <w:szCs w:val="18"/>
              </w:rPr>
            </w:pPr>
            <w:r>
              <w:rPr>
                <w:noProof/>
              </w:rPr>
              <w:t>Pētniecības un inovācijas ģenerālsekretariāta (GSRI) ziņojums, kas apliecina, ka projekti ir pabeigti</w:t>
            </w:r>
          </w:p>
        </w:tc>
        <w:tc>
          <w:tcPr>
            <w:tcW w:w="960" w:type="dxa"/>
            <w:tcBorders>
              <w:top w:val="single" w:sz="4" w:space="0" w:color="auto"/>
              <w:left w:val="nil"/>
              <w:bottom w:val="single" w:sz="4" w:space="0" w:color="auto"/>
              <w:right w:val="single" w:sz="4" w:space="0" w:color="auto"/>
            </w:tcBorders>
            <w:shd w:val="clear" w:color="auto" w:fill="C6EFCE"/>
            <w:noWrap/>
          </w:tcPr>
          <w:p w14:paraId="6FB5305B"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150D107E" w14:textId="77777777" w:rsidR="00CB0FCB" w:rsidRDefault="00CB0FCB">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313E67F3"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42269544" w14:textId="77777777" w:rsidR="00CB0FCB" w:rsidRDefault="009D2B11">
            <w:pPr>
              <w:pStyle w:val="P68B1DB1-Normal9"/>
              <w:spacing w:after="0" w:line="240" w:lineRule="auto"/>
              <w:rPr>
                <w:rFonts w:eastAsia="Times New Roman" w:cs="Calibri"/>
                <w:noProof/>
                <w:szCs w:val="18"/>
              </w:rPr>
            </w:pPr>
            <w:r>
              <w:rPr>
                <w:noProof/>
              </w:rPr>
              <w:t>4. CET.</w:t>
            </w:r>
          </w:p>
        </w:tc>
        <w:tc>
          <w:tcPr>
            <w:tcW w:w="707" w:type="dxa"/>
            <w:tcBorders>
              <w:top w:val="single" w:sz="4" w:space="0" w:color="auto"/>
              <w:left w:val="nil"/>
              <w:bottom w:val="single" w:sz="4" w:space="0" w:color="auto"/>
              <w:right w:val="single" w:sz="4" w:space="0" w:color="auto"/>
            </w:tcBorders>
            <w:shd w:val="clear" w:color="auto" w:fill="C6EFCE"/>
            <w:noWrap/>
          </w:tcPr>
          <w:p w14:paraId="5D393030" w14:textId="77777777" w:rsidR="00CB0FCB" w:rsidRDefault="009D2B11">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75FA7D26" w14:textId="3D514973" w:rsidR="00CB0FCB" w:rsidRDefault="009D2B11">
            <w:pPr>
              <w:pStyle w:val="P68B1DB1-Normal9"/>
              <w:spacing w:after="0" w:line="240" w:lineRule="auto"/>
              <w:rPr>
                <w:rFonts w:eastAsia="Times New Roman" w:cs="Calibri"/>
                <w:noProof/>
                <w:szCs w:val="18"/>
              </w:rPr>
            </w:pPr>
            <w:r>
              <w:rPr>
                <w:noProof/>
              </w:rPr>
              <w:t>Mazo un vidējo uzņēmumu īstenotā pasākuma atbilstīgo projektu pabeigšana.</w:t>
            </w:r>
          </w:p>
        </w:tc>
      </w:tr>
    </w:tbl>
    <w:p w14:paraId="6215DEDB"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65"/>
          <w:headerReference w:type="default" r:id="rId266"/>
          <w:footerReference w:type="even" r:id="rId267"/>
          <w:footerReference w:type="default" r:id="rId268"/>
          <w:headerReference w:type="first" r:id="rId269"/>
          <w:footerReference w:type="first" r:id="rId270"/>
          <w:pgSz w:w="16839" w:h="11907" w:orient="landscape"/>
          <w:pgMar w:top="720" w:right="720" w:bottom="720" w:left="720" w:header="709" w:footer="709" w:gutter="0"/>
          <w:cols w:space="720"/>
          <w:docGrid w:linePitch="360"/>
        </w:sectPr>
      </w:pPr>
    </w:p>
    <w:p w14:paraId="7C13567D" w14:textId="77777777" w:rsidR="00CB0FCB" w:rsidRDefault="009D2B11">
      <w:pPr>
        <w:pStyle w:val="P68B1DB1-Normal2"/>
        <w:spacing w:before="120" w:after="120" w:line="240" w:lineRule="auto"/>
        <w:ind w:firstLine="6"/>
        <w:jc w:val="both"/>
        <w:outlineLvl w:val="3"/>
        <w:rPr>
          <w:rFonts w:cs="Times New Roman"/>
          <w:bCs/>
          <w:noProof/>
        </w:rPr>
      </w:pPr>
      <w:r>
        <w:rPr>
          <w:noProof/>
        </w:rPr>
        <w:t>Q. 4.6. KOMPONENTS: GALVENO EKONOMIKAS NOZARU NOTURĪBAS MODERNIZĒŠANA UN UZLABOŠANA</w:t>
      </w:r>
    </w:p>
    <w:p w14:paraId="0CE9FEF0" w14:textId="77777777" w:rsidR="00CB0FCB" w:rsidRDefault="009D2B11">
      <w:pPr>
        <w:pStyle w:val="P68B1DB1-Normal4"/>
        <w:spacing w:before="120" w:after="120" w:line="240" w:lineRule="auto"/>
        <w:jc w:val="both"/>
        <w:rPr>
          <w:rFonts w:cs="Times New Roman"/>
          <w:noProof/>
          <w:szCs w:val="24"/>
        </w:rPr>
      </w:pPr>
      <w:r>
        <w:rPr>
          <w:noProof/>
        </w:rPr>
        <w:t>Šis Grieķijas atveseļošanas un noturības plāna komponents ietver mērķtiecīgas reformas un investīcijas, kuru mērķis ir uzlabot Grieķijas ekonomikas galveno nozaru, proti, tūrisma un kultūras, lauksaimniecības, ražošanas un akvakultūras, konkurētspēju. Komponents ietver arī investīcijas transporta infrastruktūrā, kuru mērķis ir uzlabot savienojamību un ceļu satiksmes drošību. Tūrismu atbalsta ar ieguldījumiem tematiskajā tūrismā, lai izpētītu jaunus tūrisma tirgus. Komponents ietver arī ieguldījumus kultūrā, lai uzlabotu nozares konkurētspēju un noturību un labāk izmantotu tās saikni ar tūrismu. Ieguldījumi lauksaimniecībā palielina ražošanas metožu efektivitāti, veicina ražotāju organizāciju un kooperatīvu darbību un veicina pārorientēšanos uz produktiem ar augstāku pievienoto vērtību. Komponents ietver arī padziļinātu dzelzceļa nozares reformu, lai padarītu to efektīvāku un konkurētspējīgāku. Šīs investīcijas atbalsta netraucētu iekšējā tirgus darbību un ilgtspējīgas transporta sistēmas attīstību. Komponents palīdz īstenot konkrētai valstij adresētos ieteikumus par publiskajām un privātajām investīcijām (2019. gada konkrētai valstij adresētais ieteikums Nr. 2 un 2020. gada konkrētai valstij adresētais ieteikums Nr. 3).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07E5E4AE" w14:textId="77777777" w:rsidR="00CB0FCB" w:rsidRDefault="009D2B11">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JAUTĀJUMS. </w:t>
      </w:r>
      <w:r>
        <w:rPr>
          <w:noProof/>
        </w:rPr>
        <w:t xml:space="preserve"> </w:t>
      </w:r>
      <w:r>
        <w:rPr>
          <w:rFonts w:ascii="Times New Roman" w:hAnsi="Times New Roman"/>
          <w:b/>
          <w:noProof/>
          <w:sz w:val="24"/>
          <w:u w:val="single"/>
        </w:rPr>
        <w:t>Reformu un investīciju apraksts neatmaksājamam finansiālajam atbalstam</w:t>
      </w:r>
    </w:p>
    <w:p w14:paraId="19829020"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Ceļu satiksmes drošības uzlabošana (pasākums ID 16631)</w:t>
      </w:r>
    </w:p>
    <w:p w14:paraId="40DFD5D8" w14:textId="0BCA86DB" w:rsidR="00CB0FCB" w:rsidRDefault="009D2B11">
      <w:pPr>
        <w:pStyle w:val="P68B1DB1-Normal4"/>
        <w:spacing w:before="120" w:after="120" w:line="240" w:lineRule="auto"/>
        <w:jc w:val="both"/>
        <w:rPr>
          <w:rFonts w:cs="Times New Roman"/>
          <w:noProof/>
        </w:rPr>
      </w:pPr>
      <w:r>
        <w:rPr>
          <w:noProof/>
        </w:rPr>
        <w:t>Investīcija ietver ceļu tīklu drošības uzlabojumus visā valstī, lai samazinātu to satiksmes negadījumu skaitu, kas saistīti ar iejaukšanos vairāk nekā 7780 bīstamās vietās visā tīklā.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uz pasākumu attiecas ietekmes uz vidi novērtējums (IVN) saskaņā ar Direktīvu 2011/92/ES, lai nodrošinātu, ka principa “nenodarīt būtisku kaitējumu” ievērošana tiek integrēta projektā un tiek stingri ievērota infrastruktūras būvniecības, ekspluatācijas un ekspluatācijas pārtraukšanas posmā. Investīciju īstenošanu pabeidz līdz 2025. gada 31. decembrim.</w:t>
      </w:r>
    </w:p>
    <w:p w14:paraId="661B9E7A"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Vidusgrieķijas automaģistrāle E-65: Trikala-Egnatia nodaļa (pasākums ID 16628)</w:t>
      </w:r>
    </w:p>
    <w:p w14:paraId="7EC5C931" w14:textId="73A4465D" w:rsidR="00CB0FCB" w:rsidRDefault="009D2B11">
      <w:pPr>
        <w:pStyle w:val="P68B1DB1-Normal4"/>
        <w:spacing w:before="120" w:after="120" w:line="240" w:lineRule="auto"/>
        <w:jc w:val="both"/>
        <w:rPr>
          <w:noProof/>
        </w:rPr>
      </w:pPr>
      <w:r>
        <w:rPr>
          <w:noProof/>
        </w:rPr>
        <w:t xml:space="preserve">Šis ieguldījums ietver pilnīgu būvniecību (galvenais ceļš, apkalpošanas ceļi/savienojamie ceļi un papildu darbi) E65 automaģistrāles ziemeļu posma, jo īpaši Trikala-Egnatia posma, kopējais garums 70 km.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uz pasākumu attiecas ietekmes uz vidi novērtējums (IVN) saskaņā ar Direktīvu 2011/92/ES, </w:t>
      </w:r>
    </w:p>
    <w:p w14:paraId="791764CD" w14:textId="77777777" w:rsidR="00CB0FCB" w:rsidRDefault="009D2B11">
      <w:pPr>
        <w:pStyle w:val="P68B1DB1-Normal4"/>
        <w:rPr>
          <w:noProof/>
        </w:rPr>
      </w:pPr>
      <w:r>
        <w:rPr>
          <w:noProof/>
        </w:rPr>
        <w:br w:type="page"/>
      </w:r>
    </w:p>
    <w:p w14:paraId="4C9B9472" w14:textId="04C44854" w:rsidR="00CB0FCB" w:rsidRDefault="009D2B11">
      <w:pPr>
        <w:pStyle w:val="P68B1DB1-Normal4"/>
        <w:spacing w:before="120" w:after="120" w:line="240" w:lineRule="auto"/>
        <w:jc w:val="both"/>
        <w:rPr>
          <w:rFonts w:cs="Times New Roman"/>
          <w:noProof/>
          <w:szCs w:val="24"/>
          <w:highlight w:val="green"/>
        </w:rPr>
      </w:pPr>
      <w:r>
        <w:rPr>
          <w:noProof/>
        </w:rPr>
        <w:t>lai nodrošinātu principa “nenodarīt būtisku kaitējumu” ievērošanu, ir integrēta projektā un stingri ievērota infrastruktūras būvniecības, ekspluatācijas un ekspluatācijas pārtraukšanas posmā. Investīciju īstenošanu pabeidz līdz 2025. gada 31. decembrim.</w:t>
      </w:r>
    </w:p>
    <w:p w14:paraId="079AC95C"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Krētas Ziemeļu automaģistrāle (θ.θ.Α.Κ.) (pasākums ID 16630)</w:t>
      </w:r>
    </w:p>
    <w:p w14:paraId="582B9022" w14:textId="002C5094" w:rsidR="00CB0FCB" w:rsidRDefault="009D2B11">
      <w:pPr>
        <w:pStyle w:val="P68B1DB1-Normal4"/>
        <w:spacing w:before="120" w:after="120" w:line="240" w:lineRule="auto"/>
        <w:jc w:val="both"/>
        <w:rPr>
          <w:rFonts w:cs="Times New Roman"/>
          <w:noProof/>
          <w:szCs w:val="24"/>
          <w:highlight w:val="green"/>
        </w:rPr>
      </w:pPr>
      <w:r>
        <w:rPr>
          <w:noProof/>
        </w:rPr>
        <w:t>Investīcija attiecas uz Krētas Ziemeļu automaģistrāles (BOAK) būvniecību, kas savieno četras lielākās pilsētas Krētu (Haniju, Retimonu, Iraklionu un Agios Nikolaos) un ir daļa no Eiropas transporta tīkla (TEN-T). Ieguldījumu veido trīs apakšprojekti. Apakšprojekts ietver segmentu no Chania līdz Iraklijai, ir maksas automaģistrāle, kuras garums ir aptuveni 163 km un kuru būvē un ekspluatē saskaņā ar koncesijas līgumu. Ar šo pasākumu finansē vairākus konkrētus iepriekš noteiktus darbus. Apakšprojekts ietver aptuveni 22,5 km garu Hersonissos-Neapoli segmentu, kas tiks būvēts saskaņā ar publiskā un privātā sektora partnerības nolīgumu, un 3. apakšprojekts ietver aptuveni 14 km garu Neapolis — Agios Nikolaos segmentu, kas tiks būvēts kā valsts būvdarbu projekts. Automaģistrāles mērķis ir uzlabot pieejamību starp lielākajām Krētas pilsētām un visām lielākajām salas ostām un lidostām, samazināt ceļā pavadīto laiku, paaugstināt pakalpojumu līmeni un ceļu satiksmes drošību, kā arī uzlabot reģionālā transporta darbības gan pasažieru, gan kravu pārvadājumu jomā.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uz pasākumu attiecas ietekmes uz vidi novērtējums (IVN) saskaņā ar Direktīvu 2011/92/ES, lai nodrošinātu, ka principa “nenodarīt būtisku kaitējumu” ievērošana tiek integrēta projektā un tiek stingri ievērota infrastruktūras būvniecības, ekspluatācijas un ekspluatācijas pārtraukšanas posmā. ANM finansētās investīcijas daļas īstenošanu pabeidz līdz 2025. gada 31. decembrim.</w:t>
      </w:r>
    </w:p>
    <w:p w14:paraId="1A454DA8"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Vieda infrastruktūra, kas vērsta uz vidi un kultūru (pasākums ID 16960)</w:t>
      </w:r>
    </w:p>
    <w:p w14:paraId="6FC0EFAF" w14:textId="2F951718" w:rsidR="00CB0FCB" w:rsidRDefault="009D2B11">
      <w:pPr>
        <w:pStyle w:val="P68B1DB1-Normal5"/>
        <w:spacing w:before="120" w:after="120" w:line="240" w:lineRule="auto"/>
        <w:jc w:val="both"/>
        <w:rPr>
          <w:rFonts w:cs="Times New Roman"/>
          <w:noProof/>
        </w:rPr>
      </w:pPr>
      <w:r>
        <w:rPr>
          <w:noProof/>
        </w:rPr>
        <w:t>Investīcija ietver šādus digitālos projektus vides un kultūras jomā: 1) izveidot IT sistēmu ūdensteču norobežošanai, lai veicinātu dabas un bioloģiskās daudzveidības aizsardzību, 2) izveidot digitālu banku ēku un novietņu attiecības darījumiem, 3) izstrādāt vienotu digitālo karti, 4) uzlabot valstu gaisa piesārņotāju un jūras piesārņojuma mērīšanas un monitoringa sistēmas, lai palīdzētu uzlabot gaisa kvalitāti un aizsargāt jūras vidi, 5) izveidot interaktīvus digitālos pakalpojumus un digitālā satura ražošanu kultūras priekšmetu popularizēšanai ar palielinātu un virtuālu realitāti muzejiem un 6) izsekot nelikumīgu būvniecību un būvniecību. Investīciju īstenošanu pabeidz līdz 2025. gada 31. decembrim.</w:t>
      </w:r>
    </w:p>
    <w:p w14:paraId="57B7FB9E" w14:textId="77777777" w:rsidR="00CB0FCB" w:rsidRDefault="009D2B11">
      <w:pPr>
        <w:pStyle w:val="P68B1DB1-Normal4"/>
        <w:spacing w:before="120" w:after="120" w:line="240" w:lineRule="auto"/>
        <w:jc w:val="both"/>
        <w:rPr>
          <w:noProof/>
        </w:rPr>
      </w:pPr>
      <w:r>
        <w:rPr>
          <w:b/>
          <w:noProof/>
        </w:rPr>
        <w:t>Ieguldījums:</w:t>
      </w:r>
      <w:r>
        <w:rPr>
          <w:noProof/>
        </w:rPr>
        <w:t xml:space="preserve"> Pieejamības atjaunošana pēc vētras postošās ietekmes “DANIEL” (pasākums ID 16999)</w:t>
      </w:r>
    </w:p>
    <w:p w14:paraId="483CBDBB" w14:textId="77777777" w:rsidR="00CB0FCB" w:rsidRDefault="009D2B11">
      <w:pPr>
        <w:pStyle w:val="P68B1DB1-Normal4"/>
        <w:spacing w:before="120" w:after="120" w:line="240" w:lineRule="auto"/>
        <w:jc w:val="both"/>
        <w:rPr>
          <w:rFonts w:cs="Times New Roman"/>
          <w:noProof/>
        </w:rPr>
      </w:pPr>
      <w:r>
        <w:rPr>
          <w:noProof/>
        </w:rPr>
        <w:t>Šī investīcija ietver ceļu un dzelzceļa tīklam nodarītā kaitējuma atjaunošanu un ar to saistītos tehniskos darbus vētras “DANIEL” skartajās teritorijās, vienlaikus nodrošinot funkcionalitāti, drošību un klimatnoturību. Ieguldījumu veido divi apakšprojekti:</w:t>
      </w:r>
    </w:p>
    <w:p w14:paraId="5D4786E6" w14:textId="77777777" w:rsidR="00CB0FCB" w:rsidRDefault="009D2B11">
      <w:pPr>
        <w:pStyle w:val="P68B1DB1-ListParagraph19"/>
        <w:numPr>
          <w:ilvl w:val="0"/>
          <w:numId w:val="83"/>
        </w:numPr>
        <w:spacing w:before="120" w:after="120" w:line="240" w:lineRule="auto"/>
        <w:jc w:val="both"/>
        <w:rPr>
          <w:rFonts w:cs="Times New Roman"/>
          <w:noProof/>
        </w:rPr>
      </w:pPr>
      <w:r>
        <w:rPr>
          <w:noProof/>
        </w:rPr>
        <w:t>Ceļu tīkla atjaunošana</w:t>
      </w:r>
    </w:p>
    <w:p w14:paraId="1C0F08D6" w14:textId="05A3B3A3" w:rsidR="00CB0FCB" w:rsidRDefault="009D2B11">
      <w:pPr>
        <w:pStyle w:val="P68B1DB1-Normal4"/>
        <w:spacing w:before="120" w:after="120" w:line="240" w:lineRule="auto"/>
        <w:jc w:val="both"/>
        <w:rPr>
          <w:noProof/>
        </w:rPr>
      </w:pPr>
      <w:r>
        <w:rPr>
          <w:noProof/>
        </w:rPr>
        <w:t>Rehabilitācijas pasākumi 200 reģionālā autoceļu tīkla vietās Larissas, Magnēzijas, Trikalas, Karditsas, Ftiotidas un Evijas prefektūrā, kas ietver papildu tehniskos darbus tiltiem, kuriem nodarīts kaitējums to konstrukcijām un kuri ir jāremontē.</w:t>
      </w:r>
    </w:p>
    <w:p w14:paraId="480E53E7" w14:textId="77777777" w:rsidR="00CB0FCB" w:rsidRDefault="009D2B11">
      <w:pPr>
        <w:pStyle w:val="P68B1DB1-Normal4"/>
        <w:rPr>
          <w:noProof/>
        </w:rPr>
      </w:pPr>
      <w:r>
        <w:rPr>
          <w:noProof/>
        </w:rPr>
        <w:br w:type="page"/>
      </w:r>
    </w:p>
    <w:p w14:paraId="07D2C712" w14:textId="77777777" w:rsidR="00CB0FCB" w:rsidRDefault="009D2B11">
      <w:pPr>
        <w:pStyle w:val="P68B1DB1-ListParagraph19"/>
        <w:numPr>
          <w:ilvl w:val="0"/>
          <w:numId w:val="83"/>
        </w:numPr>
        <w:spacing w:before="120" w:after="120" w:line="240" w:lineRule="auto"/>
        <w:jc w:val="both"/>
        <w:rPr>
          <w:rFonts w:cs="Times New Roman"/>
          <w:noProof/>
        </w:rPr>
      </w:pPr>
      <w:r>
        <w:rPr>
          <w:noProof/>
        </w:rPr>
        <w:t>Dzelzceļa tīkla atjaunošana</w:t>
      </w:r>
    </w:p>
    <w:p w14:paraId="3C2BC266" w14:textId="1EC04B1D" w:rsidR="00CB0FCB" w:rsidRDefault="009D2B11">
      <w:pPr>
        <w:pStyle w:val="P68B1DB1-Normal5"/>
        <w:spacing w:before="120" w:after="120" w:line="240" w:lineRule="auto"/>
        <w:jc w:val="both"/>
        <w:rPr>
          <w:noProof/>
        </w:rPr>
      </w:pPr>
      <w:r>
        <w:rPr>
          <w:noProof/>
        </w:rPr>
        <w:t>Dzelzceļa tīkla atjaunošana posmos no Domokosas līdz Krannonai Atēnu-Saloniku galvenajā asī un divās citās asīs (Paleofarsalos-Kalambaka un Pelion līnijā), tostarp bojāto sliežu ceļu</w:t>
      </w:r>
      <w:r>
        <w:rPr>
          <w:noProof/>
          <w:color w:val="2B579A"/>
        </w:rPr>
        <w:t xml:space="preserve"> </w:t>
      </w:r>
      <w:r>
        <w:rPr>
          <w:noProof/>
        </w:rPr>
        <w:t xml:space="preserve">remonts, bojāto tiltu tehniskie darbi un dzelzceļa tīkla remonts un atjaunošana stacijās. </w:t>
      </w:r>
    </w:p>
    <w:p w14:paraId="75CD9A1E" w14:textId="77777777" w:rsidR="00CB0FCB" w:rsidRDefault="009D2B11">
      <w:pPr>
        <w:pStyle w:val="P68B1DB1-Normal4"/>
        <w:spacing w:before="120" w:after="120" w:line="240" w:lineRule="auto"/>
        <w:jc w:val="both"/>
        <w:rPr>
          <w:rFonts w:cs="Times New Roman"/>
          <w:noProof/>
          <w:szCs w:val="24"/>
        </w:rPr>
      </w:pPr>
      <w:r>
        <w:rPr>
          <w:noProof/>
        </w:rPr>
        <w:t xml:space="preserve">Tiek izstrādāts iepirkuma plāns investīcijām dzelzceļa drošībā, ko atbalsta saskaņā ar ES kohēzijas politiku, un regulārai apkopei, kas, lai gan netiek īstenota ar ANM atbalstu, ir nepieciešama, lai atjaunotu drošu dzelzceļa tīkla darbību. </w:t>
      </w:r>
    </w:p>
    <w:p w14:paraId="6B9E73A5" w14:textId="33D3F231" w:rsidR="00CB0FCB" w:rsidRDefault="009D2B11">
      <w:pPr>
        <w:pStyle w:val="P68B1DB1-Normal5"/>
        <w:spacing w:before="120" w:after="120" w:line="240" w:lineRule="auto"/>
        <w:jc w:val="both"/>
        <w:rPr>
          <w:noProof/>
        </w:rPr>
      </w:pPr>
      <w:r>
        <w:rPr>
          <w:noProof/>
          <w:color w:val="000000" w:themeColor="text1"/>
        </w:rPr>
        <w:t xml:space="preserve">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w:t>
      </w:r>
      <w:r>
        <w:rPr>
          <w:noProof/>
        </w:rPr>
        <w:t>Investīciju īstenošanu pabeidz līdz 2025. gada 31. decembrim.</w:t>
      </w:r>
    </w:p>
    <w:p w14:paraId="38C77FCC"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Rietumatikas piepilsētas dzelzceļa modernizācija (pasākums ID 16892)</w:t>
      </w:r>
    </w:p>
    <w:p w14:paraId="587E7C84" w14:textId="5BDBD692" w:rsidR="00CB0FCB" w:rsidRDefault="009D2B11">
      <w:pPr>
        <w:pStyle w:val="P68B1DB1-Normal5"/>
        <w:spacing w:before="120" w:after="120" w:line="240" w:lineRule="auto"/>
        <w:jc w:val="both"/>
        <w:rPr>
          <w:rFonts w:cs="Times New Roman"/>
          <w:noProof/>
        </w:rPr>
      </w:pPr>
      <w:r>
        <w:rPr>
          <w:noProof/>
        </w:rPr>
        <w:t>Šis ieguldījums ietver piepilsētas dzelzceļa atzara būvniecību uz rietumiem no Atēnām, no Ano Liossia līdz posma sākumam ELPE Elefsina un no ELPE Elefsina posma beigām līdz jaunajai Megara stacijai. Dzelzceļa paplašināšanas mērķis ir veicināt ekonomisko, sociālo un teritoriālo kohēziju, veicinot savienojamību teritorijā, kurā loģistikas nozarei ir ievērojams potenciāls.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uz pasākumu attiecas ietekmes uz vidi novērtējums (IVN) saskaņā ar Direktīvu 2011/92/ES, lai nodrošinātu, ka principa “nenodarīt būtisku kaitējumu” ievērošana tiek integrēta projektā un tiek stingri ievērota infrastruktūras būvniecības, ekspluatācijas un ekspluatācijas pārtraukšanas posmā. Investīciju īstenošanu pabeidz līdz 2025. gada 31. decembrim.</w:t>
      </w:r>
    </w:p>
    <w:p w14:paraId="077BB1C4"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EASA atbilstības labošanas darbu īstenošana (pasākums ID 16833)</w:t>
      </w:r>
    </w:p>
    <w:p w14:paraId="2F5F6F91" w14:textId="38AA3740" w:rsidR="00CB0FCB" w:rsidRDefault="009D2B11">
      <w:pPr>
        <w:pStyle w:val="P68B1DB1-Normal5"/>
        <w:spacing w:before="120" w:after="120" w:line="240" w:lineRule="auto"/>
        <w:jc w:val="both"/>
        <w:rPr>
          <w:rFonts w:cs="Times New Roman"/>
          <w:noProof/>
        </w:rPr>
      </w:pPr>
      <w:r>
        <w:rPr>
          <w:noProof/>
        </w:rPr>
        <w:t>Šī investīcija ietver 13 reģionālo lidostu modernizāciju, lai novērstu novirzes un/vai neatbilstību pašreizējās lidostu robežās saskaņā ar jaunajām Eiropas Aviācijas drošības aģentūras (EASA) sertifikācijas specifikācijām, kas ir valsts līgumsaistības. Investīcijas rezultātā ar Grieķijas Civilās aviācijas iestādes (HCAA) lēmumu pašreizējās lidostu robežās tiek atsaukti 169 novirzīšanas un rīcības dokumenti (DAAD), kuru mērķis ir panākt, lai šīs lidostas atbilstu Eiropas Parlamenta un Padomes Regulai (ES) 2018/1139 (2018. gada 4. jūlijs) par kopīgiem noteikumiem civilās aviācijas jomā un ar ko izveido Eiropas Savienības Aviācijas drošības aģentūru.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7B47CC76"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Viedie tilti (pasākums ID 16949)</w:t>
      </w:r>
    </w:p>
    <w:p w14:paraId="0C7BD351" w14:textId="77777777" w:rsidR="00CB0FCB" w:rsidRDefault="009D2B11">
      <w:pPr>
        <w:spacing w:before="120" w:after="120" w:line="240" w:lineRule="auto"/>
        <w:jc w:val="both"/>
        <w:rPr>
          <w:rFonts w:ascii="Times New Roman" w:hAnsi="Times New Roman" w:cs="Times New Roman"/>
          <w:noProof/>
          <w:sz w:val="24"/>
          <w:szCs w:val="24"/>
        </w:rPr>
      </w:pPr>
      <w:r>
        <w:rPr>
          <w:rFonts w:ascii="Times New Roman" w:hAnsi="Times New Roman"/>
          <w:noProof/>
          <w:sz w:val="24"/>
        </w:rPr>
        <w:t>Ieguldījums sastāv no diviem posmiem. Ieguldījuma I fāzes mērķis ir aprīkot tiltus ar īpašām slodzes mērīšanas sistēmām un sensoriem vai optiskajām šķiedrām, kas mēra tiltu pārvietošanu reāllaikā. Šo informāciju reģistrē un apstrādā, izmantojot īpašus algoritmus, lai novērtētu tiltu strukturālo ievainojamību. Šīs investīcijas mērķis ir uzlabot tiltu drošības līmeni un novērst negadījumus, ko izraisa vai nu smago transportlīdzekļu šķērsošana, vai klimata pārmaiņu riski. Investīcijas II posma mērķis ir</w:t>
      </w:r>
      <w:r>
        <w:rPr>
          <w:noProof/>
        </w:rPr>
        <w:t xml:space="preserve"> </w:t>
      </w:r>
      <w:r>
        <w:rPr>
          <w:rFonts w:ascii="Times New Roman" w:hAnsi="Times New Roman"/>
          <w:noProof/>
          <w:sz w:val="24"/>
        </w:rPr>
        <w:t>aprīkot tiltus ar bezvadu sensoriem, ko darbina saules enerģijas paneļi. Investīciju īstenošanu pabeidz līdz 2025. gada 31. decembrim.</w:t>
      </w:r>
    </w:p>
    <w:p w14:paraId="05667510"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Grieķijas Dzelzceļa organizācijas digitālā pārveide (pasākums ID 16959)</w:t>
      </w:r>
    </w:p>
    <w:p w14:paraId="46A5A7DA" w14:textId="780F8218" w:rsidR="00CB0FCB" w:rsidRDefault="009D2B11">
      <w:pPr>
        <w:pStyle w:val="P68B1DB1-Normal5"/>
        <w:spacing w:before="120" w:after="120" w:line="240" w:lineRule="auto"/>
        <w:jc w:val="both"/>
        <w:rPr>
          <w:rFonts w:cs="Times New Roman"/>
          <w:noProof/>
        </w:rPr>
      </w:pPr>
      <w:r>
        <w:rPr>
          <w:noProof/>
        </w:rPr>
        <w:t>Investīcija ietver Grieķijas Dzelzceļa organizācijas (OSE) infrastruktūras un pakalpojumu modernizāciju, attīstot šādas sistēmas un pakalpojumus: a) biļešu pārvaldības un telemātikas sistēmas, b) viedo staciju infrastruktūra, c) klientu pieredzes pakalpojumi, d) ātrgaitas internets vilcienos un stacijās, e) ritekļu telemātikas sistēma un f) desmit dzelzceļa tuneļu drošības infrastruktūras modernizācija, izmantojot viedās sistēmas. Investīciju īstenošanu pabeidz līdz 2025. gada 31. decembrim.</w:t>
      </w:r>
    </w:p>
    <w:p w14:paraId="5C252325"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Infrastruktūras un transporta ministrijas Tehnisko darbu un strukturālo aktīvu pārvaldības digitālā integrētā programmu vadības sistēma (pasākums ID 16937)</w:t>
      </w:r>
    </w:p>
    <w:p w14:paraId="17C23130" w14:textId="77777777" w:rsidR="00CB0FCB" w:rsidRDefault="009D2B11">
      <w:pPr>
        <w:pStyle w:val="P68B1DB1-Normal4"/>
        <w:spacing w:before="120" w:after="120" w:line="240" w:lineRule="auto"/>
        <w:jc w:val="both"/>
        <w:rPr>
          <w:rFonts w:cs="Times New Roman"/>
          <w:noProof/>
        </w:rPr>
      </w:pPr>
      <w:r>
        <w:rPr>
          <w:noProof/>
        </w:rPr>
        <w:t>Ar reformu ievieš mūsdienīgu portfeļa pārvaldības informācijas sistēmu, lai Infrastruktūras un transporta ministrijai nodrošinātu rīku tās tehnisko darbu un aktīvu portfeļa uzraudzībai, pārvaldībai un pārvaldīšanai. Sistēma reāllaikā sniedz precīzu informāciju par nodevumiem, izmaksām un grafiku visā veikto darbu dzīves ciklā. Investīciju īstenošanu pabeidz līdz 2025. gada 31. decembrim.</w:t>
      </w:r>
    </w:p>
    <w:p w14:paraId="0FE5C3C0"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Infrastruktūras un transporta ministrijas procedūru vienkāršošana (pasākums ID 16786)</w:t>
      </w:r>
    </w:p>
    <w:p w14:paraId="7C9350E6" w14:textId="779BC616" w:rsidR="00CB0FCB" w:rsidRDefault="009D2B11">
      <w:pPr>
        <w:pStyle w:val="P68B1DB1-Normal5"/>
        <w:spacing w:before="120" w:after="120" w:line="240" w:lineRule="auto"/>
        <w:jc w:val="both"/>
        <w:rPr>
          <w:rFonts w:cs="Times New Roman"/>
          <w:noProof/>
        </w:rPr>
      </w:pPr>
      <w:r>
        <w:rPr>
          <w:noProof/>
        </w:rPr>
        <w:t>Šī reforma ietver Infrastruktūras un transporta ministrijas sniegto pakalpojumu digitalizāciju, kuras mērķis ir atvieglot administratīvo slogu un vienkāršot procesus publiskajā sektorā. Tas ietver a) vadītāja apliecību izdošanu, aizstāšanu un atjaunošanu, b) procedūras, kas saistītas ar transportlīdzekļu pārvietošanu, c) satiksmes reģistrācijas apliecību un numura zīmju izsniegšanu un d) autovadītāja apliecības eksāmenus. Reformas īstenošanu pabeidz līdz 2024. gada 31. decembrim.</w:t>
      </w:r>
    </w:p>
    <w:p w14:paraId="3A937194"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Darba reforma kultūras nozarē (pasākums ID 16715)</w:t>
      </w:r>
    </w:p>
    <w:p w14:paraId="1BAF1D9B" w14:textId="2E0B42F6" w:rsidR="00CB0FCB" w:rsidRDefault="009D2B11">
      <w:pPr>
        <w:pStyle w:val="P68B1DB1-Normal4"/>
        <w:spacing w:before="120" w:after="120" w:line="240" w:lineRule="auto"/>
        <w:jc w:val="both"/>
        <w:rPr>
          <w:b/>
          <w:noProof/>
        </w:rPr>
      </w:pPr>
      <w:r>
        <w:rPr>
          <w:noProof/>
        </w:rPr>
        <w:t>Ar šo reformu ievieš darba un sociālā nodrošinājuma tiesību aktus kultūras un radošajām nozarēm, lai palielinātu deklarētā darba īpatsvaru nozarē un atbalstītu nozares profesionāļus un aizsargātu viņu intelektuālā īpašuma tiesības. Šīs reformas mērķis ir palielināt kultūras un radošo nozaru noturību. Reformas īstenošanu pabeidz līdz 2022. gada 30. septembrim.</w:t>
      </w:r>
      <w:r>
        <w:rPr>
          <w:noProof/>
        </w:rPr>
        <w:br w:type="page"/>
      </w:r>
    </w:p>
    <w:p w14:paraId="513ACE6E" w14:textId="68B5A606" w:rsidR="00CB0FCB" w:rsidRDefault="009D2B11">
      <w:pPr>
        <w:pStyle w:val="P68B1DB1-Normal4"/>
        <w:spacing w:before="120" w:after="120" w:line="240" w:lineRule="auto"/>
        <w:jc w:val="both"/>
        <w:rPr>
          <w:rFonts w:cs="Times New Roman"/>
          <w:noProof/>
        </w:rPr>
      </w:pPr>
      <w:r>
        <w:rPr>
          <w:b/>
          <w:noProof/>
        </w:rPr>
        <w:t>Ieguldījums:</w:t>
      </w:r>
      <w:r>
        <w:rPr>
          <w:noProof/>
        </w:rPr>
        <w:t xml:space="preserve"> Kultūra kā augšanas virzītājspēks (pasākums ID 16293)</w:t>
      </w:r>
    </w:p>
    <w:p w14:paraId="580E2043" w14:textId="77777777" w:rsidR="00CB0FCB" w:rsidRDefault="009D2B11">
      <w:pPr>
        <w:pStyle w:val="P68B1DB1-Normal4"/>
        <w:spacing w:before="120" w:after="120" w:line="240" w:lineRule="auto"/>
        <w:jc w:val="both"/>
        <w:rPr>
          <w:rFonts w:cs="Times New Roman"/>
          <w:noProof/>
        </w:rPr>
      </w:pPr>
      <w:r>
        <w:rPr>
          <w:noProof/>
        </w:rPr>
        <w:t>Ieguldījuma vispārējais mērķis ir veicināt kultūras ieguldījumu gudrā un ilgtspējīgā izaugsmē, kā arī ekonomiskajā, sociālajā un teritoriālajā kohēzijā. To veido seši apakšprojekti:</w:t>
      </w:r>
    </w:p>
    <w:p w14:paraId="30F87D10" w14:textId="77777777" w:rsidR="00CB0FCB" w:rsidRDefault="009D2B11">
      <w:pPr>
        <w:pStyle w:val="P68B1DB1-Normal4"/>
        <w:numPr>
          <w:ilvl w:val="0"/>
          <w:numId w:val="65"/>
        </w:numPr>
        <w:spacing w:before="120" w:after="120" w:line="240" w:lineRule="auto"/>
        <w:ind w:left="360"/>
        <w:jc w:val="both"/>
        <w:rPr>
          <w:rFonts w:cs="Times New Roman"/>
          <w:noProof/>
        </w:rPr>
      </w:pPr>
      <w:r>
        <w:rPr>
          <w:noProof/>
        </w:rPr>
        <w:t>sniegt atbalstu kultūras un radošo nozaru (KRN) reģionālajām stratēģijām, sniegt atbalstu vietējām amatniecības ekosistēmām, radīt uz kultūru orientētu reģionālās izaugsmes ekosistēmu, uzsvērt KRN funkcionālo un bioloģisko starpnozaru pievienoto vērtību, radīt darbvietas, ieviest ilgtspējīgas finanšu darbības, attīstīt “pieredzes ekonomiku” utt. Atbalsts ietver kultūras vietu, pakalpojumu un pieredzes attīstīšanu un uzlabošanu, darbaspēka prasmju pilnveidi, vietējo kultūras ceļu attīstīšanu, radošuma un inovācijas veicināšanu, finansējumu energoefektīvai renovācijai un energoefektivitātes pasākumiem attiecībā uz publisko infrastruktūru utt.</w:t>
      </w:r>
    </w:p>
    <w:p w14:paraId="47E296AB" w14:textId="77777777" w:rsidR="00CB0FCB" w:rsidRDefault="009D2B11">
      <w:pPr>
        <w:pStyle w:val="P68B1DB1-Normal4"/>
        <w:numPr>
          <w:ilvl w:val="0"/>
          <w:numId w:val="65"/>
        </w:numPr>
        <w:spacing w:before="120" w:after="120" w:line="240" w:lineRule="auto"/>
        <w:ind w:left="360"/>
        <w:jc w:val="both"/>
        <w:rPr>
          <w:rFonts w:cs="Times New Roman"/>
          <w:noProof/>
        </w:rPr>
      </w:pPr>
      <w:r>
        <w:rPr>
          <w:noProof/>
        </w:rPr>
        <w:t>paplašināt arheoloģisko objektu un pieminekļu kā vietu un pasākumu vietu izmantošanu,</w:t>
      </w:r>
    </w:p>
    <w:p w14:paraId="5ABAFF60" w14:textId="77777777" w:rsidR="00CB0FCB" w:rsidRDefault="009D2B11">
      <w:pPr>
        <w:pStyle w:val="P68B1DB1-Normal4"/>
        <w:numPr>
          <w:ilvl w:val="0"/>
          <w:numId w:val="65"/>
        </w:numPr>
        <w:spacing w:before="120" w:after="120" w:line="240" w:lineRule="auto"/>
        <w:ind w:left="360"/>
        <w:jc w:val="both"/>
        <w:rPr>
          <w:rFonts w:cs="Times New Roman"/>
          <w:noProof/>
        </w:rPr>
      </w:pPr>
      <w:r>
        <w:rPr>
          <w:noProof/>
        </w:rPr>
        <w:t>sniegt atbalstu KRN digitālajai pārveidei un kultūras ražošanas un izplatīšanas digitālo modeļu izstrādei,</w:t>
      </w:r>
    </w:p>
    <w:p w14:paraId="52E3FD3C" w14:textId="77777777" w:rsidR="00CB0FCB" w:rsidRDefault="009D2B11">
      <w:pPr>
        <w:pStyle w:val="P68B1DB1-Normal4"/>
        <w:numPr>
          <w:ilvl w:val="0"/>
          <w:numId w:val="65"/>
        </w:numPr>
        <w:spacing w:before="120" w:after="120" w:line="240" w:lineRule="auto"/>
        <w:ind w:left="360"/>
        <w:jc w:val="both"/>
        <w:rPr>
          <w:rFonts w:cs="Times New Roman"/>
          <w:noProof/>
        </w:rPr>
      </w:pPr>
      <w:r>
        <w:rPr>
          <w:noProof/>
        </w:rPr>
        <w:t>veicināt filmu nozari kā izaugsmes un jaunrades virzītājspēku un</w:t>
      </w:r>
    </w:p>
    <w:p w14:paraId="0F76CE34" w14:textId="77777777" w:rsidR="00CB0FCB" w:rsidRDefault="009D2B11">
      <w:pPr>
        <w:pStyle w:val="P68B1DB1-Normal4"/>
        <w:numPr>
          <w:ilvl w:val="0"/>
          <w:numId w:val="65"/>
        </w:numPr>
        <w:spacing w:before="120" w:after="120" w:line="240" w:lineRule="auto"/>
        <w:ind w:left="360"/>
        <w:jc w:val="both"/>
        <w:rPr>
          <w:rFonts w:cs="Times New Roman"/>
          <w:noProof/>
        </w:rPr>
      </w:pPr>
      <w:r>
        <w:rPr>
          <w:noProof/>
        </w:rPr>
        <w:t xml:space="preserve">Grieķijas kultūras zīmola un tirdzniecības veicināšana. </w:t>
      </w:r>
    </w:p>
    <w:p w14:paraId="5BD1477A" w14:textId="77777777" w:rsidR="00CB0FCB" w:rsidRDefault="009D2B11">
      <w:pPr>
        <w:pStyle w:val="P68B1DB1-Normal4"/>
        <w:spacing w:before="120" w:after="120" w:line="240" w:lineRule="auto"/>
        <w:jc w:val="both"/>
        <w:rPr>
          <w:rFonts w:cs="Times New Roman"/>
          <w:noProof/>
        </w:rPr>
      </w:pPr>
      <w:r>
        <w:rPr>
          <w:noProof/>
        </w:rPr>
        <w:t>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apakšprojektam, kas saistīts ar pievedceļu būvniecību, ir jāveic ietekmes uz vidi novērtējums (IVN) saskaņā ar Direktīvu 2011/92/ES, lai nodrošinātu, ka principa “nenodarīt būtisku kaitējumu” ievērošana tiek integrēta projektā un tiek stingri ievērota infrastruktūras būvniecības, ekspluatācijas un ekspluatācijas pārtraukšanas posmā. Investīciju īstenošanu pabeidz līdz 2025. gada 31. decembrim.</w:t>
      </w:r>
    </w:p>
    <w:p w14:paraId="06B00211"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Zemūdens senlietu muzejs (pasākums ID 16486)</w:t>
      </w:r>
    </w:p>
    <w:p w14:paraId="294C0B7C" w14:textId="77777777" w:rsidR="00CB0FCB" w:rsidRDefault="009D2B11">
      <w:pPr>
        <w:pStyle w:val="P68B1DB1-Normal5"/>
        <w:spacing w:before="120" w:after="120" w:line="240" w:lineRule="auto"/>
        <w:jc w:val="both"/>
        <w:rPr>
          <w:rFonts w:cs="Times New Roman"/>
          <w:noProof/>
        </w:rPr>
      </w:pPr>
      <w:r>
        <w:rPr>
          <w:noProof/>
        </w:rPr>
        <w:t>Šis ieguldījums, veicot energoefektīvu renovāciju, atjauno rūpniecisko ēku Pirejā un no jauna atver to kā zemūdens senlietu muzeju. Ieguldījuma mērķis ir radīt pievienoto vērtību no kultūras un tūrisma viedokļa Pirejas ostas pilsētai un plašākam Atēnu apgabalam.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65616E8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“Mākslas pret recepti” izmantošana, sociālās kohēzijas veicināšana un senioru ekonomikas izmantošana (pasākums ID 16735)</w:t>
      </w:r>
    </w:p>
    <w:p w14:paraId="65DB4DF9" w14:textId="77777777" w:rsidR="00CB0FCB" w:rsidRDefault="009D2B11">
      <w:pPr>
        <w:pStyle w:val="P68B1DB1-Normal4"/>
        <w:spacing w:before="120" w:after="120" w:line="240" w:lineRule="auto"/>
        <w:jc w:val="both"/>
        <w:rPr>
          <w:rFonts w:cs="Times New Roman"/>
          <w:noProof/>
        </w:rPr>
      </w:pPr>
      <w:r>
        <w:rPr>
          <w:noProof/>
        </w:rPr>
        <w:t>Investīcijas mērķis ir piesaistīt apmeklētājus vecumā no 65 gadiem, kā arī apmeklētājus ar invaliditāti uz kultūras vietām, piemēram, muzejiem, teātriem, festivāliem, arheoloģiskajām vietām un pieminekļiem, uzlabojot fizisko piekļuvi šīm vietām un izstrādājot gida vadītas ekskursiju sistēmas ar dzirdes un redzes palīglīdzekļiem. Investīcijas ir pilnībā jāsaskaņo ar Grieķijas stratēģiju personām ar invaliditāti, kas jau tiek īstenota. Turklāt, kā to aprakstījusi Pasaules Veselības organizācija, investīcija popularizē mākslas programmas pēc receptes, kurās māksla un kultūra tiek izmantota kā neatņemama medicīniskā atbalsta daļa, jo īpaši garīgās veselības jomā. Investīciju īstenošanu pabeidz līdz 2025. gada 31. decembrim.</w:t>
      </w:r>
    </w:p>
    <w:p w14:paraId="294B241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Infrastruktūras modernizācija, aprīkojuma atjaunošana un HOCRED Storu sniegto pakalpojumu kvalitātes uzlabošana — bijušie ARF Stores (uz vietas un elektroniski) (pasākums ID 16536)</w:t>
      </w:r>
    </w:p>
    <w:p w14:paraId="42B58ADC" w14:textId="77777777" w:rsidR="00CB0FCB" w:rsidRDefault="009D2B11">
      <w:pPr>
        <w:pStyle w:val="P68B1DB1-Normal4"/>
        <w:spacing w:before="120" w:after="120" w:line="240" w:lineRule="auto"/>
        <w:jc w:val="both"/>
        <w:rPr>
          <w:rFonts w:cs="Times New Roman"/>
          <w:noProof/>
        </w:rPr>
      </w:pPr>
      <w:r>
        <w:rPr>
          <w:noProof/>
        </w:rPr>
        <w:t>Šīs investīcijas ietver energoefektivitātes pasākumus, renovāciju, veikalu un darbnīcu būvniecību un aprīkojuma nodrošināšanu fiziskajiem un tiešsaistes veikaliem, kā arī Grieķijas Kultūras resursu attīstības organizācijas (HOCRED) sniegto pakalpojumu kvalitātes uzlabošanu, kas iekasē ieņēmumus no arheoloģiskiem objektiem, vēstures objektiem, pieminekļiem un arheoloģijas muzejiem Grieķijā un pārvalda šos resursus Grieķijas kultūras mantojuma atbalstam.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pasākums paredz, ka uzņēmējiem, kas veic būvdarbus, jānodrošina, ka vismaz 70 % (pēc masas) būvlaukumā radušos nebīstamo būvgružu un ēku nojaukšanas atkritumu (izņemot dabā sastopamos materiālus, kas minēti 17 05 04. kategorijā Eiropas atkritumu sarakstā, kurš izveidots ar 2000. gada 3. maija Lēmumu 2000/532/EK, ar ko aizstāj Lēmumu 94/3/EK, ar kuru izveidots atkritumu saraksts saskaņā ar 1. panta a) punktu Padomes Direktīvā 75/442/EEK par atkritumiem, un Padomes Lēmumu 94/904/EK, ar kuru izveidots bīstamo atkritumu saraksts saskaņā ar 1. panta 4. punktu Padomes Direktīvā 91/689/EEK par bīstamajiem atkritumiem (izziņots ar dokumenta numuru C(2000) 1147)), sagatavo atkārtotai izmantošanai, reciklēšana un cita materiālu atgūšana, tostarp aizbēršana, izmantojot atkritumus, lai aizstātu citus materiālus, saskaņā ar atkritumu apsaimniekošanas hierarhiju un ES Būvniecības un nojaukšanas atkritumu apsaimniekošanas protokolu. Investīciju īstenošanu pabeidz līdz 2025. gada 31. decembrim.</w:t>
      </w:r>
    </w:p>
    <w:p w14:paraId="499CEC58"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Kultūras pieminekļu un arheoloģisko objektu aizsardzība pret klimata pārmaiņām (pasākums ID 16433)</w:t>
      </w:r>
    </w:p>
    <w:p w14:paraId="2423BE51" w14:textId="77777777" w:rsidR="00CB0FCB" w:rsidRDefault="009D2B11">
      <w:pPr>
        <w:pStyle w:val="P68B1DB1-Normal4"/>
        <w:spacing w:before="120" w:after="120" w:line="240" w:lineRule="auto"/>
        <w:jc w:val="both"/>
        <w:rPr>
          <w:rFonts w:cs="Times New Roman"/>
          <w:noProof/>
        </w:rPr>
      </w:pPr>
      <w:r>
        <w:rPr>
          <w:noProof/>
        </w:rPr>
        <w:t>Šī investīcija ietver plānu izstrādi attiecībā uz pielāgošanos klimata pārmaiņām kultūras mantojuma objektiem. Mērķis ir aizsargāt Grieķijas kultūras mantojumu, uzlabojot tās noturību pret klimata pārmaiņām un tādējādi saglabājot kultūras mantojuma objektu ieguldījumu saimnieciskajā darbībā. Investīcija ietver klimatisko risku telpiskus un laicīgus novērtējumus un to neaizsargātības apzināšanu, ar kurām saskaras kultūras mantojuma objekti. Investīciju īstenošanu pabeidz līdz 2025. gada 31. decembrim.</w:t>
      </w:r>
    </w:p>
    <w:p w14:paraId="0A48F4C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Augstākās mākslas izglītības uzlabošana (pasākums ID 16725)</w:t>
      </w:r>
    </w:p>
    <w:p w14:paraId="2BE45256" w14:textId="041A4BB2" w:rsidR="00CB0FCB" w:rsidRDefault="009D2B11">
      <w:pPr>
        <w:pStyle w:val="P68B1DB1-Normal4"/>
        <w:spacing w:before="120" w:after="120" w:line="240" w:lineRule="auto"/>
        <w:jc w:val="both"/>
        <w:rPr>
          <w:rFonts w:cs="Times New Roman"/>
          <w:noProof/>
        </w:rPr>
      </w:pPr>
      <w:r>
        <w:rPr>
          <w:noProof/>
        </w:rPr>
        <w:t>Investīcija uzlabo augstākās izglītības iestādes Grieķijā, un to papildina visu augstākās mākslas izglītības mācību programmu pārskatīšana un atjaunināšana. Turklāt paredzams, ka investīcijas atbalstīs mākslas skolas, modernizējot to fizisko un tehnisko infrastruktūru.</w:t>
      </w:r>
    </w:p>
    <w:p w14:paraId="71377C5D" w14:textId="77777777" w:rsidR="00CB0FCB" w:rsidRDefault="009D2B11">
      <w:pPr>
        <w:pStyle w:val="P68B1DB1-Normal4"/>
        <w:spacing w:before="120" w:after="120" w:line="240" w:lineRule="auto"/>
        <w:jc w:val="both"/>
        <w:rPr>
          <w:rFonts w:cs="Times New Roman"/>
          <w:noProof/>
        </w:rPr>
      </w:pPr>
      <w:r>
        <w:rPr>
          <w:noProof/>
        </w:rPr>
        <w:t>Investīcija ietver:</w:t>
      </w:r>
    </w:p>
    <w:p w14:paraId="78AAF4CB" w14:textId="7FD68F40" w:rsidR="00CB0FCB" w:rsidRDefault="009D2B11">
      <w:pPr>
        <w:pStyle w:val="P68B1DB1-Normal4"/>
        <w:numPr>
          <w:ilvl w:val="0"/>
          <w:numId w:val="61"/>
        </w:numPr>
        <w:spacing w:before="120" w:after="120" w:line="240" w:lineRule="auto"/>
        <w:ind w:left="360"/>
        <w:jc w:val="both"/>
        <w:rPr>
          <w:rFonts w:cs="Times New Roman"/>
          <w:noProof/>
        </w:rPr>
      </w:pPr>
      <w:r>
        <w:rPr>
          <w:noProof/>
        </w:rPr>
        <w:t>mācību programmu atjaunināšana saistībā ar Eiropas nozaru kvalifikāciju ietvarstruktūru,</w:t>
      </w:r>
    </w:p>
    <w:p w14:paraId="517DF712" w14:textId="6542952A" w:rsidR="00CB0FCB" w:rsidRDefault="009D2B11">
      <w:pPr>
        <w:pStyle w:val="P68B1DB1-Normal4"/>
        <w:numPr>
          <w:ilvl w:val="0"/>
          <w:numId w:val="61"/>
        </w:numPr>
        <w:spacing w:before="120" w:after="120" w:line="240" w:lineRule="auto"/>
        <w:ind w:left="360"/>
        <w:jc w:val="both"/>
        <w:rPr>
          <w:rFonts w:cs="Times New Roman"/>
          <w:noProof/>
          <w:szCs w:val="24"/>
        </w:rPr>
      </w:pPr>
      <w:r>
        <w:rPr>
          <w:noProof/>
        </w:rPr>
        <w:t>izpildītājmākslas universitātes izveide un</w:t>
      </w:r>
    </w:p>
    <w:p w14:paraId="687C59F5" w14:textId="46616378" w:rsidR="00CB0FCB" w:rsidRDefault="009D2B11">
      <w:pPr>
        <w:pStyle w:val="P68B1DB1-Normal4"/>
        <w:numPr>
          <w:ilvl w:val="0"/>
          <w:numId w:val="61"/>
        </w:numPr>
        <w:spacing w:before="120" w:after="120" w:line="240" w:lineRule="auto"/>
        <w:ind w:left="360"/>
        <w:jc w:val="both"/>
        <w:rPr>
          <w:rFonts w:cs="Times New Roman"/>
          <w:noProof/>
          <w:szCs w:val="24"/>
        </w:rPr>
      </w:pPr>
      <w:r>
        <w:rPr>
          <w:noProof/>
        </w:rPr>
        <w:t>Galveno valsts mākslas izglītības iestāžu fiziskās un tehniskās infrastruktūras modernizācija.</w:t>
      </w:r>
    </w:p>
    <w:p w14:paraId="059405D7" w14:textId="2131CC0F" w:rsidR="00CB0FCB" w:rsidRDefault="009D2B11">
      <w:pPr>
        <w:pStyle w:val="P68B1DB1-Normal4"/>
        <w:spacing w:before="120" w:after="120" w:line="240" w:lineRule="auto"/>
        <w:jc w:val="both"/>
        <w:rPr>
          <w:rFonts w:cs="Times New Roman"/>
          <w:noProof/>
        </w:rPr>
      </w:pPr>
      <w:r>
        <w:rPr>
          <w:noProof/>
        </w:rPr>
        <w:t>Investīciju īstenošanu pabeidz līdz 2025. gada 31. decembrim.</w:t>
      </w:r>
    </w:p>
    <w:p w14:paraId="1AB0C9EC"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Kultūras maršruti uz Emblemātiskām arheoloģiskām vietām un pieminekļiem (pasākums ID 16485)</w:t>
      </w:r>
    </w:p>
    <w:p w14:paraId="0B3F1AC9" w14:textId="77777777" w:rsidR="00CB0FCB" w:rsidRDefault="009D2B11">
      <w:pPr>
        <w:pStyle w:val="P68B1DB1-Normal4"/>
        <w:spacing w:before="120" w:after="120" w:line="240" w:lineRule="auto"/>
        <w:jc w:val="both"/>
        <w:rPr>
          <w:rFonts w:cs="Times New Roman"/>
          <w:noProof/>
        </w:rPr>
      </w:pPr>
      <w:r>
        <w:rPr>
          <w:noProof/>
        </w:rPr>
        <w:t>Šis ieguldījums veido piecus simboliskus kultūras ceļus ar tematiskiem naratīviem, kas aptver visus Grieķijas vēstures periodus. Paredzams, ka maršruti ģeogrāfiski būs izvietoti visā valstī. Investīcija ietver arī atsevišķu pieminekļu saglabāšanu un atjaunošanu, pakalpojumu un infrastruktūras modernizāciju, interaktīvu digitālo lietotņu izstrādi un mākslas un kultūras pasākumu iekļaušanu. Maršrutos iekļautie pieminekļi un objekti rada sinerģiju ar tūrisma galamērķiem un tādējādi darbojas kā ilgtspējīgas izaugsmes un ekonomiskās, sociālās un teritoriālās kohēzijas virzītājspēks. Investīciju īstenošanu pabeidz līdz 2025. gada 31. decembrim.</w:t>
      </w:r>
    </w:p>
    <w:p w14:paraId="0EF33F67"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Atjaunošana — Saglabāšana — Akropoles pieminekļu uzlabošana (pasākums ID 16435)</w:t>
      </w:r>
    </w:p>
    <w:p w14:paraId="24D4169B" w14:textId="77777777" w:rsidR="00CB0FCB" w:rsidRDefault="009D2B11">
      <w:pPr>
        <w:pStyle w:val="P68B1DB1-Normal4"/>
        <w:spacing w:before="120" w:after="120" w:line="240" w:lineRule="auto"/>
        <w:jc w:val="both"/>
        <w:rPr>
          <w:rFonts w:cs="Times New Roman"/>
          <w:noProof/>
        </w:rPr>
      </w:pPr>
      <w:r>
        <w:rPr>
          <w:noProof/>
        </w:rPr>
        <w:t>Investīcija ietver Atēnu Akropoles pieminekļu aizsardzību pret klimata pārmaiņām un ietver Partenona un mūra atjaunošanas darbus, visu Akropoles pieminekļu konkrētu daļu saglabāšanu, iežu masu konsolidāciju un stabilizāciju un apmeklētāju pieejamības uzlabošanu. Investīciju īstenošanu pabeidz līdz 2025. gada 31. decembrim.</w:t>
      </w:r>
    </w:p>
    <w:p w14:paraId="7773F705"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Tūrisma attīstība (pasākums ID 16931)</w:t>
      </w:r>
    </w:p>
    <w:p w14:paraId="36D87C4B" w14:textId="77777777" w:rsidR="00CB0FCB" w:rsidRDefault="009D2B11">
      <w:pPr>
        <w:pStyle w:val="P68B1DB1-Normal4"/>
        <w:spacing w:before="120" w:after="120" w:line="240" w:lineRule="auto"/>
        <w:jc w:val="both"/>
        <w:rPr>
          <w:rFonts w:cs="Times New Roman"/>
          <w:noProof/>
        </w:rPr>
      </w:pPr>
      <w:r>
        <w:rPr>
          <w:noProof/>
        </w:rPr>
        <w:t>Šīs investīcijas mērķis ir pagarināt tūrisma sezonu Grieķijā pēc vasaras mēnešiem un veicināt alternatīvus tūrisma veidus, veicinot ekonomikas noturību, ilgtspējīgu izaugsmi un sociālo un teritoriālo kohēziju. Ieguldījumu veido divas daļas:</w:t>
      </w:r>
    </w:p>
    <w:p w14:paraId="2A251E4B" w14:textId="1ABC9EFD" w:rsidR="00CB0FCB" w:rsidRDefault="009D2B11">
      <w:pPr>
        <w:pStyle w:val="P68B1DB1-Normal4"/>
        <w:numPr>
          <w:ilvl w:val="0"/>
          <w:numId w:val="62"/>
        </w:numPr>
        <w:spacing w:before="120" w:after="120" w:line="240" w:lineRule="auto"/>
        <w:ind w:left="360"/>
        <w:jc w:val="both"/>
        <w:rPr>
          <w:rFonts w:cs="Times New Roman"/>
          <w:noProof/>
        </w:rPr>
      </w:pPr>
      <w:r>
        <w:rPr>
          <w:noProof/>
        </w:rPr>
        <w:t>Zaļā attīstība: kalnu tūrisma attīstība, ietverot publiskās un privātās infrastruktūras energoefektīvu renovāciju un jaunu atjaunojamo energoresursu jaudas uzstādīšanu, veselības un labjutības tūrismu, agrotūrismu un gastronomiju.</w:t>
      </w:r>
    </w:p>
    <w:p w14:paraId="70DC5ED2" w14:textId="4F78A979" w:rsidR="00CB0FCB" w:rsidRDefault="009D2B11">
      <w:pPr>
        <w:pStyle w:val="P68B1DB1-Normal4"/>
        <w:numPr>
          <w:ilvl w:val="0"/>
          <w:numId w:val="62"/>
        </w:numPr>
        <w:spacing w:before="120" w:after="120" w:line="240" w:lineRule="auto"/>
        <w:ind w:left="360"/>
        <w:jc w:val="both"/>
        <w:rPr>
          <w:noProof/>
          <w:szCs w:val="24"/>
        </w:rPr>
      </w:pPr>
      <w:r>
        <w:rPr>
          <w:noProof/>
        </w:rPr>
        <w:t>Zilā attīstība: tūrisma ostu infrastruktūras modernizācija, izmantojot energoefektivitātes pasākumus esošām vai jaunām ēkām un pasākumus, lai uzlabotu piestātnēs piedāvāto infrastruktūru un pakalpojumus, vecāka gadagājuma cilvēku un personu ar invaliditāti pieejamību pludmalēs un niršanas un zemūdens tūrisma attīstību.</w:t>
      </w:r>
    </w:p>
    <w:p w14:paraId="61B3DE25" w14:textId="60C496DC" w:rsidR="00CB0FCB" w:rsidRDefault="009D2B11">
      <w:pPr>
        <w:pStyle w:val="P68B1DB1-Normal5"/>
        <w:spacing w:before="120" w:after="120" w:line="240" w:lineRule="auto"/>
        <w:jc w:val="both"/>
        <w:rPr>
          <w:rFonts w:cs="Times New Roman"/>
          <w:noProof/>
          <w:highlight w:val="green"/>
        </w:rPr>
      </w:pPr>
      <w:r>
        <w:rPr>
          <w:noProof/>
        </w:rPr>
        <w:t>Lai nodrošinātu, ka pasākums atbilst tehniskajiem norādījumiem “nenodarīt būtisku kaitējumu” (2021/C58/01), uzaicinājumos iesniegt projektus noteiktajos atbilstības kritērijos neiekļauj šādu darbību sarakstu:</w:t>
      </w:r>
      <w:r>
        <w:rPr>
          <w:noProof/>
          <w:color w:val="FF0000"/>
        </w:rPr>
        <w:t xml:space="preserve"> </w:t>
      </w:r>
      <w:r>
        <w:rPr>
          <w:noProof/>
        </w:rPr>
        <w:t>I) darbības, kas saistītas ar fosilo kurināmo, tostarp pakārtotu izmantošanu</w:t>
      </w:r>
      <w:r>
        <w:rPr>
          <w:noProof/>
        </w:rPr>
        <w:footnoteReference w:id="19"/>
      </w:r>
      <w:r>
        <w:rPr>
          <w:noProof/>
        </w:rPr>
        <w:t>; II) darbības saskaņā ar ES emisijas kvotu tirdzniecības sistēmu (ETS), kuru prognozētās siltumnīcefekta gāzu emisijas nav zemākas par attiecīgajām līmeņatzīmēm</w:t>
      </w:r>
      <w:r>
        <w:rPr>
          <w:noProof/>
        </w:rPr>
        <w:footnoteReference w:id="20"/>
      </w:r>
      <w:r>
        <w:rPr>
          <w:noProof/>
        </w:rPr>
        <w:t>; III) darbības, kas saistītas ar atkritumu poligoniem, sadedzināšanas iekārtām</w:t>
      </w:r>
      <w:r>
        <w:rPr>
          <w:noProof/>
        </w:rPr>
        <w:footnoteReference w:id="21"/>
      </w:r>
      <w:r>
        <w:rPr>
          <w:noProof/>
        </w:rPr>
        <w:t xml:space="preserve"> un mehāniski bioloģiskās apstrādes iekārtām</w:t>
      </w:r>
      <w:r>
        <w:rPr>
          <w:noProof/>
        </w:rPr>
        <w:footnoteReference w:id="22"/>
      </w:r>
      <w:r>
        <w:rPr>
          <w:noProof/>
        </w:rPr>
        <w:t>; un iv) darbības, kurās atkritumu ilgtermiņa apglabāšana var radīt kaitējumu videi. Darba uzdevumā papildus nosaka, ka var atlasīt tikai tās darbības, kas atbilst attiecīgajiem ES un valsts tiesību aktiem vides jomā. Investīciju īstenošanu pabeidz līdz 2025. gada 31. decembrim.</w:t>
      </w:r>
    </w:p>
    <w:p w14:paraId="188574A7"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Pārkvalifikācija un kvalifikācijas celšana tūrisma nozarē (pasākums ID 16921)</w:t>
      </w:r>
    </w:p>
    <w:p w14:paraId="52D8F4EC" w14:textId="77777777" w:rsidR="00CB0FCB" w:rsidRDefault="009D2B11">
      <w:pPr>
        <w:pStyle w:val="P68B1DB1-Normal4"/>
        <w:spacing w:before="120" w:after="120" w:line="240" w:lineRule="auto"/>
        <w:jc w:val="both"/>
        <w:rPr>
          <w:rFonts w:cs="Times New Roman"/>
          <w:noProof/>
        </w:rPr>
      </w:pPr>
      <w:r>
        <w:rPr>
          <w:noProof/>
        </w:rPr>
        <w:t>Investīcija ietver sezonas darbinieku, ilgstošo bezdarbnieku, kā arī tūrisma nozares darba ņēmēju, kuru darba līgums pandēmijas laikā tika apturēts, kvalifikācijas celšanu un pārkvalifikāciju. Pārkvalifikācijas programmas aptver vairākas specializācijas un risina nozares turpmākās vajadzības pēc Covid-19. Investīciju īstenošanu pabeidz līdz 2025. gada 30. jūnijam.</w:t>
      </w:r>
    </w:p>
    <w:p w14:paraId="6838DBCC"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Jauni industriālie parki (pasākums ID 16634)</w:t>
      </w:r>
    </w:p>
    <w:p w14:paraId="685507AF" w14:textId="77777777" w:rsidR="00CB0FCB" w:rsidRDefault="009D2B11">
      <w:pPr>
        <w:pStyle w:val="P68B1DB1-Normal4"/>
        <w:spacing w:before="120" w:after="120" w:line="240" w:lineRule="auto"/>
        <w:jc w:val="both"/>
        <w:rPr>
          <w:rFonts w:cs="Times New Roman"/>
          <w:noProof/>
        </w:rPr>
      </w:pPr>
      <w:r>
        <w:rPr>
          <w:noProof/>
        </w:rPr>
        <w:t>Investīcija ietver finansiālas palīdzības sniegšanu a) jaunu nākamās paaudzes industriālo parku izveidei, b) esošo parku paplašināšanai, lai palielinātu to gatavību pārejai uz 5G un īpaši platāka tīkla infrastruktūru un atjaunīgo energoresursu izmantošanai, viedai energopārvaldībai un energotaupības pasākumiem, kā arī aprites ekonomikas infrastruktūrai, un c) tādu teritoriju pārveidei, kurās ir augsta rūpniecības koncentrācija, uz zaļiem un digitalizētiem industriālajiem parkiem. Pasākums ietver arī industriālo parku tiesiskā regulējuma reformu, tostarp juridiskās nenoteiktības novēršanu, pārvaldības jautājumu risināšanu un efektīvu stimulu nodrošināšanu neformālas rūpnieciskās koncentrācijas risināšanai. Investīciju īstenošanu pabeidz līdz 2025. gada 31. decembrim.</w:t>
      </w:r>
    </w:p>
    <w:p w14:paraId="2114B7F7" w14:textId="220D6E51" w:rsidR="00CB0FCB" w:rsidRDefault="009D2B11">
      <w:pPr>
        <w:pStyle w:val="P68B1DB1-Normal4"/>
        <w:spacing w:before="120" w:after="120" w:line="240" w:lineRule="auto"/>
        <w:jc w:val="both"/>
        <w:rPr>
          <w:rFonts w:cs="Times New Roman"/>
          <w:noProof/>
        </w:rPr>
      </w:pPr>
      <w:r>
        <w:rPr>
          <w:noProof/>
        </w:rPr>
        <w:t>Finansiālo atbalstu veido investīcijas a) infrastruktūrā jaunas paaudzes parku izveidei (tostarp zemes iegādei) ar īpašiem energoefektivitātes kritērijiem jaunu ēku būvniecībai un energoefektivitātes un demonstrējumu projektiem lielos uzņēmumos un atbalsta pasākumos, b) infrastruktūrā, lai digitāli pārveidotu un izveidotu viedas rūpniecības teritorijas, c) saules atjaunojamā enerģija, d) ūdens resursu apsaimniekošanā un ūdens resursu saglabāšanā (investīcijām ir jābūt vidējam infrastruktūras noplūžu indeksam (ILI) &amp; = 1,5), e) notekūdeņu savākšanas un attīrīšanas sistēmas, kas atbilst energoefektivitātes kritērijiem, f) elektromobilitāte (elektrisko vai ūdeņraža transportlīdzekļu uzpildes tīklu izstrāde vai biometāna uzpildes punktu izstrāde transportam), g) rūpniecisko objektu un piesārņoto zemju atjaunošanas projekti. Jaunas ēkas būvniecība atbilst primārās enerģijas pieprasījumam (PED), kas ir vismaz par 20 % zemāks nekā GNEĒ prasība (gandrīz nulles enerģijas ēka, valstu direktīvas). Priekšgala-gala notekūdeņu sistēmu būvniecības gadījumā pasākumam jābūt neto nulles enerģijas izmantojumam, bet priekšgala-gala notekūdeņu sistēmu atjaunošanas gadījumā vidējais enerģijas patēriņš samazinās vismaz par 10 % (tikai ar energoefektivitātes pasākumiem, nevis ar būtiskām izmaiņām vai slodzes izmaiņām). Investīcijas elektromobilitātē atbilst Direktīvai (ES) 2018/2001 un attiecas uz alternatīvu degvielu transportam.</w:t>
      </w:r>
    </w:p>
    <w:p w14:paraId="32E24E15" w14:textId="77777777" w:rsidR="00CB0FCB" w:rsidRDefault="009D2B11">
      <w:pPr>
        <w:pStyle w:val="P68B1DB1-Normal5"/>
        <w:spacing w:before="120" w:after="120" w:line="240" w:lineRule="auto"/>
        <w:jc w:val="both"/>
        <w:rPr>
          <w:rFonts w:cs="Times New Roman"/>
          <w:noProof/>
          <w:highlight w:val="green"/>
        </w:rPr>
      </w:pPr>
      <w:r>
        <w:rPr>
          <w:noProof/>
        </w:rPr>
        <w:t>Lai nodrošinātu, ka pasākums atbilst tehniskajiem norādījumiem “nenodarīt būtisku kaitējumu” (2021/C58/01), uzaicinājumos iesniegt projektus noteiktajos atbilstības kritērijos neiekļauj šādu darbību sarakstu:</w:t>
      </w:r>
      <w:r>
        <w:rPr>
          <w:noProof/>
          <w:color w:val="FF0000"/>
        </w:rPr>
        <w:t xml:space="preserve"> </w:t>
      </w:r>
      <w:r>
        <w:rPr>
          <w:noProof/>
        </w:rPr>
        <w:t>I) darbības, kas saistītas ar fosilo kurināmo, tostarp pakārtotu izmantošanu</w:t>
      </w:r>
      <w:r>
        <w:rPr>
          <w:noProof/>
        </w:rPr>
        <w:footnoteReference w:id="23"/>
      </w:r>
      <w:r>
        <w:rPr>
          <w:noProof/>
        </w:rPr>
        <w:t>; II) darbības saskaņā ar ES emisijas kvotu tirdzniecības sistēmu (ETS), kuru prognozētās siltumnīcefekta gāzu emisijas nav zemākas par attiecīgajām līmeņatzīmēm</w:t>
      </w:r>
      <w:r>
        <w:rPr>
          <w:noProof/>
        </w:rPr>
        <w:footnoteReference w:id="24"/>
      </w:r>
      <w:r>
        <w:rPr>
          <w:noProof/>
        </w:rPr>
        <w:t>; III) darbības, kas saistītas ar atkritumu poligoniem, sadedzināšanas iekārtām</w:t>
      </w:r>
      <w:r>
        <w:rPr>
          <w:noProof/>
        </w:rPr>
        <w:footnoteReference w:id="25"/>
      </w:r>
      <w:r>
        <w:rPr>
          <w:noProof/>
        </w:rPr>
        <w:t xml:space="preserve"> un mehāniski bioloģiskās apstrādes iekārtām</w:t>
      </w:r>
      <w:r>
        <w:rPr>
          <w:noProof/>
        </w:rPr>
        <w:footnoteReference w:id="26"/>
      </w:r>
      <w:r>
        <w:rPr>
          <w:noProof/>
        </w:rPr>
        <w:t>; un iv) darbības, kurās atkritumu ilgtermiņa apglabāšana var radīt kaitējumu videi. Darba uzdevumā papildus nosaka, ka var atlasīt tikai tās darbības, kas atbilst attiecīgajiem ES un valsts tiesību aktiem vides jomā.</w:t>
      </w:r>
    </w:p>
    <w:p w14:paraId="5F429544"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Viedās ražošanas paātrināšana (pasākums ID 16721)</w:t>
      </w:r>
    </w:p>
    <w:p w14:paraId="186538E2" w14:textId="77777777" w:rsidR="00CB0FCB" w:rsidRDefault="009D2B11">
      <w:pPr>
        <w:pStyle w:val="P68B1DB1-Normal4"/>
        <w:spacing w:before="120" w:after="120" w:line="240" w:lineRule="auto"/>
        <w:jc w:val="both"/>
        <w:rPr>
          <w:rFonts w:cs="Times New Roman"/>
          <w:noProof/>
        </w:rPr>
      </w:pPr>
      <w:r>
        <w:rPr>
          <w:noProof/>
        </w:rPr>
        <w:t>Investīcija ietver finansiālu atbalstu maziem un vidējiem uzņēmumiem rūpniecības nozarē, lai modernizētu to ražošanas iekārtas un infrastruktūru, izmantojot mūsdienīgas viedās tehnoloģijas, kurām ir maza ietekme uz vidi. Ar pasākumu atbalsta arī rūpniecības shēmas un uzņēmumu kopas svarīgās rūpniecības vērtības ķēdēs, kas veicina Grieķijas rūpniecības konkurētspēju un tās pāreju uz “Rūpniecību 4.0”. Finansiālais atbalsts ietver investīcijas ražošanas līniju digitalizācijā, piegādes ķēžu automatizācijā un starpsavienojumos, viedo produktu un pakalpojumu projektēšanā un ražošanā, viedo ražošanas tehnoloģiju ieviešanā īpaši ātrdarbīga 5G tīkla mehāniskajā, laboratorijas un ražošanas aprīkojumā, kvalitātes kontroles iekārtās, IKT un programmatūras iekārtās, programmatūras licencēs, mākoņdatošanas licencēs, jaunās IT infrastruktūras un S/W īstenošanas pakalpojumos, IT drošības pakalpojumos, produktu dizaina, intelektuālā īpašuma, patentu un sertifikācijas izmaksās. Investīciju īstenošanu pabeidz līdz 2025. gada 31. decembrim.</w:t>
      </w:r>
    </w:p>
    <w:p w14:paraId="7E43EE25" w14:textId="77777777" w:rsidR="00CB0FCB" w:rsidRDefault="009D2B11">
      <w:pPr>
        <w:pStyle w:val="P68B1DB1-Normal5"/>
        <w:spacing w:before="120" w:after="120" w:line="240" w:lineRule="auto"/>
        <w:jc w:val="both"/>
        <w:rPr>
          <w:rFonts w:cs="Times New Roman"/>
          <w:noProof/>
          <w:highlight w:val="green"/>
        </w:rPr>
      </w:pPr>
      <w:r>
        <w:rPr>
          <w:noProof/>
        </w:rPr>
        <w:t>Lai nodrošinātu, ka pasākums atbilst tehniskajiem norādījumiem “nenodarīt būtisku kaitējumu” (2021/C58/01), uzaicinājumos iesniegt projektus noteiktajos atbilstības kritērijos neiekļauj šādu darbību sarakstu:</w:t>
      </w:r>
      <w:r>
        <w:rPr>
          <w:noProof/>
          <w:color w:val="FF0000"/>
        </w:rPr>
        <w:t xml:space="preserve"> </w:t>
      </w:r>
      <w:r>
        <w:rPr>
          <w:noProof/>
        </w:rPr>
        <w:t>I) darbības, kas saistītas ar fosilo kurināmo, tostarp pakārtotu izmantošanu</w:t>
      </w:r>
      <w:r>
        <w:rPr>
          <w:noProof/>
        </w:rPr>
        <w:footnoteReference w:id="27"/>
      </w:r>
      <w:r>
        <w:rPr>
          <w:noProof/>
        </w:rPr>
        <w:t>; II) darbības saskaņā ar ES emisijas kvotu tirdzniecības sistēmu (ETS), kuru prognozētās siltumnīcefekta gāzu emisijas nav zemākas par attiecīgajām līmeņatzīmēm</w:t>
      </w:r>
      <w:r>
        <w:rPr>
          <w:noProof/>
        </w:rPr>
        <w:footnoteReference w:id="28"/>
      </w:r>
      <w:r>
        <w:rPr>
          <w:noProof/>
        </w:rPr>
        <w:t>; III) darbības, kas saistītas ar atkritumu poligoniem, sadedzināšanas iekārtām</w:t>
      </w:r>
      <w:r>
        <w:rPr>
          <w:noProof/>
        </w:rPr>
        <w:footnoteReference w:id="29"/>
      </w:r>
      <w:r>
        <w:rPr>
          <w:noProof/>
        </w:rPr>
        <w:t xml:space="preserve"> un mehāniski bioloģiskās apstrādes iekārtām</w:t>
      </w:r>
      <w:r>
        <w:rPr>
          <w:noProof/>
        </w:rPr>
        <w:footnoteReference w:id="30"/>
      </w:r>
      <w:r>
        <w:rPr>
          <w:noProof/>
        </w:rPr>
        <w:t>; un iv) darbības, kurās atkritumu ilgtermiņa apglabāšana var radīt kaitējumu videi. Darba uzdevumā papildus nosaka, ka var atlasīt tikai tās darbības, kas atbilst attiecīgajiem ES un valsts tiesību aktiem vides jomā.</w:t>
      </w:r>
    </w:p>
    <w:p w14:paraId="3C062484"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Ekonomikas pārveide lauksaimniecības nozarē (pasākums ID 16626)</w:t>
      </w:r>
    </w:p>
    <w:p w14:paraId="52B3B87D" w14:textId="77777777" w:rsidR="00CB0FCB" w:rsidRDefault="009D2B11">
      <w:pPr>
        <w:pStyle w:val="P68B1DB1-Normal4"/>
        <w:spacing w:before="120" w:after="120" w:line="240" w:lineRule="auto"/>
        <w:jc w:val="both"/>
        <w:rPr>
          <w:rFonts w:cs="Times New Roman"/>
          <w:noProof/>
          <w:szCs w:val="24"/>
        </w:rPr>
      </w:pPr>
      <w:r>
        <w:rPr>
          <w:noProof/>
        </w:rPr>
        <w:t xml:space="preserve">Ieguldījumu veido šādas piecas darbības, kuru mērķis ir stiprināt un veicināt lauksaimniecības nozares attīstību Grieķijā: inovācija un zaļā pārkārtošanās lauksaimniecības produktu pārstrādes jomā, b) primārās nozares modernizācija, c) zaļā tūrisma attīstība, d) audzēšanas pārstrukturēšana un e) dzīvnieku ģenētiskā uzlabošana. Īpaša a), c) un d) apakšpunktā minēto investīciju daļa sniedz atbalstu ražošanas vienību un ēku energomodernizācijai, mehāniskajam aprīkojumam ar zemu enerģijas patēriņu esošo ražošanas vienību modernizācijai, projektiem atkritumu apsaimniekošanas vienībās un gāzveida piesārņotāju emisiju pārvaldībai vides aizsardzības nolūkā, jaunu tehnoloģiju ieviešanai, lai uzraudzītu izsekojamību, videi draudzīgus ražošanas procesus un resursu efektivitāti, kā arī tirgus analīzei, stratēģiskai sadarbībai un augstvērtīgu piegādes ķēžu izveidei, kuru galvenais mērķis ir savstarpēji savienot ekonomikas nozares (lauksaimniecība — process — tūrisms). Ar šo ieguldījumu atbalsta arī videi draudzīgus transporta veidus, jaunu atjaunojamo energoresursu attīstību, pielāgošanās klimata pārmaiņām un novēršanas pasākumus, kā arī ar klimatu saistīto risku pārvaldību, bioloģiskās daudzveidības aizsardzību, dabas mantojumu un resursus. </w:t>
      </w:r>
    </w:p>
    <w:p w14:paraId="53B979C3" w14:textId="77777777" w:rsidR="00CB0FCB" w:rsidRDefault="009D2B11">
      <w:pPr>
        <w:pStyle w:val="P68B1DB1-Normal5"/>
        <w:spacing w:before="120" w:after="120" w:line="240" w:lineRule="auto"/>
        <w:jc w:val="both"/>
        <w:rPr>
          <w:rFonts w:cs="Times New Roman"/>
          <w:noProof/>
        </w:rPr>
      </w:pPr>
      <w:r>
        <w:rPr>
          <w:noProof/>
        </w:rPr>
        <w:t>Lai nodrošinātu, ka pasākums atbilst tehniskajiem norādījumiem “nenodarīt būtisku kaitējumu” (2021/C58/01), uzaicinājumos iesniegt projektus noteiktajos atbilstības kritērijos neiekļauj šādu darbību sarakstu:</w:t>
      </w:r>
      <w:r>
        <w:rPr>
          <w:noProof/>
          <w:color w:val="FF0000"/>
        </w:rPr>
        <w:t xml:space="preserve"> </w:t>
      </w:r>
      <w:r>
        <w:rPr>
          <w:noProof/>
        </w:rPr>
        <w:t>I) darbības, kas saistītas ar fosilo kurināmo, tostarp pakārtotu izmantošanu</w:t>
      </w:r>
      <w:r>
        <w:rPr>
          <w:noProof/>
        </w:rPr>
        <w:footnoteReference w:id="31"/>
      </w:r>
      <w:r>
        <w:rPr>
          <w:noProof/>
        </w:rPr>
        <w:t>; II) darbības saskaņā ar ES emisijas kvotu tirdzniecības sistēmu (ETS), kuru prognozētās siltumnīcefekta gāzu emisijas nav zemākas par attiecīgajām līmeņatzīmēm</w:t>
      </w:r>
      <w:r>
        <w:rPr>
          <w:noProof/>
        </w:rPr>
        <w:footnoteReference w:id="32"/>
      </w:r>
      <w:r>
        <w:rPr>
          <w:noProof/>
        </w:rPr>
        <w:t>; III) darbības, kas saistītas ar atkritumu poligoniem, sadedzināšanas iekārtām</w:t>
      </w:r>
      <w:r>
        <w:rPr>
          <w:noProof/>
        </w:rPr>
        <w:footnoteReference w:id="33"/>
      </w:r>
      <w:r>
        <w:rPr>
          <w:noProof/>
        </w:rPr>
        <w:t xml:space="preserve"> un mehāniski bioloģiskās apstrādes iekārtām</w:t>
      </w:r>
      <w:r>
        <w:rPr>
          <w:noProof/>
        </w:rPr>
        <w:footnoteReference w:id="34"/>
      </w:r>
      <w:r>
        <w:rPr>
          <w:noProof/>
        </w:rPr>
        <w:t>; un iv) darbības, kurās atkritumu ilgtermiņa apglabāšana var radīt kaitējumu videi. Darba uzdevumā papildus nosaka, ka var atlasīt tikai tās darbības, kas atbilst attiecīgajiem ES un valsts tiesību aktiem vides jomā. Investīciju īstenošanu pabeidz līdz 2025. gada 31. decembrim.</w:t>
      </w:r>
    </w:p>
    <w:p w14:paraId="4876BEA1"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Lauksaimniecības un pārtikas nozares digitālā pārveide (pasākums ID 16653)</w:t>
      </w:r>
    </w:p>
    <w:p w14:paraId="0E7C0D4B" w14:textId="77777777" w:rsidR="00CB0FCB" w:rsidRDefault="009D2B11">
      <w:pPr>
        <w:pStyle w:val="P68B1DB1-Normal4"/>
        <w:spacing w:before="120" w:after="120" w:line="240" w:lineRule="auto"/>
        <w:jc w:val="both"/>
        <w:rPr>
          <w:rFonts w:cs="Times New Roman"/>
          <w:noProof/>
          <w:szCs w:val="24"/>
        </w:rPr>
      </w:pPr>
      <w:r>
        <w:rPr>
          <w:noProof/>
        </w:rPr>
        <w:t>Investīcija veicina inovatīvu tehnoloģiju ieviešanu Grieķijas lauksaimniecības nozarē, Grieķijas produktu viltošanas kontroli, atvieglo Grieķijas pārtikas produktu piekļuvi ārvalstu tirgiem, kā arī attīsta jaunas zināšanas par lauksaimniecības pārtiku Grieķijā un ievieš paraugpraksi. Investīcija ietver intervences pasākumus, kuru mērķis ir a) atbalstīt lauksaimniecības nozares digitālo pārveidi, piemēram, attīstīt plaša mēroga atvērtu digitālo infrastruktūru ar mākoņdatošanas infrastruktūru un satelītdatu un gaisa datu liela mēroga apstrādes spējām, un b) veicināt Grieķijas lauksaimniecības produktu tirdzniecību, lopkopību un zivsaimniecību, atvieglojot eksporta sertifikātu izsniegšanu, izstrādājot importa un Kopienas iekšējās tirdzniecības datu pārvaldības sistēmu un uzņēmējdarbības izlūkošanas sistēmu importam un tirdzniecībai un izstrādājot ārēju portālu Grieķijas lauksaimniecības pārtikas un lauksaimniecības produktu popularizēšanai. Reformas īstenošanu pabeidz līdz 2025. gada 30. jūnijam.</w:t>
      </w:r>
    </w:p>
    <w:p w14:paraId="4816B1D0"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Priekšlikumi darbībām akvakultūras nozarē (pasākums ID 16584)</w:t>
      </w:r>
    </w:p>
    <w:p w14:paraId="29B061EA" w14:textId="77777777" w:rsidR="00CB0FCB" w:rsidRDefault="009D2B11">
      <w:pPr>
        <w:pStyle w:val="P68B1DB1-Normal4"/>
        <w:spacing w:before="120" w:after="120" w:line="240" w:lineRule="auto"/>
        <w:jc w:val="both"/>
        <w:rPr>
          <w:rFonts w:cs="Times New Roman"/>
          <w:noProof/>
        </w:rPr>
      </w:pPr>
      <w:r>
        <w:rPr>
          <w:noProof/>
        </w:rPr>
        <w:t>Šis ieguldījums ietver inovatīvus aprīkojuma risinājumus, pētniecību, zinātības nodošanu un cilvēkresursu apmācību, lai modernizētu un dažādotu akvakultūras ražošanu. Tā arī izveido ģenētisko materiālu banku apdraudētajām saldūdens zivju sugām un komerciālajām sugām. Investīciju mērķis ir atbalstīt videi draudzīgus ražošanas procesus un resursu efektīvu izmantošanu, tādējādi palielinot tirdzniecību un radot darbvietas šajā nozarē. Investīciju īstenošanu pabeidz līdz 2025. gada 31. decembrim.</w:t>
      </w:r>
    </w:p>
    <w:p w14:paraId="6EA91051"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Reģionālo ostu modernizācija (pasākums ID 16975)</w:t>
      </w:r>
    </w:p>
    <w:p w14:paraId="66E3EA1C" w14:textId="360A8413" w:rsidR="00CB0FCB" w:rsidRDefault="009D2B11">
      <w:pPr>
        <w:pStyle w:val="P68B1DB1-Normal5"/>
        <w:spacing w:before="120" w:after="120" w:line="240" w:lineRule="auto"/>
        <w:jc w:val="both"/>
        <w:rPr>
          <w:rFonts w:cs="Times New Roman"/>
          <w:noProof/>
        </w:rPr>
      </w:pPr>
      <w:r>
        <w:rPr>
          <w:noProof/>
        </w:rPr>
        <w:t>Investīcija ietver pasākumus reģionālo ostu modernizācijai, kuru mērķis ir veicināt vietējās ekonomikas attīstību, tostarp tūrisma attīstību. Intervences veic trīspadsmit ostās visā valstī, un tās ietver infrastruktūras uzlabojumus, piemēram, ostu piestātņu modernizāciju un atjaunošanu, lai atvieglotu iekāpšanu, viļņu pārrāvumus, peldošu piestātņu uzstādīšanu, piestātņu remontu nogulsnēšanās problēmu dēļ, apkalpošanas uzbrauktuvju, piestātņu sienu būvniecību un piekrastes aizsardzības darbus, ostas baseina atjaunošanu pēc plašiem applūšanas. Paredzams, ka šis pasākums nenodarīs būtisku kaitējumu vides mērķiem Regulas (ES) 2020/852 17. panta nozīmē, ņemot vērā pasākuma aprakstu un mazināšanas pasākumus, kas izklāstīti atveseļošanas un noturības plānā saskaņā ar Tehniskajiem norādījumiem “nenodarīt būtisku kaitējumu” (2021/C58/01). Konkrētāk, uz pasākumu attiecas ietekmes uz vidi novērtējums (IVN) saskaņā ar Direktīvu 2011/92/ES, lai nodrošinātu, ka principa “nenodarīt būtisku kaitējumu” ievērošana tiek integrēta projektā un tiek stingri ievērota infrastruktūras būvniecības, ekspluatācijas un ekspluatācijas pārtraukšanas posmā. Investīciju īstenošanu pabeidz līdz 2025. gada 31. decembrim.</w:t>
      </w:r>
    </w:p>
    <w:p w14:paraId="50992995"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Ģenerālplāns Grieķijas pasažieru kuģu flotes atjaunošanai (pasākums ID 16944)</w:t>
      </w:r>
    </w:p>
    <w:p w14:paraId="1EDD2B2C" w14:textId="77777777" w:rsidR="00CB0FCB" w:rsidRDefault="009D2B11">
      <w:pPr>
        <w:pStyle w:val="P68B1DB1-Normal4"/>
        <w:spacing w:before="120" w:after="120" w:line="240" w:lineRule="auto"/>
        <w:jc w:val="both"/>
        <w:rPr>
          <w:rFonts w:cs="Times New Roman"/>
          <w:noProof/>
          <w:szCs w:val="24"/>
        </w:rPr>
      </w:pPr>
      <w:r>
        <w:rPr>
          <w:noProof/>
        </w:rPr>
        <w:t>Investīcija ietver detalizēta pētījuma sagatavošanu, stratēģiju un finansēšanas mehānisma izstrādi pakāpeniskai valsts pasažieru kuģu flotes atjaunošanai. Pētījumā nosaka attiecīgās kuģu modernizācijas vajadzības un investīciju grafiku, operatoru finansēšanas vajadzības un iespējamos ieņēmumus, kas tiks gūti no atjaunošanas plāna, nosaka infrastruktūras atjaunošanu, kas būtu jāveic ostās, lai atbalstītu jauno kuģu ekspluatāciju, un izstrādā finansēšanas mehānismu, lai operatoriem atvieglotu piekļuvi finansējumam. Investīciju īstenošanu pabeidz līdz 2025. gada 30. jūnijam.</w:t>
      </w:r>
    </w:p>
    <w:p w14:paraId="25CDFBFF"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Organizatoriskā reforma dzelzceļa nozarē (pasākums ID 16982)</w:t>
      </w:r>
    </w:p>
    <w:p w14:paraId="6A492446" w14:textId="77777777" w:rsidR="00CB0FCB" w:rsidRDefault="009D2B11">
      <w:pPr>
        <w:pStyle w:val="P68B1DB1-Normal4"/>
        <w:spacing w:before="120" w:after="120" w:line="240" w:lineRule="auto"/>
        <w:jc w:val="both"/>
        <w:rPr>
          <w:rFonts w:cs="Times New Roman"/>
          <w:noProof/>
        </w:rPr>
      </w:pPr>
      <w:r>
        <w:rPr>
          <w:noProof/>
        </w:rPr>
        <w:t>Projekta galvenās darbības ir šādas:</w:t>
      </w:r>
    </w:p>
    <w:p w14:paraId="13018BF1" w14:textId="77777777" w:rsidR="00CB0FCB" w:rsidRDefault="009D2B11">
      <w:pPr>
        <w:pStyle w:val="P68B1DB1-Normal4"/>
        <w:numPr>
          <w:ilvl w:val="0"/>
          <w:numId w:val="63"/>
        </w:numPr>
        <w:spacing w:before="120" w:after="120" w:line="240" w:lineRule="auto"/>
        <w:ind w:left="360"/>
        <w:jc w:val="both"/>
        <w:rPr>
          <w:rFonts w:cs="Times New Roman"/>
          <w:noProof/>
        </w:rPr>
      </w:pPr>
      <w:r>
        <w:rPr>
          <w:noProof/>
        </w:rPr>
        <w:t>Tiek pieņemts ceļvedis, kurā izklāstīti pasākumi uzņēmumu OSE un ERGOSE pilnīgai reorganizācijai.</w:t>
      </w:r>
    </w:p>
    <w:p w14:paraId="3D624F5A" w14:textId="77777777" w:rsidR="00CB0FCB" w:rsidRDefault="009D2B11">
      <w:pPr>
        <w:pStyle w:val="P68B1DB1-Normal4"/>
        <w:numPr>
          <w:ilvl w:val="0"/>
          <w:numId w:val="63"/>
        </w:numPr>
        <w:spacing w:before="120" w:after="120" w:line="240" w:lineRule="auto"/>
        <w:ind w:left="360"/>
        <w:jc w:val="both"/>
        <w:rPr>
          <w:rFonts w:cs="Times New Roman"/>
          <w:noProof/>
        </w:rPr>
      </w:pPr>
      <w:r>
        <w:rPr>
          <w:noProof/>
        </w:rPr>
        <w:t>Specializēta konsultanta pieņemšana darbā, lai palīdzētu īstenot reformu</w:t>
      </w:r>
    </w:p>
    <w:p w14:paraId="7F8B0F60" w14:textId="77777777" w:rsidR="00CB0FCB" w:rsidRDefault="009D2B11">
      <w:pPr>
        <w:pStyle w:val="P68B1DB1-Normal4"/>
        <w:numPr>
          <w:ilvl w:val="0"/>
          <w:numId w:val="63"/>
        </w:numPr>
        <w:spacing w:before="120" w:after="120" w:line="240" w:lineRule="auto"/>
        <w:ind w:left="360"/>
        <w:jc w:val="both"/>
        <w:rPr>
          <w:rFonts w:cs="Times New Roman"/>
          <w:noProof/>
          <w:szCs w:val="24"/>
        </w:rPr>
      </w:pPr>
      <w:r>
        <w:rPr>
          <w:noProof/>
        </w:rPr>
        <w:t>Stājas spēkā primārie un sekundārie tiesību akti par abu uzņēmumu reformu, ļaujot tiem attīstīt, ekspluatēt un uzturēt modernu dzelzceļa tīklu.</w:t>
      </w:r>
    </w:p>
    <w:p w14:paraId="14D9D45B" w14:textId="77777777" w:rsidR="00CB0FCB" w:rsidRDefault="009D2B11">
      <w:pPr>
        <w:pStyle w:val="P68B1DB1-Normal4"/>
        <w:numPr>
          <w:ilvl w:val="0"/>
          <w:numId w:val="63"/>
        </w:numPr>
        <w:spacing w:before="120" w:after="120" w:line="240" w:lineRule="auto"/>
        <w:ind w:left="360"/>
        <w:jc w:val="both"/>
        <w:rPr>
          <w:rFonts w:eastAsia="Times New Roman" w:cs="Times New Roman"/>
          <w:noProof/>
          <w:szCs w:val="24"/>
        </w:rPr>
      </w:pPr>
      <w:r>
        <w:rPr>
          <w:noProof/>
        </w:rPr>
        <w:t xml:space="preserve">Primārajos un sekundārajos tiesību aktos noteiktās reformas īstenošana. </w:t>
      </w:r>
    </w:p>
    <w:p w14:paraId="03B471EA" w14:textId="77777777" w:rsidR="00CB0FCB" w:rsidRDefault="009D2B11">
      <w:pPr>
        <w:pStyle w:val="P68B1DB1-Normal4"/>
        <w:spacing w:before="120" w:after="120" w:line="240" w:lineRule="auto"/>
        <w:jc w:val="both"/>
        <w:rPr>
          <w:rFonts w:eastAsia="Times New Roman" w:cs="Times New Roman"/>
          <w:noProof/>
          <w:szCs w:val="24"/>
        </w:rPr>
      </w:pPr>
      <w:r>
        <w:rPr>
          <w:noProof/>
        </w:rPr>
        <w:t>Reorganizācijas īstenošanu var veikt, pilnībā integrējot ERGOSE ar OSE.</w:t>
      </w:r>
    </w:p>
    <w:p w14:paraId="3C82E318" w14:textId="77777777" w:rsidR="00CB0FCB" w:rsidRDefault="009D2B11">
      <w:pPr>
        <w:pStyle w:val="P68B1DB1-Normal4"/>
        <w:spacing w:before="120" w:after="120" w:line="240" w:lineRule="auto"/>
        <w:jc w:val="both"/>
        <w:rPr>
          <w:rFonts w:cs="Times New Roman"/>
          <w:noProof/>
          <w:szCs w:val="24"/>
        </w:rPr>
      </w:pPr>
      <w:r>
        <w:rPr>
          <w:noProof/>
        </w:rPr>
        <w:t>Reformas īstenošanu pabeidz līdz 2025. gada 31. decembrim. Reformas mērķis ir padarīt Grieķijas dzelzceļa nozari drošāku, efektīvāku, integrētāku, modernāku un reaģētspējīgāku uz klientu pieprasījumu. Reformu atbalsta ar saliktu pamatlīgumu par dzelzceļa infrastruktūras nozares pārstrukturēšanu Grieķijā.</w:t>
      </w:r>
    </w:p>
    <w:p w14:paraId="044ED555"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Grozījumi tiesiskajā regulējumā stratēģisko investīciju piesaistei (pasākums ID 16593)</w:t>
      </w:r>
    </w:p>
    <w:p w14:paraId="08400217" w14:textId="726BD3C7" w:rsidR="00CB0FCB" w:rsidRDefault="009D2B11">
      <w:pPr>
        <w:pStyle w:val="P68B1DB1-Normal5"/>
        <w:spacing w:before="120" w:after="120" w:line="240" w:lineRule="auto"/>
        <w:jc w:val="both"/>
        <w:rPr>
          <w:noProof/>
        </w:rPr>
      </w:pPr>
      <w:r>
        <w:rPr>
          <w:noProof/>
        </w:rPr>
        <w:t xml:space="preserve">Reformas mērķis ir popularizēt Grieķiju kā pievilcīgu galamērķi potenciālajiem ieguldītājiem. Reforma pārskata stratēģisko investīciju piesaistes tiesisko regulējumu un vienā tiesību aktā apvieno divu dažādu likumu 3894/2010 un 4608/2019 noteikumus, padarot stratēģisko ieguldījumu tiesisko regulējumu skaidri saprotamu potenciālajiem ieguldītājiem. Ar to izveido jaunu stratēģisko investīciju kategoriju ar papildu stimuliem, vienkāršo un konsolidē licencēšanas procedūru, izmantojot vienas pieturas aģentūru, un esošajā tiesiskajā regulējumā (Likums 3894/2010 un Likums 4608/2019) iekļauj jaunas saimnieciskās darbības jomas un potenciāli svarīgus projektus visas Eiropas interesēs (IPCEI). </w:t>
      </w:r>
    </w:p>
    <w:p w14:paraId="5F5AC78A" w14:textId="65E7CA12" w:rsidR="00CB0FCB" w:rsidRDefault="009D2B11">
      <w:pPr>
        <w:pStyle w:val="P68B1DB1-Normal5"/>
        <w:spacing w:before="120" w:after="120" w:line="240" w:lineRule="auto"/>
        <w:jc w:val="both"/>
        <w:rPr>
          <w:rFonts w:cs="Times New Roman"/>
          <w:noProof/>
        </w:rPr>
      </w:pPr>
      <w:r>
        <w:rPr>
          <w:noProof/>
        </w:rPr>
        <w:t>Galvenais kritērijs, lai ieguldījumu varētu raksturot kā emblēmisku ieguldījumu ar lielu nozīmi, ir veicināt inovāciju vai tehnoloģiju izplatīšanu, zaļo ekonomiku un/vai būtiski veicināt Grieķijas ekonomikas konkurētspēju starptautiskā līmenī. Projektu raksturošanai nav vajadzīga ieguldījumu izmaksu minimālā summa vai minimālais gada nodarbinātības kvotu skaits. Starpministriju stratēģisko investīciju komiteja pieņem galīgo lēmumu par ieguldījuma kvalificēšanu par emblēmisku lielas nozīmes ieguldījumu un par konkrētiem stimuliem, uz kuriem ir tiesības investīcijām. Reformas īstenošanu pabeidz līdz 2025. gada 31. decembrim.</w:t>
      </w:r>
    </w:p>
    <w:p w14:paraId="38A5D2AC" w14:textId="7910C43F" w:rsidR="00CB0FCB" w:rsidRDefault="009D2B11">
      <w:pPr>
        <w:pStyle w:val="P68B1DB1-Normal5"/>
        <w:spacing w:before="120" w:after="120" w:line="240" w:lineRule="auto"/>
        <w:jc w:val="both"/>
        <w:rPr>
          <w:rFonts w:cs="Times New Roman"/>
          <w:noProof/>
        </w:rPr>
      </w:pPr>
      <w:r>
        <w:rPr>
          <w:noProof/>
        </w:rPr>
        <w:t xml:space="preserve">Investīcijas, par kurām ir tiesības pretendēt uz finansējumu, ietver projektus, kas veicina inovāciju vai tehnoloģiju izplatīšanu, atjaunojamo energoresursu izmantošanu un pāreju uz mazoglekļa ekonomiku un/vai kas būtiski veicina Grieķijas ekonomikas konkurētspēju starptautiskā līmenī. </w:t>
      </w:r>
    </w:p>
    <w:p w14:paraId="4C8FECA5" w14:textId="77777777" w:rsidR="00CB0FCB" w:rsidRDefault="009D2B11">
      <w:pPr>
        <w:pStyle w:val="P68B1DB1-Normal5"/>
        <w:spacing w:before="120" w:after="120" w:line="240" w:lineRule="auto"/>
        <w:jc w:val="both"/>
        <w:rPr>
          <w:rFonts w:cs="Times New Roman"/>
          <w:iCs/>
          <w:noProof/>
          <w:highlight w:val="green"/>
        </w:rPr>
      </w:pPr>
      <w:r>
        <w:rPr>
          <w:noProof/>
        </w:rPr>
        <w:t>Lai nodrošinātu, ka pasākums atbilst tehniskajiem norādījumiem “nenodarīt būtisku kaitējumu” (2021/C58/01), tiesiskajā regulējumā ietvertos atbilstības kritērijus stratēģisko investīciju piesaistei izslēdz no šāda darbību saraksta:</w:t>
      </w:r>
      <w:r>
        <w:rPr>
          <w:noProof/>
          <w:color w:val="FF0000"/>
        </w:rPr>
        <w:t xml:space="preserve"> </w:t>
      </w:r>
      <w:r>
        <w:rPr>
          <w:noProof/>
        </w:rPr>
        <w:t>I) darbības, kas saistītas ar fosilo kurināmo, tostarp pakārtotu izmantošanu</w:t>
      </w:r>
      <w:r>
        <w:rPr>
          <w:noProof/>
        </w:rPr>
        <w:footnoteReference w:id="35"/>
      </w:r>
      <w:r>
        <w:rPr>
          <w:noProof/>
        </w:rPr>
        <w:t>; II) darbības saskaņā ar ES emisijas kvotu tirdzniecības sistēmu (ETS), kuru prognozētās siltumnīcefekta gāzu emisijas nav zemākas par attiecīgajām līmeņatzīmēm</w:t>
      </w:r>
      <w:r>
        <w:rPr>
          <w:noProof/>
        </w:rPr>
        <w:footnoteReference w:id="36"/>
      </w:r>
      <w:r>
        <w:rPr>
          <w:noProof/>
        </w:rPr>
        <w:t>; III) darbības, kas saistītas ar atkritumu poligoniem, sadedzināšanas iekārtām</w:t>
      </w:r>
      <w:r>
        <w:rPr>
          <w:noProof/>
        </w:rPr>
        <w:footnoteReference w:id="37"/>
      </w:r>
      <w:r>
        <w:rPr>
          <w:noProof/>
        </w:rPr>
        <w:t xml:space="preserve"> un mehāniski bioloģiskās apstrādes iekārtām</w:t>
      </w:r>
      <w:r>
        <w:rPr>
          <w:noProof/>
        </w:rPr>
        <w:footnoteReference w:id="38"/>
      </w:r>
      <w:r>
        <w:rPr>
          <w:noProof/>
        </w:rPr>
        <w:t>; un iv) darbības, kurās atkritumu ilgtermiņa apglabāšana var radīt kaitējumu videi. Darba uzdevumā papildus nosaka, ka var atlasīt tikai tās darbības, kas atbilst attiecīgajiem ES un valsts tiesību aktiem vides jomā.</w:t>
      </w:r>
    </w:p>
    <w:p w14:paraId="5F0E864F" w14:textId="4C4586DF" w:rsidR="00CB0FCB" w:rsidRDefault="00CB0FCB">
      <w:pPr>
        <w:spacing w:before="120" w:after="120" w:line="240" w:lineRule="auto"/>
        <w:jc w:val="both"/>
        <w:rPr>
          <w:rFonts w:ascii="Times New Roman" w:hAnsi="Times New Roman"/>
          <w:noProof/>
          <w:sz w:val="24"/>
        </w:rPr>
      </w:pPr>
    </w:p>
    <w:p w14:paraId="4B435ED6" w14:textId="77777777" w:rsidR="00CB0FCB" w:rsidRDefault="00CB0FCB">
      <w:pPr>
        <w:spacing w:before="120" w:after="120" w:line="240" w:lineRule="auto"/>
        <w:ind w:left="709"/>
        <w:jc w:val="both"/>
        <w:rPr>
          <w:rFonts w:ascii="Times New Roman" w:hAnsi="Times New Roman" w:cs="Times New Roman"/>
          <w:b/>
          <w:noProof/>
          <w:sz w:val="24"/>
          <w:u w:val="single"/>
        </w:rPr>
      </w:pPr>
    </w:p>
    <w:p w14:paraId="17DCA531"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71"/>
          <w:headerReference w:type="default" r:id="rId272"/>
          <w:footerReference w:type="even" r:id="rId273"/>
          <w:footerReference w:type="default" r:id="rId274"/>
          <w:headerReference w:type="first" r:id="rId275"/>
          <w:footerReference w:type="first" r:id="rId276"/>
          <w:pgSz w:w="11907" w:h="16839"/>
          <w:pgMar w:top="1134" w:right="1417" w:bottom="1134" w:left="1417" w:header="709" w:footer="327" w:gutter="0"/>
          <w:cols w:space="720"/>
          <w:docGrid w:linePitch="360"/>
        </w:sectPr>
      </w:pPr>
    </w:p>
    <w:p w14:paraId="06B9F52A" w14:textId="77777777" w:rsidR="00CB0FCB" w:rsidRDefault="009D2B11">
      <w:pPr>
        <w:spacing w:before="120" w:after="120" w:line="240" w:lineRule="auto"/>
        <w:ind w:left="709"/>
        <w:jc w:val="both"/>
        <w:rPr>
          <w:rFonts w:ascii="Times New Roman" w:hAnsi="Times New Roman"/>
          <w:b/>
          <w:noProof/>
          <w:sz w:val="24"/>
          <w:u w:val="single"/>
        </w:rPr>
      </w:pPr>
      <w:r>
        <w:rPr>
          <w:rFonts w:ascii="Times New Roman" w:hAnsi="Times New Roman"/>
          <w:b/>
          <w:noProof/>
          <w:sz w:val="24"/>
          <w:u w:val="single"/>
        </w:rPr>
        <w:t xml:space="preserve">JAUTĀJUMS.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r>
        <w:rPr>
          <w:rFonts w:ascii="Times New Roman" w:hAnsi="Times New Roman"/>
          <w:b/>
          <w:noProof/>
          <w:color w:val="2B579A"/>
          <w:sz w:val="24"/>
          <w:u w:val="single"/>
          <w:shd w:val="clear" w:color="auto" w:fill="E6E6E6"/>
        </w:rPr>
        <w:t xml:space="preserve"> </w:t>
      </w:r>
    </w:p>
    <w:p w14:paraId="26FEEDC1" w14:textId="77777777" w:rsidR="00CB0FCB" w:rsidRDefault="009D2B11">
      <w:pPr>
        <w:pStyle w:val="P68B1DB1-Normal6"/>
        <w:keepNext/>
        <w:keepLines/>
        <w:spacing w:before="40" w:after="240" w:line="240" w:lineRule="auto"/>
        <w:jc w:val="both"/>
        <w:outlineLvl w:val="4"/>
        <w:rPr>
          <w:rFonts w:eastAsia="Times New Roman"/>
          <w:noProof/>
        </w:rPr>
      </w:pPr>
      <w:r>
        <w:rPr>
          <w:noProof/>
        </w:rPr>
        <w:t>Lielākā investīcija Nr. 6: Vidusgrieķijas automaģistrāle E-65: Trikala-Egnatia nodaļa</w:t>
      </w:r>
    </w:p>
    <w:tbl>
      <w:tblPr>
        <w:tblW w:w="15817" w:type="dxa"/>
        <w:jc w:val="center"/>
        <w:tblLook w:val="04A0" w:firstRow="1" w:lastRow="0" w:firstColumn="1" w:lastColumn="0" w:noHBand="0" w:noVBand="1"/>
      </w:tblPr>
      <w:tblGrid>
        <w:gridCol w:w="1027"/>
        <w:gridCol w:w="1293"/>
        <w:gridCol w:w="1807"/>
        <w:gridCol w:w="1137"/>
        <w:gridCol w:w="1713"/>
        <w:gridCol w:w="1230"/>
        <w:gridCol w:w="1396"/>
        <w:gridCol w:w="851"/>
        <w:gridCol w:w="1027"/>
        <w:gridCol w:w="851"/>
        <w:gridCol w:w="5042"/>
      </w:tblGrid>
      <w:tr w:rsidR="00CB0FCB" w14:paraId="287D2160" w14:textId="77777777">
        <w:trPr>
          <w:trHeight w:val="810"/>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F3C002"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19DDB9"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5BE99B"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137" w:type="dxa"/>
            <w:vMerge w:val="restart"/>
            <w:tcBorders>
              <w:top w:val="single" w:sz="4" w:space="0" w:color="auto"/>
              <w:left w:val="nil"/>
              <w:bottom w:val="single" w:sz="4" w:space="0" w:color="auto"/>
              <w:right w:val="single" w:sz="4" w:space="0" w:color="auto"/>
            </w:tcBorders>
            <w:shd w:val="clear" w:color="auto" w:fill="BDD7EE"/>
            <w:vAlign w:val="center"/>
            <w:hideMark/>
          </w:tcPr>
          <w:p w14:paraId="4E1DD29F"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260C81"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2938" w:type="dxa"/>
            <w:gridSpan w:val="3"/>
            <w:tcBorders>
              <w:top w:val="single" w:sz="4" w:space="0" w:color="auto"/>
              <w:left w:val="nil"/>
              <w:bottom w:val="single" w:sz="4" w:space="0" w:color="auto"/>
              <w:right w:val="single" w:sz="4" w:space="0" w:color="auto"/>
            </w:tcBorders>
            <w:shd w:val="clear" w:color="auto" w:fill="BDD7EE"/>
            <w:vAlign w:val="center"/>
            <w:hideMark/>
          </w:tcPr>
          <w:p w14:paraId="73BA9C88" w14:textId="77777777"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14:paraId="59140E48"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5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74CA2D"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0E496B6E" w14:textId="77777777">
        <w:trPr>
          <w:trHeight w:val="440"/>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376319F" w14:textId="77777777" w:rsidR="00CB0FCB" w:rsidRDefault="00CB0FCB">
            <w:pPr>
              <w:spacing w:after="0" w:line="240" w:lineRule="auto"/>
              <w:rPr>
                <w:rFonts w:ascii="Times New Roman" w:eastAsia="Times New Roman" w:hAnsi="Times New Roman" w:cs="Times New Roman"/>
                <w:b/>
                <w:bCs/>
                <w:noProof/>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485A811F"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53184C5D"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66367E46" w14:textId="77777777" w:rsidR="00CB0FCB" w:rsidRDefault="00CB0FCB">
            <w:pPr>
              <w:spacing w:after="0" w:line="240" w:lineRule="auto"/>
              <w:rPr>
                <w:rFonts w:ascii="Times New Roman" w:eastAsia="Times New Roman" w:hAnsi="Times New Roman" w:cs="Times New Roman"/>
                <w:b/>
                <w:bCs/>
                <w:noProof/>
                <w:sz w:val="18"/>
                <w:szCs w:val="18"/>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5397323F" w14:textId="77777777" w:rsidR="00CB0FCB" w:rsidRDefault="00CB0FCB">
            <w:pPr>
              <w:spacing w:after="0" w:line="240" w:lineRule="auto"/>
              <w:rPr>
                <w:rFonts w:ascii="Times New Roman" w:eastAsia="Times New Roman" w:hAnsi="Times New Roman" w:cs="Times New Roman"/>
                <w:b/>
                <w:bCs/>
                <w:noProof/>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A6F8D86"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857" w:type="dxa"/>
            <w:tcBorders>
              <w:top w:val="nil"/>
              <w:left w:val="nil"/>
              <w:bottom w:val="single" w:sz="4" w:space="0" w:color="auto"/>
              <w:right w:val="single" w:sz="4" w:space="0" w:color="auto"/>
            </w:tcBorders>
            <w:shd w:val="clear" w:color="auto" w:fill="BDD7EE"/>
            <w:vAlign w:val="center"/>
            <w:hideMark/>
          </w:tcPr>
          <w:p w14:paraId="54954A6F"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851" w:type="dxa"/>
            <w:tcBorders>
              <w:top w:val="nil"/>
              <w:left w:val="nil"/>
              <w:bottom w:val="single" w:sz="4" w:space="0" w:color="auto"/>
              <w:right w:val="single" w:sz="4" w:space="0" w:color="auto"/>
            </w:tcBorders>
            <w:shd w:val="clear" w:color="auto" w:fill="BDD7EE"/>
            <w:vAlign w:val="center"/>
            <w:hideMark/>
          </w:tcPr>
          <w:p w14:paraId="7E556EB8"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850" w:type="dxa"/>
            <w:tcBorders>
              <w:top w:val="nil"/>
              <w:left w:val="nil"/>
              <w:bottom w:val="single" w:sz="4" w:space="0" w:color="auto"/>
              <w:right w:val="single" w:sz="4" w:space="0" w:color="auto"/>
            </w:tcBorders>
            <w:shd w:val="clear" w:color="auto" w:fill="BDD7EE"/>
            <w:vAlign w:val="center"/>
            <w:hideMark/>
          </w:tcPr>
          <w:p w14:paraId="2E85865A"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851" w:type="dxa"/>
            <w:tcBorders>
              <w:top w:val="nil"/>
              <w:left w:val="nil"/>
              <w:bottom w:val="single" w:sz="4" w:space="0" w:color="auto"/>
              <w:right w:val="single" w:sz="4" w:space="0" w:color="auto"/>
            </w:tcBorders>
            <w:shd w:val="clear" w:color="auto" w:fill="BDD7EE"/>
            <w:vAlign w:val="center"/>
            <w:hideMark/>
          </w:tcPr>
          <w:p w14:paraId="537FE7C3"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5042" w:type="dxa"/>
            <w:vMerge/>
            <w:tcBorders>
              <w:top w:val="single" w:sz="4" w:space="0" w:color="auto"/>
              <w:bottom w:val="single" w:sz="4" w:space="0" w:color="auto"/>
              <w:right w:val="single" w:sz="4" w:space="0" w:color="auto"/>
            </w:tcBorders>
            <w:vAlign w:val="center"/>
            <w:hideMark/>
          </w:tcPr>
          <w:p w14:paraId="6CEAFF1A"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69BE7749"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1AB0C7D" w14:textId="77777777" w:rsidR="00CB0FCB" w:rsidRDefault="009D2B11">
            <w:pPr>
              <w:pStyle w:val="P68B1DB1-Normal9"/>
              <w:spacing w:after="0" w:line="240" w:lineRule="auto"/>
              <w:rPr>
                <w:rFonts w:eastAsia="Times New Roman" w:cs="Calibri"/>
                <w:noProof/>
                <w:szCs w:val="18"/>
              </w:rPr>
            </w:pPr>
            <w:r>
              <w:rPr>
                <w:noProof/>
              </w:rPr>
              <w:t>254</w:t>
            </w:r>
          </w:p>
        </w:tc>
        <w:tc>
          <w:tcPr>
            <w:tcW w:w="1293" w:type="dxa"/>
            <w:tcBorders>
              <w:top w:val="single" w:sz="4" w:space="0" w:color="auto"/>
              <w:left w:val="nil"/>
              <w:bottom w:val="single" w:sz="4" w:space="0" w:color="auto"/>
              <w:right w:val="single" w:sz="4" w:space="0" w:color="auto"/>
            </w:tcBorders>
            <w:shd w:val="clear" w:color="auto" w:fill="C6EFCE"/>
            <w:noWrap/>
          </w:tcPr>
          <w:p w14:paraId="0A0AF3BA"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16628_Central Greece Highway E-65: Trikala-Egnatia nodaļa</w:t>
            </w:r>
          </w:p>
        </w:tc>
        <w:tc>
          <w:tcPr>
            <w:tcW w:w="966" w:type="dxa"/>
            <w:tcBorders>
              <w:top w:val="single" w:sz="4" w:space="0" w:color="auto"/>
              <w:left w:val="nil"/>
              <w:bottom w:val="single" w:sz="4" w:space="0" w:color="auto"/>
              <w:right w:val="single" w:sz="4" w:space="0" w:color="auto"/>
            </w:tcBorders>
            <w:shd w:val="clear" w:color="auto" w:fill="C6EFCE"/>
            <w:noWrap/>
          </w:tcPr>
          <w:p w14:paraId="6134D1A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7" w:type="dxa"/>
            <w:tcBorders>
              <w:top w:val="single" w:sz="4" w:space="0" w:color="auto"/>
              <w:left w:val="nil"/>
              <w:bottom w:val="single" w:sz="4" w:space="0" w:color="auto"/>
              <w:right w:val="single" w:sz="4" w:space="0" w:color="auto"/>
            </w:tcBorders>
            <w:shd w:val="clear" w:color="auto" w:fill="C6EFCE"/>
            <w:noWrap/>
          </w:tcPr>
          <w:p w14:paraId="425BDE84" w14:textId="77777777" w:rsidR="00CB0FCB" w:rsidRDefault="009D2B11">
            <w:pPr>
              <w:pStyle w:val="P68B1DB1-Normal9"/>
              <w:spacing w:after="0" w:line="240" w:lineRule="auto"/>
              <w:rPr>
                <w:rFonts w:eastAsia="Times New Roman" w:cs="Calibri"/>
                <w:noProof/>
                <w:szCs w:val="18"/>
              </w:rPr>
            </w:pPr>
            <w:r>
              <w:rPr>
                <w:noProof/>
              </w:rPr>
              <w:t>Būvdarbu sākšana E-65</w:t>
            </w:r>
          </w:p>
        </w:tc>
        <w:tc>
          <w:tcPr>
            <w:tcW w:w="1713" w:type="dxa"/>
            <w:tcBorders>
              <w:top w:val="single" w:sz="4" w:space="0" w:color="auto"/>
              <w:left w:val="nil"/>
              <w:bottom w:val="single" w:sz="4" w:space="0" w:color="auto"/>
              <w:right w:val="single" w:sz="4" w:space="0" w:color="auto"/>
            </w:tcBorders>
            <w:shd w:val="clear" w:color="auto" w:fill="C6EFCE"/>
            <w:noWrap/>
          </w:tcPr>
          <w:p w14:paraId="5974488A" w14:textId="77777777" w:rsidR="00CB0FCB" w:rsidRDefault="009D2B11">
            <w:pPr>
              <w:pStyle w:val="P68B1DB1-Normal9"/>
              <w:spacing w:after="0" w:line="240" w:lineRule="auto"/>
              <w:rPr>
                <w:rFonts w:eastAsia="Times New Roman" w:cs="Calibri"/>
                <w:noProof/>
                <w:szCs w:val="18"/>
              </w:rPr>
            </w:pPr>
            <w:r>
              <w:rPr>
                <w:noProof/>
              </w:rPr>
              <w:t>Neatkarīga inženiera ziņojums, ko ratificējusi Infrastruktūras ministrija</w:t>
            </w:r>
          </w:p>
        </w:tc>
        <w:tc>
          <w:tcPr>
            <w:tcW w:w="1230" w:type="dxa"/>
            <w:tcBorders>
              <w:top w:val="single" w:sz="4" w:space="0" w:color="auto"/>
              <w:left w:val="nil"/>
              <w:bottom w:val="single" w:sz="4" w:space="0" w:color="auto"/>
              <w:right w:val="single" w:sz="4" w:space="0" w:color="auto"/>
            </w:tcBorders>
            <w:shd w:val="clear" w:color="auto" w:fill="C6EFCE"/>
            <w:noWrap/>
          </w:tcPr>
          <w:p w14:paraId="5D0FC720"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4156ED2B"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ED55C98"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1A4E021F" w14:textId="77777777" w:rsidR="00CB0FCB" w:rsidRDefault="009D2B11">
            <w:pPr>
              <w:pStyle w:val="P68B1DB1-Normal9"/>
              <w:spacing w:after="0" w:line="240" w:lineRule="auto"/>
              <w:rPr>
                <w:rFonts w:eastAsia="Times New Roman" w:cs="Calibri"/>
                <w:noProof/>
                <w:szCs w:val="18"/>
              </w:rPr>
            </w:pPr>
            <w:r>
              <w:rPr>
                <w:noProof/>
              </w:rPr>
              <w:t>2. CET.</w:t>
            </w:r>
          </w:p>
        </w:tc>
        <w:tc>
          <w:tcPr>
            <w:tcW w:w="851" w:type="dxa"/>
            <w:tcBorders>
              <w:top w:val="nil"/>
              <w:left w:val="nil"/>
              <w:bottom w:val="single" w:sz="4" w:space="0" w:color="auto"/>
              <w:right w:val="single" w:sz="4" w:space="0" w:color="auto"/>
            </w:tcBorders>
            <w:shd w:val="clear" w:color="auto" w:fill="C6EFCE"/>
            <w:noWrap/>
          </w:tcPr>
          <w:p w14:paraId="3DB41D01" w14:textId="77777777" w:rsidR="00CB0FCB" w:rsidRDefault="009D2B11">
            <w:pPr>
              <w:pStyle w:val="P68B1DB1-Normal9"/>
              <w:spacing w:after="0" w:line="240" w:lineRule="auto"/>
              <w:rPr>
                <w:rFonts w:eastAsia="Times New Roman" w:cs="Calibri"/>
                <w:noProof/>
                <w:szCs w:val="18"/>
              </w:rPr>
            </w:pPr>
            <w:r>
              <w:rPr>
                <w:noProof/>
              </w:rPr>
              <w:t>2022</w:t>
            </w:r>
          </w:p>
        </w:tc>
        <w:tc>
          <w:tcPr>
            <w:tcW w:w="5042" w:type="dxa"/>
            <w:tcBorders>
              <w:top w:val="single" w:sz="4" w:space="0" w:color="auto"/>
              <w:left w:val="nil"/>
              <w:bottom w:val="single" w:sz="4" w:space="0" w:color="auto"/>
              <w:right w:val="single" w:sz="4" w:space="0" w:color="auto"/>
            </w:tcBorders>
            <w:shd w:val="clear" w:color="auto" w:fill="C6EFCE"/>
            <w:noWrap/>
          </w:tcPr>
          <w:p w14:paraId="41C97C9D" w14:textId="77777777" w:rsidR="00CB0FCB" w:rsidRDefault="009D2B11">
            <w:pPr>
              <w:pStyle w:val="P68B1DB1-Normal9"/>
              <w:spacing w:after="0" w:line="240" w:lineRule="auto"/>
              <w:rPr>
                <w:rFonts w:eastAsia="Times New Roman" w:cs="Calibri"/>
                <w:noProof/>
                <w:szCs w:val="18"/>
              </w:rPr>
            </w:pPr>
            <w:r>
              <w:rPr>
                <w:noProof/>
              </w:rPr>
              <w:t>Centrālās Grieķijas automaģistrāles E-65 būvdarbu sākums: Trikala-Egnatia</w:t>
            </w:r>
          </w:p>
        </w:tc>
      </w:tr>
      <w:tr w:rsidR="00CB0FCB" w14:paraId="6122BC97"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7397600B" w14:textId="77777777" w:rsidR="00CB0FCB" w:rsidRDefault="009D2B11">
            <w:pPr>
              <w:pStyle w:val="P68B1DB1-Normal9"/>
              <w:spacing w:after="0" w:line="240" w:lineRule="auto"/>
              <w:rPr>
                <w:rFonts w:eastAsia="Times New Roman" w:cs="Calibri"/>
                <w:noProof/>
                <w:szCs w:val="18"/>
              </w:rPr>
            </w:pPr>
            <w:r>
              <w:rPr>
                <w:noProof/>
              </w:rPr>
              <w:t>256</w:t>
            </w:r>
          </w:p>
        </w:tc>
        <w:tc>
          <w:tcPr>
            <w:tcW w:w="1293" w:type="dxa"/>
            <w:tcBorders>
              <w:top w:val="nil"/>
              <w:left w:val="nil"/>
              <w:bottom w:val="single" w:sz="4" w:space="0" w:color="auto"/>
              <w:right w:val="single" w:sz="4" w:space="0" w:color="auto"/>
            </w:tcBorders>
            <w:shd w:val="clear" w:color="auto" w:fill="C6EFCE"/>
            <w:noWrap/>
            <w:hideMark/>
          </w:tcPr>
          <w:p w14:paraId="114C818E" w14:textId="77777777" w:rsidR="00CB0FCB" w:rsidRDefault="009D2B11">
            <w:pPr>
              <w:pStyle w:val="P68B1DB1-Normal9"/>
              <w:spacing w:after="0" w:line="240" w:lineRule="auto"/>
              <w:rPr>
                <w:rFonts w:eastAsia="Times New Roman" w:cs="Calibri"/>
                <w:noProof/>
                <w:szCs w:val="18"/>
              </w:rPr>
            </w:pPr>
            <w:r>
              <w:rPr>
                <w:noProof/>
              </w:rPr>
              <w:t> 17–4.6. Modernizēt un uzlabot galveno ekonomikas nozaru noturību — 16628_Central Greece Highway E-65: Trikala-Egnatia nodaļa</w:t>
            </w:r>
          </w:p>
        </w:tc>
        <w:tc>
          <w:tcPr>
            <w:tcW w:w="966" w:type="dxa"/>
            <w:tcBorders>
              <w:top w:val="nil"/>
              <w:left w:val="nil"/>
              <w:bottom w:val="single" w:sz="4" w:space="0" w:color="auto"/>
              <w:right w:val="single" w:sz="4" w:space="0" w:color="auto"/>
            </w:tcBorders>
            <w:shd w:val="clear" w:color="auto" w:fill="C6EFCE"/>
            <w:noWrap/>
            <w:hideMark/>
          </w:tcPr>
          <w:p w14:paraId="3F12EC4B"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7" w:type="dxa"/>
            <w:tcBorders>
              <w:top w:val="nil"/>
              <w:left w:val="nil"/>
              <w:bottom w:val="single" w:sz="4" w:space="0" w:color="auto"/>
              <w:right w:val="single" w:sz="4" w:space="0" w:color="auto"/>
            </w:tcBorders>
            <w:shd w:val="clear" w:color="auto" w:fill="C6EFCE"/>
            <w:noWrap/>
            <w:hideMark/>
          </w:tcPr>
          <w:p w14:paraId="53FFCC91" w14:textId="77777777" w:rsidR="00CB0FCB" w:rsidRDefault="009D2B11">
            <w:pPr>
              <w:pStyle w:val="P68B1DB1-Normal9"/>
              <w:spacing w:after="0" w:line="240" w:lineRule="auto"/>
              <w:rPr>
                <w:rFonts w:eastAsia="Times New Roman" w:cs="Calibri"/>
                <w:noProof/>
                <w:szCs w:val="18"/>
              </w:rPr>
            </w:pPr>
            <w:r>
              <w:rPr>
                <w:noProof/>
              </w:rPr>
              <w:t>E-65 darbi — pabeigšana</w:t>
            </w:r>
          </w:p>
        </w:tc>
        <w:tc>
          <w:tcPr>
            <w:tcW w:w="1713" w:type="dxa"/>
            <w:tcBorders>
              <w:top w:val="nil"/>
              <w:left w:val="nil"/>
              <w:bottom w:val="single" w:sz="4" w:space="0" w:color="auto"/>
              <w:right w:val="single" w:sz="4" w:space="0" w:color="auto"/>
            </w:tcBorders>
            <w:shd w:val="clear" w:color="auto" w:fill="C6EFCE"/>
            <w:noWrap/>
            <w:hideMark/>
          </w:tcPr>
          <w:p w14:paraId="1757AFEB" w14:textId="0B7B5125" w:rsidR="00CB0FCB" w:rsidRDefault="009D2B11">
            <w:pPr>
              <w:pStyle w:val="P68B1DB1-Normal9"/>
              <w:spacing w:after="0" w:line="240" w:lineRule="auto"/>
              <w:rPr>
                <w:rFonts w:eastAsia="Times New Roman" w:cs="Calibri"/>
                <w:noProof/>
                <w:szCs w:val="18"/>
              </w:rPr>
            </w:pPr>
            <w:r>
              <w:rPr>
                <w:noProof/>
              </w:rPr>
              <w:t xml:space="preserve"> darbu pabeigšana</w:t>
            </w:r>
          </w:p>
        </w:tc>
        <w:tc>
          <w:tcPr>
            <w:tcW w:w="1230" w:type="dxa"/>
            <w:tcBorders>
              <w:top w:val="nil"/>
              <w:left w:val="nil"/>
              <w:bottom w:val="single" w:sz="4" w:space="0" w:color="auto"/>
              <w:right w:val="single" w:sz="4" w:space="0" w:color="auto"/>
            </w:tcBorders>
            <w:shd w:val="clear" w:color="auto" w:fill="C6EFCE"/>
            <w:noWrap/>
            <w:hideMark/>
          </w:tcPr>
          <w:p w14:paraId="1A048AAA"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hideMark/>
          </w:tcPr>
          <w:p w14:paraId="3B484964"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hideMark/>
          </w:tcPr>
          <w:p w14:paraId="5F344C8E" w14:textId="77777777" w:rsidR="00CB0FCB" w:rsidRDefault="00CB0FCB">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hideMark/>
          </w:tcPr>
          <w:p w14:paraId="7469CB82"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nil"/>
              <w:left w:val="nil"/>
              <w:bottom w:val="single" w:sz="4" w:space="0" w:color="auto"/>
              <w:right w:val="single" w:sz="4" w:space="0" w:color="auto"/>
            </w:tcBorders>
            <w:shd w:val="clear" w:color="auto" w:fill="C6EFCE"/>
            <w:noWrap/>
            <w:hideMark/>
          </w:tcPr>
          <w:p w14:paraId="19B137F5" w14:textId="77777777" w:rsidR="00CB0FCB" w:rsidRDefault="009D2B11">
            <w:pPr>
              <w:pStyle w:val="P68B1DB1-Normal9"/>
              <w:spacing w:after="0" w:line="240" w:lineRule="auto"/>
              <w:rPr>
                <w:rFonts w:eastAsia="Times New Roman" w:cs="Calibri"/>
                <w:noProof/>
                <w:szCs w:val="18"/>
              </w:rPr>
            </w:pPr>
            <w:r>
              <w:rPr>
                <w:noProof/>
              </w:rPr>
              <w:t>2025</w:t>
            </w:r>
          </w:p>
        </w:tc>
        <w:tc>
          <w:tcPr>
            <w:tcW w:w="5042" w:type="dxa"/>
            <w:tcBorders>
              <w:top w:val="nil"/>
              <w:left w:val="nil"/>
              <w:bottom w:val="single" w:sz="4" w:space="0" w:color="auto"/>
              <w:right w:val="single" w:sz="4" w:space="0" w:color="auto"/>
            </w:tcBorders>
            <w:shd w:val="clear" w:color="auto" w:fill="C6EFCE"/>
            <w:noWrap/>
            <w:hideMark/>
          </w:tcPr>
          <w:p w14:paraId="3EBC840D" w14:textId="77777777" w:rsidR="00CB0FCB" w:rsidRDefault="009D2B11">
            <w:pPr>
              <w:pStyle w:val="P68B1DB1-Normal9"/>
              <w:spacing w:after="0" w:line="240" w:lineRule="auto"/>
              <w:rPr>
                <w:rFonts w:eastAsia="Times New Roman" w:cs="Calibri"/>
                <w:noProof/>
                <w:szCs w:val="18"/>
              </w:rPr>
            </w:pPr>
            <w:r>
              <w:rPr>
                <w:noProof/>
              </w:rPr>
              <w:t>Projekta pabeigšana, tostarp papildu darbi (piemēram, visas maksas iekasēšanas stacijas, apgaismojums un drošības pasākumi, kas vajadzīgi automaģistrāles sertifikācijai un darbībai).</w:t>
            </w:r>
          </w:p>
        </w:tc>
      </w:tr>
    </w:tbl>
    <w:p w14:paraId="2C9C1C24" w14:textId="77777777" w:rsidR="00CB0FCB" w:rsidRDefault="009D2B11">
      <w:pPr>
        <w:pStyle w:val="P68B1DB1-Normal6"/>
        <w:keepNext/>
        <w:keepLines/>
        <w:spacing w:before="240" w:after="240" w:line="240" w:lineRule="auto"/>
        <w:jc w:val="both"/>
        <w:outlineLvl w:val="4"/>
        <w:rPr>
          <w:rFonts w:eastAsia="Times New Roman"/>
          <w:noProof/>
        </w:rPr>
      </w:pPr>
      <w:r>
        <w:rPr>
          <w:noProof/>
        </w:rPr>
        <w:t>Galvenais ieguldījums Nr. 7: Ceļu satiksmes drošības uzlabošana</w:t>
      </w:r>
    </w:p>
    <w:tbl>
      <w:tblPr>
        <w:tblW w:w="15333" w:type="dxa"/>
        <w:tblInd w:w="113" w:type="dxa"/>
        <w:tblLayout w:type="fixed"/>
        <w:tblLook w:val="04A0" w:firstRow="1" w:lastRow="0" w:firstColumn="1" w:lastColumn="0" w:noHBand="0" w:noVBand="1"/>
      </w:tblPr>
      <w:tblGrid>
        <w:gridCol w:w="1094"/>
        <w:gridCol w:w="1405"/>
        <w:gridCol w:w="1182"/>
        <w:gridCol w:w="1163"/>
        <w:gridCol w:w="1559"/>
        <w:gridCol w:w="709"/>
        <w:gridCol w:w="857"/>
        <w:gridCol w:w="587"/>
        <w:gridCol w:w="846"/>
        <w:gridCol w:w="690"/>
        <w:gridCol w:w="5241"/>
      </w:tblGrid>
      <w:tr w:rsidR="00CB0FCB" w14:paraId="15BC920B" w14:textId="77777777">
        <w:trPr>
          <w:trHeight w:val="835"/>
          <w:tblHeader/>
        </w:trPr>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F06538"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6814DF"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F58ED8"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163" w:type="dxa"/>
            <w:vMerge w:val="restart"/>
            <w:tcBorders>
              <w:top w:val="single" w:sz="4" w:space="0" w:color="auto"/>
              <w:left w:val="nil"/>
              <w:bottom w:val="single" w:sz="4" w:space="0" w:color="auto"/>
              <w:right w:val="single" w:sz="4" w:space="0" w:color="auto"/>
            </w:tcBorders>
            <w:shd w:val="clear" w:color="auto" w:fill="BDD7EE"/>
            <w:vAlign w:val="center"/>
            <w:hideMark/>
          </w:tcPr>
          <w:p w14:paraId="3E75DA86"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4D094A"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2153" w:type="dxa"/>
            <w:gridSpan w:val="3"/>
            <w:tcBorders>
              <w:top w:val="single" w:sz="4" w:space="0" w:color="auto"/>
              <w:left w:val="nil"/>
              <w:bottom w:val="single" w:sz="4" w:space="0" w:color="auto"/>
              <w:right w:val="single" w:sz="4" w:space="0" w:color="auto"/>
            </w:tcBorders>
            <w:shd w:val="clear" w:color="auto" w:fill="BDD7EE"/>
            <w:vAlign w:val="center"/>
            <w:hideMark/>
          </w:tcPr>
          <w:p w14:paraId="086A4815" w14:textId="77777777"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1536" w:type="dxa"/>
            <w:gridSpan w:val="2"/>
            <w:tcBorders>
              <w:top w:val="single" w:sz="4" w:space="0" w:color="auto"/>
              <w:left w:val="nil"/>
              <w:bottom w:val="single" w:sz="4" w:space="0" w:color="auto"/>
              <w:right w:val="single" w:sz="4" w:space="0" w:color="auto"/>
            </w:tcBorders>
            <w:shd w:val="clear" w:color="auto" w:fill="BDD7EE"/>
            <w:vAlign w:val="center"/>
            <w:hideMark/>
          </w:tcPr>
          <w:p w14:paraId="705C0C31"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52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4CA758"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6F0347DA" w14:textId="77777777">
        <w:trPr>
          <w:trHeight w:val="594"/>
          <w:tblHeader/>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7E3B76E0" w14:textId="77777777" w:rsidR="00CB0FCB" w:rsidRDefault="00CB0FCB">
            <w:pPr>
              <w:spacing w:after="0" w:line="240" w:lineRule="auto"/>
              <w:rPr>
                <w:rFonts w:ascii="Times New Roman" w:eastAsia="Times New Roman" w:hAnsi="Times New Roman" w:cs="Times New Roman"/>
                <w:b/>
                <w:bCs/>
                <w:noProof/>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A4C6922" w14:textId="77777777" w:rsidR="00CB0FCB" w:rsidRDefault="00CB0FCB">
            <w:pPr>
              <w:spacing w:after="0" w:line="240" w:lineRule="auto"/>
              <w:rPr>
                <w:rFonts w:ascii="Times New Roman" w:eastAsia="Times New Roman" w:hAnsi="Times New Roman" w:cs="Times New Roman"/>
                <w:b/>
                <w:bCs/>
                <w:noProof/>
                <w:sz w:val="18"/>
                <w:szCs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706A1DA2" w14:textId="77777777" w:rsidR="00CB0FCB" w:rsidRDefault="00CB0FCB">
            <w:pPr>
              <w:spacing w:after="0" w:line="240" w:lineRule="auto"/>
              <w:rPr>
                <w:rFonts w:ascii="Times New Roman" w:eastAsia="Times New Roman" w:hAnsi="Times New Roman" w:cs="Times New Roman"/>
                <w:b/>
                <w:bCs/>
                <w:noProof/>
                <w:sz w:val="18"/>
                <w:szCs w:val="1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1FFB95A" w14:textId="77777777" w:rsidR="00CB0FCB" w:rsidRDefault="00CB0FCB">
            <w:pPr>
              <w:spacing w:after="0" w:line="240" w:lineRule="auto"/>
              <w:rPr>
                <w:rFonts w:ascii="Times New Roman" w:eastAsia="Times New Roman" w:hAnsi="Times New Roman" w:cs="Times New Roman"/>
                <w:b/>
                <w:bCs/>
                <w:noProo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7681F2" w14:textId="77777777" w:rsidR="00CB0FCB" w:rsidRDefault="00CB0FCB">
            <w:pPr>
              <w:spacing w:after="0" w:line="240" w:lineRule="auto"/>
              <w:rPr>
                <w:rFonts w:ascii="Times New Roman" w:eastAsia="Times New Roman" w:hAnsi="Times New Roman" w:cs="Times New Roman"/>
                <w:b/>
                <w:bCs/>
                <w:noProof/>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F63E8FE"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857" w:type="dxa"/>
            <w:tcBorders>
              <w:top w:val="nil"/>
              <w:left w:val="nil"/>
              <w:bottom w:val="single" w:sz="4" w:space="0" w:color="auto"/>
              <w:right w:val="single" w:sz="4" w:space="0" w:color="auto"/>
            </w:tcBorders>
            <w:shd w:val="clear" w:color="auto" w:fill="BDD7EE"/>
            <w:vAlign w:val="center"/>
            <w:hideMark/>
          </w:tcPr>
          <w:p w14:paraId="66EE4E6F"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587" w:type="dxa"/>
            <w:tcBorders>
              <w:top w:val="nil"/>
              <w:left w:val="nil"/>
              <w:bottom w:val="single" w:sz="4" w:space="0" w:color="auto"/>
              <w:right w:val="single" w:sz="4" w:space="0" w:color="auto"/>
            </w:tcBorders>
            <w:shd w:val="clear" w:color="auto" w:fill="BDD7EE"/>
            <w:vAlign w:val="center"/>
            <w:hideMark/>
          </w:tcPr>
          <w:p w14:paraId="5F43E365"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846" w:type="dxa"/>
            <w:tcBorders>
              <w:top w:val="nil"/>
              <w:left w:val="nil"/>
              <w:bottom w:val="single" w:sz="4" w:space="0" w:color="auto"/>
              <w:right w:val="single" w:sz="4" w:space="0" w:color="auto"/>
            </w:tcBorders>
            <w:shd w:val="clear" w:color="auto" w:fill="BDD7EE"/>
            <w:vAlign w:val="center"/>
            <w:hideMark/>
          </w:tcPr>
          <w:p w14:paraId="4A77892F"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690" w:type="dxa"/>
            <w:tcBorders>
              <w:top w:val="nil"/>
              <w:left w:val="nil"/>
              <w:bottom w:val="single" w:sz="4" w:space="0" w:color="auto"/>
              <w:right w:val="single" w:sz="4" w:space="0" w:color="auto"/>
            </w:tcBorders>
            <w:shd w:val="clear" w:color="auto" w:fill="BDD7EE"/>
            <w:vAlign w:val="center"/>
            <w:hideMark/>
          </w:tcPr>
          <w:p w14:paraId="66D6B4B3"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5241" w:type="dxa"/>
            <w:vMerge/>
            <w:tcBorders>
              <w:top w:val="single" w:sz="4" w:space="0" w:color="auto"/>
              <w:bottom w:val="single" w:sz="4" w:space="0" w:color="auto"/>
              <w:right w:val="single" w:sz="4" w:space="0" w:color="auto"/>
            </w:tcBorders>
            <w:vAlign w:val="center"/>
            <w:hideMark/>
          </w:tcPr>
          <w:p w14:paraId="55DF350E"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261E0463" w14:textId="77777777">
        <w:trPr>
          <w:trHeight w:val="313"/>
        </w:trPr>
        <w:tc>
          <w:tcPr>
            <w:tcW w:w="1094" w:type="dxa"/>
            <w:tcBorders>
              <w:top w:val="single" w:sz="4" w:space="0" w:color="auto"/>
              <w:left w:val="single" w:sz="4" w:space="0" w:color="auto"/>
              <w:bottom w:val="single" w:sz="4" w:space="0" w:color="auto"/>
              <w:right w:val="single" w:sz="4" w:space="0" w:color="auto"/>
            </w:tcBorders>
            <w:shd w:val="clear" w:color="auto" w:fill="C6EFCE"/>
            <w:noWrap/>
          </w:tcPr>
          <w:p w14:paraId="6BE87A5E" w14:textId="77777777" w:rsidR="00CB0FCB" w:rsidRDefault="009D2B11">
            <w:pPr>
              <w:pStyle w:val="P68B1DB1-Normal9"/>
              <w:spacing w:after="0" w:line="240" w:lineRule="auto"/>
              <w:rPr>
                <w:rFonts w:eastAsia="Times New Roman" w:cs="Calibri"/>
                <w:noProof/>
                <w:szCs w:val="18"/>
              </w:rPr>
            </w:pPr>
            <w:r>
              <w:rPr>
                <w:noProof/>
              </w:rPr>
              <w:t>257</w:t>
            </w:r>
          </w:p>
        </w:tc>
        <w:tc>
          <w:tcPr>
            <w:tcW w:w="1405" w:type="dxa"/>
            <w:tcBorders>
              <w:top w:val="single" w:sz="4" w:space="0" w:color="auto"/>
              <w:left w:val="nil"/>
              <w:bottom w:val="single" w:sz="4" w:space="0" w:color="auto"/>
              <w:right w:val="single" w:sz="4" w:space="0" w:color="auto"/>
            </w:tcBorders>
            <w:shd w:val="clear" w:color="auto" w:fill="C6EFCE"/>
            <w:noWrap/>
          </w:tcPr>
          <w:p w14:paraId="50AB51DF"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16631_Ceļu satiksmes drošības modernizācija</w:t>
            </w:r>
          </w:p>
        </w:tc>
        <w:tc>
          <w:tcPr>
            <w:tcW w:w="1182" w:type="dxa"/>
            <w:tcBorders>
              <w:top w:val="single" w:sz="4" w:space="0" w:color="auto"/>
              <w:left w:val="nil"/>
              <w:bottom w:val="single" w:sz="4" w:space="0" w:color="auto"/>
              <w:right w:val="single" w:sz="4" w:space="0" w:color="auto"/>
            </w:tcBorders>
            <w:shd w:val="clear" w:color="auto" w:fill="C6EFCE"/>
            <w:noWrap/>
          </w:tcPr>
          <w:p w14:paraId="5770BD3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63" w:type="dxa"/>
            <w:tcBorders>
              <w:top w:val="single" w:sz="4" w:space="0" w:color="auto"/>
              <w:left w:val="nil"/>
              <w:bottom w:val="single" w:sz="4" w:space="0" w:color="auto"/>
              <w:right w:val="single" w:sz="4" w:space="0" w:color="auto"/>
            </w:tcBorders>
            <w:shd w:val="clear" w:color="auto" w:fill="C6EFCE"/>
            <w:noWrap/>
          </w:tcPr>
          <w:p w14:paraId="1B18B636" w14:textId="77777777" w:rsidR="00CB0FCB" w:rsidRDefault="009D2B11">
            <w:pPr>
              <w:pStyle w:val="P68B1DB1-Normal9"/>
              <w:spacing w:after="0" w:line="240" w:lineRule="auto"/>
              <w:rPr>
                <w:rFonts w:eastAsia="Times New Roman" w:cs="Calibri"/>
                <w:noProof/>
                <w:szCs w:val="18"/>
              </w:rPr>
            </w:pPr>
            <w:r>
              <w:rPr>
                <w:noProof/>
              </w:rPr>
              <w:t>Līguma slēgšanas tiesību piešķiršana ceļu satiksmes drošības jomā — līgumu pirmā kārta</w:t>
            </w:r>
          </w:p>
        </w:tc>
        <w:tc>
          <w:tcPr>
            <w:tcW w:w="1559" w:type="dxa"/>
            <w:tcBorders>
              <w:top w:val="single" w:sz="4" w:space="0" w:color="auto"/>
              <w:left w:val="nil"/>
              <w:bottom w:val="single" w:sz="4" w:space="0" w:color="auto"/>
              <w:right w:val="single" w:sz="4" w:space="0" w:color="auto"/>
            </w:tcBorders>
            <w:shd w:val="clear" w:color="auto" w:fill="C6EFCE"/>
            <w:noWrap/>
          </w:tcPr>
          <w:p w14:paraId="1E13026C"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 vismaz 2300 atrašanās vietās.</w:t>
            </w:r>
          </w:p>
        </w:tc>
        <w:tc>
          <w:tcPr>
            <w:tcW w:w="709" w:type="dxa"/>
            <w:tcBorders>
              <w:top w:val="single" w:sz="4" w:space="0" w:color="auto"/>
              <w:left w:val="nil"/>
              <w:bottom w:val="single" w:sz="4" w:space="0" w:color="auto"/>
              <w:right w:val="single" w:sz="4" w:space="0" w:color="auto"/>
            </w:tcBorders>
            <w:shd w:val="clear" w:color="auto" w:fill="C6EFCE"/>
            <w:noWrap/>
          </w:tcPr>
          <w:p w14:paraId="5A50A3AD"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2A417C3"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C306D9B"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78E99E02" w14:textId="77777777" w:rsidR="00CB0FCB" w:rsidRDefault="009D2B11">
            <w:pPr>
              <w:pStyle w:val="P68B1DB1-Normal9"/>
              <w:spacing w:after="0" w:line="240" w:lineRule="auto"/>
              <w:rPr>
                <w:rFonts w:eastAsia="Times New Roman" w:cs="Calibri"/>
                <w:noProof/>
                <w:szCs w:val="18"/>
              </w:rPr>
            </w:pPr>
            <w:r>
              <w:rPr>
                <w:noProof/>
              </w:rPr>
              <w:t>2. CET.</w:t>
            </w:r>
          </w:p>
        </w:tc>
        <w:tc>
          <w:tcPr>
            <w:tcW w:w="690" w:type="dxa"/>
            <w:tcBorders>
              <w:top w:val="nil"/>
              <w:left w:val="nil"/>
              <w:bottom w:val="single" w:sz="4" w:space="0" w:color="auto"/>
              <w:right w:val="single" w:sz="4" w:space="0" w:color="auto"/>
            </w:tcBorders>
            <w:shd w:val="clear" w:color="auto" w:fill="C6EFCE"/>
            <w:noWrap/>
          </w:tcPr>
          <w:p w14:paraId="355FB69A" w14:textId="77777777" w:rsidR="00CB0FCB" w:rsidRDefault="009D2B11">
            <w:pPr>
              <w:pStyle w:val="P68B1DB1-Normal9"/>
              <w:spacing w:after="0" w:line="240" w:lineRule="auto"/>
              <w:rPr>
                <w:rFonts w:eastAsia="Times New Roman" w:cs="Calibri"/>
                <w:noProof/>
                <w:szCs w:val="18"/>
              </w:rPr>
            </w:pPr>
            <w:r>
              <w:rPr>
                <w:noProof/>
              </w:rPr>
              <w:t>2023</w:t>
            </w:r>
          </w:p>
        </w:tc>
        <w:tc>
          <w:tcPr>
            <w:tcW w:w="5241" w:type="dxa"/>
            <w:tcBorders>
              <w:top w:val="nil"/>
              <w:left w:val="nil"/>
              <w:bottom w:val="single" w:sz="4" w:space="0" w:color="auto"/>
              <w:right w:val="single" w:sz="4" w:space="0" w:color="auto"/>
            </w:tcBorders>
            <w:shd w:val="clear" w:color="auto" w:fill="C6EFCE"/>
            <w:noWrap/>
          </w:tcPr>
          <w:p w14:paraId="33ECFFCC" w14:textId="77777777" w:rsidR="00CB0FCB" w:rsidRDefault="009D2B11">
            <w:pPr>
              <w:pStyle w:val="P68B1DB1-Normal9"/>
              <w:spacing w:after="0" w:line="240" w:lineRule="auto"/>
              <w:rPr>
                <w:rFonts w:eastAsia="Times New Roman" w:cs="Calibri"/>
                <w:noProof/>
                <w:szCs w:val="18"/>
              </w:rPr>
            </w:pPr>
            <w:r>
              <w:rPr>
                <w:noProof/>
              </w:rPr>
              <w:t>Līgumi, kas piešķirti par vismaz 2300 vietām, nodrošinot a) ceļu satiksmes drošības uzlabošanu programmas “Ceļu satiksmes drošības uzlabošanas programma (PEVOA)” ietvaros aptuveni 7000 bīstamās vietās; nelieli uzlabojumi pārējā 2 500 km garumā</w:t>
            </w:r>
          </w:p>
        </w:tc>
      </w:tr>
      <w:tr w:rsidR="00CB0FCB" w14:paraId="70110F73" w14:textId="77777777">
        <w:trPr>
          <w:trHeight w:val="313"/>
        </w:trPr>
        <w:tc>
          <w:tcPr>
            <w:tcW w:w="1094" w:type="dxa"/>
            <w:tcBorders>
              <w:top w:val="nil"/>
              <w:left w:val="single" w:sz="4" w:space="0" w:color="auto"/>
              <w:bottom w:val="single" w:sz="4" w:space="0" w:color="auto"/>
              <w:right w:val="single" w:sz="4" w:space="0" w:color="auto"/>
            </w:tcBorders>
            <w:shd w:val="clear" w:color="auto" w:fill="C6EFCE"/>
            <w:noWrap/>
          </w:tcPr>
          <w:p w14:paraId="689B042F" w14:textId="77777777" w:rsidR="00CB0FCB" w:rsidRDefault="009D2B11">
            <w:pPr>
              <w:pStyle w:val="P68B1DB1-Normal9"/>
              <w:spacing w:after="0" w:line="240" w:lineRule="auto"/>
              <w:rPr>
                <w:rFonts w:eastAsia="Times New Roman" w:cs="Calibri"/>
                <w:noProof/>
                <w:szCs w:val="18"/>
              </w:rPr>
            </w:pPr>
            <w:r>
              <w:rPr>
                <w:noProof/>
              </w:rPr>
              <w:t>258</w:t>
            </w:r>
          </w:p>
        </w:tc>
        <w:tc>
          <w:tcPr>
            <w:tcW w:w="1405" w:type="dxa"/>
            <w:tcBorders>
              <w:top w:val="nil"/>
              <w:left w:val="nil"/>
              <w:bottom w:val="single" w:sz="4" w:space="0" w:color="auto"/>
              <w:right w:val="single" w:sz="4" w:space="0" w:color="auto"/>
            </w:tcBorders>
            <w:shd w:val="clear" w:color="auto" w:fill="C6EFCE"/>
            <w:noWrap/>
          </w:tcPr>
          <w:p w14:paraId="1DFC5E16"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16631_Ceļu satiksmes drošības modernizācija</w:t>
            </w:r>
          </w:p>
        </w:tc>
        <w:tc>
          <w:tcPr>
            <w:tcW w:w="1182" w:type="dxa"/>
            <w:tcBorders>
              <w:top w:val="nil"/>
              <w:left w:val="nil"/>
              <w:bottom w:val="single" w:sz="4" w:space="0" w:color="auto"/>
              <w:right w:val="single" w:sz="4" w:space="0" w:color="auto"/>
            </w:tcBorders>
            <w:shd w:val="clear" w:color="auto" w:fill="C6EFCE"/>
            <w:noWrap/>
          </w:tcPr>
          <w:p w14:paraId="75B231C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63" w:type="dxa"/>
            <w:tcBorders>
              <w:top w:val="nil"/>
              <w:left w:val="nil"/>
              <w:bottom w:val="single" w:sz="4" w:space="0" w:color="auto"/>
              <w:right w:val="single" w:sz="4" w:space="0" w:color="auto"/>
            </w:tcBorders>
            <w:shd w:val="clear" w:color="auto" w:fill="C6EFCE"/>
            <w:noWrap/>
          </w:tcPr>
          <w:p w14:paraId="502BA90E" w14:textId="77777777" w:rsidR="00CB0FCB" w:rsidRDefault="009D2B11">
            <w:pPr>
              <w:pStyle w:val="P68B1DB1-Normal9"/>
              <w:spacing w:after="0" w:line="240" w:lineRule="auto"/>
              <w:rPr>
                <w:rFonts w:eastAsia="Times New Roman" w:cs="Calibri"/>
                <w:noProof/>
                <w:szCs w:val="18"/>
              </w:rPr>
            </w:pPr>
            <w:r>
              <w:rPr>
                <w:noProof/>
              </w:rPr>
              <w:t>Līguma slēgšanas tiesību piešķiršana ceļu satiksmes drošības jomā — visi līgumi</w:t>
            </w:r>
          </w:p>
        </w:tc>
        <w:tc>
          <w:tcPr>
            <w:tcW w:w="1559" w:type="dxa"/>
            <w:tcBorders>
              <w:top w:val="nil"/>
              <w:left w:val="nil"/>
              <w:bottom w:val="single" w:sz="4" w:space="0" w:color="auto"/>
              <w:right w:val="single" w:sz="4" w:space="0" w:color="auto"/>
            </w:tcBorders>
            <w:shd w:val="clear" w:color="auto" w:fill="C6EFCE"/>
            <w:noWrap/>
          </w:tcPr>
          <w:p w14:paraId="36016650" w14:textId="77777777" w:rsidR="00CB0FCB" w:rsidRDefault="009D2B11">
            <w:pPr>
              <w:pStyle w:val="P68B1DB1-Normal9"/>
              <w:spacing w:after="0" w:line="240" w:lineRule="auto"/>
              <w:rPr>
                <w:rFonts w:eastAsia="Times New Roman" w:cs="Calibri"/>
                <w:noProof/>
                <w:szCs w:val="18"/>
              </w:rPr>
            </w:pPr>
            <w:r>
              <w:rPr>
                <w:noProof/>
              </w:rPr>
              <w:t>Paziņojums par līguma slēgšanas tiesību piešķiršanu 100 % apmērā</w:t>
            </w:r>
          </w:p>
        </w:tc>
        <w:tc>
          <w:tcPr>
            <w:tcW w:w="709" w:type="dxa"/>
            <w:tcBorders>
              <w:top w:val="nil"/>
              <w:left w:val="nil"/>
              <w:bottom w:val="single" w:sz="4" w:space="0" w:color="auto"/>
              <w:right w:val="single" w:sz="4" w:space="0" w:color="auto"/>
            </w:tcBorders>
            <w:shd w:val="clear" w:color="auto" w:fill="C6EFCE"/>
            <w:noWrap/>
          </w:tcPr>
          <w:p w14:paraId="6EBED7F0"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A6EF9F7"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7E78423B"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6691D8E7" w14:textId="77777777" w:rsidR="00CB0FCB" w:rsidRDefault="009D2B11">
            <w:pPr>
              <w:pStyle w:val="P68B1DB1-Normal9"/>
              <w:spacing w:after="0" w:line="240" w:lineRule="auto"/>
              <w:rPr>
                <w:rFonts w:eastAsia="Times New Roman" w:cs="Calibri"/>
                <w:noProof/>
                <w:szCs w:val="18"/>
              </w:rPr>
            </w:pPr>
            <w:r>
              <w:rPr>
                <w:noProof/>
              </w:rPr>
              <w:t>2. CET.</w:t>
            </w:r>
          </w:p>
        </w:tc>
        <w:tc>
          <w:tcPr>
            <w:tcW w:w="690" w:type="dxa"/>
            <w:tcBorders>
              <w:top w:val="nil"/>
              <w:left w:val="nil"/>
              <w:bottom w:val="single" w:sz="4" w:space="0" w:color="auto"/>
              <w:right w:val="single" w:sz="4" w:space="0" w:color="auto"/>
            </w:tcBorders>
            <w:shd w:val="clear" w:color="auto" w:fill="C6EFCE"/>
            <w:noWrap/>
          </w:tcPr>
          <w:p w14:paraId="043AFF59" w14:textId="77777777" w:rsidR="00CB0FCB" w:rsidRDefault="009D2B11">
            <w:pPr>
              <w:pStyle w:val="P68B1DB1-Normal9"/>
              <w:spacing w:after="0" w:line="240" w:lineRule="auto"/>
              <w:rPr>
                <w:rFonts w:eastAsia="Times New Roman" w:cs="Calibri"/>
                <w:noProof/>
                <w:szCs w:val="18"/>
              </w:rPr>
            </w:pPr>
            <w:r>
              <w:rPr>
                <w:noProof/>
              </w:rPr>
              <w:t>2024</w:t>
            </w:r>
          </w:p>
        </w:tc>
        <w:tc>
          <w:tcPr>
            <w:tcW w:w="5241" w:type="dxa"/>
            <w:tcBorders>
              <w:top w:val="nil"/>
              <w:left w:val="nil"/>
              <w:bottom w:val="single" w:sz="4" w:space="0" w:color="auto"/>
              <w:right w:val="single" w:sz="4" w:space="0" w:color="auto"/>
            </w:tcBorders>
            <w:shd w:val="clear" w:color="auto" w:fill="C6EFCE"/>
            <w:noWrap/>
          </w:tcPr>
          <w:p w14:paraId="66629C3F" w14:textId="6436F9A2" w:rsidR="00CB0FCB" w:rsidRDefault="009D2B11">
            <w:pPr>
              <w:pStyle w:val="P68B1DB1-Normal9"/>
              <w:spacing w:after="0" w:line="240" w:lineRule="auto"/>
              <w:rPr>
                <w:rFonts w:eastAsia="Times New Roman" w:cs="Calibri"/>
                <w:noProof/>
                <w:szCs w:val="18"/>
              </w:rPr>
            </w:pPr>
            <w:r>
              <w:rPr>
                <w:noProof/>
              </w:rPr>
              <w:t>Līgumi, kas piešķirti, lai a) uzlabotu ceļu satiksmes drošību vismaz 7780 bīstamās vietās; vieda gaismekļa infrastruktūra 31938 stabiem</w:t>
            </w:r>
          </w:p>
        </w:tc>
      </w:tr>
      <w:tr w:rsidR="00CB0FCB" w14:paraId="59177803" w14:textId="77777777">
        <w:trPr>
          <w:trHeight w:val="313"/>
        </w:trPr>
        <w:tc>
          <w:tcPr>
            <w:tcW w:w="1094" w:type="dxa"/>
            <w:tcBorders>
              <w:top w:val="nil"/>
              <w:left w:val="single" w:sz="4" w:space="0" w:color="auto"/>
              <w:bottom w:val="single" w:sz="4" w:space="0" w:color="auto"/>
              <w:right w:val="single" w:sz="4" w:space="0" w:color="auto"/>
            </w:tcBorders>
            <w:shd w:val="clear" w:color="auto" w:fill="C6EFCE"/>
            <w:noWrap/>
            <w:hideMark/>
          </w:tcPr>
          <w:p w14:paraId="598AA490" w14:textId="77777777" w:rsidR="00CB0FCB" w:rsidRDefault="009D2B11">
            <w:pPr>
              <w:pStyle w:val="P68B1DB1-Normal9"/>
              <w:spacing w:after="0" w:line="240" w:lineRule="auto"/>
              <w:rPr>
                <w:noProof/>
              </w:rPr>
            </w:pPr>
            <w:r>
              <w:rPr>
                <w:noProof/>
              </w:rPr>
              <w:t>259</w:t>
            </w:r>
          </w:p>
          <w:p w14:paraId="46F89B15" w14:textId="77777777" w:rsidR="00CB0FCB" w:rsidRDefault="00CB0FCB">
            <w:pPr>
              <w:rPr>
                <w:rFonts w:eastAsia="Times New Roman" w:cs="Calibri"/>
                <w:noProof/>
                <w:sz w:val="18"/>
                <w:szCs w:val="18"/>
              </w:rPr>
            </w:pPr>
          </w:p>
        </w:tc>
        <w:tc>
          <w:tcPr>
            <w:tcW w:w="1405" w:type="dxa"/>
            <w:tcBorders>
              <w:top w:val="nil"/>
              <w:left w:val="nil"/>
              <w:bottom w:val="single" w:sz="4" w:space="0" w:color="auto"/>
              <w:right w:val="single" w:sz="4" w:space="0" w:color="auto"/>
            </w:tcBorders>
            <w:shd w:val="clear" w:color="auto" w:fill="C6EFCE"/>
            <w:noWrap/>
            <w:hideMark/>
          </w:tcPr>
          <w:p w14:paraId="4A625D14" w14:textId="2C61BA44"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16631_Ceļu satiksmes drošības modernizācija</w:t>
            </w:r>
          </w:p>
        </w:tc>
        <w:tc>
          <w:tcPr>
            <w:tcW w:w="1182" w:type="dxa"/>
            <w:tcBorders>
              <w:top w:val="nil"/>
              <w:left w:val="nil"/>
              <w:bottom w:val="single" w:sz="4" w:space="0" w:color="auto"/>
              <w:right w:val="single" w:sz="4" w:space="0" w:color="auto"/>
            </w:tcBorders>
            <w:shd w:val="clear" w:color="auto" w:fill="C6EFCE"/>
            <w:noWrap/>
            <w:hideMark/>
          </w:tcPr>
          <w:p w14:paraId="3A99AA0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63" w:type="dxa"/>
            <w:tcBorders>
              <w:top w:val="nil"/>
              <w:left w:val="nil"/>
              <w:bottom w:val="single" w:sz="4" w:space="0" w:color="auto"/>
              <w:right w:val="single" w:sz="4" w:space="0" w:color="auto"/>
            </w:tcBorders>
            <w:shd w:val="clear" w:color="auto" w:fill="C6EFCE"/>
            <w:noWrap/>
            <w:hideMark/>
          </w:tcPr>
          <w:p w14:paraId="341D69C6" w14:textId="77777777" w:rsidR="00CB0FCB" w:rsidRDefault="009D2B11">
            <w:pPr>
              <w:pStyle w:val="P68B1DB1-Normal9"/>
              <w:spacing w:after="0" w:line="240" w:lineRule="auto"/>
              <w:rPr>
                <w:rFonts w:eastAsia="Times New Roman" w:cs="Calibri"/>
                <w:noProof/>
                <w:szCs w:val="18"/>
              </w:rPr>
            </w:pPr>
            <w:r>
              <w:rPr>
                <w:noProof/>
              </w:rPr>
              <w:t>Ceļu satiksmes drošības projekta pabeigšana</w:t>
            </w:r>
          </w:p>
        </w:tc>
        <w:tc>
          <w:tcPr>
            <w:tcW w:w="1559" w:type="dxa"/>
            <w:tcBorders>
              <w:top w:val="nil"/>
              <w:left w:val="nil"/>
              <w:bottom w:val="single" w:sz="4" w:space="0" w:color="auto"/>
              <w:right w:val="single" w:sz="4" w:space="0" w:color="auto"/>
            </w:tcBorders>
            <w:shd w:val="clear" w:color="auto" w:fill="C6EFCE"/>
            <w:noWrap/>
            <w:hideMark/>
          </w:tcPr>
          <w:p w14:paraId="676F9B7B" w14:textId="070C1159" w:rsidR="00CB0FCB" w:rsidRDefault="009D2B11">
            <w:pPr>
              <w:pStyle w:val="P68B1DB1-Normal9"/>
              <w:spacing w:after="0" w:line="240" w:lineRule="auto"/>
              <w:rPr>
                <w:rFonts w:eastAsia="Times New Roman" w:cs="Calibri"/>
                <w:noProof/>
                <w:szCs w:val="18"/>
                <w:highlight w:val="yellow"/>
              </w:rPr>
            </w:pPr>
            <w:r>
              <w:rPr>
                <w:noProof/>
              </w:rPr>
              <w:t>darbu pabeigšana</w:t>
            </w:r>
          </w:p>
        </w:tc>
        <w:tc>
          <w:tcPr>
            <w:tcW w:w="709" w:type="dxa"/>
            <w:tcBorders>
              <w:top w:val="nil"/>
              <w:left w:val="nil"/>
              <w:bottom w:val="single" w:sz="4" w:space="0" w:color="auto"/>
              <w:right w:val="single" w:sz="4" w:space="0" w:color="auto"/>
            </w:tcBorders>
            <w:shd w:val="clear" w:color="auto" w:fill="C6EFCE"/>
            <w:noWrap/>
            <w:hideMark/>
          </w:tcPr>
          <w:p w14:paraId="3FACB39F"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5F73B0DA"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587" w:type="dxa"/>
            <w:tcBorders>
              <w:top w:val="nil"/>
              <w:left w:val="nil"/>
              <w:bottom w:val="single" w:sz="4" w:space="0" w:color="auto"/>
              <w:right w:val="single" w:sz="4" w:space="0" w:color="auto"/>
            </w:tcBorders>
            <w:shd w:val="clear" w:color="auto" w:fill="C6EFCE"/>
            <w:noWrap/>
            <w:hideMark/>
          </w:tcPr>
          <w:p w14:paraId="74549015"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46" w:type="dxa"/>
            <w:tcBorders>
              <w:top w:val="nil"/>
              <w:left w:val="nil"/>
              <w:bottom w:val="single" w:sz="4" w:space="0" w:color="auto"/>
              <w:right w:val="single" w:sz="4" w:space="0" w:color="auto"/>
            </w:tcBorders>
            <w:shd w:val="clear" w:color="auto" w:fill="C6EFCE"/>
            <w:noWrap/>
            <w:hideMark/>
          </w:tcPr>
          <w:p w14:paraId="6B285D41" w14:textId="77777777" w:rsidR="00CB0FCB" w:rsidRDefault="009D2B11">
            <w:pPr>
              <w:pStyle w:val="P68B1DB1-Normal9"/>
              <w:spacing w:after="0" w:line="240" w:lineRule="auto"/>
              <w:rPr>
                <w:rFonts w:eastAsia="Times New Roman" w:cs="Calibri"/>
                <w:noProof/>
                <w:szCs w:val="18"/>
              </w:rPr>
            </w:pPr>
            <w:r>
              <w:rPr>
                <w:noProof/>
              </w:rPr>
              <w:t>4. CET. </w:t>
            </w:r>
          </w:p>
        </w:tc>
        <w:tc>
          <w:tcPr>
            <w:tcW w:w="690" w:type="dxa"/>
            <w:tcBorders>
              <w:top w:val="nil"/>
              <w:left w:val="nil"/>
              <w:bottom w:val="single" w:sz="4" w:space="0" w:color="auto"/>
              <w:right w:val="single" w:sz="4" w:space="0" w:color="auto"/>
            </w:tcBorders>
            <w:shd w:val="clear" w:color="auto" w:fill="C6EFCE"/>
            <w:noWrap/>
            <w:hideMark/>
          </w:tcPr>
          <w:p w14:paraId="068E688C" w14:textId="3C33992C" w:rsidR="00CB0FCB" w:rsidRDefault="009D2B11">
            <w:pPr>
              <w:pStyle w:val="P68B1DB1-Normal9"/>
              <w:spacing w:after="0" w:line="240" w:lineRule="auto"/>
              <w:rPr>
                <w:rFonts w:eastAsia="Times New Roman" w:cs="Calibri"/>
                <w:noProof/>
                <w:szCs w:val="18"/>
              </w:rPr>
            </w:pPr>
            <w:r>
              <w:rPr>
                <w:noProof/>
              </w:rPr>
              <w:t>2025</w:t>
            </w:r>
          </w:p>
        </w:tc>
        <w:tc>
          <w:tcPr>
            <w:tcW w:w="5241" w:type="dxa"/>
            <w:tcBorders>
              <w:top w:val="nil"/>
              <w:left w:val="nil"/>
              <w:bottom w:val="single" w:sz="4" w:space="0" w:color="auto"/>
              <w:right w:val="single" w:sz="4" w:space="0" w:color="auto"/>
            </w:tcBorders>
            <w:shd w:val="clear" w:color="auto" w:fill="C6EFCE"/>
            <w:noWrap/>
            <w:hideMark/>
          </w:tcPr>
          <w:p w14:paraId="204D85EC" w14:textId="2B3D5E0D" w:rsidR="00CB0FCB" w:rsidRDefault="009D2B11">
            <w:pPr>
              <w:pStyle w:val="P68B1DB1-Normal9"/>
              <w:spacing w:after="0" w:line="240" w:lineRule="auto"/>
              <w:rPr>
                <w:rFonts w:eastAsia="Times New Roman" w:cs="Calibri"/>
                <w:noProof/>
                <w:szCs w:val="18"/>
              </w:rPr>
            </w:pPr>
            <w:r>
              <w:rPr>
                <w:noProof/>
              </w:rPr>
              <w:t>Projekta pabeigšana un a) ceļu satiksmes drošības uzlabošana vismaz 7780 bīstamās vietās; b) 31938 viedgaismas stabi</w:t>
            </w:r>
          </w:p>
        </w:tc>
      </w:tr>
    </w:tbl>
    <w:p w14:paraId="7463FDA7" w14:textId="77777777" w:rsidR="00CB0FCB" w:rsidRDefault="009D2B11">
      <w:pPr>
        <w:pStyle w:val="P68B1DB1-Normal6"/>
        <w:keepNext/>
        <w:keepLines/>
        <w:spacing w:before="240" w:after="240" w:line="240" w:lineRule="auto"/>
        <w:jc w:val="both"/>
        <w:outlineLvl w:val="4"/>
        <w:rPr>
          <w:rFonts w:eastAsia="Times New Roman"/>
          <w:noProof/>
        </w:rPr>
      </w:pPr>
      <w:r>
        <w:rPr>
          <w:noProof/>
        </w:rPr>
        <w:t>Lielākā investīcija Nr. 8: Krētas ziemeļu automaģistrāle</w:t>
      </w:r>
    </w:p>
    <w:tbl>
      <w:tblPr>
        <w:tblW w:w="15618" w:type="dxa"/>
        <w:jc w:val="center"/>
        <w:tblLook w:val="04A0" w:firstRow="1" w:lastRow="0" w:firstColumn="1" w:lastColumn="0" w:noHBand="0" w:noVBand="1"/>
      </w:tblPr>
      <w:tblGrid>
        <w:gridCol w:w="1129"/>
        <w:gridCol w:w="1346"/>
        <w:gridCol w:w="1807"/>
        <w:gridCol w:w="1437"/>
        <w:gridCol w:w="1368"/>
        <w:gridCol w:w="1700"/>
        <w:gridCol w:w="1396"/>
        <w:gridCol w:w="838"/>
        <w:gridCol w:w="1233"/>
        <w:gridCol w:w="852"/>
        <w:gridCol w:w="3894"/>
      </w:tblGrid>
      <w:tr w:rsidR="00CB0FCB" w14:paraId="12E7C184" w14:textId="77777777">
        <w:trPr>
          <w:trHeight w:val="939"/>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06E575"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9D81AA"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40729"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1396C5"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8BEC77"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378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3FB7675" w14:textId="77777777"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2085" w:type="dxa"/>
            <w:gridSpan w:val="2"/>
            <w:tcBorders>
              <w:top w:val="single" w:sz="4" w:space="0" w:color="auto"/>
              <w:left w:val="nil"/>
              <w:bottom w:val="single" w:sz="4" w:space="0" w:color="auto"/>
              <w:right w:val="single" w:sz="4" w:space="0" w:color="auto"/>
            </w:tcBorders>
            <w:shd w:val="clear" w:color="auto" w:fill="BDD7EE"/>
            <w:vAlign w:val="center"/>
            <w:hideMark/>
          </w:tcPr>
          <w:p w14:paraId="10FC4F8E"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84C78A"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33F08BA6" w14:textId="77777777">
        <w:trPr>
          <w:trHeight w:val="431"/>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FF7AA43" w14:textId="77777777" w:rsidR="00CB0FCB" w:rsidRDefault="00CB0FCB">
            <w:pPr>
              <w:spacing w:after="0" w:line="240" w:lineRule="auto"/>
              <w:rPr>
                <w:rFonts w:ascii="Times New Roman" w:eastAsia="Times New Roman" w:hAnsi="Times New Roman" w:cs="Times New Roman"/>
                <w:b/>
                <w:bCs/>
                <w:noProof/>
                <w:sz w:val="18"/>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3B4BA6DB"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604CE338"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0B5B603" w14:textId="77777777" w:rsidR="00CB0FCB" w:rsidRDefault="00CB0FCB">
            <w:pPr>
              <w:spacing w:after="0" w:line="240" w:lineRule="auto"/>
              <w:rPr>
                <w:rFonts w:ascii="Times New Roman" w:eastAsia="Times New Roman" w:hAnsi="Times New Roman" w:cs="Times New Roman"/>
                <w:b/>
                <w:bCs/>
                <w:noProof/>
                <w:sz w:val="18"/>
                <w:szCs w:val="18"/>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56143C53" w14:textId="77777777" w:rsidR="00CB0FCB" w:rsidRDefault="00CB0FCB">
            <w:pPr>
              <w:spacing w:after="0" w:line="240" w:lineRule="auto"/>
              <w:rPr>
                <w:rFonts w:ascii="Times New Roman" w:eastAsia="Times New Roman" w:hAnsi="Times New Roman" w:cs="Times New Roman"/>
                <w:b/>
                <w:bCs/>
                <w:noProof/>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15B0E93"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1249" w:type="dxa"/>
            <w:tcBorders>
              <w:top w:val="nil"/>
              <w:left w:val="nil"/>
              <w:bottom w:val="single" w:sz="4" w:space="0" w:color="auto"/>
              <w:right w:val="single" w:sz="4" w:space="0" w:color="auto"/>
            </w:tcBorders>
            <w:shd w:val="clear" w:color="auto" w:fill="BDD7EE"/>
            <w:vAlign w:val="center"/>
            <w:hideMark/>
          </w:tcPr>
          <w:p w14:paraId="7D4AFB36"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838" w:type="dxa"/>
            <w:tcBorders>
              <w:top w:val="nil"/>
              <w:left w:val="nil"/>
              <w:bottom w:val="single" w:sz="4" w:space="0" w:color="auto"/>
              <w:right w:val="single" w:sz="4" w:space="0" w:color="auto"/>
            </w:tcBorders>
            <w:shd w:val="clear" w:color="auto" w:fill="BDD7EE"/>
            <w:vAlign w:val="center"/>
            <w:hideMark/>
          </w:tcPr>
          <w:p w14:paraId="40943057"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1233" w:type="dxa"/>
            <w:tcBorders>
              <w:top w:val="nil"/>
              <w:left w:val="nil"/>
              <w:bottom w:val="single" w:sz="4" w:space="0" w:color="auto"/>
              <w:right w:val="single" w:sz="4" w:space="0" w:color="auto"/>
            </w:tcBorders>
            <w:shd w:val="clear" w:color="auto" w:fill="BDD7EE"/>
            <w:vAlign w:val="center"/>
            <w:hideMark/>
          </w:tcPr>
          <w:p w14:paraId="100F5ED6"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852" w:type="dxa"/>
            <w:tcBorders>
              <w:top w:val="nil"/>
              <w:left w:val="nil"/>
              <w:bottom w:val="single" w:sz="4" w:space="0" w:color="auto"/>
              <w:right w:val="single" w:sz="4" w:space="0" w:color="auto"/>
            </w:tcBorders>
            <w:shd w:val="clear" w:color="auto" w:fill="BDD7EE"/>
            <w:vAlign w:val="center"/>
            <w:hideMark/>
          </w:tcPr>
          <w:p w14:paraId="38B5FA6E"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3894" w:type="dxa"/>
            <w:vMerge/>
            <w:tcBorders>
              <w:top w:val="single" w:sz="4" w:space="0" w:color="auto"/>
              <w:bottom w:val="single" w:sz="4" w:space="0" w:color="auto"/>
              <w:right w:val="single" w:sz="4" w:space="0" w:color="auto"/>
            </w:tcBorders>
            <w:vAlign w:val="center"/>
            <w:hideMark/>
          </w:tcPr>
          <w:p w14:paraId="38551AC3"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31D253DB" w14:textId="77777777">
        <w:trPr>
          <w:trHeight w:val="2161"/>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E2A2CDB" w14:textId="77777777" w:rsidR="00CB0FCB" w:rsidRDefault="009D2B11">
            <w:pPr>
              <w:pStyle w:val="P68B1DB1-Normal9"/>
              <w:spacing w:after="0" w:line="240" w:lineRule="auto"/>
              <w:rPr>
                <w:rFonts w:eastAsia="Times New Roman" w:cs="Calibri"/>
                <w:noProof/>
                <w:szCs w:val="18"/>
              </w:rPr>
            </w:pPr>
            <w:r>
              <w:rPr>
                <w:noProof/>
              </w:rPr>
              <w:t>260</w:t>
            </w:r>
          </w:p>
        </w:tc>
        <w:tc>
          <w:tcPr>
            <w:tcW w:w="1252" w:type="dxa"/>
            <w:tcBorders>
              <w:top w:val="single" w:sz="4" w:space="0" w:color="auto"/>
              <w:left w:val="nil"/>
              <w:bottom w:val="single" w:sz="4" w:space="0" w:color="auto"/>
              <w:right w:val="single" w:sz="4" w:space="0" w:color="auto"/>
            </w:tcBorders>
            <w:shd w:val="clear" w:color="auto" w:fill="C6EFCE"/>
            <w:noWrap/>
          </w:tcPr>
          <w:p w14:paraId="2307A753"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16630_Kreānas Ziemeļu automaģistrāle (θ.θ.Α.Κ.)</w:t>
            </w:r>
          </w:p>
        </w:tc>
        <w:tc>
          <w:tcPr>
            <w:tcW w:w="966" w:type="dxa"/>
            <w:tcBorders>
              <w:top w:val="single" w:sz="4" w:space="0" w:color="auto"/>
              <w:left w:val="nil"/>
              <w:bottom w:val="single" w:sz="4" w:space="0" w:color="auto"/>
              <w:right w:val="single" w:sz="4" w:space="0" w:color="auto"/>
            </w:tcBorders>
            <w:shd w:val="clear" w:color="auto" w:fill="C6EFCE"/>
            <w:noWrap/>
          </w:tcPr>
          <w:p w14:paraId="77AAE5D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7" w:type="dxa"/>
            <w:tcBorders>
              <w:top w:val="single" w:sz="4" w:space="0" w:color="auto"/>
              <w:left w:val="nil"/>
              <w:bottom w:val="single" w:sz="4" w:space="0" w:color="auto"/>
              <w:right w:val="single" w:sz="4" w:space="0" w:color="auto"/>
            </w:tcBorders>
            <w:shd w:val="clear" w:color="auto" w:fill="C6EFCE"/>
            <w:noWrap/>
          </w:tcPr>
          <w:p w14:paraId="7240E011" w14:textId="77777777" w:rsidR="00CB0FCB" w:rsidRDefault="009D2B11">
            <w:pPr>
              <w:pStyle w:val="P68B1DB1-Normal9"/>
              <w:spacing w:after="0" w:line="240" w:lineRule="auto"/>
              <w:rPr>
                <w:rFonts w:eastAsia="Times New Roman" w:cs="Calibri"/>
                <w:noProof/>
                <w:szCs w:val="18"/>
              </w:rPr>
            </w:pPr>
            <w:r>
              <w:rPr>
                <w:noProof/>
              </w:rPr>
              <w:t>Paziņojums par līgumu slēgšanas tiesību piešķiršanu trim BOAK apakšprojektiem</w:t>
            </w:r>
          </w:p>
        </w:tc>
        <w:tc>
          <w:tcPr>
            <w:tcW w:w="1368" w:type="dxa"/>
            <w:tcBorders>
              <w:top w:val="single" w:sz="4" w:space="0" w:color="auto"/>
              <w:left w:val="nil"/>
              <w:bottom w:val="single" w:sz="4" w:space="0" w:color="auto"/>
              <w:right w:val="single" w:sz="4" w:space="0" w:color="auto"/>
            </w:tcBorders>
            <w:shd w:val="clear" w:color="auto" w:fill="C6EFCE"/>
            <w:noWrap/>
          </w:tcPr>
          <w:p w14:paraId="3DE0E064" w14:textId="77777777" w:rsidR="00CB0FCB" w:rsidRDefault="009D2B11">
            <w:pPr>
              <w:pStyle w:val="P68B1DB1-Normal9"/>
              <w:spacing w:after="0" w:line="240" w:lineRule="auto"/>
              <w:rPr>
                <w:rFonts w:eastAsia="Times New Roman" w:cs="Calibri"/>
                <w:noProof/>
                <w:szCs w:val="18"/>
              </w:rPr>
            </w:pPr>
            <w:r>
              <w:rPr>
                <w:noProof/>
              </w:rPr>
              <w:t>Paziņojums par līgumu slēgšanas tiesību piešķiršanu</w:t>
            </w:r>
          </w:p>
        </w:tc>
        <w:tc>
          <w:tcPr>
            <w:tcW w:w="1700" w:type="dxa"/>
            <w:tcBorders>
              <w:top w:val="single" w:sz="4" w:space="0" w:color="auto"/>
              <w:left w:val="nil"/>
              <w:bottom w:val="single" w:sz="4" w:space="0" w:color="auto"/>
              <w:right w:val="single" w:sz="4" w:space="0" w:color="auto"/>
            </w:tcBorders>
            <w:shd w:val="clear" w:color="auto" w:fill="C6EFCE"/>
            <w:noWrap/>
          </w:tcPr>
          <w:p w14:paraId="770D2BAD" w14:textId="77777777" w:rsidR="00CB0FCB" w:rsidRDefault="00CB0FCB">
            <w:pPr>
              <w:spacing w:after="0" w:line="240" w:lineRule="auto"/>
              <w:rPr>
                <w:rFonts w:eastAsia="Times New Roman" w:cs="Calibri"/>
                <w:noProof/>
                <w:color w:val="006100"/>
                <w:sz w:val="18"/>
                <w:szCs w:val="18"/>
              </w:rPr>
            </w:pPr>
          </w:p>
        </w:tc>
        <w:tc>
          <w:tcPr>
            <w:tcW w:w="1249" w:type="dxa"/>
            <w:tcBorders>
              <w:top w:val="nil"/>
              <w:left w:val="nil"/>
              <w:bottom w:val="single" w:sz="4" w:space="0" w:color="auto"/>
              <w:right w:val="single" w:sz="4" w:space="0" w:color="auto"/>
            </w:tcBorders>
            <w:shd w:val="clear" w:color="auto" w:fill="C6EFCE"/>
            <w:noWrap/>
          </w:tcPr>
          <w:p w14:paraId="4F517366" w14:textId="77777777" w:rsidR="00CB0FCB" w:rsidRDefault="00CB0FCB">
            <w:pPr>
              <w:spacing w:after="0" w:line="240" w:lineRule="auto"/>
              <w:rPr>
                <w:rFonts w:eastAsia="Times New Roman" w:cs="Calibri"/>
                <w:noProof/>
                <w:color w:val="006100"/>
                <w:sz w:val="18"/>
                <w:szCs w:val="18"/>
              </w:rPr>
            </w:pPr>
          </w:p>
        </w:tc>
        <w:tc>
          <w:tcPr>
            <w:tcW w:w="838" w:type="dxa"/>
            <w:tcBorders>
              <w:top w:val="nil"/>
              <w:left w:val="nil"/>
              <w:bottom w:val="single" w:sz="4" w:space="0" w:color="auto"/>
              <w:right w:val="single" w:sz="4" w:space="0" w:color="auto"/>
            </w:tcBorders>
            <w:shd w:val="clear" w:color="auto" w:fill="C6EFCE"/>
            <w:noWrap/>
          </w:tcPr>
          <w:p w14:paraId="02C4EB19" w14:textId="77777777" w:rsidR="00CB0FCB" w:rsidRDefault="00CB0FCB">
            <w:pPr>
              <w:spacing w:after="0" w:line="240" w:lineRule="auto"/>
              <w:rPr>
                <w:rFonts w:eastAsia="Times New Roman" w:cs="Calibri"/>
                <w:noProof/>
                <w:color w:val="006100"/>
                <w:sz w:val="18"/>
                <w:szCs w:val="18"/>
              </w:rPr>
            </w:pPr>
          </w:p>
        </w:tc>
        <w:tc>
          <w:tcPr>
            <w:tcW w:w="1233" w:type="dxa"/>
            <w:tcBorders>
              <w:top w:val="nil"/>
              <w:left w:val="nil"/>
              <w:bottom w:val="single" w:sz="4" w:space="0" w:color="auto"/>
              <w:right w:val="single" w:sz="4" w:space="0" w:color="auto"/>
            </w:tcBorders>
            <w:shd w:val="clear" w:color="auto" w:fill="C6EFCE"/>
            <w:noWrap/>
          </w:tcPr>
          <w:p w14:paraId="577BC5CB" w14:textId="77777777" w:rsidR="00CB0FCB" w:rsidRDefault="009D2B11">
            <w:pPr>
              <w:pStyle w:val="P68B1DB1-Normal9"/>
              <w:spacing w:after="0" w:line="240" w:lineRule="auto"/>
              <w:rPr>
                <w:rFonts w:eastAsia="Times New Roman" w:cs="Calibri"/>
                <w:noProof/>
                <w:szCs w:val="18"/>
              </w:rPr>
            </w:pPr>
            <w:r>
              <w:rPr>
                <w:noProof/>
              </w:rPr>
              <w:t>2. CET.</w:t>
            </w:r>
          </w:p>
        </w:tc>
        <w:tc>
          <w:tcPr>
            <w:tcW w:w="852" w:type="dxa"/>
            <w:tcBorders>
              <w:top w:val="nil"/>
              <w:left w:val="nil"/>
              <w:bottom w:val="single" w:sz="4" w:space="0" w:color="auto"/>
              <w:right w:val="single" w:sz="4" w:space="0" w:color="auto"/>
            </w:tcBorders>
            <w:shd w:val="clear" w:color="auto" w:fill="C6EFCE"/>
            <w:noWrap/>
          </w:tcPr>
          <w:p w14:paraId="425FE0EE" w14:textId="77777777" w:rsidR="00CB0FCB" w:rsidRDefault="009D2B11">
            <w:pPr>
              <w:pStyle w:val="P68B1DB1-Normal9"/>
              <w:spacing w:after="0" w:line="240" w:lineRule="auto"/>
              <w:rPr>
                <w:rFonts w:eastAsia="Times New Roman" w:cs="Calibri"/>
                <w:noProof/>
                <w:szCs w:val="18"/>
              </w:rPr>
            </w:pPr>
            <w:r>
              <w:rPr>
                <w:noProof/>
              </w:rPr>
              <w:t>2023</w:t>
            </w:r>
          </w:p>
        </w:tc>
        <w:tc>
          <w:tcPr>
            <w:tcW w:w="3894" w:type="dxa"/>
            <w:tcBorders>
              <w:top w:val="single" w:sz="4" w:space="0" w:color="auto"/>
              <w:left w:val="nil"/>
              <w:bottom w:val="single" w:sz="4" w:space="0" w:color="auto"/>
              <w:right w:val="single" w:sz="4" w:space="0" w:color="auto"/>
            </w:tcBorders>
            <w:shd w:val="clear" w:color="auto" w:fill="C6EFCE"/>
            <w:noWrap/>
          </w:tcPr>
          <w:p w14:paraId="7344CF51" w14:textId="77777777" w:rsidR="00CB0FCB" w:rsidRDefault="009D2B11">
            <w:pPr>
              <w:pStyle w:val="P68B1DB1-Normal9"/>
              <w:spacing w:after="0" w:line="240" w:lineRule="auto"/>
              <w:rPr>
                <w:rFonts w:eastAsia="Times New Roman" w:cs="Calibri"/>
                <w:noProof/>
                <w:szCs w:val="18"/>
              </w:rPr>
            </w:pPr>
            <w:r>
              <w:rPr>
                <w:noProof/>
              </w:rPr>
              <w:t>Paziņojums par līgumu slēgšanas tiesību piešķiršanu attiecībā uz a) koncesijas līgumu; publiskā un privātā sektora partnerība; un c) publiskais darbs.</w:t>
            </w:r>
          </w:p>
        </w:tc>
      </w:tr>
      <w:tr w:rsidR="00CB0FCB" w14:paraId="44F500C6" w14:textId="77777777">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hideMark/>
          </w:tcPr>
          <w:p w14:paraId="36C610C6" w14:textId="77777777" w:rsidR="00CB0FCB" w:rsidRDefault="009D2B11">
            <w:pPr>
              <w:pStyle w:val="P68B1DB1-Normal9"/>
              <w:spacing w:after="0" w:line="240" w:lineRule="auto"/>
              <w:rPr>
                <w:rFonts w:eastAsia="Times New Roman" w:cs="Calibri"/>
                <w:noProof/>
                <w:szCs w:val="18"/>
              </w:rPr>
            </w:pPr>
            <w:r>
              <w:rPr>
                <w:noProof/>
              </w:rPr>
              <w:t>262</w:t>
            </w:r>
          </w:p>
        </w:tc>
        <w:tc>
          <w:tcPr>
            <w:tcW w:w="1252" w:type="dxa"/>
            <w:tcBorders>
              <w:top w:val="nil"/>
              <w:left w:val="nil"/>
              <w:bottom w:val="single" w:sz="4" w:space="0" w:color="auto"/>
              <w:right w:val="single" w:sz="4" w:space="0" w:color="auto"/>
            </w:tcBorders>
            <w:shd w:val="clear" w:color="auto" w:fill="C6EFCE"/>
            <w:noWrap/>
            <w:hideMark/>
          </w:tcPr>
          <w:p w14:paraId="677E4CDA"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16630_Kreānas Ziemeļu automaģistrāle (θ.θ.Α.Κ.)</w:t>
            </w:r>
          </w:p>
        </w:tc>
        <w:tc>
          <w:tcPr>
            <w:tcW w:w="966" w:type="dxa"/>
            <w:tcBorders>
              <w:top w:val="nil"/>
              <w:left w:val="nil"/>
              <w:bottom w:val="single" w:sz="4" w:space="0" w:color="auto"/>
              <w:right w:val="single" w:sz="4" w:space="0" w:color="auto"/>
            </w:tcBorders>
            <w:shd w:val="clear" w:color="auto" w:fill="C6EFCE"/>
            <w:noWrap/>
            <w:hideMark/>
          </w:tcPr>
          <w:p w14:paraId="735727A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7" w:type="dxa"/>
            <w:tcBorders>
              <w:top w:val="nil"/>
              <w:left w:val="nil"/>
              <w:bottom w:val="single" w:sz="4" w:space="0" w:color="auto"/>
              <w:right w:val="single" w:sz="4" w:space="0" w:color="auto"/>
            </w:tcBorders>
            <w:shd w:val="clear" w:color="auto" w:fill="C6EFCE"/>
            <w:noWrap/>
            <w:hideMark/>
          </w:tcPr>
          <w:p w14:paraId="71981C8F" w14:textId="77777777" w:rsidR="00CB0FCB" w:rsidRDefault="009D2B11">
            <w:pPr>
              <w:pStyle w:val="P68B1DB1-Normal9"/>
              <w:spacing w:after="0" w:line="240" w:lineRule="auto"/>
              <w:rPr>
                <w:rFonts w:eastAsia="Times New Roman" w:cs="Calibri"/>
                <w:noProof/>
                <w:szCs w:val="18"/>
              </w:rPr>
            </w:pPr>
            <w:r>
              <w:rPr>
                <w:noProof/>
              </w:rPr>
              <w:t>BOAK projekta pabeigšana</w:t>
            </w:r>
          </w:p>
        </w:tc>
        <w:tc>
          <w:tcPr>
            <w:tcW w:w="1368" w:type="dxa"/>
            <w:tcBorders>
              <w:top w:val="nil"/>
              <w:left w:val="nil"/>
              <w:bottom w:val="single" w:sz="4" w:space="0" w:color="auto"/>
              <w:right w:val="single" w:sz="4" w:space="0" w:color="auto"/>
            </w:tcBorders>
            <w:shd w:val="clear" w:color="auto" w:fill="C6EFCE"/>
            <w:noWrap/>
            <w:hideMark/>
          </w:tcPr>
          <w:p w14:paraId="738C8877" w14:textId="00630969" w:rsidR="00CB0FCB" w:rsidRDefault="009D2B11">
            <w:pPr>
              <w:pStyle w:val="P68B1DB1-Normal9"/>
              <w:spacing w:after="0" w:line="240" w:lineRule="auto"/>
              <w:rPr>
                <w:rFonts w:eastAsia="Times New Roman" w:cs="Calibri"/>
                <w:noProof/>
                <w:szCs w:val="18"/>
              </w:rPr>
            </w:pPr>
            <w:r>
              <w:rPr>
                <w:noProof/>
              </w:rPr>
              <w:t xml:space="preserve">Darbu pabeigšana </w:t>
            </w:r>
          </w:p>
        </w:tc>
        <w:tc>
          <w:tcPr>
            <w:tcW w:w="1700" w:type="dxa"/>
            <w:tcBorders>
              <w:top w:val="nil"/>
              <w:left w:val="nil"/>
              <w:bottom w:val="single" w:sz="4" w:space="0" w:color="auto"/>
              <w:right w:val="single" w:sz="4" w:space="0" w:color="auto"/>
            </w:tcBorders>
            <w:shd w:val="clear" w:color="auto" w:fill="C6EFCE"/>
            <w:noWrap/>
            <w:hideMark/>
          </w:tcPr>
          <w:p w14:paraId="715C3A6F" w14:textId="77777777" w:rsidR="00CB0FCB" w:rsidRDefault="00CB0FCB">
            <w:pPr>
              <w:spacing w:after="0" w:line="240" w:lineRule="auto"/>
              <w:rPr>
                <w:rFonts w:eastAsia="Times New Roman" w:cs="Calibri"/>
                <w:noProof/>
                <w:color w:val="006100"/>
                <w:sz w:val="18"/>
                <w:szCs w:val="18"/>
              </w:rPr>
            </w:pPr>
          </w:p>
        </w:tc>
        <w:tc>
          <w:tcPr>
            <w:tcW w:w="1249" w:type="dxa"/>
            <w:tcBorders>
              <w:top w:val="nil"/>
              <w:left w:val="nil"/>
              <w:bottom w:val="single" w:sz="4" w:space="0" w:color="auto"/>
              <w:right w:val="single" w:sz="4" w:space="0" w:color="auto"/>
            </w:tcBorders>
            <w:shd w:val="clear" w:color="auto" w:fill="C6EFCE"/>
            <w:noWrap/>
            <w:hideMark/>
          </w:tcPr>
          <w:p w14:paraId="7A3AA23E" w14:textId="77777777" w:rsidR="00CB0FCB" w:rsidRDefault="00CB0FCB">
            <w:pPr>
              <w:spacing w:after="0" w:line="240" w:lineRule="auto"/>
              <w:rPr>
                <w:rFonts w:eastAsia="Times New Roman" w:cs="Calibri"/>
                <w:noProof/>
                <w:color w:val="006100"/>
                <w:sz w:val="18"/>
                <w:szCs w:val="18"/>
              </w:rPr>
            </w:pPr>
          </w:p>
        </w:tc>
        <w:tc>
          <w:tcPr>
            <w:tcW w:w="838" w:type="dxa"/>
            <w:tcBorders>
              <w:top w:val="nil"/>
              <w:left w:val="nil"/>
              <w:bottom w:val="single" w:sz="4" w:space="0" w:color="auto"/>
              <w:right w:val="single" w:sz="4" w:space="0" w:color="auto"/>
            </w:tcBorders>
            <w:shd w:val="clear" w:color="auto" w:fill="C6EFCE"/>
            <w:noWrap/>
            <w:hideMark/>
          </w:tcPr>
          <w:p w14:paraId="366F1059" w14:textId="77777777" w:rsidR="00CB0FCB" w:rsidRDefault="00CB0FCB">
            <w:pPr>
              <w:spacing w:after="0" w:line="240" w:lineRule="auto"/>
              <w:rPr>
                <w:rFonts w:eastAsia="Times New Roman" w:cs="Calibri"/>
                <w:noProof/>
                <w:color w:val="006100"/>
                <w:sz w:val="18"/>
                <w:szCs w:val="18"/>
              </w:rPr>
            </w:pPr>
          </w:p>
        </w:tc>
        <w:tc>
          <w:tcPr>
            <w:tcW w:w="1233" w:type="dxa"/>
            <w:tcBorders>
              <w:top w:val="nil"/>
              <w:left w:val="nil"/>
              <w:bottom w:val="single" w:sz="4" w:space="0" w:color="auto"/>
              <w:right w:val="single" w:sz="4" w:space="0" w:color="auto"/>
            </w:tcBorders>
            <w:shd w:val="clear" w:color="auto" w:fill="C6EFCE"/>
            <w:noWrap/>
            <w:hideMark/>
          </w:tcPr>
          <w:p w14:paraId="5DD2E87E" w14:textId="77777777" w:rsidR="00CB0FCB" w:rsidRDefault="009D2B11">
            <w:pPr>
              <w:pStyle w:val="P68B1DB1-Normal9"/>
              <w:spacing w:after="0" w:line="240" w:lineRule="auto"/>
              <w:rPr>
                <w:rFonts w:eastAsia="Times New Roman" w:cs="Calibri"/>
                <w:noProof/>
                <w:szCs w:val="18"/>
              </w:rPr>
            </w:pPr>
            <w:r>
              <w:rPr>
                <w:noProof/>
              </w:rPr>
              <w:t>4. CET.</w:t>
            </w:r>
          </w:p>
        </w:tc>
        <w:tc>
          <w:tcPr>
            <w:tcW w:w="852" w:type="dxa"/>
            <w:tcBorders>
              <w:top w:val="nil"/>
              <w:left w:val="nil"/>
              <w:bottom w:val="single" w:sz="4" w:space="0" w:color="auto"/>
              <w:right w:val="single" w:sz="4" w:space="0" w:color="auto"/>
            </w:tcBorders>
            <w:shd w:val="clear" w:color="auto" w:fill="C6EFCE"/>
            <w:noWrap/>
            <w:hideMark/>
          </w:tcPr>
          <w:p w14:paraId="7F2E1285" w14:textId="77777777" w:rsidR="00CB0FCB" w:rsidRDefault="009D2B11">
            <w:pPr>
              <w:pStyle w:val="P68B1DB1-Normal9"/>
              <w:spacing w:after="0" w:line="240" w:lineRule="auto"/>
              <w:rPr>
                <w:rFonts w:eastAsia="Times New Roman" w:cs="Calibri"/>
                <w:noProof/>
                <w:szCs w:val="18"/>
              </w:rPr>
            </w:pPr>
            <w:r>
              <w:rPr>
                <w:noProof/>
              </w:rPr>
              <w:t>2025</w:t>
            </w:r>
          </w:p>
        </w:tc>
        <w:tc>
          <w:tcPr>
            <w:tcW w:w="3894" w:type="dxa"/>
            <w:tcBorders>
              <w:top w:val="nil"/>
              <w:left w:val="nil"/>
              <w:bottom w:val="single" w:sz="4" w:space="0" w:color="auto"/>
              <w:right w:val="single" w:sz="4" w:space="0" w:color="auto"/>
            </w:tcBorders>
            <w:shd w:val="clear" w:color="auto" w:fill="C6EFCE"/>
            <w:noWrap/>
            <w:hideMark/>
          </w:tcPr>
          <w:p w14:paraId="228EA264" w14:textId="726CA8A1" w:rsidR="00CB0FCB" w:rsidRDefault="009D2B11">
            <w:pPr>
              <w:spacing w:after="0" w:line="240" w:lineRule="auto"/>
              <w:rPr>
                <w:noProof/>
                <w:color w:val="006100"/>
                <w:sz w:val="18"/>
                <w:szCs w:val="18"/>
              </w:rPr>
            </w:pPr>
            <w:r>
              <w:rPr>
                <w:noProof/>
              </w:rPr>
              <w:t xml:space="preserve">Trešais </w:t>
            </w:r>
            <w:r>
              <w:rPr>
                <w:noProof/>
                <w:color w:val="006100"/>
                <w:sz w:val="18"/>
                <w:szCs w:val="18"/>
              </w:rPr>
              <w:t>apakšprojekts: (Neapolisa-Agios Nikolaos) pabeigts un darbojas. Otrais apakšprojekts: (Hersonisos — Neapolis), pabeidzot:</w:t>
            </w:r>
            <w:r>
              <w:rPr>
                <w:noProof/>
              </w:rPr>
              <w:t xml:space="preserve"> </w:t>
            </w:r>
            <w:r>
              <w:rPr>
                <w:noProof/>
                <w:color w:val="006100"/>
                <w:sz w:val="18"/>
                <w:szCs w:val="18"/>
              </w:rPr>
              <w:t>visi apakšprojekta projekti un pētījumi,</w:t>
            </w:r>
          </w:p>
          <w:p w14:paraId="54F88BD3" w14:textId="54403DDF" w:rsidR="00CB0FCB" w:rsidRDefault="009D2B11">
            <w:pPr>
              <w:spacing w:after="0" w:line="240" w:lineRule="auto"/>
              <w:rPr>
                <w:noProof/>
                <w:color w:val="006100"/>
                <w:sz w:val="18"/>
                <w:szCs w:val="18"/>
              </w:rPr>
            </w:pPr>
            <w:r>
              <w:rPr>
                <w:noProof/>
                <w:color w:val="006100"/>
                <w:sz w:val="18"/>
                <w:szCs w:val="18"/>
              </w:rPr>
              <w:t>a)</w:t>
            </w:r>
            <w:r>
              <w:rPr>
                <w:noProof/>
              </w:rPr>
              <w:t xml:space="preserve"> </w:t>
            </w:r>
            <w:r>
              <w:rPr>
                <w:noProof/>
                <w:color w:val="006100"/>
                <w:sz w:val="18"/>
                <w:szCs w:val="18"/>
              </w:rPr>
              <w:t xml:space="preserve">T1 un T2 tuneļu rakšanas un pagaidu atbalsta darbu A un B posms </w:t>
            </w:r>
          </w:p>
          <w:p w14:paraId="3323D14A" w14:textId="4732C176" w:rsidR="00CB0FCB" w:rsidRDefault="009D2B11">
            <w:pPr>
              <w:spacing w:after="0" w:line="240" w:lineRule="auto"/>
              <w:rPr>
                <w:noProof/>
                <w:color w:val="006100"/>
                <w:sz w:val="18"/>
                <w:szCs w:val="18"/>
              </w:rPr>
            </w:pPr>
            <w:r>
              <w:rPr>
                <w:noProof/>
                <w:color w:val="006100"/>
                <w:sz w:val="18"/>
                <w:szCs w:val="18"/>
              </w:rPr>
              <w:t>b)</w:t>
            </w:r>
            <w:r>
              <w:rPr>
                <w:noProof/>
              </w:rPr>
              <w:t xml:space="preserve"> </w:t>
            </w:r>
            <w:r>
              <w:rPr>
                <w:noProof/>
                <w:color w:val="006100"/>
                <w:sz w:val="18"/>
                <w:szCs w:val="18"/>
              </w:rPr>
              <w:t>tilts C6. .</w:t>
            </w:r>
          </w:p>
          <w:p w14:paraId="258975F9" w14:textId="4D8E1E20" w:rsidR="00CB0FCB" w:rsidRDefault="009D2B11">
            <w:pPr>
              <w:pStyle w:val="P68B1DB1-Normal10"/>
              <w:spacing w:after="0" w:line="240" w:lineRule="auto"/>
              <w:rPr>
                <w:rFonts w:eastAsia="Times New Roman" w:cs="Calibri"/>
                <w:noProof/>
              </w:rPr>
            </w:pPr>
            <w:r>
              <w:rPr>
                <w:noProof/>
              </w:rPr>
              <w:t> Attiecībā uz pirmo apakšprojektu (Hanija-Heraklija) ir pabeigti šādi darbi:</w:t>
            </w:r>
          </w:p>
          <w:p w14:paraId="257F9C76" w14:textId="77777777" w:rsidR="00CB0FCB" w:rsidRDefault="00CB0FCB">
            <w:pPr>
              <w:spacing w:after="0" w:line="240" w:lineRule="auto"/>
              <w:rPr>
                <w:rFonts w:eastAsia="Times New Roman" w:cs="Calibri"/>
                <w:noProof/>
                <w:color w:val="006100"/>
                <w:sz w:val="18"/>
                <w:szCs w:val="18"/>
              </w:rPr>
            </w:pPr>
          </w:p>
          <w:p w14:paraId="60FF9C11" w14:textId="5FD571A6" w:rsidR="00CB0FCB" w:rsidRDefault="009D2B11">
            <w:pPr>
              <w:pStyle w:val="P68B1DB1-Normal10"/>
              <w:spacing w:after="0" w:line="240" w:lineRule="auto"/>
              <w:rPr>
                <w:noProof/>
              </w:rPr>
            </w:pPr>
            <w:r>
              <w:rPr>
                <w:noProof/>
              </w:rPr>
              <w:t>1. Visi darbi esošajos apvedceļos, izņemot elektromehāniskās iekārtas (piemēram, automaģistrāļu apgaismojuma stabi, atstarojošas norādes, barošanas kabeļi):</w:t>
            </w:r>
          </w:p>
          <w:p w14:paraId="49131A68" w14:textId="511703A6" w:rsidR="00CB0FCB" w:rsidRDefault="009D2B11">
            <w:pPr>
              <w:pStyle w:val="P68B1DB1-Normal10"/>
              <w:spacing w:after="0" w:line="240" w:lineRule="auto"/>
              <w:rPr>
                <w:noProof/>
              </w:rPr>
            </w:pPr>
            <w:r>
              <w:rPr>
                <w:noProof/>
              </w:rPr>
              <w:t>a) Čadas apvedceļš (1Y,2Y), posmu garums: 8,0 km,</w:t>
            </w:r>
          </w:p>
          <w:p w14:paraId="7CE8E6A3" w14:textId="70C926C9" w:rsidR="00CB0FCB" w:rsidRDefault="009D2B11">
            <w:pPr>
              <w:pStyle w:val="P68B1DB1-Normal10"/>
              <w:spacing w:after="0" w:line="240" w:lineRule="auto"/>
              <w:rPr>
                <w:noProof/>
              </w:rPr>
            </w:pPr>
            <w:r>
              <w:rPr>
                <w:noProof/>
              </w:rPr>
              <w:t xml:space="preserve">b) Retimona apvedceļš (10Y,11Y), posmu garums: 6,8 km un </w:t>
            </w:r>
          </w:p>
          <w:p w14:paraId="0DE4F9C6" w14:textId="2F297E1E" w:rsidR="00CB0FCB" w:rsidRDefault="009D2B11">
            <w:pPr>
              <w:pStyle w:val="P68B1DB1-Normal10"/>
              <w:spacing w:after="0" w:line="240" w:lineRule="auto"/>
              <w:rPr>
                <w:noProof/>
              </w:rPr>
            </w:pPr>
            <w:r>
              <w:rPr>
                <w:noProof/>
              </w:rPr>
              <w:t xml:space="preserve">C) Herakliona apvedceļš (23Y), sekcijas garums: 8,5 km. </w:t>
            </w:r>
          </w:p>
          <w:p w14:paraId="244ECC77" w14:textId="3FA05BC1" w:rsidR="00CB0FCB" w:rsidRDefault="009D2B11">
            <w:pPr>
              <w:pStyle w:val="P68B1DB1-Normal10"/>
              <w:spacing w:after="0" w:line="240" w:lineRule="auto"/>
              <w:rPr>
                <w:noProof/>
              </w:rPr>
            </w:pPr>
            <w:r>
              <w:rPr>
                <w:noProof/>
              </w:rPr>
              <w:t>Darbi 23.Y ģeogrāfiskajā vienībā neietver Kako Oros tuneļa būvniecību.</w:t>
            </w:r>
          </w:p>
          <w:p w14:paraId="7E06B928" w14:textId="12900405" w:rsidR="00CB0FCB" w:rsidRDefault="009D2B11">
            <w:pPr>
              <w:pStyle w:val="P68B1DB1-Normal10"/>
              <w:spacing w:after="0" w:line="240" w:lineRule="auto"/>
              <w:rPr>
                <w:noProof/>
              </w:rPr>
            </w:pPr>
            <w:r>
              <w:rPr>
                <w:noProof/>
              </w:rPr>
              <w:t>2. Rakšanas un pagaidu atbalsta darbi T1 tunelī kopumā 600 m garumā (Suda — Vrisses sadaļa, 4N apakšiedaļa, I/C Plataniou — I/C Eastern Apteros).</w:t>
            </w:r>
          </w:p>
          <w:p w14:paraId="52AC6F3B" w14:textId="65AAABFB" w:rsidR="00CB0FCB" w:rsidRDefault="009D2B11">
            <w:pPr>
              <w:pStyle w:val="P68B1DB1-Normal10"/>
              <w:spacing w:after="0" w:line="240" w:lineRule="auto"/>
              <w:rPr>
                <w:noProof/>
              </w:rPr>
            </w:pPr>
            <w:r>
              <w:rPr>
                <w:noProof/>
              </w:rPr>
              <w:t>3. Satiksmes drošības pasākumi 280 vietās.</w:t>
            </w:r>
          </w:p>
          <w:p w14:paraId="63E0DFC2" w14:textId="2AF55575" w:rsidR="00CB0FCB" w:rsidRDefault="00CB0FCB">
            <w:pPr>
              <w:spacing w:after="0" w:line="240" w:lineRule="auto"/>
              <w:rPr>
                <w:rFonts w:eastAsia="Times New Roman" w:cs="Calibri"/>
                <w:noProof/>
                <w:color w:val="006100"/>
                <w:sz w:val="18"/>
                <w:szCs w:val="18"/>
              </w:rPr>
            </w:pPr>
          </w:p>
        </w:tc>
      </w:tr>
    </w:tbl>
    <w:p w14:paraId="6C9A29C7" w14:textId="327ECE26" w:rsidR="00CB0FCB" w:rsidRDefault="00CB0FCB">
      <w:pPr>
        <w:spacing w:before="120" w:after="0" w:line="240" w:lineRule="auto"/>
        <w:jc w:val="both"/>
        <w:rPr>
          <w:rFonts w:ascii="Times New Roman" w:hAnsi="Times New Roman" w:cs="Times New Roman"/>
          <w:noProof/>
          <w:sz w:val="24"/>
        </w:rPr>
      </w:pPr>
    </w:p>
    <w:p w14:paraId="45B767A3" w14:textId="77777777" w:rsidR="00CB0FCB" w:rsidRDefault="009D2B11">
      <w:pPr>
        <w:pStyle w:val="P68B1DB1-Normal18"/>
        <w:rPr>
          <w:noProof/>
        </w:rPr>
      </w:pPr>
      <w:r>
        <w:rPr>
          <w:noProof/>
        </w:rPr>
        <w:br w:type="page"/>
      </w:r>
    </w:p>
    <w:p w14:paraId="65A9B05E" w14:textId="77777777" w:rsidR="00CB0FCB" w:rsidRDefault="009D2B11">
      <w:pPr>
        <w:pStyle w:val="P68B1DB1-Normal6"/>
        <w:keepNext/>
        <w:keepLines/>
        <w:spacing w:before="40" w:after="0" w:line="240" w:lineRule="auto"/>
        <w:jc w:val="both"/>
        <w:outlineLvl w:val="4"/>
        <w:rPr>
          <w:rFonts w:eastAsia="Times New Roman"/>
          <w:noProof/>
        </w:rPr>
      </w:pPr>
      <w:r>
        <w:rPr>
          <w:noProof/>
        </w:rPr>
        <w:t>Grupa: Infrastruktūras</w:t>
      </w:r>
    </w:p>
    <w:p w14:paraId="39DFE59C" w14:textId="77777777" w:rsidR="00CB0FCB" w:rsidRDefault="00CB0FCB">
      <w:pPr>
        <w:spacing w:before="120" w:after="0" w:line="240" w:lineRule="auto"/>
        <w:jc w:val="both"/>
        <w:rPr>
          <w:rFonts w:ascii="Times New Roman" w:hAnsi="Times New Roman" w:cs="Times New Roman"/>
          <w:noProof/>
          <w:sz w:val="24"/>
        </w:rPr>
      </w:pPr>
    </w:p>
    <w:p w14:paraId="5D7854E2" w14:textId="77777777" w:rsidR="00CB0FCB" w:rsidRDefault="009D2B11">
      <w:pPr>
        <w:pStyle w:val="P68B1DB1-Normal42"/>
        <w:spacing w:after="0" w:line="240" w:lineRule="auto"/>
        <w:rPr>
          <w:rFonts w:cs="Times New Roman"/>
          <w:noProof/>
          <w:sz w:val="28"/>
          <w:szCs w:val="28"/>
        </w:rPr>
      </w:pPr>
      <w:r>
        <w:rPr>
          <w:noProof/>
        </w:rPr>
        <w:t>Apakšgrupa (digitālā pārveide)</w:t>
      </w:r>
    </w:p>
    <w:p w14:paraId="6C5D3951" w14:textId="77777777" w:rsidR="00CB0FCB" w:rsidRDefault="009D2B11">
      <w:pPr>
        <w:pStyle w:val="P68B1DB1-Normal37"/>
        <w:numPr>
          <w:ilvl w:val="0"/>
          <w:numId w:val="32"/>
        </w:numPr>
        <w:spacing w:before="120" w:after="0" w:line="240" w:lineRule="auto"/>
        <w:jc w:val="both"/>
        <w:rPr>
          <w:rFonts w:cs="Times New Roman"/>
          <w:noProof/>
        </w:rPr>
      </w:pPr>
      <w:r>
        <w:rPr>
          <w:noProof/>
        </w:rPr>
        <w:t>Vieda infrastruktūra, kas vērsta uz vidi un kultūru (ID: 16960)</w:t>
      </w:r>
    </w:p>
    <w:p w14:paraId="4F6CC2C0" w14:textId="77777777" w:rsidR="00CB0FCB" w:rsidRDefault="009D2B11">
      <w:pPr>
        <w:pStyle w:val="P68B1DB1-Normal37"/>
        <w:numPr>
          <w:ilvl w:val="0"/>
          <w:numId w:val="32"/>
        </w:numPr>
        <w:spacing w:before="120" w:after="0" w:line="240" w:lineRule="auto"/>
        <w:jc w:val="both"/>
        <w:rPr>
          <w:rFonts w:cs="Times New Roman"/>
          <w:noProof/>
        </w:rPr>
      </w:pPr>
      <w:r>
        <w:rPr>
          <w:noProof/>
        </w:rPr>
        <w:t>Viedie tilti (ID: 16949)</w:t>
      </w:r>
    </w:p>
    <w:p w14:paraId="1A781000" w14:textId="77777777" w:rsidR="00CB0FCB" w:rsidRDefault="009D2B11">
      <w:pPr>
        <w:pStyle w:val="P68B1DB1-Normal37"/>
        <w:numPr>
          <w:ilvl w:val="0"/>
          <w:numId w:val="32"/>
        </w:numPr>
        <w:spacing w:before="120" w:after="0" w:line="240" w:lineRule="auto"/>
        <w:ind w:left="714" w:hanging="357"/>
        <w:jc w:val="both"/>
        <w:rPr>
          <w:rFonts w:cs="Times New Roman"/>
          <w:noProof/>
        </w:rPr>
      </w:pPr>
      <w:r>
        <w:rPr>
          <w:noProof/>
        </w:rPr>
        <w:t>Infrastruktūras un transporta ministrijas procedūru vienkāršošana (ID: 16786)</w:t>
      </w:r>
    </w:p>
    <w:p w14:paraId="0B0A9816" w14:textId="77777777" w:rsidR="00CB0FCB" w:rsidRDefault="009D2B11">
      <w:pPr>
        <w:pStyle w:val="P68B1DB1-Normal37"/>
        <w:numPr>
          <w:ilvl w:val="0"/>
          <w:numId w:val="32"/>
        </w:numPr>
        <w:spacing w:before="120" w:after="120" w:line="240" w:lineRule="auto"/>
        <w:jc w:val="both"/>
        <w:rPr>
          <w:rFonts w:cs="Times New Roman"/>
          <w:noProof/>
        </w:rPr>
      </w:pPr>
      <w:r>
        <w:rPr>
          <w:noProof/>
        </w:rPr>
        <w:t>Infrastruktūras un transporta ministrijas Tehnisko darbu un strukturālo aktīvu pārvaldības digitālā integrētā programmu vadības sistēma (ID:16937)</w:t>
      </w:r>
    </w:p>
    <w:p w14:paraId="30792D6E" w14:textId="77777777" w:rsidR="00CB0FCB" w:rsidRDefault="009D2B11">
      <w:pPr>
        <w:pStyle w:val="P68B1DB1-Normal42"/>
        <w:spacing w:after="0" w:line="240" w:lineRule="auto"/>
        <w:rPr>
          <w:rFonts w:cs="Times New Roman"/>
          <w:noProof/>
          <w:sz w:val="28"/>
          <w:szCs w:val="28"/>
        </w:rPr>
      </w:pPr>
      <w:r>
        <w:rPr>
          <w:noProof/>
        </w:rPr>
        <w:t>Apakšgrupa (dzelzceļš un lidostas)</w:t>
      </w:r>
    </w:p>
    <w:p w14:paraId="33D09999" w14:textId="77777777" w:rsidR="00CB0FCB" w:rsidRDefault="009D2B11">
      <w:pPr>
        <w:pStyle w:val="P68B1DB1-Normal37"/>
        <w:numPr>
          <w:ilvl w:val="0"/>
          <w:numId w:val="33"/>
        </w:numPr>
        <w:spacing w:before="120" w:after="0" w:line="240" w:lineRule="auto"/>
        <w:jc w:val="both"/>
        <w:rPr>
          <w:rFonts w:cs="Times New Roman"/>
          <w:noProof/>
        </w:rPr>
      </w:pPr>
      <w:r>
        <w:rPr>
          <w:noProof/>
        </w:rPr>
        <w:t>Pieejamības atjaunošana pēc vētras postošās ietekmes “DANIEL” (pasākums ID 16999)</w:t>
      </w:r>
    </w:p>
    <w:p w14:paraId="64A144BE" w14:textId="77777777" w:rsidR="00CB0FCB" w:rsidRDefault="009D2B11">
      <w:pPr>
        <w:pStyle w:val="P68B1DB1-Normal37"/>
        <w:numPr>
          <w:ilvl w:val="0"/>
          <w:numId w:val="33"/>
        </w:numPr>
        <w:spacing w:before="120" w:after="0" w:line="240" w:lineRule="auto"/>
        <w:jc w:val="both"/>
        <w:rPr>
          <w:rFonts w:cs="Times New Roman"/>
          <w:noProof/>
        </w:rPr>
      </w:pPr>
      <w:r>
        <w:rPr>
          <w:noProof/>
        </w:rPr>
        <w:t>Organizatoriskā reforma dzelzceļa nozarē (ID: 16982)</w:t>
      </w:r>
    </w:p>
    <w:p w14:paraId="19D715C7" w14:textId="77777777" w:rsidR="00CB0FCB" w:rsidRDefault="009D2B11">
      <w:pPr>
        <w:pStyle w:val="P68B1DB1-Normal37"/>
        <w:numPr>
          <w:ilvl w:val="0"/>
          <w:numId w:val="33"/>
        </w:numPr>
        <w:spacing w:before="120" w:after="0" w:line="240" w:lineRule="auto"/>
        <w:jc w:val="both"/>
        <w:rPr>
          <w:rFonts w:cs="Times New Roman"/>
          <w:noProof/>
        </w:rPr>
      </w:pPr>
      <w:r>
        <w:rPr>
          <w:noProof/>
        </w:rPr>
        <w:t>Grieķijas Dzelzceļa organizācijas digitālā pārveide (ID: 16959)</w:t>
      </w:r>
    </w:p>
    <w:p w14:paraId="6B6B2438" w14:textId="77777777" w:rsidR="00CB0FCB" w:rsidRDefault="009D2B11">
      <w:pPr>
        <w:pStyle w:val="P68B1DB1-Normal37"/>
        <w:numPr>
          <w:ilvl w:val="0"/>
          <w:numId w:val="33"/>
        </w:numPr>
        <w:spacing w:before="120" w:after="0" w:line="240" w:lineRule="auto"/>
        <w:jc w:val="both"/>
        <w:rPr>
          <w:rFonts w:cs="Times New Roman"/>
          <w:noProof/>
        </w:rPr>
      </w:pPr>
      <w:r>
        <w:rPr>
          <w:noProof/>
        </w:rPr>
        <w:t>Rietumatikas piepilsētas dzelzceļa modernizācija (ID: 16892)</w:t>
      </w:r>
    </w:p>
    <w:p w14:paraId="085969A4" w14:textId="77777777" w:rsidR="00CB0FCB" w:rsidRDefault="009D2B11">
      <w:pPr>
        <w:pStyle w:val="P68B1DB1-Normal37"/>
        <w:numPr>
          <w:ilvl w:val="0"/>
          <w:numId w:val="33"/>
        </w:numPr>
        <w:spacing w:before="120" w:after="0" w:line="240" w:lineRule="auto"/>
        <w:jc w:val="both"/>
        <w:rPr>
          <w:rFonts w:cs="Times New Roman"/>
          <w:noProof/>
        </w:rPr>
      </w:pPr>
      <w:r>
        <w:rPr>
          <w:noProof/>
        </w:rPr>
        <w:t>EASA atbilstības programma (ID: 16833)</w:t>
      </w:r>
    </w:p>
    <w:p w14:paraId="69365E44" w14:textId="77777777" w:rsidR="00CB0FCB" w:rsidRDefault="00CB0FCB">
      <w:pPr>
        <w:spacing w:before="120" w:after="0" w:line="240" w:lineRule="auto"/>
        <w:jc w:val="both"/>
        <w:rPr>
          <w:rFonts w:ascii="Times New Roman" w:hAnsi="Times New Roman" w:cs="Times New Roman"/>
          <w:noProof/>
        </w:rPr>
      </w:pPr>
    </w:p>
    <w:tbl>
      <w:tblPr>
        <w:tblW w:w="16013" w:type="dxa"/>
        <w:jc w:val="center"/>
        <w:tblLook w:val="04A0" w:firstRow="1" w:lastRow="0" w:firstColumn="1" w:lastColumn="0" w:noHBand="0" w:noVBand="1"/>
      </w:tblPr>
      <w:tblGrid>
        <w:gridCol w:w="1027"/>
        <w:gridCol w:w="2229"/>
        <w:gridCol w:w="1807"/>
        <w:gridCol w:w="1842"/>
        <w:gridCol w:w="2127"/>
        <w:gridCol w:w="992"/>
        <w:gridCol w:w="1396"/>
        <w:gridCol w:w="844"/>
        <w:gridCol w:w="1027"/>
        <w:gridCol w:w="713"/>
        <w:gridCol w:w="3402"/>
      </w:tblGrid>
      <w:tr w:rsidR="00CB0FCB" w14:paraId="19C7DB0C" w14:textId="77777777">
        <w:trPr>
          <w:trHeight w:val="65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CB3E8D"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2B9DFC"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58A291"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615C3D"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1C2F2F"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E4AD931" w14:textId="77777777"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187B2118"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B14599"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02B87BC3" w14:textId="77777777">
        <w:trPr>
          <w:trHeight w:val="701"/>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32B1462" w14:textId="77777777" w:rsidR="00CB0FCB" w:rsidRDefault="00CB0FCB">
            <w:pPr>
              <w:spacing w:after="0" w:line="240" w:lineRule="auto"/>
              <w:rPr>
                <w:rFonts w:ascii="Times New Roman" w:eastAsia="Times New Roman" w:hAnsi="Times New Roman" w:cs="Times New Roman"/>
                <w:b/>
                <w:bCs/>
                <w:noProof/>
                <w:sz w:val="18"/>
                <w:szCs w:val="18"/>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46B9AFD8"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9BCCCE" w14:textId="77777777" w:rsidR="00CB0FCB" w:rsidRDefault="00CB0FCB">
            <w:pPr>
              <w:spacing w:after="0" w:line="240" w:lineRule="auto"/>
              <w:rPr>
                <w:rFonts w:ascii="Times New Roman" w:eastAsia="Times New Roman" w:hAnsi="Times New Roman" w:cs="Times New Roman"/>
                <w:b/>
                <w:bCs/>
                <w:noProof/>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00CE4C8" w14:textId="77777777" w:rsidR="00CB0FCB" w:rsidRDefault="00CB0FCB">
            <w:pPr>
              <w:spacing w:after="0" w:line="240" w:lineRule="auto"/>
              <w:rPr>
                <w:rFonts w:ascii="Times New Roman" w:eastAsia="Times New Roman" w:hAnsi="Times New Roman" w:cs="Times New Roman"/>
                <w:b/>
                <w:bCs/>
                <w:noProof/>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9B1C6B6" w14:textId="77777777" w:rsidR="00CB0FCB" w:rsidRDefault="00CB0FCB">
            <w:pPr>
              <w:spacing w:after="0" w:line="240" w:lineRule="auto"/>
              <w:rPr>
                <w:rFonts w:ascii="Times New Roman" w:eastAsia="Times New Roman" w:hAnsi="Times New Roman" w:cs="Times New Roman"/>
                <w:b/>
                <w:bCs/>
                <w:noProo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4213032"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842E692"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84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9946B45"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8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DE4160C"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7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22EBE59"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3402" w:type="dxa"/>
            <w:vMerge/>
            <w:tcBorders>
              <w:top w:val="single" w:sz="4" w:space="0" w:color="auto"/>
              <w:bottom w:val="single" w:sz="4" w:space="0" w:color="auto"/>
              <w:right w:val="single" w:sz="4" w:space="0" w:color="auto"/>
            </w:tcBorders>
            <w:vAlign w:val="center"/>
            <w:hideMark/>
          </w:tcPr>
          <w:p w14:paraId="46493D10"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0313E29F"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A709F5C" w14:textId="77777777" w:rsidR="00CB0FCB" w:rsidRDefault="009D2B11">
            <w:pPr>
              <w:pStyle w:val="P68B1DB1-Normal9"/>
              <w:spacing w:after="0" w:line="240" w:lineRule="auto"/>
              <w:rPr>
                <w:rFonts w:eastAsia="Times New Roman" w:cs="Calibri"/>
                <w:noProof/>
                <w:szCs w:val="18"/>
              </w:rPr>
            </w:pPr>
            <w:r>
              <w:rPr>
                <w:noProof/>
              </w:rPr>
              <w:t>263</w:t>
            </w:r>
          </w:p>
        </w:tc>
        <w:tc>
          <w:tcPr>
            <w:tcW w:w="2229" w:type="dxa"/>
            <w:tcBorders>
              <w:top w:val="single" w:sz="4" w:space="0" w:color="auto"/>
              <w:left w:val="nil"/>
              <w:bottom w:val="single" w:sz="4" w:space="0" w:color="auto"/>
              <w:right w:val="single" w:sz="4" w:space="0" w:color="auto"/>
            </w:tcBorders>
            <w:shd w:val="clear" w:color="auto" w:fill="C6EFCE"/>
            <w:noWrap/>
          </w:tcPr>
          <w:p w14:paraId="4D9E7D1E"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16982_Organizācijas reforma dzelzceļa nozarē</w:t>
            </w:r>
          </w:p>
        </w:tc>
        <w:tc>
          <w:tcPr>
            <w:tcW w:w="1134" w:type="dxa"/>
            <w:tcBorders>
              <w:top w:val="single" w:sz="4" w:space="0" w:color="auto"/>
              <w:left w:val="nil"/>
              <w:bottom w:val="single" w:sz="4" w:space="0" w:color="auto"/>
              <w:right w:val="single" w:sz="4" w:space="0" w:color="auto"/>
            </w:tcBorders>
            <w:shd w:val="clear" w:color="auto" w:fill="C6EFCE"/>
            <w:noWrap/>
          </w:tcPr>
          <w:p w14:paraId="5432B9A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3908CF4D" w14:textId="77777777" w:rsidR="00CB0FCB" w:rsidRDefault="009D2B11">
            <w:pPr>
              <w:pStyle w:val="P68B1DB1-Normal9"/>
              <w:spacing w:after="0" w:line="240" w:lineRule="auto"/>
              <w:rPr>
                <w:rFonts w:eastAsia="Times New Roman" w:cs="Calibri"/>
                <w:noProof/>
                <w:szCs w:val="18"/>
              </w:rPr>
            </w:pPr>
            <w:r>
              <w:rPr>
                <w:noProof/>
              </w:rPr>
              <w:t>Ceļvedis dzelzceļa reformai</w:t>
            </w:r>
          </w:p>
        </w:tc>
        <w:tc>
          <w:tcPr>
            <w:tcW w:w="2127" w:type="dxa"/>
            <w:tcBorders>
              <w:top w:val="single" w:sz="4" w:space="0" w:color="auto"/>
              <w:left w:val="nil"/>
              <w:bottom w:val="single" w:sz="4" w:space="0" w:color="auto"/>
              <w:right w:val="single" w:sz="4" w:space="0" w:color="auto"/>
            </w:tcBorders>
            <w:shd w:val="clear" w:color="auto" w:fill="C6EFCE"/>
            <w:noWrap/>
          </w:tcPr>
          <w:p w14:paraId="22058714" w14:textId="77777777" w:rsidR="00CB0FCB" w:rsidRDefault="009D2B11">
            <w:pPr>
              <w:pStyle w:val="P68B1DB1-Normal9"/>
              <w:spacing w:after="0" w:line="240" w:lineRule="auto"/>
              <w:rPr>
                <w:rFonts w:eastAsia="Times New Roman" w:cs="Calibri"/>
                <w:noProof/>
                <w:szCs w:val="18"/>
              </w:rPr>
            </w:pPr>
            <w:r>
              <w:rPr>
                <w:noProof/>
              </w:rPr>
              <w:t>Ceļvedis</w:t>
            </w:r>
          </w:p>
        </w:tc>
        <w:tc>
          <w:tcPr>
            <w:tcW w:w="992" w:type="dxa"/>
            <w:tcBorders>
              <w:top w:val="single" w:sz="4" w:space="0" w:color="auto"/>
              <w:left w:val="nil"/>
              <w:bottom w:val="single" w:sz="4" w:space="0" w:color="auto"/>
              <w:right w:val="single" w:sz="4" w:space="0" w:color="auto"/>
            </w:tcBorders>
            <w:shd w:val="clear" w:color="auto" w:fill="C6EFCE"/>
            <w:noWrap/>
          </w:tcPr>
          <w:p w14:paraId="491BD664"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BFCA926"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36F1E315"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8A17305" w14:textId="77777777" w:rsidR="00CB0FCB" w:rsidRDefault="009D2B11">
            <w:pPr>
              <w:pStyle w:val="P68B1DB1-Normal9"/>
              <w:spacing w:after="0" w:line="240" w:lineRule="auto"/>
              <w:rPr>
                <w:rFonts w:eastAsia="Times New Roman" w:cs="Calibri"/>
                <w:noProof/>
                <w:szCs w:val="18"/>
              </w:rPr>
            </w:pPr>
            <w:r>
              <w:rPr>
                <w:noProof/>
              </w:rPr>
              <w:t>CET.</w:t>
            </w:r>
          </w:p>
        </w:tc>
        <w:tc>
          <w:tcPr>
            <w:tcW w:w="713" w:type="dxa"/>
            <w:tcBorders>
              <w:top w:val="single" w:sz="4" w:space="0" w:color="auto"/>
              <w:left w:val="nil"/>
              <w:bottom w:val="single" w:sz="4" w:space="0" w:color="auto"/>
              <w:right w:val="single" w:sz="4" w:space="0" w:color="auto"/>
            </w:tcBorders>
            <w:shd w:val="clear" w:color="auto" w:fill="C6EFCE"/>
            <w:noWrap/>
          </w:tcPr>
          <w:p w14:paraId="64C67136" w14:textId="77777777" w:rsidR="00CB0FCB" w:rsidRDefault="009D2B11">
            <w:pPr>
              <w:pStyle w:val="P68B1DB1-Normal9"/>
              <w:spacing w:after="0" w:line="240" w:lineRule="auto"/>
              <w:rPr>
                <w:rFonts w:eastAsia="Times New Roman" w:cs="Calibri"/>
                <w:noProof/>
                <w:szCs w:val="18"/>
              </w:rPr>
            </w:pPr>
            <w:r>
              <w:rPr>
                <w:noProof/>
              </w:rPr>
              <w:t>2021</w:t>
            </w:r>
          </w:p>
        </w:tc>
        <w:tc>
          <w:tcPr>
            <w:tcW w:w="3402" w:type="dxa"/>
            <w:tcBorders>
              <w:top w:val="single" w:sz="4" w:space="0" w:color="auto"/>
              <w:left w:val="nil"/>
              <w:bottom w:val="single" w:sz="4" w:space="0" w:color="auto"/>
              <w:right w:val="single" w:sz="4" w:space="0" w:color="auto"/>
            </w:tcBorders>
            <w:shd w:val="clear" w:color="auto" w:fill="C6EFCE"/>
            <w:noWrap/>
          </w:tcPr>
          <w:p w14:paraId="2BF22220" w14:textId="77777777" w:rsidR="00CB0FCB" w:rsidRDefault="009D2B11">
            <w:pPr>
              <w:pStyle w:val="P68B1DB1-Normal9"/>
              <w:spacing w:after="0" w:line="240" w:lineRule="auto"/>
              <w:rPr>
                <w:rFonts w:eastAsia="Times New Roman" w:cs="Calibri"/>
                <w:noProof/>
                <w:szCs w:val="18"/>
              </w:rPr>
            </w:pPr>
            <w:r>
              <w:rPr>
                <w:noProof/>
              </w:rPr>
              <w:t>Otrā apakšgrupa: Sagatavot ceļvedi ar pasākumiem uzņēmumu OSE un ERGOSE pilnīgai reorganizācijai.</w:t>
            </w:r>
          </w:p>
        </w:tc>
      </w:tr>
      <w:tr w:rsidR="00CB0FCB" w14:paraId="70A09876"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CE99BB2" w14:textId="77777777" w:rsidR="00CB0FCB" w:rsidRDefault="009D2B11">
            <w:pPr>
              <w:pStyle w:val="P68B1DB1-Normal9"/>
              <w:spacing w:after="0" w:line="240" w:lineRule="auto"/>
              <w:rPr>
                <w:rFonts w:eastAsia="Times New Roman" w:cs="Calibri"/>
                <w:noProof/>
                <w:szCs w:val="18"/>
              </w:rPr>
            </w:pPr>
            <w:r>
              <w:rPr>
                <w:noProof/>
              </w:rPr>
              <w:t>264</w:t>
            </w:r>
          </w:p>
        </w:tc>
        <w:tc>
          <w:tcPr>
            <w:tcW w:w="2229" w:type="dxa"/>
            <w:tcBorders>
              <w:top w:val="nil"/>
              <w:left w:val="nil"/>
              <w:bottom w:val="single" w:sz="4" w:space="0" w:color="auto"/>
              <w:right w:val="single" w:sz="4" w:space="0" w:color="auto"/>
            </w:tcBorders>
            <w:shd w:val="clear" w:color="auto" w:fill="C6EFCE"/>
            <w:noWrap/>
          </w:tcPr>
          <w:p w14:paraId="1906BC68"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16982_Organizācijas reforma dzelzceļa nozarē</w:t>
            </w:r>
          </w:p>
        </w:tc>
        <w:tc>
          <w:tcPr>
            <w:tcW w:w="1134" w:type="dxa"/>
            <w:tcBorders>
              <w:top w:val="nil"/>
              <w:left w:val="nil"/>
              <w:bottom w:val="single" w:sz="4" w:space="0" w:color="auto"/>
              <w:right w:val="single" w:sz="4" w:space="0" w:color="auto"/>
            </w:tcBorders>
            <w:shd w:val="clear" w:color="auto" w:fill="C6EFCE"/>
            <w:noWrap/>
          </w:tcPr>
          <w:p w14:paraId="3276A9D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nil"/>
              <w:left w:val="nil"/>
              <w:bottom w:val="single" w:sz="4" w:space="0" w:color="auto"/>
              <w:right w:val="single" w:sz="4" w:space="0" w:color="auto"/>
            </w:tcBorders>
            <w:shd w:val="clear" w:color="auto" w:fill="C6EFCE"/>
            <w:noWrap/>
          </w:tcPr>
          <w:p w14:paraId="0D5F5316" w14:textId="77777777" w:rsidR="00CB0FCB" w:rsidRDefault="009D2B11">
            <w:pPr>
              <w:pStyle w:val="P68B1DB1-Normal9"/>
              <w:spacing w:after="0" w:line="240" w:lineRule="auto"/>
              <w:rPr>
                <w:rFonts w:eastAsia="Times New Roman" w:cs="Calibri"/>
                <w:noProof/>
                <w:szCs w:val="18"/>
              </w:rPr>
            </w:pPr>
            <w:r>
              <w:rPr>
                <w:noProof/>
              </w:rPr>
              <w:t>Dzelzceļa reformas likums</w:t>
            </w:r>
          </w:p>
        </w:tc>
        <w:tc>
          <w:tcPr>
            <w:tcW w:w="2127" w:type="dxa"/>
            <w:tcBorders>
              <w:top w:val="nil"/>
              <w:left w:val="nil"/>
              <w:bottom w:val="single" w:sz="4" w:space="0" w:color="auto"/>
              <w:right w:val="single" w:sz="4" w:space="0" w:color="auto"/>
            </w:tcBorders>
            <w:shd w:val="clear" w:color="auto" w:fill="C6EFCE"/>
            <w:noWrap/>
          </w:tcPr>
          <w:p w14:paraId="1D0337A1" w14:textId="77777777" w:rsidR="00CB0FCB" w:rsidRDefault="009D2B11">
            <w:pPr>
              <w:pStyle w:val="P68B1DB1-Normal9"/>
              <w:spacing w:after="0" w:line="240" w:lineRule="auto"/>
              <w:rPr>
                <w:rFonts w:eastAsia="Times New Roman" w:cs="Calibri"/>
                <w:noProof/>
                <w:szCs w:val="18"/>
              </w:rPr>
            </w:pPr>
            <w:r>
              <w:rPr>
                <w:noProof/>
              </w:rPr>
              <w:t xml:space="preserve">Primāro un sekundāro tiesību aktu stāšanās spēkā </w:t>
            </w:r>
          </w:p>
        </w:tc>
        <w:tc>
          <w:tcPr>
            <w:tcW w:w="992" w:type="dxa"/>
            <w:tcBorders>
              <w:top w:val="nil"/>
              <w:left w:val="nil"/>
              <w:bottom w:val="single" w:sz="4" w:space="0" w:color="auto"/>
              <w:right w:val="single" w:sz="4" w:space="0" w:color="auto"/>
            </w:tcBorders>
            <w:shd w:val="clear" w:color="auto" w:fill="C6EFCE"/>
            <w:noWrap/>
          </w:tcPr>
          <w:p w14:paraId="1F79DDA7"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139120F" w14:textId="77777777" w:rsidR="00CB0FCB" w:rsidRDefault="00CB0FCB">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25767A61"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D41A62B" w14:textId="77777777" w:rsidR="00CB0FCB" w:rsidRDefault="009D2B11">
            <w:pPr>
              <w:pStyle w:val="P68B1DB1-Normal9"/>
              <w:spacing w:after="0" w:line="240" w:lineRule="auto"/>
              <w:rPr>
                <w:rFonts w:eastAsia="Times New Roman" w:cs="Calibri"/>
                <w:noProof/>
                <w:szCs w:val="18"/>
              </w:rPr>
            </w:pPr>
            <w:r>
              <w:rPr>
                <w:noProof/>
              </w:rPr>
              <w:t>2. CET.</w:t>
            </w:r>
          </w:p>
        </w:tc>
        <w:tc>
          <w:tcPr>
            <w:tcW w:w="713" w:type="dxa"/>
            <w:tcBorders>
              <w:top w:val="nil"/>
              <w:left w:val="nil"/>
              <w:bottom w:val="single" w:sz="4" w:space="0" w:color="auto"/>
              <w:right w:val="single" w:sz="4" w:space="0" w:color="auto"/>
            </w:tcBorders>
            <w:shd w:val="clear" w:color="auto" w:fill="C6EFCE"/>
            <w:noWrap/>
          </w:tcPr>
          <w:p w14:paraId="6A908BAC" w14:textId="77777777" w:rsidR="00CB0FCB" w:rsidRDefault="009D2B11">
            <w:pPr>
              <w:pStyle w:val="P68B1DB1-Normal9"/>
              <w:spacing w:after="0" w:line="240" w:lineRule="auto"/>
              <w:rPr>
                <w:rFonts w:eastAsia="Times New Roman" w:cs="Calibri"/>
                <w:noProof/>
                <w:szCs w:val="18"/>
              </w:rPr>
            </w:pPr>
            <w:r>
              <w:rPr>
                <w:noProof/>
              </w:rPr>
              <w:t>2022</w:t>
            </w:r>
          </w:p>
        </w:tc>
        <w:tc>
          <w:tcPr>
            <w:tcW w:w="3402" w:type="dxa"/>
            <w:tcBorders>
              <w:top w:val="nil"/>
              <w:left w:val="nil"/>
              <w:bottom w:val="single" w:sz="4" w:space="0" w:color="auto"/>
              <w:right w:val="single" w:sz="4" w:space="0" w:color="auto"/>
            </w:tcBorders>
            <w:shd w:val="clear" w:color="auto" w:fill="C6EFCE"/>
            <w:noWrap/>
          </w:tcPr>
          <w:p w14:paraId="464B2D56" w14:textId="77777777" w:rsidR="00CB0FCB" w:rsidRDefault="009D2B11">
            <w:pPr>
              <w:pStyle w:val="P68B1DB1-Normal9"/>
              <w:spacing w:after="0" w:line="240" w:lineRule="auto"/>
              <w:rPr>
                <w:rFonts w:eastAsia="Times New Roman" w:cs="Calibri"/>
                <w:noProof/>
                <w:szCs w:val="18"/>
              </w:rPr>
            </w:pPr>
            <w:r>
              <w:rPr>
                <w:noProof/>
              </w:rPr>
              <w:t>Otrā apakšgrupa: Organizatoriskā reforma dzelzceļa nozarē;</w:t>
            </w:r>
          </w:p>
          <w:p w14:paraId="4D170CA4" w14:textId="77777777" w:rsidR="00CB0FCB" w:rsidRDefault="00CB0FCB">
            <w:pPr>
              <w:spacing w:after="0" w:line="240" w:lineRule="auto"/>
              <w:rPr>
                <w:rFonts w:eastAsia="Times New Roman" w:cs="Calibri"/>
                <w:noProof/>
                <w:color w:val="006100"/>
                <w:sz w:val="18"/>
                <w:szCs w:val="18"/>
              </w:rPr>
            </w:pPr>
          </w:p>
          <w:p w14:paraId="084CC599" w14:textId="77777777" w:rsidR="00CB0FCB" w:rsidRDefault="00CB0FCB">
            <w:pPr>
              <w:spacing w:after="0" w:line="240" w:lineRule="auto"/>
              <w:rPr>
                <w:rFonts w:eastAsia="Times New Roman" w:cs="Calibri"/>
                <w:noProof/>
                <w:color w:val="006100"/>
                <w:sz w:val="18"/>
                <w:szCs w:val="18"/>
              </w:rPr>
            </w:pPr>
          </w:p>
          <w:p w14:paraId="04454624" w14:textId="77777777" w:rsidR="00CB0FCB" w:rsidRDefault="009D2B11">
            <w:pPr>
              <w:pStyle w:val="P68B1DB1-Normal9"/>
              <w:spacing w:after="0" w:line="240" w:lineRule="auto"/>
              <w:rPr>
                <w:rFonts w:eastAsia="Times New Roman" w:cs="Calibri"/>
                <w:noProof/>
                <w:szCs w:val="18"/>
              </w:rPr>
            </w:pPr>
            <w:r>
              <w:rPr>
                <w:noProof/>
              </w:rPr>
              <w:t>Stājas spēkā primārie un sekundārie tiesību akti par abu uzņēmumu reformu, kas ļauj tiem attīstīt, ekspluatēt un uzturēt modernu dzelzceļa tīklu.</w:t>
            </w:r>
          </w:p>
        </w:tc>
      </w:tr>
      <w:tr w:rsidR="00CB0FCB" w14:paraId="48A8CD7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52CBD47" w14:textId="77777777" w:rsidR="00CB0FCB" w:rsidRDefault="009D2B11">
            <w:pPr>
              <w:pStyle w:val="P68B1DB1-Normal9"/>
              <w:spacing w:after="0" w:line="240" w:lineRule="auto"/>
              <w:rPr>
                <w:rFonts w:eastAsia="Times New Roman" w:cs="Calibri"/>
                <w:noProof/>
                <w:szCs w:val="18"/>
              </w:rPr>
            </w:pPr>
            <w:r>
              <w:rPr>
                <w:noProof/>
              </w:rPr>
              <w:t>267</w:t>
            </w:r>
          </w:p>
        </w:tc>
        <w:tc>
          <w:tcPr>
            <w:tcW w:w="2229" w:type="dxa"/>
            <w:tcBorders>
              <w:top w:val="single" w:sz="4" w:space="0" w:color="auto"/>
              <w:left w:val="nil"/>
              <w:bottom w:val="single" w:sz="4" w:space="0" w:color="auto"/>
              <w:right w:val="single" w:sz="4" w:space="0" w:color="auto"/>
            </w:tcBorders>
            <w:shd w:val="clear" w:color="auto" w:fill="C6EFCE"/>
            <w:noWrap/>
          </w:tcPr>
          <w:p w14:paraId="506643EE"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16833_EASA atbilstības labošanas darbu īstenošana</w:t>
            </w:r>
          </w:p>
        </w:tc>
        <w:tc>
          <w:tcPr>
            <w:tcW w:w="1134" w:type="dxa"/>
            <w:tcBorders>
              <w:top w:val="single" w:sz="4" w:space="0" w:color="auto"/>
              <w:left w:val="nil"/>
              <w:bottom w:val="single" w:sz="4" w:space="0" w:color="auto"/>
              <w:right w:val="single" w:sz="4" w:space="0" w:color="auto"/>
            </w:tcBorders>
            <w:shd w:val="clear" w:color="auto" w:fill="C6EFCE"/>
            <w:noWrap/>
          </w:tcPr>
          <w:p w14:paraId="7E48D41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4AFDF70F" w14:textId="77777777" w:rsidR="00CB0FCB" w:rsidRDefault="009D2B11">
            <w:pPr>
              <w:pStyle w:val="P68B1DB1-Normal9"/>
              <w:spacing w:after="0" w:line="240" w:lineRule="auto"/>
              <w:rPr>
                <w:rFonts w:eastAsia="Times New Roman" w:cs="Calibri"/>
                <w:noProof/>
                <w:szCs w:val="18"/>
              </w:rPr>
            </w:pPr>
            <w:r>
              <w:rPr>
                <w:noProof/>
              </w:rPr>
              <w:t>Paziņojums par balvu Eiropas Savienības Aviācijas drošības aģentūras (EASA) darbiem reģionālajās lidostās</w:t>
            </w:r>
          </w:p>
        </w:tc>
        <w:tc>
          <w:tcPr>
            <w:tcW w:w="2127" w:type="dxa"/>
            <w:tcBorders>
              <w:top w:val="single" w:sz="4" w:space="0" w:color="auto"/>
              <w:left w:val="nil"/>
              <w:bottom w:val="single" w:sz="4" w:space="0" w:color="auto"/>
              <w:right w:val="single" w:sz="4" w:space="0" w:color="auto"/>
            </w:tcBorders>
            <w:shd w:val="clear" w:color="auto" w:fill="C6EFCE"/>
            <w:noWrap/>
          </w:tcPr>
          <w:p w14:paraId="0BFBDFFB" w14:textId="77777777" w:rsidR="00CB0FCB" w:rsidRDefault="009D2B11">
            <w:pPr>
              <w:pStyle w:val="P68B1DB1-Normal9"/>
              <w:spacing w:after="0" w:line="240" w:lineRule="auto"/>
              <w:rPr>
                <w:rFonts w:eastAsia="Times New Roman" w:cs="Calibri"/>
                <w:noProof/>
                <w:szCs w:val="18"/>
              </w:rPr>
            </w:pPr>
            <w:r>
              <w:rPr>
                <w:noProof/>
              </w:rPr>
              <w:t>Paziņojums par līgumu slēgšanas tiesību piešķiršanu</w:t>
            </w:r>
          </w:p>
        </w:tc>
        <w:tc>
          <w:tcPr>
            <w:tcW w:w="992" w:type="dxa"/>
            <w:tcBorders>
              <w:top w:val="single" w:sz="4" w:space="0" w:color="auto"/>
              <w:left w:val="nil"/>
              <w:bottom w:val="single" w:sz="4" w:space="0" w:color="auto"/>
              <w:right w:val="single" w:sz="4" w:space="0" w:color="auto"/>
            </w:tcBorders>
            <w:shd w:val="clear" w:color="auto" w:fill="C6EFCE"/>
            <w:noWrap/>
          </w:tcPr>
          <w:p w14:paraId="58CC5861"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26763EC"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37110AD"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399A2AC" w14:textId="77777777" w:rsidR="00CB0FCB" w:rsidRDefault="009D2B11">
            <w:pPr>
              <w:pStyle w:val="P68B1DB1-Normal9"/>
              <w:spacing w:after="0" w:line="240" w:lineRule="auto"/>
              <w:rPr>
                <w:rFonts w:eastAsia="Times New Roman" w:cs="Calibri"/>
                <w:noProof/>
                <w:szCs w:val="18"/>
              </w:rPr>
            </w:pPr>
            <w:r>
              <w:rPr>
                <w:noProof/>
              </w:rPr>
              <w:t>2. CET.</w:t>
            </w:r>
          </w:p>
        </w:tc>
        <w:tc>
          <w:tcPr>
            <w:tcW w:w="713" w:type="dxa"/>
            <w:tcBorders>
              <w:top w:val="single" w:sz="4" w:space="0" w:color="auto"/>
              <w:left w:val="nil"/>
              <w:bottom w:val="single" w:sz="4" w:space="0" w:color="auto"/>
              <w:right w:val="single" w:sz="4" w:space="0" w:color="auto"/>
            </w:tcBorders>
            <w:shd w:val="clear" w:color="auto" w:fill="C6EFCE"/>
            <w:noWrap/>
          </w:tcPr>
          <w:p w14:paraId="18029AEC" w14:textId="77777777" w:rsidR="00CB0FCB" w:rsidRDefault="009D2B11">
            <w:pPr>
              <w:pStyle w:val="P68B1DB1-Normal9"/>
              <w:spacing w:after="0" w:line="240" w:lineRule="auto"/>
              <w:rPr>
                <w:rFonts w:eastAsia="Times New Roman" w:cs="Calibri"/>
                <w:noProof/>
                <w:szCs w:val="18"/>
              </w:rPr>
            </w:pPr>
            <w:r>
              <w:rPr>
                <w:noProof/>
              </w:rPr>
              <w:t>2023</w:t>
            </w:r>
          </w:p>
        </w:tc>
        <w:tc>
          <w:tcPr>
            <w:tcW w:w="3402" w:type="dxa"/>
            <w:tcBorders>
              <w:top w:val="single" w:sz="4" w:space="0" w:color="auto"/>
              <w:left w:val="nil"/>
              <w:bottom w:val="single" w:sz="4" w:space="0" w:color="auto"/>
              <w:right w:val="single" w:sz="4" w:space="0" w:color="auto"/>
            </w:tcBorders>
            <w:shd w:val="clear" w:color="auto" w:fill="C6EFCE"/>
            <w:noWrap/>
          </w:tcPr>
          <w:p w14:paraId="36FDFB91" w14:textId="77777777" w:rsidR="00CB0FCB" w:rsidRDefault="009D2B11">
            <w:pPr>
              <w:pStyle w:val="P68B1DB1-Normal10"/>
              <w:spacing w:after="0" w:line="240" w:lineRule="auto"/>
              <w:rPr>
                <w:rFonts w:eastAsia="Times New Roman" w:cs="Calibri"/>
                <w:noProof/>
              </w:rPr>
            </w:pPr>
            <w:r>
              <w:rPr>
                <w:noProof/>
              </w:rPr>
              <w:t>Otrā apakšgrupa: Eiropas Savienības Aviācijas drošības aģentūras (EASA) atbilstības programma: Parakstīti visi līgumi par 13 reģionālo lidostu labošanas darbiem, lai nodrošinātu atbilstību jaunajai Regulai (ES) 2018/1139.</w:t>
            </w:r>
          </w:p>
        </w:tc>
      </w:tr>
      <w:tr w:rsidR="00CB0FCB" w14:paraId="518131E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EDFBF6E" w14:textId="77777777" w:rsidR="00CB0FCB" w:rsidRDefault="009D2B11">
            <w:pPr>
              <w:pStyle w:val="P68B1DB1-Normal9"/>
              <w:spacing w:after="0" w:line="240" w:lineRule="auto"/>
              <w:rPr>
                <w:rFonts w:eastAsia="Times New Roman" w:cs="Calibri"/>
                <w:noProof/>
                <w:szCs w:val="18"/>
              </w:rPr>
            </w:pPr>
            <w:r>
              <w:rPr>
                <w:noProof/>
              </w:rPr>
              <w:t>268</w:t>
            </w:r>
          </w:p>
        </w:tc>
        <w:tc>
          <w:tcPr>
            <w:tcW w:w="2229" w:type="dxa"/>
            <w:tcBorders>
              <w:top w:val="single" w:sz="4" w:space="0" w:color="auto"/>
              <w:left w:val="nil"/>
              <w:bottom w:val="single" w:sz="4" w:space="0" w:color="auto"/>
              <w:right w:val="single" w:sz="4" w:space="0" w:color="auto"/>
            </w:tcBorders>
            <w:shd w:val="clear" w:color="auto" w:fill="C6EFCE"/>
            <w:noWrap/>
          </w:tcPr>
          <w:p w14:paraId="38BF86F9"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16982_Organizācijas reforma dzelzceļa nozarē</w:t>
            </w:r>
          </w:p>
        </w:tc>
        <w:tc>
          <w:tcPr>
            <w:tcW w:w="1134" w:type="dxa"/>
            <w:tcBorders>
              <w:top w:val="single" w:sz="4" w:space="0" w:color="auto"/>
              <w:left w:val="nil"/>
              <w:bottom w:val="single" w:sz="4" w:space="0" w:color="auto"/>
              <w:right w:val="single" w:sz="4" w:space="0" w:color="auto"/>
            </w:tcBorders>
            <w:shd w:val="clear" w:color="auto" w:fill="C6EFCE"/>
            <w:noWrap/>
          </w:tcPr>
          <w:p w14:paraId="26A9D82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5CD5ED8A" w14:textId="20DC2B38" w:rsidR="00CB0FCB" w:rsidRDefault="009D2B11">
            <w:pPr>
              <w:pStyle w:val="P68B1DB1-Normal10"/>
              <w:spacing w:after="0" w:line="240" w:lineRule="auto"/>
              <w:rPr>
                <w:rFonts w:eastAsia="Times New Roman" w:cs="Calibri"/>
                <w:noProof/>
              </w:rPr>
            </w:pPr>
            <w:r>
              <w:rPr>
                <w:noProof/>
              </w:rPr>
              <w:t>Grieķijas Dzelzceļa īstenošanas plāns</w:t>
            </w:r>
          </w:p>
        </w:tc>
        <w:tc>
          <w:tcPr>
            <w:tcW w:w="2127" w:type="dxa"/>
            <w:tcBorders>
              <w:top w:val="single" w:sz="4" w:space="0" w:color="auto"/>
              <w:left w:val="nil"/>
              <w:bottom w:val="single" w:sz="4" w:space="0" w:color="auto"/>
              <w:right w:val="single" w:sz="4" w:space="0" w:color="auto"/>
            </w:tcBorders>
            <w:shd w:val="clear" w:color="auto" w:fill="C6EFCE"/>
            <w:noWrap/>
          </w:tcPr>
          <w:p w14:paraId="1606A8C4" w14:textId="17EADC99" w:rsidR="00CB0FCB" w:rsidRDefault="009D2B11">
            <w:pPr>
              <w:pStyle w:val="P68B1DB1-Normal10"/>
              <w:spacing w:after="0" w:line="240" w:lineRule="auto"/>
              <w:rPr>
                <w:rFonts w:eastAsia="Times New Roman" w:cs="Calibri"/>
                <w:noProof/>
              </w:rPr>
            </w:pPr>
            <w:r>
              <w:rPr>
                <w:noProof/>
              </w:rPr>
              <w:t xml:space="preserve">Publicēts Grieķijas dzelzceļa īstenošanas plāns </w:t>
            </w:r>
          </w:p>
          <w:p w14:paraId="188534AF" w14:textId="77777777" w:rsidR="00CB0FCB" w:rsidRDefault="00CB0FCB">
            <w:pPr>
              <w:spacing w:after="0" w:line="240" w:lineRule="auto"/>
              <w:rPr>
                <w:rFonts w:eastAsia="Times New Roman" w:cs="Calibri"/>
                <w:noProof/>
                <w:color w:val="006100"/>
                <w:sz w:val="18"/>
                <w:szCs w:val="18"/>
              </w:rPr>
            </w:pPr>
          </w:p>
          <w:p w14:paraId="4942CA02" w14:textId="77777777" w:rsidR="00CB0FCB" w:rsidRDefault="00CB0FCB">
            <w:pPr>
              <w:spacing w:after="0" w:line="240" w:lineRule="auto"/>
              <w:rPr>
                <w:rFonts w:eastAsia="Times New Roman" w:cs="Calibri"/>
                <w:noProof/>
                <w:color w:val="006100"/>
                <w:sz w:val="18"/>
                <w:szCs w:val="18"/>
              </w:rPr>
            </w:pPr>
          </w:p>
          <w:p w14:paraId="224C7D8E"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6B79675B"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B7F05CC"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30E20C7"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00C3894" w14:textId="77777777" w:rsidR="00CB0FCB" w:rsidRDefault="009D2B11">
            <w:pPr>
              <w:pStyle w:val="P68B1DB1-Normal9"/>
              <w:spacing w:after="0" w:line="240" w:lineRule="auto"/>
              <w:rPr>
                <w:rFonts w:eastAsia="Times New Roman" w:cs="Calibri"/>
                <w:noProof/>
                <w:szCs w:val="18"/>
              </w:rPr>
            </w:pPr>
            <w:r>
              <w:rPr>
                <w:noProof/>
              </w:rPr>
              <w:t>2. CET.</w:t>
            </w:r>
          </w:p>
          <w:p w14:paraId="3FE347C7" w14:textId="77777777" w:rsidR="00CB0FCB" w:rsidRDefault="00CB0FCB">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0D45781C" w14:textId="77777777" w:rsidR="00CB0FCB" w:rsidRDefault="009D2B11">
            <w:pPr>
              <w:pStyle w:val="P68B1DB1-Normal9"/>
              <w:spacing w:after="0" w:line="240" w:lineRule="auto"/>
              <w:rPr>
                <w:rFonts w:eastAsia="Times New Roman" w:cs="Calibri"/>
                <w:noProof/>
                <w:szCs w:val="18"/>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tcPr>
          <w:p w14:paraId="3D1D8358" w14:textId="0AFB0CCB" w:rsidR="00CB0FCB" w:rsidRDefault="009D2B11">
            <w:pPr>
              <w:pStyle w:val="P68B1DB1-Normal10"/>
              <w:spacing w:after="0" w:line="240" w:lineRule="auto"/>
              <w:rPr>
                <w:rFonts w:eastAsia="Times New Roman" w:cs="Calibri"/>
                <w:noProof/>
              </w:rPr>
            </w:pPr>
            <w:r>
              <w:rPr>
                <w:noProof/>
              </w:rPr>
              <w:t xml:space="preserve">Īstenošanas plāna publicēšana attiecībā uz jauno vienoto dzelzceļa infrastruktūras uzņēmumu (Grieķijas dzelzceļš) </w:t>
            </w:r>
          </w:p>
          <w:p w14:paraId="30449126" w14:textId="77777777" w:rsidR="00CB0FCB" w:rsidRDefault="00CB0FCB">
            <w:pPr>
              <w:spacing w:after="0" w:line="240" w:lineRule="auto"/>
              <w:rPr>
                <w:rFonts w:eastAsia="Times New Roman" w:cs="Calibri"/>
                <w:noProof/>
                <w:color w:val="006100"/>
                <w:sz w:val="18"/>
                <w:szCs w:val="18"/>
              </w:rPr>
            </w:pPr>
          </w:p>
        </w:tc>
      </w:tr>
      <w:tr w:rsidR="00CB0FCB" w14:paraId="44C22EF2"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4642F40" w14:textId="77777777" w:rsidR="00CB0FCB" w:rsidRDefault="009D2B11">
            <w:pPr>
              <w:pStyle w:val="P68B1DB1-Normal9"/>
              <w:spacing w:line="240" w:lineRule="auto"/>
              <w:rPr>
                <w:rFonts w:eastAsia="Times New Roman" w:cs="Calibri"/>
                <w:noProof/>
                <w:szCs w:val="18"/>
              </w:rPr>
            </w:pPr>
            <w:r>
              <w:rPr>
                <w:noProof/>
              </w:rPr>
              <w:t>268a</w:t>
            </w:r>
          </w:p>
        </w:tc>
        <w:tc>
          <w:tcPr>
            <w:tcW w:w="2229" w:type="dxa"/>
            <w:tcBorders>
              <w:top w:val="single" w:sz="4" w:space="0" w:color="auto"/>
              <w:left w:val="nil"/>
              <w:bottom w:val="single" w:sz="4" w:space="0" w:color="auto"/>
              <w:right w:val="single" w:sz="4" w:space="0" w:color="auto"/>
            </w:tcBorders>
            <w:shd w:val="clear" w:color="auto" w:fill="C6EFCE"/>
            <w:noWrap/>
          </w:tcPr>
          <w:p w14:paraId="72759D43"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16982_Organizācijas reforma dzelzceļa nozarē</w:t>
            </w:r>
          </w:p>
          <w:p w14:paraId="251F0C93" w14:textId="77777777" w:rsidR="00CB0FCB" w:rsidRDefault="00CB0FCB">
            <w:pPr>
              <w:spacing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33323959" w14:textId="77777777" w:rsidR="00CB0FCB" w:rsidRDefault="009D2B11">
            <w:pPr>
              <w:pStyle w:val="P68B1DB1-Normal9"/>
              <w:spacing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28CECBEC" w14:textId="497200FA" w:rsidR="00CB0FCB" w:rsidRDefault="009D2B11">
            <w:pPr>
              <w:pStyle w:val="P68B1DB1-Normal10"/>
              <w:spacing w:line="240" w:lineRule="auto"/>
              <w:rPr>
                <w:rFonts w:eastAsia="Times New Roman" w:cs="Calibri"/>
                <w:noProof/>
              </w:rPr>
            </w:pPr>
            <w:r>
              <w:rPr>
                <w:noProof/>
              </w:rPr>
              <w:t>Tiesību akti par Grieķijas dzelzceļiem un nolīguma noslēgšana tehniskā vadītāja vārdā</w:t>
            </w:r>
          </w:p>
        </w:tc>
        <w:tc>
          <w:tcPr>
            <w:tcW w:w="2127" w:type="dxa"/>
            <w:tcBorders>
              <w:top w:val="single" w:sz="4" w:space="0" w:color="auto"/>
              <w:left w:val="nil"/>
              <w:bottom w:val="single" w:sz="4" w:space="0" w:color="auto"/>
              <w:right w:val="single" w:sz="4" w:space="0" w:color="auto"/>
            </w:tcBorders>
            <w:shd w:val="clear" w:color="auto" w:fill="C6EFCE"/>
            <w:noWrap/>
          </w:tcPr>
          <w:p w14:paraId="2071E63E" w14:textId="15C70705" w:rsidR="00CB0FCB" w:rsidRDefault="009D2B11">
            <w:pPr>
              <w:pStyle w:val="P68B1DB1-Normal10"/>
              <w:spacing w:line="240" w:lineRule="auto"/>
              <w:rPr>
                <w:noProof/>
              </w:rPr>
            </w:pPr>
            <w:r>
              <w:rPr>
                <w:noProof/>
              </w:rPr>
              <w:t xml:space="preserve">Grieķijas dzelzceļa tiesību aktu kopija un nolīguma par tehnisko vadītāju noslēgšana, noslēdzot tiešu nolīgumu ar ES dalībvalsti vai ES dalībvalsts līgumslēdzēju iestādi </w:t>
            </w:r>
          </w:p>
        </w:tc>
        <w:tc>
          <w:tcPr>
            <w:tcW w:w="992" w:type="dxa"/>
            <w:tcBorders>
              <w:top w:val="single" w:sz="4" w:space="0" w:color="auto"/>
              <w:left w:val="nil"/>
              <w:bottom w:val="single" w:sz="4" w:space="0" w:color="auto"/>
              <w:right w:val="single" w:sz="4" w:space="0" w:color="auto"/>
            </w:tcBorders>
            <w:shd w:val="clear" w:color="auto" w:fill="C6EFCE"/>
            <w:noWrap/>
          </w:tcPr>
          <w:p w14:paraId="4C9A9344" w14:textId="77777777" w:rsidR="00CB0FCB" w:rsidRDefault="00CB0FCB">
            <w:pPr>
              <w:spacing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1108120" w14:textId="77777777" w:rsidR="00CB0FCB" w:rsidRDefault="00CB0FCB">
            <w:pPr>
              <w:spacing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51369844" w14:textId="77777777" w:rsidR="00CB0FCB" w:rsidRDefault="00CB0FCB">
            <w:pPr>
              <w:spacing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67C5B45" w14:textId="77777777" w:rsidR="00CB0FCB" w:rsidRDefault="009D2B11">
            <w:pPr>
              <w:pStyle w:val="P68B1DB1-Normal9"/>
              <w:spacing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5BC6357D" w14:textId="77777777" w:rsidR="00CB0FCB" w:rsidRDefault="009D2B11">
            <w:pPr>
              <w:pStyle w:val="P68B1DB1-Normal9"/>
              <w:spacing w:line="240" w:lineRule="auto"/>
              <w:rPr>
                <w:rFonts w:eastAsia="Times New Roman" w:cs="Calibri"/>
                <w:noProof/>
                <w:szCs w:val="18"/>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tcPr>
          <w:p w14:paraId="5DFEEAEE" w14:textId="0F651214" w:rsidR="00CB0FCB" w:rsidRDefault="009D2B11">
            <w:pPr>
              <w:pStyle w:val="P68B1DB1-Normal10"/>
              <w:spacing w:after="0"/>
              <w:rPr>
                <w:noProof/>
              </w:rPr>
            </w:pPr>
            <w:r>
              <w:rPr>
                <w:noProof/>
              </w:rPr>
              <w:t>Stājas spēkā grozījumi Likumā Nr. 4974/2022 un sekundārajos tiesību aktos par jaunu vienotu nesaistītu pušu darījuma principam atbilstošu dzelzceļa infrastruktūras uzņēmumu, kura kodols (“Grieķijas dzelzceļš”) ir OSE un kurš ietver ERGOSE. Jaunais uzņēmums uzņemsies vispārēju atbildību par dzelzceļa infrastruktūras drošības jautājumiem un pilnībā sadarbosies ar dzelzceļa pārvadājumu uzņēmumiem riska kontroles pasākumu īstenošanā.</w:t>
            </w:r>
          </w:p>
          <w:p w14:paraId="1787833B" w14:textId="10EC925F" w:rsidR="00CB0FCB" w:rsidRDefault="009D2B11">
            <w:pPr>
              <w:pStyle w:val="P68B1DB1-Normal10"/>
              <w:spacing w:after="0"/>
              <w:rPr>
                <w:rFonts w:eastAsia="Times New Roman" w:cs="Calibri"/>
                <w:noProof/>
              </w:rPr>
            </w:pPr>
            <w:r>
              <w:rPr>
                <w:noProof/>
              </w:rPr>
              <w:t xml:space="preserve">Vienlaikus tiek uzsākts process, lai norīkotu tehnisko vadītāju jaunā uzņēmuma darbības atbalstam, kas jāpanāk, noslēdzot tiešu nolīgumu ar ES dalībvalsti vai ES dalībvalsts līgumslēdzēju iestādi.  </w:t>
            </w:r>
          </w:p>
        </w:tc>
      </w:tr>
      <w:tr w:rsidR="00CB0FCB" w14:paraId="1D3A1CF1"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88FE2D0" w14:textId="77777777" w:rsidR="00CB0FCB" w:rsidRDefault="009D2B11">
            <w:pPr>
              <w:pStyle w:val="P68B1DB1-Normal9"/>
              <w:spacing w:line="240" w:lineRule="auto"/>
              <w:rPr>
                <w:rFonts w:eastAsia="Times New Roman" w:cs="Calibri"/>
                <w:noProof/>
                <w:szCs w:val="18"/>
              </w:rPr>
            </w:pPr>
            <w:r>
              <w:rPr>
                <w:noProof/>
              </w:rPr>
              <w:t>268b</w:t>
            </w:r>
          </w:p>
        </w:tc>
        <w:tc>
          <w:tcPr>
            <w:tcW w:w="2229" w:type="dxa"/>
            <w:tcBorders>
              <w:top w:val="single" w:sz="4" w:space="0" w:color="auto"/>
              <w:left w:val="nil"/>
              <w:bottom w:val="single" w:sz="4" w:space="0" w:color="auto"/>
              <w:right w:val="single" w:sz="4" w:space="0" w:color="auto"/>
            </w:tcBorders>
            <w:shd w:val="clear" w:color="auto" w:fill="C6EFCE"/>
            <w:noWrap/>
          </w:tcPr>
          <w:p w14:paraId="72FD2ACA"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16982_Organizācijas reforma dzelzceļa nozarē</w:t>
            </w:r>
          </w:p>
          <w:p w14:paraId="755F706E" w14:textId="77777777" w:rsidR="00CB0FCB" w:rsidRDefault="00CB0FCB">
            <w:pPr>
              <w:spacing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69691F46" w14:textId="77777777" w:rsidR="00CB0FCB" w:rsidRDefault="009D2B11">
            <w:pPr>
              <w:pStyle w:val="P68B1DB1-Normal9"/>
              <w:spacing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00E1AF41" w14:textId="5EB810C4" w:rsidR="00CB0FCB" w:rsidRDefault="009D2B11">
            <w:pPr>
              <w:pStyle w:val="P68B1DB1-Normal10"/>
              <w:spacing w:line="240" w:lineRule="auto"/>
              <w:rPr>
                <w:rFonts w:eastAsia="Times New Roman" w:cs="Calibri"/>
                <w:noProof/>
              </w:rPr>
            </w:pPr>
            <w:r>
              <w:rPr>
                <w:noProof/>
              </w:rPr>
              <w:t>Daudzgadu ieguldījumu programmas pieņemšana, jaunas līgumiskas vienošanās parakstīšana</w:t>
            </w:r>
          </w:p>
          <w:p w14:paraId="6D0CF686" w14:textId="77777777" w:rsidR="00CB0FCB" w:rsidRDefault="00CB0FCB">
            <w:pPr>
              <w:spacing w:line="240" w:lineRule="auto"/>
              <w:rPr>
                <w:rFonts w:eastAsia="Times New Roman" w:cs="Calibri"/>
                <w:noProof/>
                <w:color w:val="006100"/>
                <w:sz w:val="18"/>
                <w:szCs w:val="18"/>
              </w:rPr>
            </w:pPr>
          </w:p>
        </w:tc>
        <w:tc>
          <w:tcPr>
            <w:tcW w:w="2127" w:type="dxa"/>
            <w:tcBorders>
              <w:top w:val="single" w:sz="4" w:space="0" w:color="auto"/>
              <w:left w:val="nil"/>
              <w:bottom w:val="single" w:sz="4" w:space="0" w:color="auto"/>
              <w:right w:val="single" w:sz="4" w:space="0" w:color="auto"/>
            </w:tcBorders>
            <w:shd w:val="clear" w:color="auto" w:fill="C6EFCE"/>
            <w:noWrap/>
          </w:tcPr>
          <w:p w14:paraId="255A6F70" w14:textId="70385C47" w:rsidR="00CB0FCB" w:rsidRDefault="009D2B11">
            <w:pPr>
              <w:pStyle w:val="P68B1DB1-Normal10"/>
              <w:spacing w:line="240" w:lineRule="auto"/>
              <w:rPr>
                <w:rFonts w:eastAsia="Times New Roman" w:cs="Calibri"/>
                <w:noProof/>
              </w:rPr>
            </w:pPr>
            <w:r>
              <w:rPr>
                <w:noProof/>
              </w:rPr>
              <w:t>Grieķijas Dzelzceļa direktoru padomes pieņemta kopija, daudzgadu ieguldījumu programma un parakstītas jaunas līgumiskas vienošanās kopija</w:t>
            </w:r>
          </w:p>
          <w:p w14:paraId="1971EB57" w14:textId="77777777" w:rsidR="00CB0FCB" w:rsidRDefault="00CB0FCB">
            <w:pPr>
              <w:spacing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425E1F4E" w14:textId="77777777" w:rsidR="00CB0FCB" w:rsidRDefault="00CB0FCB">
            <w:pPr>
              <w:spacing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FE3BDBE" w14:textId="77777777" w:rsidR="00CB0FCB" w:rsidRDefault="00CB0FCB">
            <w:pPr>
              <w:spacing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EF2E3A9" w14:textId="77777777" w:rsidR="00CB0FCB" w:rsidRDefault="00CB0FCB">
            <w:pPr>
              <w:spacing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714A8BA" w14:textId="77777777" w:rsidR="00CB0FCB" w:rsidRDefault="009D2B11">
            <w:pPr>
              <w:pStyle w:val="P68B1DB1-Normal9"/>
              <w:spacing w:line="240" w:lineRule="auto"/>
              <w:rPr>
                <w:rFonts w:eastAsia="Times New Roman" w:cs="Calibri"/>
                <w:noProof/>
                <w:szCs w:val="18"/>
              </w:rPr>
            </w:pPr>
            <w:r>
              <w:rPr>
                <w:noProof/>
              </w:rPr>
              <w:t>2. CET.</w:t>
            </w:r>
          </w:p>
        </w:tc>
        <w:tc>
          <w:tcPr>
            <w:tcW w:w="713" w:type="dxa"/>
            <w:tcBorders>
              <w:top w:val="single" w:sz="4" w:space="0" w:color="auto"/>
              <w:left w:val="nil"/>
              <w:bottom w:val="single" w:sz="4" w:space="0" w:color="auto"/>
              <w:right w:val="single" w:sz="4" w:space="0" w:color="auto"/>
            </w:tcBorders>
            <w:shd w:val="clear" w:color="auto" w:fill="C6EFCE"/>
            <w:noWrap/>
          </w:tcPr>
          <w:p w14:paraId="4E99DBB5" w14:textId="77777777" w:rsidR="00CB0FCB" w:rsidRDefault="009D2B11">
            <w:pPr>
              <w:pStyle w:val="P68B1DB1-Normal9"/>
              <w:spacing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7F8E9D6B" w14:textId="49A9A3C9" w:rsidR="00CB0FCB" w:rsidRDefault="009D2B11">
            <w:pPr>
              <w:pStyle w:val="P68B1DB1-Normal10"/>
              <w:spacing w:line="240" w:lineRule="auto"/>
              <w:rPr>
                <w:rFonts w:eastAsia="Times New Roman" w:cs="Calibri"/>
                <w:noProof/>
              </w:rPr>
            </w:pPr>
            <w:r>
              <w:rPr>
                <w:noProof/>
              </w:rPr>
              <w:t>Grieķijas Dzelzceļa direktoru padome pieņem daudzgadu programmu ar paredzamajiem stratēģiskajiem ieguldījumiem un uzturēšanas darbiem; līgumiskas vienošanās parakstīšana saskaņā ar ES Direktīvu 34/2022 ar konkrētiem atskaites punktiem un GDR, tostarp attiecībā uz ieguldījumu pabeigšanu galvenajās drošības sistēmās un infrastruktūrās, regulāru uzturēšanu, klientu apmierinātību, darbā pieņemšanas kvalitātes un uzņēmuma korporatīvās pārvaldības stiprināšanu.</w:t>
            </w:r>
          </w:p>
        </w:tc>
      </w:tr>
      <w:tr w:rsidR="00CB0FCB" w14:paraId="05CF0E40"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97501D2" w14:textId="77777777" w:rsidR="00CB0FCB" w:rsidRDefault="009D2B11">
            <w:pPr>
              <w:pStyle w:val="P68B1DB1-Normal9"/>
              <w:spacing w:line="240" w:lineRule="auto"/>
              <w:rPr>
                <w:rFonts w:eastAsia="Times New Roman" w:cs="Calibri"/>
                <w:noProof/>
                <w:szCs w:val="18"/>
              </w:rPr>
            </w:pPr>
            <w:r>
              <w:rPr>
                <w:noProof/>
              </w:rPr>
              <w:t>268c</w:t>
            </w:r>
          </w:p>
        </w:tc>
        <w:tc>
          <w:tcPr>
            <w:tcW w:w="2229" w:type="dxa"/>
            <w:tcBorders>
              <w:top w:val="single" w:sz="4" w:space="0" w:color="auto"/>
              <w:left w:val="nil"/>
              <w:bottom w:val="single" w:sz="4" w:space="0" w:color="auto"/>
              <w:right w:val="single" w:sz="4" w:space="0" w:color="auto"/>
            </w:tcBorders>
            <w:shd w:val="clear" w:color="auto" w:fill="C6EFCE"/>
            <w:noWrap/>
          </w:tcPr>
          <w:p w14:paraId="78D3BEEF"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16982_Organizācijas reforma dzelzceļa nozarē</w:t>
            </w:r>
          </w:p>
          <w:p w14:paraId="6E50DB5F" w14:textId="77777777" w:rsidR="00CB0FCB" w:rsidRDefault="00CB0FCB">
            <w:pPr>
              <w:spacing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2EFCB1CA" w14:textId="77777777" w:rsidR="00CB0FCB" w:rsidRDefault="009D2B11">
            <w:pPr>
              <w:pStyle w:val="P68B1DB1-Normal9"/>
              <w:spacing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2F3D69FA" w14:textId="77777777" w:rsidR="00CB0FCB" w:rsidRDefault="009D2B11">
            <w:pPr>
              <w:pStyle w:val="P68B1DB1-Normal9"/>
              <w:spacing w:line="240" w:lineRule="auto"/>
              <w:rPr>
                <w:rFonts w:eastAsia="Times New Roman" w:cs="Calibri"/>
                <w:noProof/>
                <w:szCs w:val="18"/>
              </w:rPr>
            </w:pPr>
            <w:r>
              <w:rPr>
                <w:noProof/>
              </w:rPr>
              <w:t>Dzelzceļa organizatoriskās reformas pabeigšana</w:t>
            </w:r>
          </w:p>
          <w:p w14:paraId="62175C42" w14:textId="77777777" w:rsidR="00CB0FCB" w:rsidRDefault="00CB0FCB">
            <w:pPr>
              <w:spacing w:line="240" w:lineRule="auto"/>
              <w:rPr>
                <w:rFonts w:eastAsia="Times New Roman" w:cs="Calibri"/>
                <w:noProof/>
                <w:color w:val="006100"/>
                <w:sz w:val="18"/>
                <w:szCs w:val="18"/>
              </w:rPr>
            </w:pPr>
          </w:p>
        </w:tc>
        <w:tc>
          <w:tcPr>
            <w:tcW w:w="2127" w:type="dxa"/>
            <w:tcBorders>
              <w:top w:val="single" w:sz="4" w:space="0" w:color="auto"/>
              <w:left w:val="nil"/>
              <w:bottom w:val="single" w:sz="4" w:space="0" w:color="auto"/>
              <w:right w:val="single" w:sz="4" w:space="0" w:color="auto"/>
            </w:tcBorders>
            <w:shd w:val="clear" w:color="auto" w:fill="C6EFCE"/>
            <w:noWrap/>
          </w:tcPr>
          <w:p w14:paraId="353B31E9" w14:textId="0BFD30E9" w:rsidR="00CB0FCB" w:rsidRDefault="009D2B11">
            <w:pPr>
              <w:pStyle w:val="P68B1DB1-Normal10"/>
              <w:spacing w:line="240" w:lineRule="auto"/>
              <w:rPr>
                <w:noProof/>
              </w:rPr>
            </w:pPr>
            <w:r>
              <w:rPr>
                <w:noProof/>
              </w:rPr>
              <w:t>Ziņojums, kas apstiprina Grieķijas dzelzceļa pilnīgu ekspluatāciju</w:t>
            </w:r>
          </w:p>
        </w:tc>
        <w:tc>
          <w:tcPr>
            <w:tcW w:w="992" w:type="dxa"/>
            <w:tcBorders>
              <w:top w:val="single" w:sz="4" w:space="0" w:color="auto"/>
              <w:left w:val="nil"/>
              <w:bottom w:val="single" w:sz="4" w:space="0" w:color="auto"/>
              <w:right w:val="single" w:sz="4" w:space="0" w:color="auto"/>
            </w:tcBorders>
            <w:shd w:val="clear" w:color="auto" w:fill="C6EFCE"/>
            <w:noWrap/>
          </w:tcPr>
          <w:p w14:paraId="3AF67AA2" w14:textId="77777777" w:rsidR="00CB0FCB" w:rsidRDefault="00CB0FCB">
            <w:pPr>
              <w:spacing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CCB5B2A" w14:textId="77777777" w:rsidR="00CB0FCB" w:rsidRDefault="00CB0FCB">
            <w:pPr>
              <w:spacing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0752A95" w14:textId="77777777" w:rsidR="00CB0FCB" w:rsidRDefault="00CB0FCB">
            <w:pPr>
              <w:spacing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9EF652D" w14:textId="77777777" w:rsidR="00CB0FCB" w:rsidRDefault="009D2B11">
            <w:pPr>
              <w:pStyle w:val="P68B1DB1-Normal9"/>
              <w:spacing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20096164" w14:textId="77777777" w:rsidR="00CB0FCB" w:rsidRDefault="009D2B11">
            <w:pPr>
              <w:pStyle w:val="P68B1DB1-Normal9"/>
              <w:spacing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22E9FE57" w14:textId="0B4A1AC9" w:rsidR="00CB0FCB" w:rsidRDefault="009D2B11">
            <w:pPr>
              <w:pStyle w:val="P68B1DB1-Normal10"/>
              <w:spacing w:line="240" w:lineRule="auto"/>
              <w:rPr>
                <w:rFonts w:eastAsia="Times New Roman" w:cs="Calibri"/>
                <w:noProof/>
              </w:rPr>
            </w:pPr>
            <w:r>
              <w:rPr>
                <w:noProof/>
              </w:rPr>
              <w:t>Organizatoriskās reformas pabeigšana dzelzceļa nozarē. Jaunais apvienotais dzelzceļa infrastruktūras uzņēmums sāk pilnībā darboties.</w:t>
            </w:r>
          </w:p>
        </w:tc>
      </w:tr>
      <w:tr w:rsidR="00CB0FCB" w14:paraId="1E79EC0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3625B07" w14:textId="77777777" w:rsidR="00CB0FCB" w:rsidRDefault="009D2B11">
            <w:pPr>
              <w:pStyle w:val="P68B1DB1-Normal9"/>
              <w:spacing w:after="0" w:line="240" w:lineRule="auto"/>
              <w:rPr>
                <w:rFonts w:eastAsia="Times New Roman" w:cs="Calibri"/>
                <w:noProof/>
                <w:szCs w:val="18"/>
              </w:rPr>
            </w:pPr>
            <w:r>
              <w:rPr>
                <w:noProof/>
              </w:rPr>
              <w:t>269</w:t>
            </w:r>
          </w:p>
        </w:tc>
        <w:tc>
          <w:tcPr>
            <w:tcW w:w="2229" w:type="dxa"/>
            <w:tcBorders>
              <w:top w:val="single" w:sz="4" w:space="0" w:color="auto"/>
              <w:left w:val="nil"/>
              <w:bottom w:val="single" w:sz="4" w:space="0" w:color="auto"/>
              <w:right w:val="single" w:sz="4" w:space="0" w:color="auto"/>
            </w:tcBorders>
            <w:shd w:val="clear" w:color="auto" w:fill="C6EFCE"/>
            <w:noWrap/>
          </w:tcPr>
          <w:p w14:paraId="1F4B1B13" w14:textId="77777777" w:rsidR="00CB0FCB" w:rsidRDefault="009D2B11">
            <w:pPr>
              <w:pStyle w:val="P68B1DB1-Normal9"/>
              <w:spacing w:after="0" w:line="240" w:lineRule="auto"/>
              <w:rPr>
                <w:rFonts w:eastAsia="Times New Roman" w:cs="Calibri"/>
                <w:noProof/>
                <w:szCs w:val="18"/>
              </w:rPr>
            </w:pPr>
            <w:r>
              <w:rPr>
                <w:noProof/>
              </w:rPr>
              <w:t xml:space="preserve">17–4.6. Modernizēt un uzlabot galveno ekonomikas nozaru noturību — </w:t>
            </w:r>
          </w:p>
          <w:p w14:paraId="1F5A6160" w14:textId="77777777" w:rsidR="00CB0FCB" w:rsidRDefault="009D2B11">
            <w:pPr>
              <w:pStyle w:val="P68B1DB1-Normal9"/>
              <w:spacing w:after="0" w:line="240" w:lineRule="auto"/>
              <w:rPr>
                <w:rFonts w:eastAsia="Times New Roman" w:cs="Calibri"/>
                <w:noProof/>
                <w:szCs w:val="18"/>
              </w:rPr>
            </w:pPr>
            <w:r>
              <w:rPr>
                <w:noProof/>
              </w:rPr>
              <w:t>16833_EASA atbilstības labošanas darbu īstenošana</w:t>
            </w:r>
          </w:p>
        </w:tc>
        <w:tc>
          <w:tcPr>
            <w:tcW w:w="1134" w:type="dxa"/>
            <w:tcBorders>
              <w:top w:val="single" w:sz="4" w:space="0" w:color="auto"/>
              <w:left w:val="nil"/>
              <w:bottom w:val="single" w:sz="4" w:space="0" w:color="auto"/>
              <w:right w:val="single" w:sz="4" w:space="0" w:color="auto"/>
            </w:tcBorders>
            <w:shd w:val="clear" w:color="auto" w:fill="C6EFCE"/>
            <w:noWrap/>
          </w:tcPr>
          <w:p w14:paraId="69565F9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319D004A" w14:textId="3534916A" w:rsidR="00CB0FCB" w:rsidRDefault="009D2B11">
            <w:pPr>
              <w:pStyle w:val="P68B1DB1-Normal10"/>
              <w:spacing w:after="0" w:line="240" w:lineRule="auto"/>
              <w:rPr>
                <w:rFonts w:eastAsia="Times New Roman" w:cs="Calibri"/>
                <w:noProof/>
              </w:rPr>
            </w:pPr>
            <w:r>
              <w:rPr>
                <w:noProof/>
              </w:rPr>
              <w:t xml:space="preserve">EASA atbilstības labošanas darbu pabeigšana </w:t>
            </w:r>
          </w:p>
        </w:tc>
        <w:tc>
          <w:tcPr>
            <w:tcW w:w="2127" w:type="dxa"/>
            <w:tcBorders>
              <w:top w:val="single" w:sz="4" w:space="0" w:color="auto"/>
              <w:left w:val="nil"/>
              <w:bottom w:val="single" w:sz="4" w:space="0" w:color="auto"/>
              <w:right w:val="single" w:sz="4" w:space="0" w:color="auto"/>
            </w:tcBorders>
            <w:shd w:val="clear" w:color="auto" w:fill="C6EFCE"/>
            <w:noWrap/>
          </w:tcPr>
          <w:p w14:paraId="6F20DCB7" w14:textId="34F25714" w:rsidR="00CB0FCB" w:rsidRDefault="009D2B11">
            <w:pPr>
              <w:pStyle w:val="P68B1DB1-Normal10"/>
              <w:spacing w:after="0" w:line="240" w:lineRule="auto"/>
              <w:rPr>
                <w:noProof/>
              </w:rPr>
            </w:pPr>
            <w:r>
              <w:rPr>
                <w:noProof/>
              </w:rPr>
              <w:t>Grieķijas Civilās aviācijas iestādes (HCAA) lēmumi par 169 noviržu pieņemšanas un rīcības dokumentu (DAAD) atsaukšanu</w:t>
            </w:r>
          </w:p>
        </w:tc>
        <w:tc>
          <w:tcPr>
            <w:tcW w:w="992" w:type="dxa"/>
            <w:tcBorders>
              <w:top w:val="single" w:sz="4" w:space="0" w:color="auto"/>
              <w:left w:val="nil"/>
              <w:bottom w:val="single" w:sz="4" w:space="0" w:color="auto"/>
              <w:right w:val="single" w:sz="4" w:space="0" w:color="auto"/>
            </w:tcBorders>
            <w:shd w:val="clear" w:color="auto" w:fill="C6EFCE"/>
            <w:noWrap/>
          </w:tcPr>
          <w:p w14:paraId="5AC03D68"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C00B266"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61C8B0F2"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B390F19"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07053476"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6DBA4870" w14:textId="76DDF6E4" w:rsidR="00CB0FCB" w:rsidRDefault="009D2B11">
            <w:pPr>
              <w:pStyle w:val="P68B1DB1-Normal10"/>
              <w:spacing w:after="0" w:line="240" w:lineRule="auto"/>
              <w:rPr>
                <w:rFonts w:eastAsia="Times New Roman" w:cs="Calibri"/>
                <w:noProof/>
              </w:rPr>
            </w:pPr>
            <w:r>
              <w:rPr>
                <w:noProof/>
              </w:rPr>
              <w:t>Visus labošanas darbus 13 lidostu pašreizējās robežās pabeidz un attiecīgos novirzes pieņemšanas un rīcības dokumentus (DAAD) atsauc ar Grieķijas Civilās aviācijas iestādes (HCAA) lēmumiem.</w:t>
            </w:r>
          </w:p>
        </w:tc>
      </w:tr>
      <w:tr w:rsidR="00CB0FCB" w14:paraId="47B834D1"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660550E" w14:textId="77777777" w:rsidR="00CB0FCB" w:rsidRDefault="009D2B11">
            <w:pPr>
              <w:pStyle w:val="P68B1DB1-Normal9"/>
              <w:spacing w:after="0" w:line="240" w:lineRule="auto"/>
              <w:rPr>
                <w:rFonts w:eastAsia="Times New Roman" w:cs="Calibri"/>
                <w:noProof/>
                <w:szCs w:val="18"/>
              </w:rPr>
            </w:pPr>
            <w:r>
              <w:rPr>
                <w:noProof/>
              </w:rPr>
              <w:t>271</w:t>
            </w:r>
          </w:p>
        </w:tc>
        <w:tc>
          <w:tcPr>
            <w:tcW w:w="2229" w:type="dxa"/>
            <w:tcBorders>
              <w:top w:val="single" w:sz="4" w:space="0" w:color="auto"/>
              <w:left w:val="nil"/>
              <w:bottom w:val="single" w:sz="4" w:space="0" w:color="auto"/>
              <w:right w:val="single" w:sz="4" w:space="0" w:color="auto"/>
            </w:tcBorders>
            <w:shd w:val="clear" w:color="auto" w:fill="C6EFCE"/>
            <w:noWrap/>
          </w:tcPr>
          <w:p w14:paraId="78ABE0BC" w14:textId="77777777" w:rsidR="00CB0FCB" w:rsidRDefault="009D2B11">
            <w:pPr>
              <w:pStyle w:val="P68B1DB1-Normal9"/>
              <w:spacing w:after="0" w:line="240" w:lineRule="auto"/>
              <w:rPr>
                <w:rFonts w:eastAsia="Times New Roman"/>
                <w:noProof/>
                <w:szCs w:val="18"/>
                <w:highlight w:val="yellow"/>
              </w:rPr>
            </w:pPr>
            <w:r>
              <w:rPr>
                <w:noProof/>
              </w:rPr>
              <w:t>17–4.6. Modernizēt un uzlabot galveno ekonomikas nozaru noturību — 16892_RietumAtikas piepilsētas dzelzceļa modernizācija</w:t>
            </w:r>
          </w:p>
        </w:tc>
        <w:tc>
          <w:tcPr>
            <w:tcW w:w="1134" w:type="dxa"/>
            <w:tcBorders>
              <w:top w:val="single" w:sz="4" w:space="0" w:color="auto"/>
              <w:left w:val="nil"/>
              <w:bottom w:val="single" w:sz="4" w:space="0" w:color="auto"/>
              <w:right w:val="single" w:sz="4" w:space="0" w:color="auto"/>
            </w:tcBorders>
            <w:shd w:val="clear" w:color="auto" w:fill="C6EFCE"/>
            <w:noWrap/>
          </w:tcPr>
          <w:p w14:paraId="74D986A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580FA655" w14:textId="0A23A3C3" w:rsidR="00CB0FCB" w:rsidRDefault="009D2B11">
            <w:pPr>
              <w:pStyle w:val="P68B1DB1-Normal30"/>
              <w:spacing w:after="0" w:line="240" w:lineRule="auto"/>
              <w:rPr>
                <w:rFonts w:ascii="Times New Roman" w:hAnsi="Times New Roman"/>
                <w:noProof/>
                <w:sz w:val="24"/>
                <w:szCs w:val="24"/>
              </w:rPr>
            </w:pPr>
            <w:r>
              <w:rPr>
                <w:noProof/>
              </w:rPr>
              <w:t>Atikas rietumu daļas pabeigšana no Ano Liossia līdz posma sākumam ELPE Elefsina un no ELPE Elefsina posma beigām līdz jaunajai Megara stacijai</w:t>
            </w:r>
          </w:p>
        </w:tc>
        <w:tc>
          <w:tcPr>
            <w:tcW w:w="2127" w:type="dxa"/>
            <w:tcBorders>
              <w:top w:val="single" w:sz="4" w:space="0" w:color="auto"/>
              <w:left w:val="nil"/>
              <w:bottom w:val="single" w:sz="4" w:space="0" w:color="auto"/>
              <w:right w:val="single" w:sz="4" w:space="0" w:color="auto"/>
            </w:tcBorders>
            <w:shd w:val="clear" w:color="auto" w:fill="C6EFCE"/>
            <w:noWrap/>
          </w:tcPr>
          <w:p w14:paraId="6B6CF9D8" w14:textId="3C557360" w:rsidR="00CB0FCB" w:rsidRDefault="009D2B11">
            <w:pPr>
              <w:pStyle w:val="P68B1DB1-Normal10"/>
              <w:spacing w:after="0" w:line="240" w:lineRule="auto"/>
              <w:rPr>
                <w:noProof/>
              </w:rPr>
            </w:pPr>
            <w:r>
              <w:rPr>
                <w:noProof/>
              </w:rPr>
              <w:t>Darbu pabeigšana</w:t>
            </w:r>
          </w:p>
        </w:tc>
        <w:tc>
          <w:tcPr>
            <w:tcW w:w="992" w:type="dxa"/>
            <w:tcBorders>
              <w:top w:val="single" w:sz="4" w:space="0" w:color="auto"/>
              <w:left w:val="nil"/>
              <w:bottom w:val="single" w:sz="4" w:space="0" w:color="auto"/>
              <w:right w:val="single" w:sz="4" w:space="0" w:color="auto"/>
            </w:tcBorders>
            <w:shd w:val="clear" w:color="auto" w:fill="C6EFCE"/>
            <w:noWrap/>
          </w:tcPr>
          <w:p w14:paraId="4EB9D40C"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A089E82"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7B5CC60"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46E4EFA"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36D886F7"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2BBE89C6" w14:textId="35380F1B" w:rsidR="00CB0FCB" w:rsidRDefault="009D2B11">
            <w:pPr>
              <w:spacing w:after="0" w:line="240" w:lineRule="auto"/>
              <w:rPr>
                <w:rFonts w:eastAsia="Times New Roman" w:cs="Calibri"/>
                <w:noProof/>
                <w:color w:val="006100"/>
                <w:sz w:val="18"/>
                <w:szCs w:val="18"/>
              </w:rPr>
            </w:pPr>
            <w:r>
              <w:rPr>
                <w:noProof/>
                <w:color w:val="006100"/>
                <w:sz w:val="18"/>
                <w:szCs w:val="18"/>
              </w:rPr>
              <w:t>Infrastruktūras un virsbūves darbu, elektrifikācijas, signalizācijas un telekomunikāciju sistēmu (izņemot pasažieru informācijas sistēmas PIS) pabeigšana Atikas rietumu piepilsētas dzelzceļa daļā</w:t>
            </w:r>
            <w:r>
              <w:rPr>
                <w:rFonts w:ascii="Times New Roman" w:hAnsi="Times New Roman"/>
                <w:noProof/>
                <w:sz w:val="24"/>
                <w:szCs w:val="24"/>
              </w:rPr>
              <w:t xml:space="preserve"> </w:t>
            </w:r>
            <w:r>
              <w:rPr>
                <w:noProof/>
                <w:color w:val="006100"/>
                <w:sz w:val="18"/>
                <w:szCs w:val="18"/>
              </w:rPr>
              <w:t xml:space="preserve">no Ano Liossia līdz </w:t>
            </w:r>
            <w:r>
              <w:rPr>
                <w:rFonts w:asciiTheme="minorHAnsi" w:eastAsiaTheme="minorEastAsia" w:hAnsiTheme="minorHAnsi" w:cstheme="minorBidi"/>
                <w:noProof/>
                <w:color w:val="006100"/>
                <w:sz w:val="18"/>
                <w:szCs w:val="18"/>
              </w:rPr>
              <w:t xml:space="preserve">posma sākumam ELPE Elefsina un no ELPE Elefsina posma beigām līdz jaunajai </w:t>
            </w:r>
            <w:r>
              <w:rPr>
                <w:noProof/>
                <w:color w:val="006100"/>
                <w:sz w:val="18"/>
                <w:szCs w:val="18"/>
              </w:rPr>
              <w:t xml:space="preserve">Megara stacijai. </w:t>
            </w:r>
          </w:p>
        </w:tc>
      </w:tr>
      <w:tr w:rsidR="00CB0FCB" w14:paraId="7DF54C7F" w14:textId="77777777">
        <w:trPr>
          <w:trHeight w:val="796"/>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0CEFF23" w14:textId="77777777" w:rsidR="00CB0FCB" w:rsidRDefault="009D2B11">
            <w:pPr>
              <w:pStyle w:val="P68B1DB1-Normal9"/>
              <w:spacing w:after="0" w:line="240" w:lineRule="auto"/>
              <w:rPr>
                <w:rFonts w:eastAsia="Times New Roman" w:cs="Calibri"/>
                <w:noProof/>
                <w:szCs w:val="18"/>
              </w:rPr>
            </w:pPr>
            <w:r>
              <w:rPr>
                <w:noProof/>
              </w:rPr>
              <w:t>272</w:t>
            </w:r>
          </w:p>
        </w:tc>
        <w:tc>
          <w:tcPr>
            <w:tcW w:w="2229" w:type="dxa"/>
            <w:tcBorders>
              <w:top w:val="single" w:sz="4" w:space="0" w:color="auto"/>
              <w:left w:val="nil"/>
              <w:bottom w:val="single" w:sz="4" w:space="0" w:color="auto"/>
              <w:right w:val="single" w:sz="4" w:space="0" w:color="auto"/>
            </w:tcBorders>
            <w:shd w:val="clear" w:color="auto" w:fill="C6EFCE"/>
            <w:noWrap/>
          </w:tcPr>
          <w:p w14:paraId="70E828EA" w14:textId="4BE571F0"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16949_Viedie tilti</w:t>
            </w:r>
          </w:p>
        </w:tc>
        <w:tc>
          <w:tcPr>
            <w:tcW w:w="1134" w:type="dxa"/>
            <w:tcBorders>
              <w:top w:val="single" w:sz="4" w:space="0" w:color="auto"/>
              <w:left w:val="nil"/>
              <w:bottom w:val="single" w:sz="4" w:space="0" w:color="auto"/>
              <w:right w:val="single" w:sz="4" w:space="0" w:color="auto"/>
            </w:tcBorders>
            <w:shd w:val="clear" w:color="auto" w:fill="C6EFCE"/>
            <w:noWrap/>
          </w:tcPr>
          <w:p w14:paraId="157681E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7E628682" w14:textId="77777777" w:rsidR="00CB0FCB" w:rsidRDefault="009D2B11">
            <w:pPr>
              <w:pStyle w:val="P68B1DB1-Normal9"/>
              <w:spacing w:after="0" w:line="240" w:lineRule="auto"/>
              <w:rPr>
                <w:rFonts w:eastAsia="Times New Roman" w:cs="Calibri"/>
                <w:noProof/>
                <w:szCs w:val="18"/>
              </w:rPr>
            </w:pPr>
            <w:r>
              <w:rPr>
                <w:noProof/>
              </w:rPr>
              <w:t>Viedo tiltu projekta I posma pabeigšana</w:t>
            </w:r>
          </w:p>
        </w:tc>
        <w:tc>
          <w:tcPr>
            <w:tcW w:w="2127" w:type="dxa"/>
            <w:tcBorders>
              <w:top w:val="single" w:sz="4" w:space="0" w:color="auto"/>
              <w:left w:val="nil"/>
              <w:bottom w:val="single" w:sz="4" w:space="0" w:color="auto"/>
              <w:right w:val="single" w:sz="4" w:space="0" w:color="auto"/>
            </w:tcBorders>
            <w:shd w:val="clear" w:color="auto" w:fill="C6EFCE"/>
            <w:noWrap/>
          </w:tcPr>
          <w:p w14:paraId="24CF1247" w14:textId="3F0B8334" w:rsidR="00CB0FCB" w:rsidRDefault="009D2B11">
            <w:pPr>
              <w:pStyle w:val="P68B1DB1-Normal9"/>
              <w:spacing w:after="0" w:line="240" w:lineRule="auto"/>
              <w:rPr>
                <w:rFonts w:eastAsia="Times New Roman" w:cs="Calibri"/>
                <w:noProof/>
                <w:szCs w:val="18"/>
              </w:rPr>
            </w:pPr>
            <w:r>
              <w:rPr>
                <w:noProof/>
              </w:rPr>
              <w:t>Darbu pabeigšana</w:t>
            </w:r>
          </w:p>
        </w:tc>
        <w:tc>
          <w:tcPr>
            <w:tcW w:w="992" w:type="dxa"/>
            <w:tcBorders>
              <w:top w:val="single" w:sz="4" w:space="0" w:color="auto"/>
              <w:left w:val="nil"/>
              <w:bottom w:val="single" w:sz="4" w:space="0" w:color="auto"/>
              <w:right w:val="single" w:sz="4" w:space="0" w:color="auto"/>
            </w:tcBorders>
            <w:shd w:val="clear" w:color="auto" w:fill="C6EFCE"/>
            <w:noWrap/>
          </w:tcPr>
          <w:p w14:paraId="36FCFABF"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22C39C5"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15B0FFE1"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2550EE3"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5429047D"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449E0A13" w14:textId="77777777" w:rsidR="00CB0FCB" w:rsidRDefault="009D2B11">
            <w:pPr>
              <w:pStyle w:val="P68B1DB1-Normal9"/>
              <w:spacing w:after="0" w:line="240" w:lineRule="auto"/>
              <w:rPr>
                <w:rFonts w:eastAsia="Times New Roman" w:cs="Calibri"/>
                <w:noProof/>
                <w:szCs w:val="18"/>
              </w:rPr>
            </w:pPr>
            <w:r>
              <w:rPr>
                <w:noProof/>
              </w:rPr>
              <w:t>Apakšgrupa: Viedo tiltu projekta I posma pabeigšana, nodrošinot intelektiskus profilaktiskus tiltu uzturēšanas pakalpojumus vairākos valsts reģionos.</w:t>
            </w:r>
          </w:p>
        </w:tc>
      </w:tr>
      <w:tr w:rsidR="00CB0FCB" w14:paraId="37A4843D"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6849CEC" w14:textId="77777777" w:rsidR="00CB0FCB" w:rsidRDefault="009D2B11">
            <w:pPr>
              <w:pStyle w:val="P68B1DB1-Normal9"/>
              <w:spacing w:after="0" w:line="240" w:lineRule="auto"/>
              <w:rPr>
                <w:rFonts w:eastAsia="Times New Roman" w:cs="Calibri"/>
                <w:noProof/>
                <w:szCs w:val="18"/>
              </w:rPr>
            </w:pPr>
            <w:r>
              <w:rPr>
                <w:noProof/>
              </w:rPr>
              <w:t>272a</w:t>
            </w:r>
          </w:p>
        </w:tc>
        <w:tc>
          <w:tcPr>
            <w:tcW w:w="2229" w:type="dxa"/>
            <w:tcBorders>
              <w:top w:val="single" w:sz="4" w:space="0" w:color="auto"/>
              <w:left w:val="nil"/>
              <w:bottom w:val="single" w:sz="4" w:space="0" w:color="auto"/>
              <w:right w:val="single" w:sz="4" w:space="0" w:color="auto"/>
            </w:tcBorders>
            <w:shd w:val="clear" w:color="auto" w:fill="C6EFCE"/>
            <w:noWrap/>
          </w:tcPr>
          <w:p w14:paraId="4BFBDD02" w14:textId="37B52C98"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16949_Viedie tilti</w:t>
            </w:r>
          </w:p>
        </w:tc>
        <w:tc>
          <w:tcPr>
            <w:tcW w:w="1134" w:type="dxa"/>
            <w:tcBorders>
              <w:top w:val="single" w:sz="4" w:space="0" w:color="auto"/>
              <w:left w:val="nil"/>
              <w:bottom w:val="single" w:sz="4" w:space="0" w:color="auto"/>
              <w:right w:val="single" w:sz="4" w:space="0" w:color="auto"/>
            </w:tcBorders>
            <w:shd w:val="clear" w:color="auto" w:fill="C6EFCE"/>
            <w:noWrap/>
          </w:tcPr>
          <w:p w14:paraId="185A653A"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5EEA3131" w14:textId="77777777" w:rsidR="00CB0FCB" w:rsidRDefault="009D2B11">
            <w:pPr>
              <w:pStyle w:val="P68B1DB1-Normal9"/>
              <w:spacing w:after="0" w:line="240" w:lineRule="auto"/>
              <w:rPr>
                <w:rFonts w:eastAsia="Times New Roman" w:cs="Calibri"/>
                <w:noProof/>
                <w:szCs w:val="18"/>
              </w:rPr>
            </w:pPr>
            <w:r>
              <w:rPr>
                <w:noProof/>
              </w:rPr>
              <w:t>Viedo tiltu projekta pabeigšana II posmā</w:t>
            </w:r>
          </w:p>
        </w:tc>
        <w:tc>
          <w:tcPr>
            <w:tcW w:w="2127" w:type="dxa"/>
            <w:tcBorders>
              <w:top w:val="single" w:sz="4" w:space="0" w:color="auto"/>
              <w:left w:val="nil"/>
              <w:bottom w:val="single" w:sz="4" w:space="0" w:color="auto"/>
              <w:right w:val="single" w:sz="4" w:space="0" w:color="auto"/>
            </w:tcBorders>
            <w:shd w:val="clear" w:color="auto" w:fill="C6EFCE"/>
            <w:noWrap/>
          </w:tcPr>
          <w:p w14:paraId="596E1DCF" w14:textId="142EF3C9" w:rsidR="00CB0FCB" w:rsidRDefault="009D2B11">
            <w:pPr>
              <w:pStyle w:val="P68B1DB1-Normal9"/>
              <w:spacing w:after="0" w:line="240" w:lineRule="auto"/>
              <w:rPr>
                <w:rFonts w:eastAsia="Times New Roman" w:cs="Calibri"/>
                <w:noProof/>
                <w:szCs w:val="18"/>
              </w:rPr>
            </w:pPr>
            <w:r>
              <w:rPr>
                <w:noProof/>
              </w:rPr>
              <w:t xml:space="preserve">Darbu pabeigšana </w:t>
            </w:r>
          </w:p>
        </w:tc>
        <w:tc>
          <w:tcPr>
            <w:tcW w:w="992" w:type="dxa"/>
            <w:tcBorders>
              <w:top w:val="single" w:sz="4" w:space="0" w:color="auto"/>
              <w:left w:val="nil"/>
              <w:bottom w:val="single" w:sz="4" w:space="0" w:color="auto"/>
              <w:right w:val="single" w:sz="4" w:space="0" w:color="auto"/>
            </w:tcBorders>
            <w:shd w:val="clear" w:color="auto" w:fill="C6EFCE"/>
            <w:noWrap/>
          </w:tcPr>
          <w:p w14:paraId="707A7573"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4F8A228"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7171A93A"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07607F6" w14:textId="77777777" w:rsidR="00CB0FCB" w:rsidRDefault="009D2B11">
            <w:pPr>
              <w:pStyle w:val="P68B1DB1-Normal9"/>
              <w:spacing w:after="0" w:line="240" w:lineRule="auto"/>
              <w:rPr>
                <w:rFonts w:eastAsia="Times New Roman" w:cs="Calibri"/>
                <w:noProof/>
                <w:szCs w:val="18"/>
              </w:rPr>
            </w:pPr>
            <w:r>
              <w:rPr>
                <w:noProof/>
              </w:rPr>
              <w:t>CET.</w:t>
            </w:r>
          </w:p>
        </w:tc>
        <w:tc>
          <w:tcPr>
            <w:tcW w:w="713" w:type="dxa"/>
            <w:tcBorders>
              <w:top w:val="single" w:sz="4" w:space="0" w:color="auto"/>
              <w:left w:val="nil"/>
              <w:bottom w:val="single" w:sz="4" w:space="0" w:color="auto"/>
              <w:right w:val="single" w:sz="4" w:space="0" w:color="auto"/>
            </w:tcBorders>
            <w:shd w:val="clear" w:color="auto" w:fill="C6EFCE"/>
            <w:noWrap/>
          </w:tcPr>
          <w:p w14:paraId="3B1C45CE"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46AEB6B8" w14:textId="77777777" w:rsidR="00CB0FCB" w:rsidRDefault="009D2B11">
            <w:pPr>
              <w:pStyle w:val="P68B1DB1-Normal9"/>
              <w:spacing w:after="0" w:line="240" w:lineRule="auto"/>
              <w:rPr>
                <w:rFonts w:eastAsia="Times New Roman" w:cs="Calibri"/>
                <w:noProof/>
                <w:szCs w:val="18"/>
              </w:rPr>
            </w:pPr>
            <w:r>
              <w:rPr>
                <w:noProof/>
              </w:rPr>
              <w:t xml:space="preserve">Viedo tiltu projekta pabeigšana II posmā, nodrošinot tiltus ar bezvadu sensoriem, ko darbina saules enerģijas paneļi. </w:t>
            </w:r>
          </w:p>
        </w:tc>
      </w:tr>
      <w:tr w:rsidR="00CB0FCB" w14:paraId="25FCFD1F"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D71F85E" w14:textId="77777777" w:rsidR="00CB0FCB" w:rsidRDefault="009D2B11">
            <w:pPr>
              <w:pStyle w:val="P68B1DB1-Normal9"/>
              <w:spacing w:after="0" w:line="240" w:lineRule="auto"/>
              <w:rPr>
                <w:rFonts w:eastAsia="Times New Roman" w:cs="Calibri"/>
                <w:noProof/>
                <w:szCs w:val="18"/>
              </w:rPr>
            </w:pPr>
            <w:r>
              <w:rPr>
                <w:noProof/>
              </w:rPr>
              <w:t>274</w:t>
            </w:r>
          </w:p>
        </w:tc>
        <w:tc>
          <w:tcPr>
            <w:tcW w:w="2229" w:type="dxa"/>
            <w:tcBorders>
              <w:top w:val="single" w:sz="4" w:space="0" w:color="auto"/>
              <w:left w:val="nil"/>
              <w:bottom w:val="single" w:sz="4" w:space="0" w:color="auto"/>
              <w:right w:val="single" w:sz="4" w:space="0" w:color="auto"/>
            </w:tcBorders>
            <w:shd w:val="clear" w:color="auto" w:fill="C6EFCE"/>
            <w:noWrap/>
          </w:tcPr>
          <w:p w14:paraId="585210AE"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16959_Grieķijas Dzelzceļa organizācijas digitālā pārveide</w:t>
            </w:r>
          </w:p>
        </w:tc>
        <w:tc>
          <w:tcPr>
            <w:tcW w:w="1134" w:type="dxa"/>
            <w:tcBorders>
              <w:top w:val="single" w:sz="4" w:space="0" w:color="auto"/>
              <w:left w:val="nil"/>
              <w:bottom w:val="single" w:sz="4" w:space="0" w:color="auto"/>
              <w:right w:val="single" w:sz="4" w:space="0" w:color="auto"/>
            </w:tcBorders>
            <w:shd w:val="clear" w:color="auto" w:fill="C6EFCE"/>
            <w:noWrap/>
          </w:tcPr>
          <w:p w14:paraId="5F56B79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1CCD96D6" w14:textId="77777777" w:rsidR="00CB0FCB" w:rsidRDefault="009D2B11">
            <w:pPr>
              <w:pStyle w:val="P68B1DB1-Normal9"/>
              <w:spacing w:after="0" w:line="240" w:lineRule="auto"/>
              <w:rPr>
                <w:rFonts w:eastAsia="Times New Roman" w:cs="Calibri"/>
                <w:noProof/>
                <w:szCs w:val="18"/>
              </w:rPr>
            </w:pPr>
            <w:r>
              <w:rPr>
                <w:noProof/>
              </w:rPr>
              <w:t>OSE projekta digitālās pārveides pabeigšana</w:t>
            </w:r>
          </w:p>
        </w:tc>
        <w:tc>
          <w:tcPr>
            <w:tcW w:w="2127" w:type="dxa"/>
            <w:tcBorders>
              <w:top w:val="single" w:sz="4" w:space="0" w:color="auto"/>
              <w:left w:val="nil"/>
              <w:bottom w:val="single" w:sz="4" w:space="0" w:color="auto"/>
              <w:right w:val="single" w:sz="4" w:space="0" w:color="auto"/>
            </w:tcBorders>
            <w:shd w:val="clear" w:color="auto" w:fill="C6EFCE"/>
            <w:noWrap/>
          </w:tcPr>
          <w:p w14:paraId="16206311" w14:textId="77777777" w:rsidR="00CB0FCB" w:rsidRDefault="009D2B11">
            <w:pPr>
              <w:pStyle w:val="P68B1DB1-Normal9"/>
              <w:spacing w:after="0" w:line="240" w:lineRule="auto"/>
              <w:rPr>
                <w:rFonts w:eastAsia="Times New Roman" w:cs="Calibri"/>
                <w:noProof/>
                <w:szCs w:val="18"/>
              </w:rPr>
            </w:pPr>
            <w:r>
              <w:rPr>
                <w:noProof/>
              </w:rPr>
              <w:t>OSE noslēguma ziņojums.</w:t>
            </w:r>
          </w:p>
          <w:p w14:paraId="7385360D" w14:textId="77777777" w:rsidR="00CB0FCB" w:rsidRDefault="00CB0FCB">
            <w:pPr>
              <w:spacing w:after="0" w:line="240" w:lineRule="auto"/>
              <w:rPr>
                <w:rFonts w:eastAsia="Times New Roman" w:cs="Calibri"/>
                <w:noProof/>
                <w:color w:val="006100"/>
                <w:sz w:val="18"/>
                <w:szCs w:val="18"/>
              </w:rPr>
            </w:pPr>
          </w:p>
          <w:p w14:paraId="58777760"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A2B7204"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FC202FA"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00F93705"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3C07A94"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3A2B6FB6"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2F69665F" w14:textId="77777777" w:rsidR="00CB0FCB" w:rsidRDefault="009D2B11">
            <w:pPr>
              <w:pStyle w:val="P68B1DB1-Normal9"/>
              <w:spacing w:after="0" w:line="240" w:lineRule="auto"/>
              <w:rPr>
                <w:rFonts w:eastAsia="Times New Roman" w:cs="Calibri"/>
                <w:noProof/>
                <w:szCs w:val="18"/>
              </w:rPr>
            </w:pPr>
            <w:r>
              <w:rPr>
                <w:noProof/>
              </w:rPr>
              <w:t xml:space="preserve">OSE digitalizācijas projekta pabeigšana: </w:t>
            </w:r>
          </w:p>
          <w:p w14:paraId="79890866" w14:textId="684B354B" w:rsidR="00CB0FCB" w:rsidRDefault="009D2B11">
            <w:pPr>
              <w:pStyle w:val="P68B1DB1-Normal10"/>
              <w:spacing w:after="0" w:line="240" w:lineRule="auto"/>
              <w:rPr>
                <w:rFonts w:eastAsia="Times New Roman" w:cs="Calibri"/>
                <w:noProof/>
              </w:rPr>
            </w:pPr>
            <w:r>
              <w:rPr>
                <w:noProof/>
              </w:rPr>
              <w:t>1. Biļešu pārvaldības un telemātikas sistēma;</w:t>
            </w:r>
          </w:p>
          <w:p w14:paraId="1914329C" w14:textId="77777777" w:rsidR="00CB0FCB" w:rsidRDefault="009D2B11">
            <w:pPr>
              <w:pStyle w:val="P68B1DB1-Normal9"/>
              <w:spacing w:after="0" w:line="240" w:lineRule="auto"/>
              <w:rPr>
                <w:rFonts w:eastAsia="Times New Roman" w:cs="Calibri"/>
                <w:noProof/>
                <w:szCs w:val="18"/>
              </w:rPr>
            </w:pPr>
            <w:r>
              <w:rPr>
                <w:noProof/>
              </w:rPr>
              <w:t xml:space="preserve"> 2. Viedo staciju infrastruktūra;</w:t>
            </w:r>
          </w:p>
          <w:p w14:paraId="36E64065" w14:textId="77777777" w:rsidR="00CB0FCB" w:rsidRDefault="009D2B11">
            <w:pPr>
              <w:pStyle w:val="P68B1DB1-Normal9"/>
              <w:spacing w:after="0" w:line="240" w:lineRule="auto"/>
              <w:rPr>
                <w:rFonts w:eastAsia="Times New Roman" w:cs="Calibri"/>
                <w:noProof/>
                <w:szCs w:val="18"/>
              </w:rPr>
            </w:pPr>
            <w:r>
              <w:rPr>
                <w:noProof/>
              </w:rPr>
              <w:t xml:space="preserve"> 3. Klientu pieredzes pakalpojumi;</w:t>
            </w:r>
          </w:p>
          <w:p w14:paraId="3A414599" w14:textId="77777777" w:rsidR="00CB0FCB" w:rsidRDefault="009D2B11">
            <w:pPr>
              <w:pStyle w:val="P68B1DB1-Normal9"/>
              <w:spacing w:after="0" w:line="240" w:lineRule="auto"/>
              <w:rPr>
                <w:rFonts w:eastAsia="Times New Roman" w:cs="Calibri"/>
                <w:noProof/>
                <w:szCs w:val="18"/>
              </w:rPr>
            </w:pPr>
            <w:r>
              <w:rPr>
                <w:noProof/>
              </w:rPr>
              <w:t xml:space="preserve"> 4. Telekomunikāciju tīkla ieviešana un ekspluatācija ātrgaitas internetam vilcienu un staciju tīklā;</w:t>
            </w:r>
          </w:p>
          <w:p w14:paraId="7517CF6D" w14:textId="77777777" w:rsidR="00CB0FCB" w:rsidRDefault="009D2B11">
            <w:pPr>
              <w:pStyle w:val="P68B1DB1-Normal9"/>
              <w:spacing w:after="0" w:line="240" w:lineRule="auto"/>
              <w:rPr>
                <w:rFonts w:eastAsia="Times New Roman" w:cs="Calibri"/>
                <w:noProof/>
                <w:szCs w:val="18"/>
              </w:rPr>
            </w:pPr>
            <w:r>
              <w:rPr>
                <w:noProof/>
              </w:rPr>
              <w:t>5. OSE Transportlīdzekļu telemātikas sistēma</w:t>
            </w:r>
          </w:p>
          <w:p w14:paraId="2D7D886D" w14:textId="28485ED5" w:rsidR="00CB0FCB" w:rsidRDefault="009D2B11">
            <w:pPr>
              <w:pStyle w:val="P68B1DB1-Normal10"/>
              <w:spacing w:after="0" w:line="240" w:lineRule="auto"/>
              <w:rPr>
                <w:rFonts w:eastAsia="Times New Roman" w:cs="Calibri"/>
                <w:noProof/>
              </w:rPr>
            </w:pPr>
            <w:r>
              <w:rPr>
                <w:noProof/>
              </w:rPr>
              <w:t xml:space="preserve"> Uzstādīšanas pakalpojumi; </w:t>
            </w:r>
          </w:p>
          <w:p w14:paraId="1C5C4216" w14:textId="4AF2599D" w:rsidR="00CB0FCB" w:rsidRDefault="009D2B11">
            <w:pPr>
              <w:pStyle w:val="P68B1DB1-Normal10"/>
              <w:spacing w:after="0" w:line="240" w:lineRule="auto"/>
              <w:rPr>
                <w:rFonts w:eastAsia="Times New Roman" w:cs="Calibri"/>
                <w:noProof/>
              </w:rPr>
            </w:pPr>
            <w:r>
              <w:rPr>
                <w:noProof/>
              </w:rPr>
              <w:t>6. Apmācības pakalpojumi; un</w:t>
            </w:r>
          </w:p>
          <w:p w14:paraId="43E792F1" w14:textId="21435AA6" w:rsidR="00CB0FCB" w:rsidRDefault="009D2B11">
            <w:pPr>
              <w:pStyle w:val="P68B1DB1-Normal30"/>
              <w:spacing w:after="0" w:line="240" w:lineRule="auto"/>
              <w:rPr>
                <w:noProof/>
              </w:rPr>
            </w:pPr>
            <w:r>
              <w:rPr>
                <w:noProof/>
              </w:rPr>
              <w:t>7. Drošības infrastruktūras modernizācijas pabeigšana desmit dzelzceļa tuneļos, izmantojot viedās sistēmas.</w:t>
            </w:r>
          </w:p>
        </w:tc>
      </w:tr>
      <w:tr w:rsidR="00CB0FCB" w14:paraId="7F9D61A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587525E" w14:textId="77777777" w:rsidR="00CB0FCB" w:rsidRDefault="009D2B11">
            <w:pPr>
              <w:pStyle w:val="P68B1DB1-Normal9"/>
              <w:spacing w:after="0" w:line="240" w:lineRule="auto"/>
              <w:rPr>
                <w:rFonts w:eastAsia="Times New Roman" w:cs="Calibri"/>
                <w:noProof/>
                <w:szCs w:val="18"/>
              </w:rPr>
            </w:pPr>
            <w:r>
              <w:rPr>
                <w:noProof/>
              </w:rPr>
              <w:t>275</w:t>
            </w:r>
          </w:p>
        </w:tc>
        <w:tc>
          <w:tcPr>
            <w:tcW w:w="2229" w:type="dxa"/>
            <w:tcBorders>
              <w:top w:val="single" w:sz="4" w:space="0" w:color="auto"/>
              <w:left w:val="nil"/>
              <w:bottom w:val="single" w:sz="4" w:space="0" w:color="auto"/>
              <w:right w:val="single" w:sz="4" w:space="0" w:color="auto"/>
            </w:tcBorders>
            <w:shd w:val="clear" w:color="auto" w:fill="C6EFCE"/>
            <w:noWrap/>
          </w:tcPr>
          <w:p w14:paraId="636FE49F"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16960_Vieda infrastruktūra ar uzsvaru uz vidi un kultūru</w:t>
            </w:r>
          </w:p>
        </w:tc>
        <w:tc>
          <w:tcPr>
            <w:tcW w:w="1134" w:type="dxa"/>
            <w:tcBorders>
              <w:top w:val="single" w:sz="4" w:space="0" w:color="auto"/>
              <w:left w:val="nil"/>
              <w:bottom w:val="single" w:sz="4" w:space="0" w:color="auto"/>
              <w:right w:val="single" w:sz="4" w:space="0" w:color="auto"/>
            </w:tcBorders>
            <w:shd w:val="clear" w:color="auto" w:fill="C6EFCE"/>
            <w:noWrap/>
          </w:tcPr>
          <w:p w14:paraId="56A286F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3421B94F" w14:textId="77777777" w:rsidR="00CB0FCB" w:rsidRDefault="009D2B11">
            <w:pPr>
              <w:pStyle w:val="P68B1DB1-Normal9"/>
              <w:spacing w:after="0" w:line="240" w:lineRule="auto"/>
              <w:rPr>
                <w:rFonts w:eastAsia="Times New Roman" w:cs="Calibri"/>
                <w:noProof/>
                <w:szCs w:val="18"/>
              </w:rPr>
            </w:pPr>
            <w:r>
              <w:rPr>
                <w:noProof/>
              </w:rPr>
              <w:t>Viedās infrastruktūras projekta pabeigšana</w:t>
            </w:r>
          </w:p>
        </w:tc>
        <w:tc>
          <w:tcPr>
            <w:tcW w:w="2127" w:type="dxa"/>
            <w:tcBorders>
              <w:top w:val="single" w:sz="4" w:space="0" w:color="auto"/>
              <w:left w:val="nil"/>
              <w:bottom w:val="single" w:sz="4" w:space="0" w:color="auto"/>
              <w:right w:val="single" w:sz="4" w:space="0" w:color="auto"/>
            </w:tcBorders>
            <w:shd w:val="clear" w:color="auto" w:fill="C6EFCE"/>
            <w:noWrap/>
          </w:tcPr>
          <w:p w14:paraId="0CCEC8EB" w14:textId="4AD52E4E" w:rsidR="00CB0FCB" w:rsidRDefault="009D2B11">
            <w:pPr>
              <w:pStyle w:val="P68B1DB1-Normal9"/>
              <w:spacing w:after="0" w:line="240" w:lineRule="auto"/>
              <w:rPr>
                <w:rFonts w:eastAsia="Times New Roman" w:cs="Calibri"/>
                <w:noProof/>
                <w:szCs w:val="18"/>
              </w:rPr>
            </w:pPr>
            <w:r>
              <w:rPr>
                <w:noProof/>
              </w:rPr>
              <w:t>Apakšprojektu pabeigšana</w:t>
            </w:r>
          </w:p>
        </w:tc>
        <w:tc>
          <w:tcPr>
            <w:tcW w:w="992" w:type="dxa"/>
            <w:tcBorders>
              <w:top w:val="single" w:sz="4" w:space="0" w:color="auto"/>
              <w:left w:val="nil"/>
              <w:bottom w:val="single" w:sz="4" w:space="0" w:color="auto"/>
              <w:right w:val="single" w:sz="4" w:space="0" w:color="auto"/>
            </w:tcBorders>
            <w:shd w:val="clear" w:color="auto" w:fill="C6EFCE"/>
            <w:noWrap/>
          </w:tcPr>
          <w:p w14:paraId="73FEA234"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AA1A5FF"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7669D9E9"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5D9BB46"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1CF2618C"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1994E7AB" w14:textId="77777777" w:rsidR="00CB0FCB" w:rsidRDefault="009D2B11">
            <w:pPr>
              <w:pStyle w:val="P68B1DB1-Normal9"/>
              <w:spacing w:after="0" w:line="240" w:lineRule="auto"/>
              <w:rPr>
                <w:rFonts w:eastAsia="Times New Roman" w:cs="Calibri"/>
                <w:noProof/>
                <w:szCs w:val="18"/>
              </w:rPr>
            </w:pPr>
            <w:r>
              <w:rPr>
                <w:noProof/>
              </w:rPr>
              <w:t>Visi pabeigtie apakšprojekti:</w:t>
            </w:r>
          </w:p>
          <w:p w14:paraId="00883A41" w14:textId="77777777" w:rsidR="00CB0FCB" w:rsidRDefault="009D2B11">
            <w:pPr>
              <w:pStyle w:val="P68B1DB1-Normal9"/>
              <w:spacing w:after="0" w:line="240" w:lineRule="auto"/>
              <w:rPr>
                <w:rFonts w:eastAsia="Times New Roman" w:cs="Calibri"/>
                <w:noProof/>
                <w:szCs w:val="18"/>
              </w:rPr>
            </w:pPr>
            <w:r>
              <w:rPr>
                <w:noProof/>
              </w:rPr>
              <w:t>1. Informācijas sistēma ūdensteču norobežošanai, lai veicinātu dabas un bioloģiskās daudzveidības aizsardzību;</w:t>
            </w:r>
          </w:p>
          <w:p w14:paraId="052F8CC2" w14:textId="77777777" w:rsidR="00CB0FCB" w:rsidRDefault="009D2B11">
            <w:pPr>
              <w:pStyle w:val="P68B1DB1-Normal9"/>
              <w:spacing w:after="0" w:line="240" w:lineRule="auto"/>
              <w:rPr>
                <w:rFonts w:eastAsia="Times New Roman" w:cs="Calibri"/>
                <w:noProof/>
                <w:szCs w:val="18"/>
              </w:rPr>
            </w:pPr>
            <w:r>
              <w:rPr>
                <w:noProof/>
              </w:rPr>
              <w:t>2. Digitālā banka partiju relācijas darījumu veidošanai;</w:t>
            </w:r>
          </w:p>
          <w:p w14:paraId="0C37AA59" w14:textId="77777777" w:rsidR="00CB0FCB" w:rsidRDefault="009D2B11">
            <w:pPr>
              <w:pStyle w:val="P68B1DB1-Normal9"/>
              <w:spacing w:after="0" w:line="240" w:lineRule="auto"/>
              <w:rPr>
                <w:rFonts w:eastAsia="Times New Roman" w:cs="Calibri"/>
                <w:noProof/>
                <w:szCs w:val="18"/>
              </w:rPr>
            </w:pPr>
            <w:r>
              <w:rPr>
                <w:noProof/>
              </w:rPr>
              <w:t>3. Vienota digitālā karte;</w:t>
            </w:r>
          </w:p>
          <w:p w14:paraId="4E8EDC53" w14:textId="6F5E565A" w:rsidR="00CB0FCB" w:rsidRDefault="009D2B11">
            <w:pPr>
              <w:pStyle w:val="P68B1DB1-Normal9"/>
              <w:spacing w:after="0" w:line="240" w:lineRule="auto"/>
              <w:rPr>
                <w:rFonts w:eastAsia="Times New Roman" w:cs="Calibri"/>
                <w:noProof/>
                <w:szCs w:val="18"/>
              </w:rPr>
            </w:pPr>
            <w:r>
              <w:rPr>
                <w:noProof/>
              </w:rPr>
              <w:t xml:space="preserve">4. Gaisa piesārņotāju un jūras piesārņojuma digitāla mērīšana un monitorings, lai optimizētu </w:t>
            </w:r>
            <w:r>
              <w:rPr>
                <w:rFonts w:eastAsia="Times New Roman" w:cs="Calibri"/>
                <w:noProof/>
                <w:szCs w:val="18"/>
              </w:rPr>
              <w:t>valstu monitoringa sistēmas saskaņā ar ES tiesību aktu prasībām</w:t>
            </w:r>
            <w:r>
              <w:rPr>
                <w:noProof/>
              </w:rPr>
              <w:t>; un</w:t>
            </w:r>
          </w:p>
          <w:p w14:paraId="38443994" w14:textId="1123A9BE" w:rsidR="00CB0FCB" w:rsidRDefault="009D2B11">
            <w:pPr>
              <w:pStyle w:val="P68B1DB1-Normal9"/>
              <w:spacing w:after="0" w:line="240" w:lineRule="auto"/>
              <w:rPr>
                <w:noProof/>
              </w:rPr>
            </w:pPr>
            <w:r>
              <w:rPr>
                <w:noProof/>
              </w:rPr>
              <w:t>5. Vieda infrastruktūra un interaktīvu digitālo pakalpojumu un digitālā satura radīšanas attīstīšana, lai popularizētu kultūras eksponātus ar palielinātu un virtuālo realitāti muzejiem;</w:t>
            </w:r>
          </w:p>
          <w:p w14:paraId="59A73B5E" w14:textId="252CB853" w:rsidR="00CB0FCB" w:rsidRDefault="009D2B11">
            <w:pPr>
              <w:pStyle w:val="P68B1DB1-Normal17"/>
              <w:spacing w:after="0" w:line="240" w:lineRule="auto"/>
              <w:rPr>
                <w:noProof/>
              </w:rPr>
            </w:pPr>
            <w:r>
              <w:rPr>
                <w:noProof/>
              </w:rPr>
              <w:t>6. Nelikumīgas būvniecības un būvniecības izsekošana.</w:t>
            </w:r>
          </w:p>
        </w:tc>
      </w:tr>
      <w:tr w:rsidR="00CB0FCB" w14:paraId="20812AC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3B95CED" w14:textId="77777777" w:rsidR="00CB0FCB" w:rsidRDefault="009D2B11">
            <w:pPr>
              <w:pStyle w:val="P68B1DB1-Normal9"/>
              <w:spacing w:after="0" w:line="240" w:lineRule="auto"/>
              <w:rPr>
                <w:rFonts w:eastAsia="Times New Roman" w:cs="Calibri"/>
                <w:noProof/>
                <w:szCs w:val="18"/>
              </w:rPr>
            </w:pPr>
            <w:r>
              <w:rPr>
                <w:noProof/>
              </w:rPr>
              <w:t>276</w:t>
            </w:r>
          </w:p>
        </w:tc>
        <w:tc>
          <w:tcPr>
            <w:tcW w:w="2229" w:type="dxa"/>
            <w:tcBorders>
              <w:top w:val="single" w:sz="4" w:space="0" w:color="auto"/>
              <w:left w:val="nil"/>
              <w:bottom w:val="single" w:sz="4" w:space="0" w:color="auto"/>
              <w:right w:val="single" w:sz="4" w:space="0" w:color="auto"/>
            </w:tcBorders>
            <w:shd w:val="clear" w:color="auto" w:fill="C6EFCE"/>
            <w:noWrap/>
          </w:tcPr>
          <w:p w14:paraId="092ECEBC"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16937_Infrastruktūras un transporta ministrijas Tehnisko darbu un strukturālo aktīvu pārvaldības digitālā integrētā programmu pārvaldības sistēma</w:t>
            </w:r>
          </w:p>
        </w:tc>
        <w:tc>
          <w:tcPr>
            <w:tcW w:w="1134" w:type="dxa"/>
            <w:tcBorders>
              <w:top w:val="single" w:sz="4" w:space="0" w:color="auto"/>
              <w:left w:val="nil"/>
              <w:bottom w:val="single" w:sz="4" w:space="0" w:color="auto"/>
              <w:right w:val="single" w:sz="4" w:space="0" w:color="auto"/>
            </w:tcBorders>
            <w:shd w:val="clear" w:color="auto" w:fill="C6EFCE"/>
            <w:noWrap/>
          </w:tcPr>
          <w:p w14:paraId="63BDC59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0251C351" w14:textId="77777777" w:rsidR="00CB0FCB" w:rsidRDefault="009D2B11">
            <w:pPr>
              <w:pStyle w:val="P68B1DB1-Normal9"/>
              <w:spacing w:after="0" w:line="240" w:lineRule="auto"/>
              <w:rPr>
                <w:rFonts w:eastAsia="Times New Roman" w:cs="Calibri"/>
                <w:noProof/>
                <w:szCs w:val="18"/>
              </w:rPr>
            </w:pPr>
            <w:r>
              <w:rPr>
                <w:noProof/>
              </w:rPr>
              <w:t>Infrastruktūras ministrijas PMIS pabeigšana</w:t>
            </w:r>
          </w:p>
        </w:tc>
        <w:tc>
          <w:tcPr>
            <w:tcW w:w="2127" w:type="dxa"/>
            <w:tcBorders>
              <w:top w:val="single" w:sz="4" w:space="0" w:color="auto"/>
              <w:left w:val="nil"/>
              <w:bottom w:val="single" w:sz="4" w:space="0" w:color="auto"/>
              <w:right w:val="single" w:sz="4" w:space="0" w:color="auto"/>
            </w:tcBorders>
            <w:shd w:val="clear" w:color="auto" w:fill="C6EFCE"/>
            <w:noWrap/>
          </w:tcPr>
          <w:p w14:paraId="15BEBA45" w14:textId="77777777" w:rsidR="00CB0FCB" w:rsidRDefault="009D2B11">
            <w:pPr>
              <w:pStyle w:val="P68B1DB1-Normal9"/>
              <w:spacing w:after="0" w:line="240" w:lineRule="auto"/>
              <w:rPr>
                <w:rFonts w:eastAsia="Times New Roman" w:cs="Calibri"/>
                <w:noProof/>
                <w:szCs w:val="18"/>
              </w:rPr>
            </w:pPr>
            <w:r>
              <w:rPr>
                <w:noProof/>
              </w:rPr>
              <w:t>Infrastruktūras ministrijas pabeigšanas ziņojums</w:t>
            </w:r>
          </w:p>
        </w:tc>
        <w:tc>
          <w:tcPr>
            <w:tcW w:w="992" w:type="dxa"/>
            <w:tcBorders>
              <w:top w:val="single" w:sz="4" w:space="0" w:color="auto"/>
              <w:left w:val="nil"/>
              <w:bottom w:val="single" w:sz="4" w:space="0" w:color="auto"/>
              <w:right w:val="single" w:sz="4" w:space="0" w:color="auto"/>
            </w:tcBorders>
            <w:shd w:val="clear" w:color="auto" w:fill="C6EFCE"/>
            <w:noWrap/>
          </w:tcPr>
          <w:p w14:paraId="50FC9341"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4A9F936"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07CA42DE"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574059A"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7F07E5AB"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6D02D3B8" w14:textId="77777777" w:rsidR="00CB0FCB" w:rsidRDefault="009D2B11">
            <w:pPr>
              <w:pStyle w:val="P68B1DB1-Normal9"/>
              <w:spacing w:after="0" w:line="240" w:lineRule="auto"/>
              <w:rPr>
                <w:rFonts w:eastAsia="Times New Roman" w:cs="Calibri"/>
                <w:noProof/>
                <w:szCs w:val="18"/>
              </w:rPr>
            </w:pPr>
            <w:r>
              <w:rPr>
                <w:noProof/>
              </w:rPr>
              <w:t>Modernas PMIS (Portfolio Management Information System) nodrošināšana Infrastruktūras ministrijai.</w:t>
            </w:r>
          </w:p>
        </w:tc>
      </w:tr>
      <w:tr w:rsidR="00CB0FCB" w14:paraId="2802CD2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6524A7E" w14:textId="77777777" w:rsidR="00CB0FCB" w:rsidRDefault="009D2B11">
            <w:pPr>
              <w:pStyle w:val="P68B1DB1-Normal9"/>
              <w:spacing w:after="0" w:line="240" w:lineRule="auto"/>
              <w:rPr>
                <w:rFonts w:eastAsia="Times New Roman" w:cs="Calibri"/>
                <w:noProof/>
                <w:szCs w:val="18"/>
              </w:rPr>
            </w:pPr>
            <w:r>
              <w:rPr>
                <w:noProof/>
              </w:rPr>
              <w:t>277</w:t>
            </w:r>
          </w:p>
        </w:tc>
        <w:tc>
          <w:tcPr>
            <w:tcW w:w="2229" w:type="dxa"/>
            <w:tcBorders>
              <w:top w:val="single" w:sz="4" w:space="0" w:color="auto"/>
              <w:left w:val="single" w:sz="4" w:space="0" w:color="auto"/>
              <w:bottom w:val="single" w:sz="4" w:space="0" w:color="auto"/>
              <w:right w:val="single" w:sz="4" w:space="0" w:color="auto"/>
            </w:tcBorders>
            <w:shd w:val="clear" w:color="auto" w:fill="C6EFCE"/>
            <w:noWrap/>
          </w:tcPr>
          <w:p w14:paraId="6E007A78"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16786_Infrastruktūras un transporta ministrijas procedūru vienkāršošana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23673E5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single" w:sz="4" w:space="0" w:color="auto"/>
              <w:bottom w:val="single" w:sz="4" w:space="0" w:color="auto"/>
              <w:right w:val="single" w:sz="4" w:space="0" w:color="auto"/>
            </w:tcBorders>
            <w:shd w:val="clear" w:color="auto" w:fill="C6EFCE"/>
            <w:noWrap/>
          </w:tcPr>
          <w:p w14:paraId="4AD0377F" w14:textId="77777777" w:rsidR="00CB0FCB" w:rsidRDefault="009D2B11">
            <w:pPr>
              <w:pStyle w:val="P68B1DB1-Normal9"/>
              <w:spacing w:after="0" w:line="240" w:lineRule="auto"/>
              <w:rPr>
                <w:rFonts w:eastAsia="Times New Roman" w:cs="Calibri"/>
                <w:noProof/>
                <w:szCs w:val="18"/>
              </w:rPr>
            </w:pPr>
            <w:r>
              <w:rPr>
                <w:noProof/>
              </w:rPr>
              <w:t>Satiksmes ministrijas procedūru vienkāršošana</w:t>
            </w:r>
          </w:p>
        </w:tc>
        <w:tc>
          <w:tcPr>
            <w:tcW w:w="2127" w:type="dxa"/>
            <w:tcBorders>
              <w:top w:val="single" w:sz="4" w:space="0" w:color="auto"/>
              <w:left w:val="single" w:sz="4" w:space="0" w:color="auto"/>
              <w:bottom w:val="single" w:sz="4" w:space="0" w:color="auto"/>
              <w:right w:val="single" w:sz="4" w:space="0" w:color="auto"/>
            </w:tcBorders>
            <w:shd w:val="clear" w:color="auto" w:fill="C6EFCE"/>
            <w:noWrap/>
          </w:tcPr>
          <w:p w14:paraId="30EDE871" w14:textId="042A515A" w:rsidR="00CB0FCB" w:rsidRDefault="009D2B11">
            <w:pPr>
              <w:pStyle w:val="P68B1DB1-Normal9"/>
              <w:spacing w:after="0" w:line="240" w:lineRule="auto"/>
              <w:rPr>
                <w:rFonts w:eastAsia="Times New Roman" w:cs="Calibri"/>
                <w:noProof/>
                <w:szCs w:val="18"/>
              </w:rPr>
            </w:pPr>
            <w:r>
              <w:rPr>
                <w:noProof/>
              </w:rPr>
              <w:t>Infrastruktūras un transporta ministrijas pabeigšanas ziņojums</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31FB00B5"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C6EFCE"/>
            <w:noWrap/>
          </w:tcPr>
          <w:p w14:paraId="0556E870"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C6EFCE"/>
            <w:noWrap/>
          </w:tcPr>
          <w:p w14:paraId="721FCB81"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8CF0441"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single" w:sz="4" w:space="0" w:color="auto"/>
              <w:bottom w:val="single" w:sz="4" w:space="0" w:color="auto"/>
              <w:right w:val="single" w:sz="4" w:space="0" w:color="auto"/>
            </w:tcBorders>
            <w:shd w:val="clear" w:color="auto" w:fill="C6EFCE"/>
            <w:noWrap/>
          </w:tcPr>
          <w:p w14:paraId="48E31D23" w14:textId="203398FF" w:rsidR="00CB0FCB" w:rsidRDefault="009D2B11">
            <w:pPr>
              <w:pStyle w:val="P68B1DB1-Normal10"/>
              <w:spacing w:after="0" w:line="240" w:lineRule="auto"/>
              <w:rPr>
                <w:rFonts w:eastAsia="Times New Roman" w:cs="Calibri"/>
                <w:noProof/>
              </w:rPr>
            </w:pPr>
            <w:r>
              <w:rPr>
                <w:noProof/>
              </w:rPr>
              <w:t>2024</w:t>
            </w:r>
          </w:p>
        </w:tc>
        <w:tc>
          <w:tcPr>
            <w:tcW w:w="3402" w:type="dxa"/>
            <w:tcBorders>
              <w:top w:val="single" w:sz="4" w:space="0" w:color="auto"/>
              <w:left w:val="single" w:sz="4" w:space="0" w:color="auto"/>
              <w:bottom w:val="single" w:sz="4" w:space="0" w:color="auto"/>
              <w:right w:val="single" w:sz="4" w:space="0" w:color="auto"/>
            </w:tcBorders>
            <w:shd w:val="clear" w:color="auto" w:fill="C6EFCE"/>
            <w:noWrap/>
          </w:tcPr>
          <w:p w14:paraId="4BE1944B" w14:textId="52BEA770" w:rsidR="00CB0FCB" w:rsidRDefault="009D2B11">
            <w:pPr>
              <w:pStyle w:val="P68B1DB1-Normal9"/>
              <w:spacing w:after="0" w:line="240" w:lineRule="auto"/>
              <w:rPr>
                <w:rFonts w:eastAsia="Times New Roman" w:cs="Calibri"/>
                <w:noProof/>
                <w:szCs w:val="18"/>
              </w:rPr>
            </w:pPr>
            <w:r>
              <w:rPr>
                <w:noProof/>
              </w:rPr>
              <w:t>Īstenot digitālo pārveidi un procedūru vienkāršošanu.</w:t>
            </w:r>
          </w:p>
        </w:tc>
      </w:tr>
      <w:tr w:rsidR="00CB0FCB" w14:paraId="6AF6CE6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E8504B9" w14:textId="77777777" w:rsidR="00CB0FCB" w:rsidRDefault="009D2B11">
            <w:pPr>
              <w:pStyle w:val="P68B1DB1-Normal9"/>
              <w:spacing w:after="0" w:line="240" w:lineRule="auto"/>
              <w:rPr>
                <w:rFonts w:eastAsia="Times New Roman" w:cs="Calibri"/>
                <w:noProof/>
                <w:szCs w:val="18"/>
              </w:rPr>
            </w:pPr>
            <w:r>
              <w:rPr>
                <w:noProof/>
              </w:rPr>
              <w:t>349</w:t>
            </w:r>
          </w:p>
          <w:p w14:paraId="2012DF7C" w14:textId="77777777" w:rsidR="00CB0FCB" w:rsidRDefault="00CB0FCB">
            <w:pPr>
              <w:spacing w:after="0" w:line="240" w:lineRule="auto"/>
              <w:rPr>
                <w:rFonts w:eastAsia="Times New Roman" w:cs="Calibri"/>
                <w:noProof/>
                <w:color w:val="006100"/>
                <w:sz w:val="18"/>
                <w:szCs w:val="18"/>
              </w:rPr>
            </w:pPr>
          </w:p>
          <w:p w14:paraId="0F146D52" w14:textId="77777777" w:rsidR="00CB0FCB" w:rsidRDefault="00CB0FCB">
            <w:pPr>
              <w:spacing w:after="0" w:line="240" w:lineRule="auto"/>
              <w:rPr>
                <w:rFonts w:eastAsia="Times New Roman" w:cs="Calibri"/>
                <w:noProof/>
                <w:color w:val="006100"/>
                <w:sz w:val="18"/>
                <w:szCs w:val="18"/>
              </w:rPr>
            </w:pPr>
          </w:p>
        </w:tc>
        <w:tc>
          <w:tcPr>
            <w:tcW w:w="2229" w:type="dxa"/>
            <w:tcBorders>
              <w:top w:val="single" w:sz="4" w:space="0" w:color="auto"/>
              <w:left w:val="nil"/>
              <w:bottom w:val="single" w:sz="4" w:space="0" w:color="auto"/>
              <w:right w:val="single" w:sz="4" w:space="0" w:color="auto"/>
            </w:tcBorders>
            <w:shd w:val="clear" w:color="auto" w:fill="C6EFCE"/>
            <w:noWrap/>
          </w:tcPr>
          <w:p w14:paraId="1DB28B07" w14:textId="77777777" w:rsidR="00CB0FCB" w:rsidRDefault="009D2B11">
            <w:pPr>
              <w:pStyle w:val="P68B1DB1-Normal9"/>
              <w:spacing w:after="0" w:line="240" w:lineRule="auto"/>
              <w:rPr>
                <w:rFonts w:eastAsia="Times New Roman" w:cs="Calibri"/>
                <w:noProof/>
                <w:szCs w:val="18"/>
              </w:rPr>
            </w:pPr>
            <w:r>
              <w:rPr>
                <w:noProof/>
              </w:rPr>
              <w:t xml:space="preserve">4.6. Modernizēt un uzlabot galveno ekonomikas nozaru noturību — 16999_Pieejamības atjaunošana pēc vētras “DANIEL” postošās ietekmes  </w:t>
            </w:r>
          </w:p>
          <w:p w14:paraId="658C53C6" w14:textId="77777777" w:rsidR="00CB0FCB" w:rsidRDefault="00CB0FCB">
            <w:pPr>
              <w:spacing w:after="0" w:line="240" w:lineRule="auto"/>
              <w:rPr>
                <w:rFonts w:eastAsia="Times New Roman" w:cs="Calibri"/>
                <w:noProof/>
                <w:color w:val="006100"/>
                <w:sz w:val="18"/>
                <w:szCs w:val="18"/>
              </w:rPr>
            </w:pPr>
          </w:p>
          <w:p w14:paraId="5376B0AA"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0B644C8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noWrap/>
          </w:tcPr>
          <w:p w14:paraId="21D826DE" w14:textId="77777777" w:rsidR="00CB0FCB" w:rsidRDefault="009D2B11">
            <w:pPr>
              <w:pStyle w:val="P68B1DB1-Normal9"/>
              <w:spacing w:after="0" w:line="240" w:lineRule="auto"/>
              <w:rPr>
                <w:rFonts w:eastAsia="Times New Roman" w:cs="Calibri"/>
                <w:noProof/>
                <w:szCs w:val="18"/>
              </w:rPr>
            </w:pPr>
            <w:r>
              <w:rPr>
                <w:noProof/>
              </w:rPr>
              <w:t>Pabeigti ceļu atjaunošanas projekti</w:t>
            </w:r>
          </w:p>
          <w:p w14:paraId="7C57CDFD" w14:textId="77777777" w:rsidR="00CB0FCB" w:rsidRDefault="00CB0FCB">
            <w:pPr>
              <w:spacing w:after="0" w:line="240" w:lineRule="auto"/>
              <w:rPr>
                <w:rFonts w:eastAsia="Times New Roman" w:cs="Calibri"/>
                <w:noProof/>
                <w:color w:val="006100"/>
                <w:sz w:val="18"/>
                <w:szCs w:val="18"/>
              </w:rPr>
            </w:pPr>
          </w:p>
          <w:p w14:paraId="4F865DB8" w14:textId="77777777" w:rsidR="00CB0FCB" w:rsidRDefault="00CB0FCB">
            <w:pPr>
              <w:spacing w:after="0" w:line="240" w:lineRule="auto"/>
              <w:rPr>
                <w:rFonts w:eastAsia="Times New Roman" w:cs="Calibri"/>
                <w:noProof/>
                <w:color w:val="006100"/>
                <w:sz w:val="18"/>
                <w:szCs w:val="18"/>
              </w:rPr>
            </w:pPr>
          </w:p>
        </w:tc>
        <w:tc>
          <w:tcPr>
            <w:tcW w:w="2127" w:type="dxa"/>
            <w:tcBorders>
              <w:top w:val="single" w:sz="4" w:space="0" w:color="auto"/>
              <w:left w:val="nil"/>
              <w:bottom w:val="single" w:sz="4" w:space="0" w:color="auto"/>
              <w:right w:val="single" w:sz="4" w:space="0" w:color="auto"/>
            </w:tcBorders>
            <w:shd w:val="clear" w:color="auto" w:fill="C6EFCE"/>
            <w:noWrap/>
          </w:tcPr>
          <w:p w14:paraId="7D5CDF62" w14:textId="30CF98F8" w:rsidR="00CB0FCB" w:rsidRDefault="009D2B11">
            <w:pPr>
              <w:pStyle w:val="P68B1DB1-Normal10"/>
              <w:spacing w:after="0" w:line="240" w:lineRule="auto"/>
              <w:rPr>
                <w:rFonts w:eastAsia="Times New Roman" w:cs="Calibri"/>
                <w:noProof/>
              </w:rPr>
            </w:pPr>
            <w:r>
              <w:rPr>
                <w:noProof/>
              </w:rPr>
              <w:t>Darbu pabeigšana</w:t>
            </w:r>
          </w:p>
          <w:p w14:paraId="6EF2AE9B"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6F2161D3"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EB2BCAF"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59FD681B"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98FA840"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noWrap/>
          </w:tcPr>
          <w:p w14:paraId="4736944A"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13E3AA16" w14:textId="00D20097" w:rsidR="00CB0FCB" w:rsidRDefault="009D2B11">
            <w:pPr>
              <w:pStyle w:val="P68B1DB1-Normal10"/>
              <w:spacing w:after="0" w:line="240" w:lineRule="auto"/>
              <w:rPr>
                <w:rFonts w:eastAsia="Times New Roman" w:cs="Calibri"/>
                <w:noProof/>
              </w:rPr>
            </w:pPr>
            <w:r>
              <w:rPr>
                <w:noProof/>
              </w:rPr>
              <w:t xml:space="preserve">Darbu pabeigšana ceļu tīkla atjaunošanai un noturībai vētras “DANIEL” skartajās teritorijās. </w:t>
            </w:r>
          </w:p>
          <w:p w14:paraId="2000C13F" w14:textId="77777777" w:rsidR="00CB0FCB" w:rsidRDefault="00CB0FCB">
            <w:pPr>
              <w:spacing w:after="0" w:line="240" w:lineRule="auto"/>
              <w:rPr>
                <w:rFonts w:eastAsia="Times New Roman" w:cs="Calibri"/>
                <w:noProof/>
                <w:color w:val="006100"/>
                <w:sz w:val="18"/>
                <w:szCs w:val="18"/>
              </w:rPr>
            </w:pPr>
          </w:p>
          <w:p w14:paraId="58024AA7" w14:textId="77777777" w:rsidR="00CB0FCB" w:rsidRDefault="00CB0FCB">
            <w:pPr>
              <w:spacing w:after="0" w:line="240" w:lineRule="auto"/>
              <w:rPr>
                <w:rFonts w:eastAsia="Times New Roman" w:cs="Calibri"/>
                <w:noProof/>
                <w:color w:val="006100"/>
                <w:sz w:val="18"/>
                <w:szCs w:val="18"/>
              </w:rPr>
            </w:pPr>
          </w:p>
        </w:tc>
      </w:tr>
      <w:tr w:rsidR="00CB0FCB" w14:paraId="22B9A19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tcPr>
          <w:p w14:paraId="1959D257" w14:textId="77777777" w:rsidR="00CB0FCB" w:rsidRDefault="009D2B11">
            <w:pPr>
              <w:pStyle w:val="P68B1DB1-Normal9"/>
              <w:spacing w:after="0" w:line="240" w:lineRule="auto"/>
              <w:rPr>
                <w:rFonts w:eastAsia="Times New Roman" w:cs="Calibri"/>
                <w:noProof/>
                <w:szCs w:val="18"/>
              </w:rPr>
            </w:pPr>
            <w:r>
              <w:rPr>
                <w:noProof/>
              </w:rPr>
              <w:t>350</w:t>
            </w:r>
          </w:p>
          <w:p w14:paraId="25E703A3" w14:textId="77777777" w:rsidR="00CB0FCB" w:rsidRDefault="00CB0FCB">
            <w:pPr>
              <w:spacing w:after="0" w:line="240" w:lineRule="auto"/>
              <w:rPr>
                <w:rFonts w:eastAsia="Times New Roman" w:cs="Calibri"/>
                <w:noProof/>
                <w:color w:val="006100"/>
                <w:sz w:val="18"/>
                <w:szCs w:val="18"/>
              </w:rPr>
            </w:pPr>
          </w:p>
        </w:tc>
        <w:tc>
          <w:tcPr>
            <w:tcW w:w="2229" w:type="dxa"/>
            <w:tcBorders>
              <w:top w:val="single" w:sz="4" w:space="0" w:color="auto"/>
              <w:left w:val="nil"/>
              <w:bottom w:val="single" w:sz="4" w:space="0" w:color="auto"/>
              <w:right w:val="single" w:sz="4" w:space="0" w:color="auto"/>
            </w:tcBorders>
            <w:shd w:val="clear" w:color="auto" w:fill="C6EFCE"/>
          </w:tcPr>
          <w:p w14:paraId="2A834840" w14:textId="77777777" w:rsidR="00CB0FCB" w:rsidRDefault="009D2B11">
            <w:pPr>
              <w:pStyle w:val="P68B1DB1-Normal9"/>
              <w:spacing w:after="0" w:line="240" w:lineRule="auto"/>
              <w:rPr>
                <w:rFonts w:eastAsia="Times New Roman" w:cs="Calibri"/>
                <w:noProof/>
                <w:szCs w:val="18"/>
              </w:rPr>
            </w:pPr>
            <w:r>
              <w:rPr>
                <w:noProof/>
              </w:rPr>
              <w:t xml:space="preserve"> — 4.6. Modernizēt un uzlabot galveno ekonomikas nozaru noturību — 16999_Pieejamības atjaunošana pēc vētras “DANIEL” postošās ietekmes  </w:t>
            </w:r>
          </w:p>
          <w:p w14:paraId="09779665"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tcPr>
          <w:p w14:paraId="4BD15DA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842" w:type="dxa"/>
            <w:tcBorders>
              <w:top w:val="single" w:sz="4" w:space="0" w:color="auto"/>
              <w:left w:val="nil"/>
              <w:bottom w:val="single" w:sz="4" w:space="0" w:color="auto"/>
              <w:right w:val="single" w:sz="4" w:space="0" w:color="auto"/>
            </w:tcBorders>
            <w:shd w:val="clear" w:color="auto" w:fill="C6EFCE"/>
          </w:tcPr>
          <w:p w14:paraId="3A03D6DF" w14:textId="77777777" w:rsidR="00CB0FCB" w:rsidRDefault="009D2B11">
            <w:pPr>
              <w:pStyle w:val="P68B1DB1-Normal9"/>
              <w:spacing w:after="0" w:line="240" w:lineRule="auto"/>
              <w:rPr>
                <w:rFonts w:eastAsia="Times New Roman" w:cs="Calibri"/>
                <w:noProof/>
                <w:szCs w:val="18"/>
              </w:rPr>
            </w:pPr>
            <w:r>
              <w:rPr>
                <w:noProof/>
              </w:rPr>
              <w:t>Pabeigti dzelzceļa atjaunošanas projekti</w:t>
            </w:r>
          </w:p>
          <w:p w14:paraId="4056E9C0" w14:textId="77777777" w:rsidR="00CB0FCB" w:rsidRDefault="00CB0FCB">
            <w:pPr>
              <w:spacing w:after="0" w:line="240" w:lineRule="auto"/>
              <w:rPr>
                <w:rFonts w:eastAsia="Times New Roman" w:cs="Calibri"/>
                <w:noProof/>
                <w:color w:val="006100"/>
                <w:sz w:val="18"/>
                <w:szCs w:val="18"/>
              </w:rPr>
            </w:pPr>
          </w:p>
        </w:tc>
        <w:tc>
          <w:tcPr>
            <w:tcW w:w="2127" w:type="dxa"/>
            <w:tcBorders>
              <w:top w:val="single" w:sz="4" w:space="0" w:color="auto"/>
              <w:left w:val="nil"/>
              <w:bottom w:val="single" w:sz="4" w:space="0" w:color="auto"/>
              <w:right w:val="single" w:sz="4" w:space="0" w:color="auto"/>
            </w:tcBorders>
            <w:shd w:val="clear" w:color="auto" w:fill="C6EFCE"/>
          </w:tcPr>
          <w:p w14:paraId="61524231" w14:textId="136D4C9E" w:rsidR="00CB0FCB" w:rsidRDefault="009D2B11">
            <w:pPr>
              <w:pStyle w:val="P68B1DB1-Normal10"/>
              <w:spacing w:after="0" w:line="240" w:lineRule="auto"/>
              <w:rPr>
                <w:rFonts w:eastAsia="Times New Roman" w:cs="Calibri"/>
                <w:noProof/>
              </w:rPr>
            </w:pPr>
            <w:r>
              <w:rPr>
                <w:noProof/>
              </w:rPr>
              <w:t>Darbu pabeigšana</w:t>
            </w:r>
          </w:p>
          <w:p w14:paraId="2BC22AAB" w14:textId="77777777" w:rsidR="00CB0FCB" w:rsidRDefault="00CB0FCB">
            <w:pPr>
              <w:spacing w:after="0" w:line="240" w:lineRule="auto"/>
              <w:rPr>
                <w:rFonts w:eastAsia="Times New Roman" w:cs="Calibri"/>
                <w:noProof/>
                <w:color w:val="006100"/>
                <w:sz w:val="18"/>
                <w:szCs w:val="18"/>
              </w:rPr>
            </w:pPr>
          </w:p>
          <w:p w14:paraId="52EBA5EE"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tcPr>
          <w:p w14:paraId="35498410"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tcPr>
          <w:p w14:paraId="605C232A" w14:textId="77777777" w:rsidR="00CB0FCB" w:rsidRDefault="00CB0FCB">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tcPr>
          <w:p w14:paraId="49BDFBCB" w14:textId="77777777" w:rsidR="00CB0FCB" w:rsidRDefault="00CB0FCB">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tcPr>
          <w:p w14:paraId="1871660D" w14:textId="77777777" w:rsidR="00CB0FCB" w:rsidRDefault="009D2B11">
            <w:pPr>
              <w:pStyle w:val="P68B1DB1-Normal9"/>
              <w:spacing w:after="0" w:line="240" w:lineRule="auto"/>
              <w:rPr>
                <w:rFonts w:eastAsia="Times New Roman" w:cs="Calibri"/>
                <w:noProof/>
                <w:szCs w:val="18"/>
              </w:rPr>
            </w:pPr>
            <w:r>
              <w:rPr>
                <w:noProof/>
              </w:rPr>
              <w:t>4. CET.</w:t>
            </w:r>
          </w:p>
        </w:tc>
        <w:tc>
          <w:tcPr>
            <w:tcW w:w="713" w:type="dxa"/>
            <w:tcBorders>
              <w:top w:val="single" w:sz="4" w:space="0" w:color="auto"/>
              <w:left w:val="nil"/>
              <w:bottom w:val="single" w:sz="4" w:space="0" w:color="auto"/>
              <w:right w:val="single" w:sz="4" w:space="0" w:color="auto"/>
            </w:tcBorders>
            <w:shd w:val="clear" w:color="auto" w:fill="C6EFCE"/>
          </w:tcPr>
          <w:p w14:paraId="5164C941" w14:textId="77777777" w:rsidR="00CB0FCB" w:rsidRDefault="009D2B11">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tcPr>
          <w:p w14:paraId="7D6D6AA4" w14:textId="1B24C25F" w:rsidR="00CB0FCB" w:rsidRDefault="009D2B11">
            <w:pPr>
              <w:spacing w:after="0" w:line="240" w:lineRule="auto"/>
              <w:rPr>
                <w:rFonts w:eastAsia="Times New Roman" w:cs="Calibri"/>
                <w:noProof/>
                <w:color w:val="006100"/>
                <w:sz w:val="18"/>
                <w:szCs w:val="18"/>
              </w:rPr>
            </w:pPr>
            <w:r>
              <w:rPr>
                <w:noProof/>
                <w:color w:val="006100"/>
                <w:sz w:val="18"/>
                <w:szCs w:val="18"/>
              </w:rPr>
              <w:t>Dzelzceļa tīkla atjaunošanas un noturības darbu pabeigšana vētras “DANIEL” skartajos</w:t>
            </w:r>
            <w:r>
              <w:rPr>
                <w:rFonts w:asciiTheme="minorHAnsi" w:eastAsiaTheme="minorEastAsia" w:hAnsiTheme="minorHAnsi" w:cstheme="minorBidi"/>
                <w:noProof/>
                <w:color w:val="006100"/>
                <w:sz w:val="18"/>
                <w:szCs w:val="18"/>
              </w:rPr>
              <w:t xml:space="preserve"> apgabalos </w:t>
            </w:r>
            <w:r>
              <w:rPr>
                <w:noProof/>
                <w:color w:val="006100"/>
                <w:sz w:val="18"/>
                <w:szCs w:val="18"/>
              </w:rPr>
              <w:t>un jo īpaši posmos no Domokosas līdz Krannona Atēnu-Saloniku galvenajā asī, Paleofarsalos-Kalambaka</w:t>
            </w:r>
            <w:r>
              <w:rPr>
                <w:rFonts w:ascii="Times New Roman" w:hAnsi="Times New Roman"/>
                <w:noProof/>
                <w:sz w:val="24"/>
                <w:szCs w:val="24"/>
              </w:rPr>
              <w:t xml:space="preserve"> </w:t>
            </w:r>
            <w:r>
              <w:rPr>
                <w:rFonts w:asciiTheme="minorHAnsi" w:eastAsiaTheme="minorEastAsia" w:hAnsiTheme="minorHAnsi" w:cstheme="minorBidi"/>
                <w:noProof/>
                <w:color w:val="006100"/>
                <w:sz w:val="18"/>
                <w:szCs w:val="18"/>
              </w:rPr>
              <w:t>un Pelion līnijā</w:t>
            </w:r>
            <w:r>
              <w:rPr>
                <w:noProof/>
                <w:color w:val="006100"/>
                <w:sz w:val="18"/>
                <w:szCs w:val="18"/>
              </w:rPr>
              <w:t xml:space="preserve">. </w:t>
            </w:r>
          </w:p>
          <w:p w14:paraId="64611568" w14:textId="6C416A82" w:rsidR="00CB0FCB" w:rsidRDefault="009D2B11">
            <w:pPr>
              <w:pStyle w:val="P68B1DB1-Normal10"/>
              <w:spacing w:after="0" w:line="240" w:lineRule="auto"/>
              <w:rPr>
                <w:noProof/>
              </w:rPr>
            </w:pPr>
            <w:r>
              <w:rPr>
                <w:noProof/>
              </w:rPr>
              <w:t xml:space="preserve">Iepirkuma plāna izstrāde visiem saistītajiem ieguldījumiem dzelzceļa drošības jomā un regulārai tehniskajai apkopei. </w:t>
            </w:r>
          </w:p>
          <w:p w14:paraId="1346EB32" w14:textId="06065077" w:rsidR="00CB0FCB" w:rsidRDefault="00CB0FCB">
            <w:pPr>
              <w:spacing w:after="0" w:line="240" w:lineRule="auto"/>
              <w:rPr>
                <w:noProof/>
                <w:color w:val="006100"/>
                <w:sz w:val="18"/>
                <w:szCs w:val="18"/>
              </w:rPr>
            </w:pPr>
          </w:p>
        </w:tc>
      </w:tr>
    </w:tbl>
    <w:p w14:paraId="46785806" w14:textId="77777777" w:rsidR="00CB0FCB" w:rsidRDefault="00CB0FCB">
      <w:pPr>
        <w:spacing w:before="120" w:after="0" w:line="240" w:lineRule="auto"/>
        <w:jc w:val="both"/>
        <w:rPr>
          <w:rFonts w:ascii="Times New Roman" w:hAnsi="Times New Roman" w:cs="Times New Roman"/>
          <w:noProof/>
          <w:sz w:val="24"/>
          <w:szCs w:val="24"/>
        </w:rPr>
      </w:pPr>
    </w:p>
    <w:p w14:paraId="11D5ACEF" w14:textId="77777777" w:rsidR="00CB0FCB" w:rsidRDefault="009D2B11">
      <w:pPr>
        <w:pStyle w:val="P68B1DB1-Normal6"/>
        <w:keepNext/>
        <w:keepLines/>
        <w:spacing w:before="40" w:after="0" w:line="240" w:lineRule="auto"/>
        <w:jc w:val="both"/>
        <w:outlineLvl w:val="4"/>
        <w:rPr>
          <w:rFonts w:eastAsia="Times New Roman"/>
          <w:noProof/>
        </w:rPr>
      </w:pPr>
      <w:r>
        <w:rPr>
          <w:noProof/>
        </w:rPr>
        <w:t>Grupa: Kultūra</w:t>
      </w:r>
    </w:p>
    <w:p w14:paraId="4D57FCA1" w14:textId="77777777" w:rsidR="00CB0FCB" w:rsidRDefault="009D2B11">
      <w:pPr>
        <w:pStyle w:val="P68B1DB1-Normal4"/>
        <w:numPr>
          <w:ilvl w:val="0"/>
          <w:numId w:val="31"/>
        </w:numPr>
        <w:spacing w:before="120" w:after="0" w:line="240" w:lineRule="auto"/>
        <w:jc w:val="both"/>
        <w:rPr>
          <w:rFonts w:cs="Times New Roman"/>
          <w:noProof/>
        </w:rPr>
      </w:pPr>
      <w:r>
        <w:rPr>
          <w:noProof/>
        </w:rPr>
        <w:t>Darba reforma kultūras nozarē (ID:16715)</w:t>
      </w:r>
    </w:p>
    <w:p w14:paraId="438381FB" w14:textId="77777777" w:rsidR="00CB0FCB" w:rsidRDefault="009D2B11">
      <w:pPr>
        <w:pStyle w:val="P68B1DB1-Normal4"/>
        <w:numPr>
          <w:ilvl w:val="0"/>
          <w:numId w:val="31"/>
        </w:numPr>
        <w:spacing w:before="120" w:after="0" w:line="240" w:lineRule="auto"/>
        <w:jc w:val="both"/>
        <w:rPr>
          <w:rFonts w:cs="Times New Roman"/>
          <w:noProof/>
        </w:rPr>
      </w:pPr>
      <w:r>
        <w:rPr>
          <w:noProof/>
        </w:rPr>
        <w:t>Kultūra kā izaugsmes virzītājspēks (ID: 16293)</w:t>
      </w:r>
    </w:p>
    <w:p w14:paraId="271E5DB1" w14:textId="77777777" w:rsidR="00CB0FCB" w:rsidRDefault="009D2B11">
      <w:pPr>
        <w:pStyle w:val="P68B1DB1-Normal4"/>
        <w:numPr>
          <w:ilvl w:val="0"/>
          <w:numId w:val="31"/>
        </w:numPr>
        <w:spacing w:before="120" w:after="0" w:line="240" w:lineRule="auto"/>
        <w:jc w:val="both"/>
        <w:rPr>
          <w:rFonts w:cs="Times New Roman"/>
          <w:noProof/>
        </w:rPr>
      </w:pPr>
      <w:r>
        <w:rPr>
          <w:noProof/>
        </w:rPr>
        <w:t>Zemūdens senlietu muzejs (ID: 16486)</w:t>
      </w:r>
    </w:p>
    <w:p w14:paraId="52FD0B2B" w14:textId="77777777" w:rsidR="00CB0FCB" w:rsidRDefault="009D2B11">
      <w:pPr>
        <w:pStyle w:val="P68B1DB1-Normal4"/>
        <w:numPr>
          <w:ilvl w:val="0"/>
          <w:numId w:val="31"/>
        </w:numPr>
        <w:spacing w:before="120" w:after="0" w:line="240" w:lineRule="auto"/>
        <w:jc w:val="both"/>
        <w:rPr>
          <w:rFonts w:cs="Times New Roman"/>
          <w:noProof/>
        </w:rPr>
      </w:pPr>
      <w:r>
        <w:rPr>
          <w:noProof/>
        </w:rPr>
        <w:t>Izmantot “mākslu pret recepti”, veicināt sociālo kohēziju un izmantot senioru ekonomiku (ID: 16735)</w:t>
      </w:r>
    </w:p>
    <w:p w14:paraId="50A24F7B" w14:textId="77777777" w:rsidR="00CB0FCB" w:rsidRDefault="009D2B11">
      <w:pPr>
        <w:pStyle w:val="P68B1DB1-Normal4"/>
        <w:numPr>
          <w:ilvl w:val="0"/>
          <w:numId w:val="31"/>
        </w:numPr>
        <w:spacing w:before="120" w:after="0" w:line="240" w:lineRule="auto"/>
        <w:jc w:val="both"/>
        <w:rPr>
          <w:rFonts w:cs="Times New Roman"/>
          <w:noProof/>
        </w:rPr>
      </w:pPr>
      <w:r>
        <w:rPr>
          <w:noProof/>
        </w:rPr>
        <w:t>Infrastruktūras modernizācija, aprīkojuma atjaunošana un HOCRED sniegto pakalpojumu kvalitātes uzlabošana (ID: 16536)</w:t>
      </w:r>
    </w:p>
    <w:p w14:paraId="7DCFF9DF" w14:textId="77777777" w:rsidR="00CB0FCB" w:rsidRDefault="009D2B11">
      <w:pPr>
        <w:pStyle w:val="P68B1DB1-Normal4"/>
        <w:numPr>
          <w:ilvl w:val="0"/>
          <w:numId w:val="31"/>
        </w:numPr>
        <w:spacing w:before="120" w:after="0" w:line="240" w:lineRule="auto"/>
        <w:jc w:val="both"/>
        <w:rPr>
          <w:rFonts w:cs="Times New Roman"/>
          <w:noProof/>
        </w:rPr>
      </w:pPr>
      <w:r>
        <w:rPr>
          <w:noProof/>
        </w:rPr>
        <w:t>Kultūras pieminekļu un arheoloģisko objektu aizsardzība pret klimata pārmaiņām (2. grupa) (ID: 16433)</w:t>
      </w:r>
    </w:p>
    <w:p w14:paraId="2EB1D833" w14:textId="77777777" w:rsidR="00CB0FCB" w:rsidRDefault="009D2B11">
      <w:pPr>
        <w:pStyle w:val="P68B1DB1-Normal4"/>
        <w:numPr>
          <w:ilvl w:val="0"/>
          <w:numId w:val="31"/>
        </w:numPr>
        <w:spacing w:before="120" w:after="0" w:line="240" w:lineRule="auto"/>
        <w:jc w:val="both"/>
        <w:rPr>
          <w:rFonts w:cs="Times New Roman"/>
          <w:noProof/>
        </w:rPr>
      </w:pPr>
      <w:r>
        <w:rPr>
          <w:noProof/>
        </w:rPr>
        <w:t>Augstākās mākslas izglītības uzlabošana (ID: 16725)</w:t>
      </w:r>
    </w:p>
    <w:p w14:paraId="77BFDD7D" w14:textId="77777777" w:rsidR="00CB0FCB" w:rsidRDefault="009D2B11">
      <w:pPr>
        <w:pStyle w:val="P68B1DB1-Normal4"/>
        <w:numPr>
          <w:ilvl w:val="0"/>
          <w:numId w:val="31"/>
        </w:numPr>
        <w:spacing w:before="120" w:after="0" w:line="240" w:lineRule="auto"/>
        <w:jc w:val="both"/>
        <w:rPr>
          <w:rFonts w:cs="Times New Roman"/>
          <w:noProof/>
        </w:rPr>
      </w:pPr>
      <w:r>
        <w:rPr>
          <w:noProof/>
        </w:rPr>
        <w:t>Kultūras maršruti Emblemātiskās arheoloģiskās vietās un piemineļos (ID: 16485)</w:t>
      </w:r>
    </w:p>
    <w:p w14:paraId="16A0F0C2" w14:textId="77777777" w:rsidR="00CB0FCB" w:rsidRDefault="009D2B11">
      <w:pPr>
        <w:pStyle w:val="P68B1DB1-Normal4"/>
        <w:numPr>
          <w:ilvl w:val="0"/>
          <w:numId w:val="31"/>
        </w:numPr>
        <w:spacing w:before="120" w:after="0" w:line="240" w:lineRule="auto"/>
        <w:jc w:val="both"/>
        <w:rPr>
          <w:rFonts w:cs="Times New Roman"/>
          <w:noProof/>
        </w:rPr>
      </w:pPr>
      <w:r>
        <w:rPr>
          <w:noProof/>
        </w:rPr>
        <w:t>Atjaunošana — Saglabāšana — Akropoles pieminekļu uzlabošana (ID: 16435)</w:t>
      </w:r>
    </w:p>
    <w:p w14:paraId="37410F21" w14:textId="77777777" w:rsidR="00CB0FCB" w:rsidRDefault="00CB0FCB">
      <w:pPr>
        <w:spacing w:before="120" w:after="0" w:line="240" w:lineRule="auto"/>
        <w:jc w:val="both"/>
        <w:rPr>
          <w:rFonts w:ascii="Times New Roman" w:hAnsi="Times New Roman" w:cs="Times New Roman"/>
          <w:noProof/>
          <w:sz w:val="24"/>
        </w:rPr>
      </w:pPr>
    </w:p>
    <w:tbl>
      <w:tblPr>
        <w:tblW w:w="15871" w:type="dxa"/>
        <w:jc w:val="center"/>
        <w:tblLook w:val="04A0" w:firstRow="1" w:lastRow="0" w:firstColumn="1" w:lastColumn="0" w:noHBand="0" w:noVBand="1"/>
      </w:tblPr>
      <w:tblGrid>
        <w:gridCol w:w="1027"/>
        <w:gridCol w:w="1850"/>
        <w:gridCol w:w="1807"/>
        <w:gridCol w:w="1290"/>
        <w:gridCol w:w="2607"/>
        <w:gridCol w:w="1397"/>
        <w:gridCol w:w="1396"/>
        <w:gridCol w:w="992"/>
        <w:gridCol w:w="1134"/>
        <w:gridCol w:w="851"/>
        <w:gridCol w:w="3950"/>
      </w:tblGrid>
      <w:tr w:rsidR="00CB0FCB" w14:paraId="27D7AC8F" w14:textId="77777777">
        <w:trPr>
          <w:trHeight w:val="615"/>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EE37DC"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E1C8B7"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DDED7F"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ECF2E3"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F2EA875"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344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C0180F9" w14:textId="77777777"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14:paraId="00BD9C97"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39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2CEEF4"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2CB459D7" w14:textId="77777777">
        <w:trPr>
          <w:trHeight w:val="516"/>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803A57A" w14:textId="77777777" w:rsidR="00CB0FCB" w:rsidRDefault="00CB0FCB">
            <w:pPr>
              <w:spacing w:after="0" w:line="240" w:lineRule="auto"/>
              <w:rPr>
                <w:rFonts w:ascii="Times New Roman" w:eastAsia="Times New Roman" w:hAnsi="Times New Roman" w:cs="Times New Roman"/>
                <w:b/>
                <w:bCs/>
                <w:noProof/>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EF0045C" w14:textId="77777777" w:rsidR="00CB0FCB" w:rsidRDefault="00CB0FCB">
            <w:pPr>
              <w:spacing w:after="0" w:line="240" w:lineRule="auto"/>
              <w:rPr>
                <w:rFonts w:ascii="Times New Roman" w:eastAsia="Times New Roman" w:hAnsi="Times New Roman" w:cs="Times New Roman"/>
                <w:b/>
                <w:bCs/>
                <w:noProof/>
                <w:sz w:val="18"/>
                <w:szCs w:val="18"/>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8E4271C" w14:textId="77777777" w:rsidR="00CB0FCB" w:rsidRDefault="00CB0FCB">
            <w:pPr>
              <w:spacing w:after="0" w:line="240" w:lineRule="auto"/>
              <w:rPr>
                <w:rFonts w:ascii="Times New Roman" w:eastAsia="Times New Roman" w:hAnsi="Times New Roman" w:cs="Times New Roman"/>
                <w:b/>
                <w:bCs/>
                <w:noProof/>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23BD2BB3" w14:textId="77777777" w:rsidR="00CB0FCB" w:rsidRDefault="00CB0FCB">
            <w:pPr>
              <w:spacing w:after="0" w:line="240" w:lineRule="auto"/>
              <w:rPr>
                <w:rFonts w:ascii="Times New Roman" w:eastAsia="Times New Roman" w:hAnsi="Times New Roman" w:cs="Times New Roman"/>
                <w:b/>
                <w:bCs/>
                <w:noProof/>
                <w:sz w:val="18"/>
                <w:szCs w:val="18"/>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2B42334B" w14:textId="77777777" w:rsidR="00CB0FCB" w:rsidRDefault="00CB0FCB">
            <w:pPr>
              <w:spacing w:after="0" w:line="240" w:lineRule="auto"/>
              <w:rPr>
                <w:rFonts w:ascii="Times New Roman" w:eastAsia="Times New Roman" w:hAnsi="Times New Roman" w:cs="Times New Roman"/>
                <w:b/>
                <w:bCs/>
                <w:noProof/>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5B67FBE"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105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54F580A"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FF1646E"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AA69FE8"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5518037"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3950" w:type="dxa"/>
            <w:vMerge/>
            <w:tcBorders>
              <w:top w:val="single" w:sz="4" w:space="0" w:color="auto"/>
              <w:left w:val="single" w:sz="4" w:space="0" w:color="auto"/>
              <w:bottom w:val="single" w:sz="4" w:space="0" w:color="auto"/>
              <w:right w:val="single" w:sz="4" w:space="0" w:color="auto"/>
            </w:tcBorders>
            <w:vAlign w:val="center"/>
            <w:hideMark/>
          </w:tcPr>
          <w:p w14:paraId="62B09E43"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99CE1B8"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DE75D5B" w14:textId="77777777" w:rsidR="00CB0FCB" w:rsidRDefault="009D2B11">
            <w:pPr>
              <w:pStyle w:val="P68B1DB1-Normal9"/>
              <w:spacing w:after="0" w:line="240" w:lineRule="auto"/>
              <w:rPr>
                <w:rFonts w:eastAsia="Times New Roman" w:cs="Calibri"/>
                <w:noProof/>
                <w:szCs w:val="18"/>
              </w:rPr>
            </w:pPr>
            <w:r>
              <w:rPr>
                <w:noProof/>
              </w:rPr>
              <w:t>278</w:t>
            </w:r>
          </w:p>
        </w:tc>
        <w:tc>
          <w:tcPr>
            <w:tcW w:w="1615" w:type="dxa"/>
            <w:tcBorders>
              <w:top w:val="single" w:sz="4" w:space="0" w:color="auto"/>
              <w:left w:val="nil"/>
              <w:bottom w:val="single" w:sz="4" w:space="0" w:color="auto"/>
              <w:right w:val="single" w:sz="4" w:space="0" w:color="auto"/>
            </w:tcBorders>
            <w:shd w:val="clear" w:color="auto" w:fill="C6EFCE"/>
            <w:noWrap/>
          </w:tcPr>
          <w:p w14:paraId="4FF53424"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16715_Labor reforma kultūras nozarē</w:t>
            </w:r>
          </w:p>
        </w:tc>
        <w:tc>
          <w:tcPr>
            <w:tcW w:w="1008" w:type="dxa"/>
            <w:tcBorders>
              <w:top w:val="single" w:sz="4" w:space="0" w:color="auto"/>
              <w:left w:val="nil"/>
              <w:bottom w:val="single" w:sz="4" w:space="0" w:color="auto"/>
              <w:right w:val="single" w:sz="4" w:space="0" w:color="auto"/>
            </w:tcBorders>
            <w:shd w:val="clear" w:color="auto" w:fill="C6EFCE"/>
            <w:noWrap/>
          </w:tcPr>
          <w:p w14:paraId="0CDE18E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single" w:sz="4" w:space="0" w:color="auto"/>
              <w:left w:val="nil"/>
              <w:bottom w:val="single" w:sz="4" w:space="0" w:color="auto"/>
              <w:right w:val="single" w:sz="4" w:space="0" w:color="auto"/>
            </w:tcBorders>
            <w:shd w:val="clear" w:color="auto" w:fill="C6EFCE"/>
            <w:noWrap/>
          </w:tcPr>
          <w:p w14:paraId="3F6D345F" w14:textId="77777777" w:rsidR="00CB0FCB" w:rsidRDefault="009D2B11">
            <w:pPr>
              <w:pStyle w:val="P68B1DB1-Normal9"/>
              <w:spacing w:after="0" w:line="240" w:lineRule="auto"/>
              <w:rPr>
                <w:rFonts w:eastAsia="Times New Roman" w:cs="Calibri"/>
                <w:noProof/>
                <w:szCs w:val="18"/>
              </w:rPr>
            </w:pPr>
            <w:r>
              <w:rPr>
                <w:noProof/>
              </w:rPr>
              <w:t>Tiesību akti par darba reformu kultūras nozarē</w:t>
            </w:r>
          </w:p>
        </w:tc>
        <w:tc>
          <w:tcPr>
            <w:tcW w:w="1549" w:type="dxa"/>
            <w:tcBorders>
              <w:top w:val="single" w:sz="4" w:space="0" w:color="auto"/>
              <w:left w:val="nil"/>
              <w:bottom w:val="single" w:sz="4" w:space="0" w:color="auto"/>
              <w:right w:val="single" w:sz="4" w:space="0" w:color="auto"/>
            </w:tcBorders>
            <w:shd w:val="clear" w:color="auto" w:fill="C6EFCE"/>
            <w:noWrap/>
          </w:tcPr>
          <w:p w14:paraId="5B7F0909" w14:textId="77777777" w:rsidR="00CB0FCB" w:rsidRDefault="009D2B11">
            <w:pPr>
              <w:pStyle w:val="P68B1DB1-Normal9"/>
              <w:spacing w:after="0" w:line="240" w:lineRule="auto"/>
              <w:rPr>
                <w:rFonts w:eastAsia="Times New Roman" w:cs="Calibri"/>
                <w:noProof/>
                <w:szCs w:val="18"/>
              </w:rPr>
            </w:pPr>
            <w:r>
              <w:rPr>
                <w:noProof/>
              </w:rPr>
              <w:t>Tiesību aktu un sekundāro tiesību aktu stāšanās spēkā un sistēmas izveide, lai ticami novērtētu “radošā vai kultūras speciālista” statusu</w:t>
            </w:r>
          </w:p>
        </w:tc>
        <w:tc>
          <w:tcPr>
            <w:tcW w:w="1397" w:type="dxa"/>
            <w:tcBorders>
              <w:top w:val="single" w:sz="4" w:space="0" w:color="auto"/>
              <w:left w:val="nil"/>
              <w:bottom w:val="single" w:sz="4" w:space="0" w:color="auto"/>
              <w:right w:val="single" w:sz="4" w:space="0" w:color="auto"/>
            </w:tcBorders>
            <w:shd w:val="clear" w:color="auto" w:fill="C6EFCE"/>
            <w:noWrap/>
          </w:tcPr>
          <w:p w14:paraId="338A8705"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646AA21B"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69D9D719"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651DCC7F" w14:textId="77777777" w:rsidR="00CB0FCB" w:rsidRDefault="009D2B11">
            <w:pPr>
              <w:pStyle w:val="P68B1DB1-Normal9"/>
              <w:spacing w:after="0" w:line="240" w:lineRule="auto"/>
              <w:rPr>
                <w:rFonts w:eastAsia="Times New Roman" w:cs="Calibri"/>
                <w:noProof/>
                <w:szCs w:val="18"/>
              </w:rPr>
            </w:pPr>
            <w:r>
              <w:rPr>
                <w:noProof/>
              </w:rPr>
              <w:t>CET.</w:t>
            </w:r>
          </w:p>
        </w:tc>
        <w:tc>
          <w:tcPr>
            <w:tcW w:w="851" w:type="dxa"/>
            <w:tcBorders>
              <w:top w:val="single" w:sz="4" w:space="0" w:color="auto"/>
              <w:left w:val="nil"/>
              <w:bottom w:val="single" w:sz="4" w:space="0" w:color="auto"/>
              <w:right w:val="single" w:sz="4" w:space="0" w:color="auto"/>
            </w:tcBorders>
            <w:shd w:val="clear" w:color="auto" w:fill="C6EFCE"/>
            <w:noWrap/>
          </w:tcPr>
          <w:p w14:paraId="433B0BFD" w14:textId="77777777" w:rsidR="00CB0FCB" w:rsidRDefault="009D2B11">
            <w:pPr>
              <w:pStyle w:val="P68B1DB1-Normal9"/>
              <w:spacing w:after="0" w:line="240" w:lineRule="auto"/>
              <w:rPr>
                <w:rFonts w:eastAsia="Times New Roman" w:cs="Calibri"/>
                <w:noProof/>
                <w:szCs w:val="18"/>
              </w:rPr>
            </w:pPr>
            <w:r>
              <w:rPr>
                <w:noProof/>
              </w:rPr>
              <w:t>2022</w:t>
            </w:r>
          </w:p>
        </w:tc>
        <w:tc>
          <w:tcPr>
            <w:tcW w:w="3950" w:type="dxa"/>
            <w:tcBorders>
              <w:top w:val="single" w:sz="4" w:space="0" w:color="auto"/>
              <w:left w:val="nil"/>
              <w:bottom w:val="single" w:sz="4" w:space="0" w:color="auto"/>
              <w:right w:val="single" w:sz="4" w:space="0" w:color="auto"/>
            </w:tcBorders>
            <w:shd w:val="clear" w:color="auto" w:fill="C6EFCE"/>
            <w:noWrap/>
          </w:tcPr>
          <w:p w14:paraId="4B47B94F" w14:textId="77777777" w:rsidR="00CB0FCB" w:rsidRDefault="009D2B11">
            <w:pPr>
              <w:pStyle w:val="P68B1DB1-Normal9"/>
              <w:spacing w:after="0" w:line="240" w:lineRule="auto"/>
              <w:rPr>
                <w:rFonts w:eastAsia="Times New Roman" w:cs="Calibri"/>
                <w:noProof/>
                <w:szCs w:val="18"/>
              </w:rPr>
            </w:pPr>
            <w:r>
              <w:rPr>
                <w:noProof/>
              </w:rPr>
              <w:t>Stājas spēkā tiesību akti par darba reformu kultūras nozarē, tostarp definējot “radošu vai kultūras speciālistu” statusu un samērīgus nodokļu un sociālā nodrošinājuma stimulus.</w:t>
            </w:r>
          </w:p>
        </w:tc>
      </w:tr>
      <w:tr w:rsidR="00CB0FCB" w14:paraId="3585EB1E"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328C1767" w14:textId="77777777" w:rsidR="00CB0FCB" w:rsidRDefault="009D2B11">
            <w:pPr>
              <w:pStyle w:val="P68B1DB1-Normal10"/>
              <w:spacing w:after="0" w:line="240" w:lineRule="auto"/>
              <w:rPr>
                <w:rFonts w:eastAsia="Times New Roman" w:cs="Calibri"/>
                <w:noProof/>
              </w:rPr>
            </w:pPr>
            <w:r>
              <w:rPr>
                <w:noProof/>
              </w:rPr>
              <w:t>279</w:t>
            </w:r>
          </w:p>
        </w:tc>
        <w:tc>
          <w:tcPr>
            <w:tcW w:w="1615" w:type="dxa"/>
            <w:tcBorders>
              <w:top w:val="nil"/>
              <w:left w:val="nil"/>
              <w:bottom w:val="single" w:sz="4" w:space="0" w:color="auto"/>
              <w:right w:val="single" w:sz="4" w:space="0" w:color="auto"/>
            </w:tcBorders>
            <w:shd w:val="clear" w:color="auto" w:fill="C6EFCE"/>
            <w:noWrap/>
          </w:tcPr>
          <w:p w14:paraId="436A8FCD"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16486_zemūdens senlietu muzejs</w:t>
            </w:r>
          </w:p>
        </w:tc>
        <w:tc>
          <w:tcPr>
            <w:tcW w:w="1008" w:type="dxa"/>
            <w:tcBorders>
              <w:top w:val="nil"/>
              <w:left w:val="nil"/>
              <w:bottom w:val="single" w:sz="4" w:space="0" w:color="auto"/>
              <w:right w:val="single" w:sz="4" w:space="0" w:color="auto"/>
            </w:tcBorders>
            <w:shd w:val="clear" w:color="auto" w:fill="C6EFCE"/>
            <w:noWrap/>
          </w:tcPr>
          <w:p w14:paraId="6A1B8CF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nil"/>
              <w:left w:val="nil"/>
              <w:bottom w:val="single" w:sz="4" w:space="0" w:color="auto"/>
              <w:right w:val="single" w:sz="4" w:space="0" w:color="auto"/>
            </w:tcBorders>
            <w:shd w:val="clear" w:color="auto" w:fill="C6EFCE"/>
            <w:noWrap/>
          </w:tcPr>
          <w:p w14:paraId="3DFB528B" w14:textId="77777777" w:rsidR="00CB0FCB" w:rsidRDefault="009D2B11">
            <w:pPr>
              <w:pStyle w:val="P68B1DB1-Normal9"/>
              <w:spacing w:after="0" w:line="240" w:lineRule="auto"/>
              <w:rPr>
                <w:rFonts w:eastAsia="Times New Roman" w:cs="Calibri"/>
                <w:noProof/>
                <w:szCs w:val="18"/>
              </w:rPr>
            </w:pPr>
            <w:r>
              <w:rPr>
                <w:noProof/>
              </w:rPr>
              <w:t>Līguma slēgšanas tiesību piešķiršana zemūdens senlietu muzejam</w:t>
            </w:r>
          </w:p>
        </w:tc>
        <w:tc>
          <w:tcPr>
            <w:tcW w:w="1549" w:type="dxa"/>
            <w:tcBorders>
              <w:top w:val="nil"/>
              <w:left w:val="nil"/>
              <w:bottom w:val="single" w:sz="4" w:space="0" w:color="auto"/>
              <w:right w:val="single" w:sz="4" w:space="0" w:color="auto"/>
            </w:tcBorders>
            <w:shd w:val="clear" w:color="auto" w:fill="C6EFCE"/>
            <w:noWrap/>
          </w:tcPr>
          <w:p w14:paraId="6D9A7988" w14:textId="13459F19" w:rsidR="00CB0FCB" w:rsidRDefault="009D2B11">
            <w:pPr>
              <w:pStyle w:val="P68B1DB1-Normal9"/>
              <w:spacing w:after="0" w:line="240" w:lineRule="auto"/>
              <w:rPr>
                <w:rFonts w:eastAsia="Times New Roman" w:cs="Calibri"/>
                <w:noProof/>
                <w:szCs w:val="18"/>
              </w:rPr>
            </w:pPr>
            <w:r>
              <w:rPr>
                <w:noProof/>
                <w:szCs w:val="18"/>
              </w:rPr>
              <w:t>Paziņojums par zemūdens senlietu muzeja piešķiršanu</w:t>
            </w:r>
            <w:r>
              <w:rPr>
                <w:rFonts w:asciiTheme="minorHAnsi" w:hAnsiTheme="minorHAnsi"/>
                <w:noProof/>
              </w:rPr>
              <w:t xml:space="preserve">un </w:t>
            </w:r>
            <w:r>
              <w:rPr>
                <w:rFonts w:asciiTheme="minorHAnsi" w:eastAsiaTheme="minorEastAsia" w:hAnsiTheme="minorHAnsi" w:cstheme="minorBidi"/>
                <w:noProof/>
                <w:szCs w:val="18"/>
              </w:rPr>
              <w:t xml:space="preserve"> publicētas</w:t>
            </w:r>
            <w:r>
              <w:rPr>
                <w:rFonts w:asciiTheme="minorHAnsi" w:hAnsiTheme="minorHAnsi"/>
                <w:noProof/>
              </w:rPr>
              <w:t xml:space="preserve"> tehniskās</w:t>
            </w:r>
            <w:r>
              <w:rPr>
                <w:rFonts w:asciiTheme="minorHAnsi" w:eastAsiaTheme="minorEastAsia" w:hAnsiTheme="minorHAnsi" w:cstheme="minorBidi"/>
                <w:noProof/>
                <w:szCs w:val="18"/>
              </w:rPr>
              <w:t>specifikācijas</w:t>
            </w:r>
            <w:r>
              <w:rPr>
                <w:noProof/>
                <w:szCs w:val="18"/>
              </w:rPr>
              <w:t>zemūdens senlietu muzejā</w:t>
            </w:r>
          </w:p>
        </w:tc>
        <w:tc>
          <w:tcPr>
            <w:tcW w:w="1397" w:type="dxa"/>
            <w:tcBorders>
              <w:top w:val="nil"/>
              <w:left w:val="nil"/>
              <w:bottom w:val="single" w:sz="4" w:space="0" w:color="auto"/>
              <w:right w:val="single" w:sz="4" w:space="0" w:color="auto"/>
            </w:tcBorders>
            <w:shd w:val="clear" w:color="auto" w:fill="C6EFCE"/>
            <w:noWrap/>
          </w:tcPr>
          <w:p w14:paraId="5A354AD8" w14:textId="77777777" w:rsidR="00CB0FCB" w:rsidRDefault="00CB0FCB">
            <w:pPr>
              <w:spacing w:after="0" w:line="240" w:lineRule="auto"/>
              <w:rPr>
                <w:rFonts w:eastAsia="Times New Roman" w:cs="Calibri"/>
                <w:noProof/>
                <w:color w:val="006100"/>
                <w:sz w:val="18"/>
                <w:szCs w:val="18"/>
              </w:rPr>
            </w:pPr>
          </w:p>
        </w:tc>
        <w:tc>
          <w:tcPr>
            <w:tcW w:w="1058" w:type="dxa"/>
            <w:tcBorders>
              <w:top w:val="nil"/>
              <w:left w:val="nil"/>
              <w:bottom w:val="single" w:sz="4" w:space="0" w:color="auto"/>
              <w:right w:val="single" w:sz="4" w:space="0" w:color="auto"/>
            </w:tcBorders>
            <w:shd w:val="clear" w:color="auto" w:fill="C6EFCE"/>
            <w:noWrap/>
          </w:tcPr>
          <w:p w14:paraId="498524CC"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13E18845" w14:textId="77777777" w:rsidR="00CB0FCB" w:rsidRDefault="00CB0FCB">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4E357098"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nil"/>
              <w:left w:val="nil"/>
              <w:bottom w:val="single" w:sz="4" w:space="0" w:color="auto"/>
              <w:right w:val="single" w:sz="4" w:space="0" w:color="auto"/>
            </w:tcBorders>
            <w:shd w:val="clear" w:color="auto" w:fill="C6EFCE"/>
            <w:noWrap/>
          </w:tcPr>
          <w:p w14:paraId="732D5387" w14:textId="77777777" w:rsidR="00CB0FCB" w:rsidRDefault="009D2B11">
            <w:pPr>
              <w:pStyle w:val="P68B1DB1-Normal9"/>
              <w:spacing w:after="0" w:line="240" w:lineRule="auto"/>
              <w:rPr>
                <w:rFonts w:eastAsia="Times New Roman" w:cs="Calibri"/>
                <w:noProof/>
                <w:szCs w:val="18"/>
              </w:rPr>
            </w:pPr>
            <w:r>
              <w:rPr>
                <w:noProof/>
              </w:rPr>
              <w:t>2023</w:t>
            </w:r>
          </w:p>
        </w:tc>
        <w:tc>
          <w:tcPr>
            <w:tcW w:w="3950" w:type="dxa"/>
            <w:tcBorders>
              <w:top w:val="nil"/>
              <w:left w:val="nil"/>
              <w:bottom w:val="single" w:sz="4" w:space="0" w:color="auto"/>
              <w:right w:val="single" w:sz="4" w:space="0" w:color="auto"/>
            </w:tcBorders>
            <w:shd w:val="clear" w:color="auto" w:fill="C6EFCE"/>
            <w:noWrap/>
          </w:tcPr>
          <w:p w14:paraId="2CEA59DB" w14:textId="77777777" w:rsidR="00CB0FCB" w:rsidRDefault="009D2B11">
            <w:pPr>
              <w:pStyle w:val="P68B1DB1-Normal9"/>
              <w:spacing w:after="0" w:line="240" w:lineRule="auto"/>
              <w:rPr>
                <w:rFonts w:eastAsia="Times New Roman" w:cs="Calibri"/>
                <w:noProof/>
                <w:szCs w:val="18"/>
              </w:rPr>
            </w:pPr>
            <w:r>
              <w:rPr>
                <w:noProof/>
              </w:rPr>
              <w:t xml:space="preserve">Līguma slēgšanas tiesību piešķiršana zemūdens senlietu muzejam. </w:t>
            </w:r>
          </w:p>
        </w:tc>
      </w:tr>
      <w:tr w:rsidR="00CB0FCB" w14:paraId="3444DCE6"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6D99BF74" w14:textId="77777777" w:rsidR="00CB0FCB" w:rsidRDefault="009D2B11">
            <w:pPr>
              <w:pStyle w:val="P68B1DB1-Normal9"/>
              <w:spacing w:after="0" w:line="240" w:lineRule="auto"/>
              <w:rPr>
                <w:rFonts w:eastAsia="Times New Roman" w:cs="Calibri"/>
                <w:noProof/>
                <w:szCs w:val="18"/>
              </w:rPr>
            </w:pPr>
            <w:r>
              <w:rPr>
                <w:noProof/>
              </w:rPr>
              <w:t>280</w:t>
            </w:r>
          </w:p>
        </w:tc>
        <w:tc>
          <w:tcPr>
            <w:tcW w:w="1615" w:type="dxa"/>
            <w:tcBorders>
              <w:top w:val="nil"/>
              <w:left w:val="nil"/>
              <w:bottom w:val="single" w:sz="4" w:space="0" w:color="auto"/>
              <w:right w:val="single" w:sz="4" w:space="0" w:color="auto"/>
            </w:tcBorders>
            <w:shd w:val="clear" w:color="auto" w:fill="C6EFCE"/>
            <w:noWrap/>
          </w:tcPr>
          <w:p w14:paraId="3E52B203"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16293_Kultūra kā izaugsmes virzītājspēks</w:t>
            </w:r>
          </w:p>
        </w:tc>
        <w:tc>
          <w:tcPr>
            <w:tcW w:w="1008" w:type="dxa"/>
            <w:tcBorders>
              <w:top w:val="nil"/>
              <w:left w:val="nil"/>
              <w:bottom w:val="single" w:sz="4" w:space="0" w:color="auto"/>
              <w:right w:val="single" w:sz="4" w:space="0" w:color="auto"/>
            </w:tcBorders>
            <w:shd w:val="clear" w:color="auto" w:fill="C6EFCE"/>
            <w:noWrap/>
          </w:tcPr>
          <w:p w14:paraId="0583F41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nil"/>
              <w:left w:val="nil"/>
              <w:bottom w:val="single" w:sz="4" w:space="0" w:color="auto"/>
              <w:right w:val="single" w:sz="4" w:space="0" w:color="auto"/>
            </w:tcBorders>
            <w:shd w:val="clear" w:color="auto" w:fill="C6EFCE"/>
            <w:noWrap/>
          </w:tcPr>
          <w:p w14:paraId="32379F0C" w14:textId="77777777" w:rsidR="00CB0FCB" w:rsidRDefault="009D2B11">
            <w:pPr>
              <w:pStyle w:val="P68B1DB1-Normal9"/>
              <w:spacing w:after="0" w:line="240" w:lineRule="auto"/>
              <w:rPr>
                <w:rFonts w:eastAsia="Times New Roman" w:cs="Calibri"/>
                <w:noProof/>
                <w:szCs w:val="18"/>
              </w:rPr>
            </w:pPr>
            <w:r>
              <w:rPr>
                <w:noProof/>
              </w:rPr>
              <w:t>Mūsdienu grieķu kultūras zīmols un platforma</w:t>
            </w:r>
          </w:p>
        </w:tc>
        <w:tc>
          <w:tcPr>
            <w:tcW w:w="1549" w:type="dxa"/>
            <w:tcBorders>
              <w:top w:val="nil"/>
              <w:left w:val="nil"/>
              <w:bottom w:val="single" w:sz="4" w:space="0" w:color="auto"/>
              <w:right w:val="single" w:sz="4" w:space="0" w:color="auto"/>
            </w:tcBorders>
            <w:shd w:val="clear" w:color="auto" w:fill="C6EFCE"/>
            <w:noWrap/>
          </w:tcPr>
          <w:p w14:paraId="1ADD6BE6" w14:textId="77777777" w:rsidR="00CB0FCB" w:rsidRDefault="009D2B11">
            <w:pPr>
              <w:pStyle w:val="P68B1DB1-Normal9"/>
              <w:spacing w:after="0" w:line="240" w:lineRule="auto"/>
              <w:rPr>
                <w:rFonts w:eastAsia="Times New Roman" w:cs="Calibri"/>
                <w:noProof/>
                <w:szCs w:val="18"/>
              </w:rPr>
            </w:pPr>
            <w:r>
              <w:rPr>
                <w:noProof/>
              </w:rPr>
              <w:t>Ziņojums par mūsdienu grieķu kultūras zīmolu, Zaļā dizaina platforma, Grieķijas mūzikas datubāze un atjaunināta Grieķijas literatūras tulkošanas programma.</w:t>
            </w:r>
          </w:p>
        </w:tc>
        <w:tc>
          <w:tcPr>
            <w:tcW w:w="1397" w:type="dxa"/>
            <w:tcBorders>
              <w:top w:val="nil"/>
              <w:left w:val="nil"/>
              <w:bottom w:val="single" w:sz="4" w:space="0" w:color="auto"/>
              <w:right w:val="single" w:sz="4" w:space="0" w:color="auto"/>
            </w:tcBorders>
            <w:shd w:val="clear" w:color="auto" w:fill="C6EFCE"/>
            <w:noWrap/>
          </w:tcPr>
          <w:p w14:paraId="3B81168B" w14:textId="77777777" w:rsidR="00CB0FCB" w:rsidRDefault="00CB0FCB">
            <w:pPr>
              <w:spacing w:after="0" w:line="240" w:lineRule="auto"/>
              <w:rPr>
                <w:rFonts w:eastAsia="Times New Roman" w:cs="Calibri"/>
                <w:noProof/>
                <w:color w:val="006100"/>
                <w:sz w:val="18"/>
                <w:szCs w:val="18"/>
              </w:rPr>
            </w:pPr>
          </w:p>
        </w:tc>
        <w:tc>
          <w:tcPr>
            <w:tcW w:w="1058" w:type="dxa"/>
            <w:tcBorders>
              <w:top w:val="nil"/>
              <w:left w:val="nil"/>
              <w:bottom w:val="single" w:sz="4" w:space="0" w:color="auto"/>
              <w:right w:val="single" w:sz="4" w:space="0" w:color="auto"/>
            </w:tcBorders>
            <w:shd w:val="clear" w:color="auto" w:fill="C6EFCE"/>
            <w:noWrap/>
          </w:tcPr>
          <w:p w14:paraId="624AB0FB" w14:textId="77777777" w:rsidR="00CB0FCB" w:rsidRDefault="00CB0FCB">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667468E5" w14:textId="77777777" w:rsidR="00CB0FCB" w:rsidRDefault="00CB0FCB">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1AE8FF9F"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nil"/>
              <w:left w:val="nil"/>
              <w:bottom w:val="single" w:sz="4" w:space="0" w:color="auto"/>
              <w:right w:val="single" w:sz="4" w:space="0" w:color="auto"/>
            </w:tcBorders>
            <w:shd w:val="clear" w:color="auto" w:fill="C6EFCE"/>
            <w:noWrap/>
          </w:tcPr>
          <w:p w14:paraId="77A335D9" w14:textId="77777777" w:rsidR="00CB0FCB" w:rsidRDefault="009D2B11">
            <w:pPr>
              <w:pStyle w:val="P68B1DB1-Normal9"/>
              <w:spacing w:after="0" w:line="240" w:lineRule="auto"/>
              <w:rPr>
                <w:rFonts w:eastAsia="Times New Roman" w:cs="Calibri"/>
                <w:noProof/>
                <w:szCs w:val="18"/>
              </w:rPr>
            </w:pPr>
            <w:r>
              <w:rPr>
                <w:noProof/>
              </w:rPr>
              <w:t>2024</w:t>
            </w:r>
          </w:p>
        </w:tc>
        <w:tc>
          <w:tcPr>
            <w:tcW w:w="3950" w:type="dxa"/>
            <w:tcBorders>
              <w:top w:val="nil"/>
              <w:left w:val="nil"/>
              <w:bottom w:val="single" w:sz="4" w:space="0" w:color="auto"/>
              <w:right w:val="single" w:sz="4" w:space="0" w:color="auto"/>
            </w:tcBorders>
            <w:shd w:val="clear" w:color="auto" w:fill="C6EFCE"/>
            <w:noWrap/>
          </w:tcPr>
          <w:p w14:paraId="4B55C3C9" w14:textId="77777777" w:rsidR="00CB0FCB" w:rsidRDefault="009D2B11">
            <w:pPr>
              <w:pStyle w:val="P68B1DB1-Normal9"/>
              <w:spacing w:after="0" w:line="240" w:lineRule="auto"/>
              <w:rPr>
                <w:rFonts w:eastAsia="Times New Roman" w:cs="Calibri"/>
                <w:noProof/>
                <w:szCs w:val="18"/>
              </w:rPr>
            </w:pPr>
            <w:r>
              <w:rPr>
                <w:noProof/>
              </w:rPr>
              <w:t xml:space="preserve">Kultūra kā izaugsmes virzītājspēks: Izstrādāta laikmetīgās grieķu kultūras zīmols, izveidota Grieķijas dizaina platforma, Grieķijas mūzikas datubāze un atjaunināta Grieķijas literatūras tulkošanas programma </w:t>
            </w:r>
          </w:p>
        </w:tc>
      </w:tr>
      <w:tr w:rsidR="00CB0FCB" w14:paraId="61BDB7A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0DB2617" w14:textId="77777777" w:rsidR="00CB0FCB" w:rsidRDefault="009D2B11">
            <w:pPr>
              <w:pStyle w:val="P68B1DB1-Normal9"/>
              <w:spacing w:after="0" w:line="240" w:lineRule="auto"/>
              <w:rPr>
                <w:rFonts w:eastAsia="Times New Roman" w:cs="Calibri"/>
                <w:noProof/>
                <w:szCs w:val="18"/>
              </w:rPr>
            </w:pPr>
            <w:r>
              <w:rPr>
                <w:noProof/>
              </w:rPr>
              <w:t>283</w:t>
            </w:r>
          </w:p>
        </w:tc>
        <w:tc>
          <w:tcPr>
            <w:tcW w:w="1615" w:type="dxa"/>
            <w:tcBorders>
              <w:top w:val="single" w:sz="4" w:space="0" w:color="auto"/>
              <w:left w:val="nil"/>
              <w:bottom w:val="single" w:sz="4" w:space="0" w:color="auto"/>
              <w:right w:val="single" w:sz="4" w:space="0" w:color="auto"/>
            </w:tcBorders>
            <w:shd w:val="clear" w:color="auto" w:fill="C6EFCE"/>
            <w:noWrap/>
          </w:tcPr>
          <w:p w14:paraId="02512596"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16293_Kultūra kā izaugsmes virzītājspēks</w:t>
            </w:r>
          </w:p>
        </w:tc>
        <w:tc>
          <w:tcPr>
            <w:tcW w:w="1008" w:type="dxa"/>
            <w:tcBorders>
              <w:top w:val="single" w:sz="4" w:space="0" w:color="auto"/>
              <w:left w:val="nil"/>
              <w:bottom w:val="single" w:sz="4" w:space="0" w:color="auto"/>
              <w:right w:val="single" w:sz="4" w:space="0" w:color="auto"/>
            </w:tcBorders>
            <w:shd w:val="clear" w:color="auto" w:fill="C6EFCE"/>
            <w:noWrap/>
          </w:tcPr>
          <w:p w14:paraId="7E1BAE2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single" w:sz="4" w:space="0" w:color="auto"/>
              <w:left w:val="nil"/>
              <w:bottom w:val="single" w:sz="4" w:space="0" w:color="auto"/>
              <w:right w:val="single" w:sz="4" w:space="0" w:color="auto"/>
            </w:tcBorders>
            <w:shd w:val="clear" w:color="auto" w:fill="C6EFCE"/>
            <w:noWrap/>
          </w:tcPr>
          <w:p w14:paraId="06F5E785" w14:textId="77777777" w:rsidR="00CB0FCB" w:rsidRDefault="009D2B11">
            <w:pPr>
              <w:pStyle w:val="P68B1DB1-Normal9"/>
              <w:spacing w:after="0" w:line="240" w:lineRule="auto"/>
              <w:rPr>
                <w:rFonts w:eastAsia="Times New Roman" w:cs="Calibri"/>
                <w:noProof/>
                <w:szCs w:val="18"/>
              </w:rPr>
            </w:pPr>
            <w:r>
              <w:rPr>
                <w:noProof/>
              </w:rPr>
              <w:t>Kultūra kā izaugsmes virzītājspēks</w:t>
            </w:r>
          </w:p>
        </w:tc>
        <w:tc>
          <w:tcPr>
            <w:tcW w:w="1549" w:type="dxa"/>
            <w:tcBorders>
              <w:top w:val="single" w:sz="4" w:space="0" w:color="auto"/>
              <w:left w:val="nil"/>
              <w:bottom w:val="single" w:sz="4" w:space="0" w:color="auto"/>
              <w:right w:val="single" w:sz="4" w:space="0" w:color="auto"/>
            </w:tcBorders>
            <w:shd w:val="clear" w:color="auto" w:fill="C6EFCE"/>
            <w:noWrap/>
          </w:tcPr>
          <w:p w14:paraId="22BF8467" w14:textId="77777777" w:rsidR="00CB0FCB" w:rsidRDefault="009D2B11">
            <w:pPr>
              <w:pStyle w:val="P68B1DB1-Normal9"/>
              <w:spacing w:after="0" w:line="240" w:lineRule="auto"/>
              <w:rPr>
                <w:rFonts w:eastAsia="Times New Roman" w:cs="Calibri"/>
                <w:noProof/>
                <w:szCs w:val="18"/>
              </w:rPr>
            </w:pPr>
            <w:r>
              <w:rPr>
                <w:noProof/>
              </w:rPr>
              <w:t>Visu apakšprojektu pabeigšanas ziņojumi, tostarp maksājumu apliecinājumi un ieguldījumu revīziju rezultāti, saņēmēju apliecinājums par ieguldījumu pabeigšanu</w:t>
            </w:r>
          </w:p>
        </w:tc>
        <w:tc>
          <w:tcPr>
            <w:tcW w:w="1397" w:type="dxa"/>
            <w:tcBorders>
              <w:top w:val="single" w:sz="4" w:space="0" w:color="auto"/>
              <w:left w:val="nil"/>
              <w:bottom w:val="single" w:sz="4" w:space="0" w:color="auto"/>
              <w:right w:val="single" w:sz="4" w:space="0" w:color="auto"/>
            </w:tcBorders>
            <w:shd w:val="clear" w:color="auto" w:fill="C6EFCE"/>
            <w:noWrap/>
          </w:tcPr>
          <w:p w14:paraId="284727E7"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4CD2A381"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47D77CDB"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30DDB41A"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single" w:sz="4" w:space="0" w:color="auto"/>
              <w:left w:val="nil"/>
              <w:bottom w:val="single" w:sz="4" w:space="0" w:color="auto"/>
              <w:right w:val="single" w:sz="4" w:space="0" w:color="auto"/>
            </w:tcBorders>
            <w:shd w:val="clear" w:color="auto" w:fill="C6EFCE"/>
            <w:noWrap/>
          </w:tcPr>
          <w:p w14:paraId="44531B6B" w14:textId="77777777" w:rsidR="00CB0FCB" w:rsidRDefault="009D2B11">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434FA6C5" w14:textId="77777777" w:rsidR="00CB0FCB" w:rsidRDefault="009D2B11">
            <w:pPr>
              <w:pStyle w:val="P68B1DB1-Normal9"/>
              <w:spacing w:after="0" w:line="240" w:lineRule="auto"/>
              <w:rPr>
                <w:noProof/>
              </w:rPr>
            </w:pPr>
            <w:r>
              <w:rPr>
                <w:noProof/>
              </w:rPr>
              <w:t xml:space="preserve">“Kultūra kā izaugsmes dzinējspēks” </w:t>
            </w:r>
            <w:sdt>
              <w:sdtPr>
                <w:rPr>
                  <w:rFonts w:eastAsia="Times New Roman" w:cs="Calibri"/>
                  <w:noProof/>
                  <w:szCs w:val="18"/>
                  <w:shd w:val="clear" w:color="auto" w:fill="E6E6E6"/>
                  <w:lang w:val="en-GB"/>
                </w:rPr>
                <w:tag w:val="goog_rdk_42"/>
                <w:id w:val="660356159"/>
              </w:sdtPr>
              <w:sdtEndPr/>
              <w:sdtContent>
                <w:r>
                  <w:rPr>
                    <w:noProof/>
                  </w:rPr>
                  <w:t>— visu attiecīgo apakšprojektu pabeigšana</w:t>
                </w:r>
              </w:sdtContent>
            </w:sdt>
            <w:r>
              <w:rPr>
                <w:noProof/>
              </w:rPr>
              <w:t>: sniegt atbalstu izmēģinājuma projektu īstenošanai saskaņā ar atlasītām kultūras un radošo nozaru (KRN) reģionālajām stratēģijām, modernizēt kultūras objektu infrastruktūru, nodrošināt seminārus kultūras un radošajām nozarēm; sniedzot atbalstu vietējām amatniecības ekosistēmām, uzlabojot infrastruktūru, nodrošinot apmācības programmas, kartējot un izstrādājot integrētu valsts amatniecības stratēģiju pa reģioniem; paplašināt arheoloģisko objektu un pieminekļu kā vietu un pasākumu vietu izmantošanu, modernizējot atsevišķus arheoloģiskos objektus un pieminekļus, uzlabojot to digitālo infrastruktūru; filmu nozares veicināšana, sniedzot finansiālu atbalstu atlasītu Grieķijas filmu ražošanai; uzlabot Grieķijas kultūras zīmolu un eksportu, tostarp izstrādājot digitālos materiālus un popularizējot Laikmetīgās Grieķijas kultūras platformu un visas saistītās apakšplatformas, sniedzot finansiālu atbalstu Grieķijas produkcijas dalībai un popularizēšanai ārvalstīs.</w:t>
            </w:r>
          </w:p>
        </w:tc>
      </w:tr>
      <w:tr w:rsidR="00CB0FCB" w14:paraId="7ACB620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63C0EBC" w14:textId="77777777" w:rsidR="00CB0FCB" w:rsidRDefault="009D2B11">
            <w:pPr>
              <w:pStyle w:val="P68B1DB1-Normal9"/>
              <w:spacing w:after="0" w:line="240" w:lineRule="auto"/>
              <w:rPr>
                <w:rFonts w:eastAsia="Times New Roman" w:cs="Calibri"/>
                <w:noProof/>
                <w:szCs w:val="18"/>
              </w:rPr>
            </w:pPr>
            <w:r>
              <w:rPr>
                <w:noProof/>
              </w:rPr>
              <w:t>284</w:t>
            </w:r>
          </w:p>
        </w:tc>
        <w:tc>
          <w:tcPr>
            <w:tcW w:w="1615" w:type="dxa"/>
            <w:tcBorders>
              <w:top w:val="single" w:sz="4" w:space="0" w:color="auto"/>
              <w:left w:val="nil"/>
              <w:bottom w:val="single" w:sz="4" w:space="0" w:color="auto"/>
              <w:right w:val="single" w:sz="4" w:space="0" w:color="auto"/>
            </w:tcBorders>
            <w:shd w:val="clear" w:color="auto" w:fill="C6EFCE"/>
            <w:noWrap/>
          </w:tcPr>
          <w:p w14:paraId="090E268E"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16536_Infrastruktūras modernizācija, aprīkojuma atjaunošana un HOCRED Storu — bijušo ARF krājumu (uz vietas un elektroniski) sniegto pakalpojumu kvalitātes uzlabošana</w:t>
            </w:r>
          </w:p>
        </w:tc>
        <w:tc>
          <w:tcPr>
            <w:tcW w:w="1008" w:type="dxa"/>
            <w:tcBorders>
              <w:top w:val="single" w:sz="4" w:space="0" w:color="auto"/>
              <w:left w:val="nil"/>
              <w:bottom w:val="single" w:sz="4" w:space="0" w:color="auto"/>
              <w:right w:val="single" w:sz="4" w:space="0" w:color="auto"/>
            </w:tcBorders>
            <w:shd w:val="clear" w:color="auto" w:fill="C6EFCE"/>
            <w:noWrap/>
          </w:tcPr>
          <w:p w14:paraId="7EE9CA6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single" w:sz="4" w:space="0" w:color="auto"/>
              <w:left w:val="nil"/>
              <w:bottom w:val="single" w:sz="4" w:space="0" w:color="auto"/>
              <w:right w:val="single" w:sz="4" w:space="0" w:color="auto"/>
            </w:tcBorders>
            <w:shd w:val="clear" w:color="auto" w:fill="C6EFCE"/>
            <w:noWrap/>
          </w:tcPr>
          <w:p w14:paraId="6A06FA27" w14:textId="77777777" w:rsidR="00CB0FCB" w:rsidRDefault="009D2B11">
            <w:pPr>
              <w:pStyle w:val="P68B1DB1-Normal9"/>
              <w:spacing w:after="0" w:line="240" w:lineRule="auto"/>
              <w:rPr>
                <w:rFonts w:eastAsia="Times New Roman" w:cs="Calibri"/>
                <w:noProof/>
                <w:szCs w:val="18"/>
              </w:rPr>
            </w:pPr>
            <w:r>
              <w:rPr>
                <w:noProof/>
              </w:rPr>
              <w:t xml:space="preserve">Grieķijas Kultūras resursu attīstības organizācijas (HOCRED) modernizācija </w:t>
            </w:r>
          </w:p>
        </w:tc>
        <w:tc>
          <w:tcPr>
            <w:tcW w:w="1549" w:type="dxa"/>
            <w:tcBorders>
              <w:top w:val="single" w:sz="4" w:space="0" w:color="auto"/>
              <w:left w:val="nil"/>
              <w:bottom w:val="single" w:sz="4" w:space="0" w:color="auto"/>
              <w:right w:val="single" w:sz="4" w:space="0" w:color="auto"/>
            </w:tcBorders>
            <w:shd w:val="clear" w:color="auto" w:fill="C6EFCE"/>
            <w:noWrap/>
          </w:tcPr>
          <w:p w14:paraId="28B7AC78" w14:textId="77777777" w:rsidR="00CB0FCB" w:rsidRDefault="009D2B11">
            <w:pPr>
              <w:pStyle w:val="P68B1DB1-Normal9"/>
              <w:spacing w:after="0" w:line="240" w:lineRule="auto"/>
              <w:rPr>
                <w:rFonts w:eastAsia="Times New Roman" w:cs="Calibri"/>
                <w:noProof/>
                <w:szCs w:val="18"/>
              </w:rPr>
            </w:pPr>
            <w:r>
              <w:rPr>
                <w:noProof/>
              </w:rPr>
              <w:t>Ziņojumi par pabeigšanu, tostarp maksājumu apliecinājumi un ieguldījumu revīziju rezultāti, saņēmēju apliecinājums par ieguldījumu pabeigšanu.</w:t>
            </w:r>
          </w:p>
        </w:tc>
        <w:tc>
          <w:tcPr>
            <w:tcW w:w="1397" w:type="dxa"/>
            <w:tcBorders>
              <w:top w:val="single" w:sz="4" w:space="0" w:color="auto"/>
              <w:left w:val="nil"/>
              <w:bottom w:val="single" w:sz="4" w:space="0" w:color="auto"/>
              <w:right w:val="single" w:sz="4" w:space="0" w:color="auto"/>
            </w:tcBorders>
            <w:shd w:val="clear" w:color="auto" w:fill="C6EFCE"/>
            <w:noWrap/>
          </w:tcPr>
          <w:p w14:paraId="29604C90"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6E660966"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5B838D22"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60CA2D96"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single" w:sz="4" w:space="0" w:color="auto"/>
              <w:left w:val="nil"/>
              <w:bottom w:val="single" w:sz="4" w:space="0" w:color="auto"/>
              <w:right w:val="single" w:sz="4" w:space="0" w:color="auto"/>
            </w:tcBorders>
            <w:shd w:val="clear" w:color="auto" w:fill="C6EFCE"/>
            <w:noWrap/>
          </w:tcPr>
          <w:p w14:paraId="4743C456" w14:textId="77777777" w:rsidR="00CB0FCB" w:rsidRDefault="009D2B11">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0DCFDFDA" w14:textId="77777777" w:rsidR="00CB0FCB" w:rsidRDefault="009D2B11">
            <w:pPr>
              <w:pStyle w:val="P68B1DB1-Normal43"/>
              <w:spacing w:after="0" w:line="240" w:lineRule="auto"/>
              <w:rPr>
                <w:noProof/>
                <w:color w:val="006100"/>
              </w:rPr>
            </w:pPr>
            <w:r>
              <w:rPr>
                <w:noProof/>
                <w:color w:val="006100"/>
              </w:rPr>
              <w:t>Grieķijas Kultūras resursu attīstības organizācijas (HOCRED) darbību uzlabošana, tostarp energoefektivitātes renovācija, infrastruktūras būvniecība un modernizācija un aprīkojuma nodrošināšana fiziskajiem un tiešsaistes veikaliem un pakalpojumu kvalitātes uzlabošana.</w:t>
            </w:r>
            <w:r>
              <w:rPr>
                <w:noProof/>
              </w:rPr>
              <w:t xml:space="preserve"> </w:t>
            </w:r>
          </w:p>
        </w:tc>
      </w:tr>
      <w:tr w:rsidR="00CB0FCB" w14:paraId="58F1908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77D3482" w14:textId="77777777" w:rsidR="00CB0FCB" w:rsidRDefault="009D2B11">
            <w:pPr>
              <w:pStyle w:val="P68B1DB1-Normal9"/>
              <w:spacing w:after="0" w:line="240" w:lineRule="auto"/>
              <w:rPr>
                <w:rFonts w:eastAsia="Times New Roman" w:cs="Calibri"/>
                <w:noProof/>
                <w:szCs w:val="18"/>
              </w:rPr>
            </w:pPr>
            <w:r>
              <w:rPr>
                <w:noProof/>
              </w:rPr>
              <w:t>285</w:t>
            </w:r>
          </w:p>
        </w:tc>
        <w:tc>
          <w:tcPr>
            <w:tcW w:w="1615" w:type="dxa"/>
            <w:tcBorders>
              <w:top w:val="single" w:sz="4" w:space="0" w:color="auto"/>
              <w:left w:val="nil"/>
              <w:bottom w:val="single" w:sz="4" w:space="0" w:color="auto"/>
              <w:right w:val="single" w:sz="4" w:space="0" w:color="auto"/>
            </w:tcBorders>
            <w:shd w:val="clear" w:color="auto" w:fill="C6EFCE"/>
            <w:noWrap/>
          </w:tcPr>
          <w:p w14:paraId="49544A73"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16725_Augstākās mākslas izglītības modernizācija</w:t>
            </w:r>
          </w:p>
        </w:tc>
        <w:tc>
          <w:tcPr>
            <w:tcW w:w="1008" w:type="dxa"/>
            <w:tcBorders>
              <w:top w:val="single" w:sz="4" w:space="0" w:color="auto"/>
              <w:left w:val="nil"/>
              <w:bottom w:val="single" w:sz="4" w:space="0" w:color="auto"/>
              <w:right w:val="single" w:sz="4" w:space="0" w:color="auto"/>
            </w:tcBorders>
            <w:shd w:val="clear" w:color="auto" w:fill="C6EFCE"/>
            <w:noWrap/>
          </w:tcPr>
          <w:p w14:paraId="41B8F4D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single" w:sz="4" w:space="0" w:color="auto"/>
              <w:left w:val="nil"/>
              <w:bottom w:val="single" w:sz="4" w:space="0" w:color="auto"/>
              <w:right w:val="single" w:sz="4" w:space="0" w:color="auto"/>
            </w:tcBorders>
            <w:shd w:val="clear" w:color="auto" w:fill="C6EFCE"/>
            <w:noWrap/>
          </w:tcPr>
          <w:p w14:paraId="6F95DEDA" w14:textId="77777777" w:rsidR="00CB0FCB" w:rsidRDefault="009D2B11">
            <w:pPr>
              <w:pStyle w:val="P68B1DB1-Normal9"/>
              <w:spacing w:after="0" w:line="240" w:lineRule="auto"/>
              <w:rPr>
                <w:rFonts w:eastAsia="Times New Roman" w:cs="Calibri"/>
                <w:noProof/>
                <w:szCs w:val="18"/>
              </w:rPr>
            </w:pPr>
            <w:r>
              <w:rPr>
                <w:noProof/>
              </w:rPr>
              <w:t>Augstākās mākslas izglītības uzlabošana</w:t>
            </w:r>
          </w:p>
        </w:tc>
        <w:tc>
          <w:tcPr>
            <w:tcW w:w="1549" w:type="dxa"/>
            <w:tcBorders>
              <w:top w:val="single" w:sz="4" w:space="0" w:color="auto"/>
              <w:left w:val="nil"/>
              <w:bottom w:val="single" w:sz="4" w:space="0" w:color="auto"/>
              <w:right w:val="single" w:sz="4" w:space="0" w:color="auto"/>
            </w:tcBorders>
            <w:shd w:val="clear" w:color="auto" w:fill="C6EFCE"/>
            <w:noWrap/>
          </w:tcPr>
          <w:p w14:paraId="63934FF9" w14:textId="77777777" w:rsidR="00CB0FCB" w:rsidRDefault="009D2B11">
            <w:pPr>
              <w:pStyle w:val="P68B1DB1-Normal9"/>
              <w:spacing w:after="0" w:line="240" w:lineRule="auto"/>
              <w:rPr>
                <w:rFonts w:eastAsia="Times New Roman" w:cs="Calibri"/>
                <w:noProof/>
                <w:szCs w:val="18"/>
              </w:rPr>
            </w:pPr>
            <w:r>
              <w:rPr>
                <w:noProof/>
              </w:rPr>
              <w:t xml:space="preserve">Nobeiguma ziņojums, tostarp </w:t>
            </w:r>
          </w:p>
          <w:p w14:paraId="256FEA30" w14:textId="77777777" w:rsidR="00CB0FCB" w:rsidRDefault="009D2B11">
            <w:pPr>
              <w:pStyle w:val="P68B1DB1-Normal9"/>
              <w:spacing w:after="0" w:line="240" w:lineRule="auto"/>
              <w:rPr>
                <w:rFonts w:eastAsia="Times New Roman" w:cs="Calibri"/>
                <w:noProof/>
                <w:szCs w:val="18"/>
              </w:rPr>
            </w:pPr>
            <w:r>
              <w:rPr>
                <w:noProof/>
              </w:rPr>
              <w:t>maksājumu apliecinājumi un ieguldījumu revīziju rezultāti, saņēmēju apliecinājums par ieguldījumu pabeigšanu; un</w:t>
            </w:r>
          </w:p>
          <w:p w14:paraId="5177E809" w14:textId="77777777" w:rsidR="00CB0FCB" w:rsidRDefault="009D2B11">
            <w:pPr>
              <w:pStyle w:val="P68B1DB1-Normal9"/>
              <w:spacing w:after="0" w:line="240" w:lineRule="auto"/>
              <w:rPr>
                <w:rFonts w:eastAsia="Times New Roman" w:cs="Calibri"/>
                <w:noProof/>
                <w:szCs w:val="18"/>
              </w:rPr>
            </w:pPr>
            <w:r>
              <w:rPr>
                <w:noProof/>
              </w:rPr>
              <w:t>dokumentēta tiesiskā regulējuma pārskatīšana ar atsaucēm uz “Oficiālo Vēstnesi”.</w:t>
            </w:r>
          </w:p>
        </w:tc>
        <w:tc>
          <w:tcPr>
            <w:tcW w:w="1397" w:type="dxa"/>
            <w:tcBorders>
              <w:top w:val="single" w:sz="4" w:space="0" w:color="auto"/>
              <w:left w:val="nil"/>
              <w:bottom w:val="single" w:sz="4" w:space="0" w:color="auto"/>
              <w:right w:val="single" w:sz="4" w:space="0" w:color="auto"/>
            </w:tcBorders>
            <w:shd w:val="clear" w:color="auto" w:fill="C6EFCE"/>
            <w:noWrap/>
          </w:tcPr>
          <w:p w14:paraId="000D8EBE"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2329D0F6"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16424137"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06CCA5EA"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single" w:sz="4" w:space="0" w:color="auto"/>
              <w:left w:val="nil"/>
              <w:bottom w:val="single" w:sz="4" w:space="0" w:color="auto"/>
              <w:right w:val="single" w:sz="4" w:space="0" w:color="auto"/>
            </w:tcBorders>
            <w:shd w:val="clear" w:color="auto" w:fill="C6EFCE"/>
            <w:noWrap/>
          </w:tcPr>
          <w:p w14:paraId="7405A7B2" w14:textId="77777777" w:rsidR="00CB0FCB" w:rsidRDefault="009D2B11">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17FF3F84" w14:textId="338D130B" w:rsidR="00CB0FCB" w:rsidRDefault="009D2B11">
            <w:pPr>
              <w:pStyle w:val="P68B1DB1-Normal9"/>
              <w:spacing w:after="0" w:line="240" w:lineRule="auto"/>
              <w:rPr>
                <w:rFonts w:asciiTheme="minorHAnsi" w:eastAsiaTheme="minorEastAsia" w:hAnsiTheme="minorHAnsi" w:cstheme="minorBidi"/>
                <w:noProof/>
                <w:szCs w:val="18"/>
              </w:rPr>
            </w:pPr>
            <w:r>
              <w:rPr>
                <w:rFonts w:asciiTheme="minorHAnsi" w:hAnsiTheme="minorHAnsi"/>
                <w:noProof/>
              </w:rPr>
              <w:t>Stājas spēkā tiesību akti par a) izpildītājmākslas universitātes izveidi un b) šīs augstākās mākslas izglītības iestādes mācību programmu pārskatīšanu un atjaunināšanu.</w:t>
            </w:r>
          </w:p>
          <w:p w14:paraId="36347B81" w14:textId="77777777" w:rsidR="00CB0FCB" w:rsidRDefault="00CB0FCB">
            <w:pPr>
              <w:spacing w:after="0" w:line="240" w:lineRule="auto"/>
              <w:rPr>
                <w:rFonts w:asciiTheme="minorHAnsi" w:eastAsiaTheme="minorEastAsia" w:hAnsiTheme="minorHAnsi" w:cstheme="minorBidi"/>
                <w:noProof/>
                <w:color w:val="006100"/>
                <w:sz w:val="18"/>
                <w:szCs w:val="18"/>
              </w:rPr>
            </w:pPr>
          </w:p>
          <w:p w14:paraId="1672C175" w14:textId="77777777" w:rsidR="00CB0FCB" w:rsidRDefault="009D2B11">
            <w:pPr>
              <w:pStyle w:val="P68B1DB1-Normal33"/>
              <w:spacing w:after="0" w:line="240" w:lineRule="auto"/>
              <w:rPr>
                <w:rFonts w:eastAsiaTheme="minorEastAsia" w:cstheme="minorBidi"/>
                <w:noProof/>
                <w:szCs w:val="18"/>
              </w:rPr>
            </w:pPr>
            <w:r>
              <w:rPr>
                <w:noProof/>
              </w:rPr>
              <w:t xml:space="preserve">Valsts dejas skolas un Saloniku Valsts konservatorijas ēkas modernizācijas pabeigšana. </w:t>
            </w:r>
          </w:p>
          <w:p w14:paraId="4B7464D1" w14:textId="77777777" w:rsidR="00CB0FCB" w:rsidRDefault="00CB0FCB">
            <w:pPr>
              <w:spacing w:after="0" w:line="240" w:lineRule="auto"/>
              <w:rPr>
                <w:rFonts w:asciiTheme="minorHAnsi" w:eastAsiaTheme="minorEastAsia" w:hAnsiTheme="minorHAnsi" w:cstheme="minorBidi"/>
                <w:noProof/>
                <w:color w:val="006100"/>
                <w:sz w:val="18"/>
                <w:szCs w:val="18"/>
              </w:rPr>
            </w:pPr>
          </w:p>
          <w:p w14:paraId="4B4C926C" w14:textId="462065F0" w:rsidR="00CB0FCB" w:rsidRDefault="009D2B11">
            <w:pPr>
              <w:pStyle w:val="P68B1DB1-Normal33"/>
              <w:spacing w:after="0" w:line="240" w:lineRule="auto"/>
              <w:rPr>
                <w:rFonts w:eastAsiaTheme="minorEastAsia" w:cstheme="minorBidi"/>
                <w:noProof/>
                <w:szCs w:val="18"/>
              </w:rPr>
            </w:pPr>
            <w:r>
              <w:rPr>
                <w:noProof/>
              </w:rPr>
              <w:t>Galveno valsts mākslas izglītības iestāžu modernizācijas pabeigšana (Valsts teātra Dramas skola, Ziemeļgrieķijas Valsts teātra skola, Tino Marble Crafts augstskola)</w:t>
            </w:r>
          </w:p>
          <w:p w14:paraId="539A13AC" w14:textId="77777777" w:rsidR="00CB0FCB" w:rsidRDefault="00CB0FCB">
            <w:pPr>
              <w:spacing w:after="0" w:line="240" w:lineRule="auto"/>
              <w:rPr>
                <w:rFonts w:asciiTheme="minorHAnsi" w:hAnsiTheme="minorHAnsi"/>
                <w:noProof/>
                <w:color w:val="006100"/>
                <w:sz w:val="18"/>
              </w:rPr>
            </w:pPr>
          </w:p>
        </w:tc>
      </w:tr>
      <w:tr w:rsidR="00CB0FCB" w14:paraId="603E410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642DCEB" w14:textId="77777777" w:rsidR="00CB0FCB" w:rsidRDefault="009D2B11">
            <w:pPr>
              <w:pStyle w:val="P68B1DB1-Normal9"/>
              <w:spacing w:after="0" w:line="240" w:lineRule="auto"/>
              <w:rPr>
                <w:rFonts w:eastAsia="Times New Roman" w:cs="Calibri"/>
                <w:noProof/>
                <w:szCs w:val="18"/>
              </w:rPr>
            </w:pPr>
            <w:r>
              <w:rPr>
                <w:noProof/>
              </w:rPr>
              <w:t>287</w:t>
            </w:r>
          </w:p>
        </w:tc>
        <w:tc>
          <w:tcPr>
            <w:tcW w:w="1615" w:type="dxa"/>
            <w:tcBorders>
              <w:top w:val="single" w:sz="4" w:space="0" w:color="auto"/>
              <w:left w:val="nil"/>
              <w:bottom w:val="single" w:sz="4" w:space="0" w:color="auto"/>
              <w:right w:val="single" w:sz="4" w:space="0" w:color="auto"/>
            </w:tcBorders>
            <w:shd w:val="clear" w:color="auto" w:fill="C6EFCE"/>
            <w:noWrap/>
          </w:tcPr>
          <w:p w14:paraId="0E21F499"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16486_zemūdens senlietu muzejs</w:t>
            </w:r>
          </w:p>
        </w:tc>
        <w:tc>
          <w:tcPr>
            <w:tcW w:w="1008" w:type="dxa"/>
            <w:tcBorders>
              <w:top w:val="single" w:sz="4" w:space="0" w:color="auto"/>
              <w:left w:val="nil"/>
              <w:bottom w:val="single" w:sz="4" w:space="0" w:color="auto"/>
              <w:right w:val="single" w:sz="4" w:space="0" w:color="auto"/>
            </w:tcBorders>
            <w:shd w:val="clear" w:color="auto" w:fill="C6EFCE"/>
            <w:noWrap/>
          </w:tcPr>
          <w:p w14:paraId="47B1412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single" w:sz="4" w:space="0" w:color="auto"/>
              <w:left w:val="nil"/>
              <w:bottom w:val="single" w:sz="4" w:space="0" w:color="auto"/>
              <w:right w:val="single" w:sz="4" w:space="0" w:color="auto"/>
            </w:tcBorders>
            <w:shd w:val="clear" w:color="auto" w:fill="C6EFCE"/>
            <w:noWrap/>
          </w:tcPr>
          <w:p w14:paraId="761DA8D8" w14:textId="77777777" w:rsidR="00CB0FCB" w:rsidRDefault="009D2B11">
            <w:pPr>
              <w:pStyle w:val="P68B1DB1-Normal9"/>
              <w:spacing w:after="0" w:line="240" w:lineRule="auto"/>
              <w:rPr>
                <w:rFonts w:eastAsia="Times New Roman" w:cs="Calibri"/>
                <w:noProof/>
                <w:szCs w:val="18"/>
              </w:rPr>
            </w:pPr>
            <w:r>
              <w:rPr>
                <w:noProof/>
              </w:rPr>
              <w:t>Zemūdens senlietu muzejs</w:t>
            </w:r>
          </w:p>
        </w:tc>
        <w:tc>
          <w:tcPr>
            <w:tcW w:w="1549" w:type="dxa"/>
            <w:tcBorders>
              <w:top w:val="single" w:sz="4" w:space="0" w:color="auto"/>
              <w:left w:val="nil"/>
              <w:bottom w:val="single" w:sz="4" w:space="0" w:color="auto"/>
              <w:right w:val="single" w:sz="4" w:space="0" w:color="auto"/>
            </w:tcBorders>
            <w:shd w:val="clear" w:color="auto" w:fill="C6EFCE"/>
            <w:noWrap/>
          </w:tcPr>
          <w:p w14:paraId="6AE35656" w14:textId="77777777" w:rsidR="00CB0FCB" w:rsidRDefault="009D2B11">
            <w:pPr>
              <w:pStyle w:val="P68B1DB1-Normal9"/>
              <w:spacing w:after="0" w:line="240" w:lineRule="auto"/>
              <w:rPr>
                <w:rFonts w:eastAsia="Times New Roman" w:cs="Calibri"/>
                <w:noProof/>
                <w:szCs w:val="18"/>
              </w:rPr>
            </w:pPr>
            <w:r>
              <w:rPr>
                <w:noProof/>
              </w:rPr>
              <w:t xml:space="preserve">Nobeiguma ziņojums, tostarp </w:t>
            </w:r>
          </w:p>
          <w:p w14:paraId="2E74026D" w14:textId="77777777" w:rsidR="00CB0FCB" w:rsidRDefault="009D2B11">
            <w:pPr>
              <w:pStyle w:val="P68B1DB1-Normal9"/>
              <w:spacing w:after="0" w:line="240" w:lineRule="auto"/>
              <w:rPr>
                <w:rFonts w:eastAsia="Times New Roman" w:cs="Calibri"/>
                <w:noProof/>
                <w:szCs w:val="18"/>
              </w:rPr>
            </w:pPr>
            <w:r>
              <w:rPr>
                <w:noProof/>
              </w:rPr>
              <w:t>(1a) Sertifikācija par investīciju pabeigšanu; un</w:t>
            </w:r>
          </w:p>
          <w:p w14:paraId="338DD9B4" w14:textId="77777777" w:rsidR="00CB0FCB" w:rsidRDefault="009D2B11">
            <w:pPr>
              <w:pStyle w:val="P68B1DB1-Normal9"/>
              <w:spacing w:after="0" w:line="240" w:lineRule="auto"/>
              <w:rPr>
                <w:rFonts w:eastAsia="Times New Roman" w:cs="Calibri"/>
                <w:noProof/>
                <w:szCs w:val="18"/>
              </w:rPr>
            </w:pPr>
            <w:r>
              <w:rPr>
                <w:noProof/>
              </w:rPr>
              <w:t>Darbu sertificēšana pastāvīgajām izstāžu telpām, saglabāšanas darbi un dokumentācija, kā arī publikācijas, kas papildina izstādi.</w:t>
            </w:r>
          </w:p>
        </w:tc>
        <w:tc>
          <w:tcPr>
            <w:tcW w:w="1397" w:type="dxa"/>
            <w:tcBorders>
              <w:top w:val="single" w:sz="4" w:space="0" w:color="auto"/>
              <w:left w:val="nil"/>
              <w:bottom w:val="single" w:sz="4" w:space="0" w:color="auto"/>
              <w:right w:val="single" w:sz="4" w:space="0" w:color="auto"/>
            </w:tcBorders>
            <w:shd w:val="clear" w:color="auto" w:fill="C6EFCE"/>
            <w:noWrap/>
          </w:tcPr>
          <w:p w14:paraId="63E59A84"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7A65A8C5"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29088035"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462B47CC"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single" w:sz="4" w:space="0" w:color="auto"/>
              <w:left w:val="nil"/>
              <w:bottom w:val="single" w:sz="4" w:space="0" w:color="auto"/>
              <w:right w:val="single" w:sz="4" w:space="0" w:color="auto"/>
            </w:tcBorders>
            <w:shd w:val="clear" w:color="auto" w:fill="C6EFCE"/>
            <w:noWrap/>
          </w:tcPr>
          <w:p w14:paraId="056E2F16" w14:textId="77777777" w:rsidR="00CB0FCB" w:rsidRDefault="009D2B11">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6F110787" w14:textId="77777777" w:rsidR="00CB0FCB" w:rsidRDefault="009D2B11">
            <w:pPr>
              <w:pStyle w:val="P68B1DB1-Normal9"/>
              <w:spacing w:after="0" w:line="240" w:lineRule="auto"/>
              <w:rPr>
                <w:rFonts w:eastAsia="Times New Roman" w:cs="Calibri"/>
                <w:noProof/>
                <w:szCs w:val="18"/>
              </w:rPr>
            </w:pPr>
            <w:r>
              <w:rPr>
                <w:noProof/>
              </w:rPr>
              <w:t xml:space="preserve">Zemūdens senlietu muzeja pabeigšana: Energoefektivitātes darbu pabeigšana un </w:t>
            </w:r>
          </w:p>
          <w:p w14:paraId="7B5AAA25" w14:textId="77777777" w:rsidR="00CB0FCB" w:rsidRDefault="009D2B11">
            <w:pPr>
              <w:spacing w:after="0" w:line="240" w:lineRule="auto"/>
              <w:rPr>
                <w:rFonts w:eastAsia="Times New Roman" w:cs="Calibri"/>
                <w:noProof/>
                <w:color w:val="006100"/>
                <w:sz w:val="18"/>
                <w:szCs w:val="18"/>
              </w:rPr>
            </w:pPr>
            <w:r>
              <w:rPr>
                <w:noProof/>
                <w:color w:val="006100"/>
                <w:sz w:val="18"/>
              </w:rPr>
              <w:t>(1b) pastāvīgas izstādes organizēšana, kas Pirejas un plašākā Atēnu reģionā</w:t>
            </w:r>
            <w:r>
              <w:rPr>
                <w:rFonts w:ascii="Times New Roman" w:hAnsi="Times New Roman"/>
                <w:noProof/>
                <w:sz w:val="24"/>
              </w:rPr>
              <w:t xml:space="preserve"> </w:t>
            </w:r>
            <w:r>
              <w:rPr>
                <w:noProof/>
                <w:color w:val="006100"/>
                <w:sz w:val="18"/>
              </w:rPr>
              <w:t>rada būtisku pievienoto vērtību tūrismam un kultūrai.</w:t>
            </w:r>
          </w:p>
        </w:tc>
      </w:tr>
      <w:tr w:rsidR="00CB0FCB" w14:paraId="366FF075"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F529A6A" w14:textId="77777777" w:rsidR="00CB0FCB" w:rsidRDefault="009D2B11">
            <w:pPr>
              <w:pStyle w:val="P68B1DB1-Normal9"/>
              <w:spacing w:after="0" w:line="240" w:lineRule="auto"/>
              <w:rPr>
                <w:rFonts w:eastAsia="Times New Roman" w:cs="Calibri"/>
                <w:noProof/>
                <w:szCs w:val="18"/>
              </w:rPr>
            </w:pPr>
            <w:r>
              <w:rPr>
                <w:noProof/>
              </w:rPr>
              <w:t>288</w:t>
            </w:r>
          </w:p>
        </w:tc>
        <w:tc>
          <w:tcPr>
            <w:tcW w:w="1615" w:type="dxa"/>
            <w:tcBorders>
              <w:top w:val="single" w:sz="4" w:space="0" w:color="auto"/>
              <w:left w:val="nil"/>
              <w:bottom w:val="single" w:sz="4" w:space="0" w:color="auto"/>
              <w:right w:val="single" w:sz="4" w:space="0" w:color="auto"/>
            </w:tcBorders>
            <w:shd w:val="clear" w:color="auto" w:fill="C6EFCE"/>
            <w:noWrap/>
          </w:tcPr>
          <w:p w14:paraId="2EFAB6AA"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16485_Kultūras ceļi Emblemātiskos arheoloģiskos objektos un piemineļos</w:t>
            </w:r>
          </w:p>
        </w:tc>
        <w:tc>
          <w:tcPr>
            <w:tcW w:w="1008" w:type="dxa"/>
            <w:tcBorders>
              <w:top w:val="single" w:sz="4" w:space="0" w:color="auto"/>
              <w:left w:val="nil"/>
              <w:bottom w:val="single" w:sz="4" w:space="0" w:color="auto"/>
              <w:right w:val="single" w:sz="4" w:space="0" w:color="auto"/>
            </w:tcBorders>
            <w:shd w:val="clear" w:color="auto" w:fill="C6EFCE"/>
            <w:noWrap/>
          </w:tcPr>
          <w:p w14:paraId="633E6FA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single" w:sz="4" w:space="0" w:color="auto"/>
              <w:left w:val="nil"/>
              <w:bottom w:val="single" w:sz="4" w:space="0" w:color="auto"/>
              <w:right w:val="single" w:sz="4" w:space="0" w:color="auto"/>
            </w:tcBorders>
            <w:shd w:val="clear" w:color="auto" w:fill="C6EFCE"/>
            <w:noWrap/>
          </w:tcPr>
          <w:p w14:paraId="6D4E0F9D" w14:textId="77777777" w:rsidR="00CB0FCB" w:rsidRDefault="009D2B11">
            <w:pPr>
              <w:pStyle w:val="P68B1DB1-Normal9"/>
              <w:spacing w:after="0" w:line="240" w:lineRule="auto"/>
              <w:rPr>
                <w:rFonts w:eastAsia="Times New Roman" w:cs="Calibri"/>
                <w:noProof/>
                <w:szCs w:val="18"/>
              </w:rPr>
            </w:pPr>
            <w:r>
              <w:rPr>
                <w:noProof/>
              </w:rPr>
              <w:t>Kultūras maršruti Emblemātisko arheoloģisko objektu vietās</w:t>
            </w:r>
          </w:p>
        </w:tc>
        <w:tc>
          <w:tcPr>
            <w:tcW w:w="1549" w:type="dxa"/>
            <w:tcBorders>
              <w:top w:val="single" w:sz="4" w:space="0" w:color="auto"/>
              <w:left w:val="nil"/>
              <w:bottom w:val="single" w:sz="4" w:space="0" w:color="auto"/>
              <w:right w:val="single" w:sz="4" w:space="0" w:color="auto"/>
            </w:tcBorders>
            <w:shd w:val="clear" w:color="auto" w:fill="C6EFCE"/>
            <w:noWrap/>
          </w:tcPr>
          <w:p w14:paraId="66B9F1D8" w14:textId="77777777" w:rsidR="00CB0FCB" w:rsidRDefault="009D2B11">
            <w:pPr>
              <w:pStyle w:val="P68B1DB1-Normal9"/>
              <w:spacing w:after="0" w:line="240" w:lineRule="auto"/>
              <w:rPr>
                <w:rFonts w:eastAsia="Times New Roman" w:cs="Calibri"/>
                <w:noProof/>
                <w:szCs w:val="18"/>
              </w:rPr>
            </w:pPr>
            <w:r>
              <w:rPr>
                <w:noProof/>
              </w:rPr>
              <w:t>Pabeigšanas ziņojums, tostarp saņēmēju apliecinājums par ieguldījumu pabeigšanu.</w:t>
            </w:r>
          </w:p>
        </w:tc>
        <w:tc>
          <w:tcPr>
            <w:tcW w:w="1397" w:type="dxa"/>
            <w:tcBorders>
              <w:top w:val="single" w:sz="4" w:space="0" w:color="auto"/>
              <w:left w:val="nil"/>
              <w:bottom w:val="single" w:sz="4" w:space="0" w:color="auto"/>
              <w:right w:val="single" w:sz="4" w:space="0" w:color="auto"/>
            </w:tcBorders>
            <w:shd w:val="clear" w:color="auto" w:fill="C6EFCE"/>
            <w:noWrap/>
          </w:tcPr>
          <w:p w14:paraId="067FD665"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71509BE2"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C7919F9"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0CE63C74"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single" w:sz="4" w:space="0" w:color="auto"/>
              <w:left w:val="nil"/>
              <w:bottom w:val="single" w:sz="4" w:space="0" w:color="auto"/>
              <w:right w:val="single" w:sz="4" w:space="0" w:color="auto"/>
            </w:tcBorders>
            <w:shd w:val="clear" w:color="auto" w:fill="C6EFCE"/>
            <w:noWrap/>
          </w:tcPr>
          <w:p w14:paraId="77A9DD31" w14:textId="77777777" w:rsidR="00CB0FCB" w:rsidRDefault="009D2B11">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4A97A3B3" w14:textId="77777777" w:rsidR="00CB0FCB" w:rsidRDefault="009D2B11">
            <w:pPr>
              <w:pStyle w:val="P68B1DB1-Normal9"/>
              <w:spacing w:after="0" w:line="240" w:lineRule="auto"/>
              <w:rPr>
                <w:rFonts w:eastAsia="Times New Roman" w:cs="Calibri"/>
                <w:noProof/>
                <w:szCs w:val="18"/>
              </w:rPr>
            </w:pPr>
            <w:r>
              <w:rPr>
                <w:noProof/>
              </w:rPr>
              <w:t>Kultūras maršrutu pabeigšana: piecu ģeogrāfiski izplatītu kultūras maršrutu nodrošināšana ar tematiskiem vēstījumiem no Grieķijas vēstures, tostarp atsevišķu pieminekļu saglabāšana un atjaunošana, pakalpojumu un infrastruktūras uzlabošana, interaktīvu digitālo lietotņu izstrāde un mākslas un kultūras pasākumu iekļaušana.</w:t>
            </w:r>
          </w:p>
        </w:tc>
      </w:tr>
      <w:tr w:rsidR="00CB0FCB" w14:paraId="00FF62E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F687797" w14:textId="5620F6A8" w:rsidR="00CB0FCB" w:rsidRDefault="009D2B11">
            <w:pPr>
              <w:pStyle w:val="P68B1DB1-Normal9"/>
              <w:spacing w:after="0" w:line="240" w:lineRule="auto"/>
              <w:rPr>
                <w:rFonts w:eastAsia="Times New Roman" w:cs="Calibri"/>
                <w:noProof/>
                <w:szCs w:val="18"/>
              </w:rPr>
            </w:pPr>
            <w:r>
              <w:rPr>
                <w:noProof/>
              </w:rPr>
              <w:t>289</w:t>
            </w:r>
          </w:p>
        </w:tc>
        <w:tc>
          <w:tcPr>
            <w:tcW w:w="1615" w:type="dxa"/>
            <w:tcBorders>
              <w:top w:val="single" w:sz="4" w:space="0" w:color="auto"/>
              <w:left w:val="nil"/>
              <w:bottom w:val="single" w:sz="4" w:space="0" w:color="auto"/>
              <w:right w:val="single" w:sz="4" w:space="0" w:color="auto"/>
            </w:tcBorders>
            <w:shd w:val="clear" w:color="auto" w:fill="C6EFCE"/>
            <w:noWrap/>
          </w:tcPr>
          <w:p w14:paraId="65C0D9CF"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16735_Mākslas pret recepti izmantošana, sociālās kohēzijas veicināšana un senioru ekonomikas izmantošana</w:t>
            </w:r>
          </w:p>
        </w:tc>
        <w:tc>
          <w:tcPr>
            <w:tcW w:w="1008" w:type="dxa"/>
            <w:tcBorders>
              <w:top w:val="single" w:sz="4" w:space="0" w:color="auto"/>
              <w:left w:val="nil"/>
              <w:bottom w:val="single" w:sz="4" w:space="0" w:color="auto"/>
              <w:right w:val="single" w:sz="4" w:space="0" w:color="auto"/>
            </w:tcBorders>
            <w:shd w:val="clear" w:color="auto" w:fill="C6EFCE"/>
            <w:noWrap/>
          </w:tcPr>
          <w:p w14:paraId="3270C11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90" w:type="dxa"/>
            <w:tcBorders>
              <w:top w:val="single" w:sz="4" w:space="0" w:color="auto"/>
              <w:left w:val="nil"/>
              <w:bottom w:val="single" w:sz="4" w:space="0" w:color="auto"/>
              <w:right w:val="single" w:sz="4" w:space="0" w:color="auto"/>
            </w:tcBorders>
            <w:shd w:val="clear" w:color="auto" w:fill="C6EFCE"/>
            <w:noWrap/>
          </w:tcPr>
          <w:p w14:paraId="2AABDECE" w14:textId="77777777" w:rsidR="00CB0FCB" w:rsidRDefault="009D2B11">
            <w:pPr>
              <w:pStyle w:val="P68B1DB1-Normal9"/>
              <w:spacing w:after="0" w:line="240" w:lineRule="auto"/>
              <w:rPr>
                <w:rFonts w:eastAsia="Times New Roman" w:cs="Calibri"/>
                <w:noProof/>
                <w:szCs w:val="18"/>
              </w:rPr>
            </w:pPr>
            <w:r>
              <w:rPr>
                <w:noProof/>
              </w:rPr>
              <w:t>“Mākslas par recepti” izmantošana,</w:t>
            </w:r>
          </w:p>
        </w:tc>
        <w:tc>
          <w:tcPr>
            <w:tcW w:w="1549" w:type="dxa"/>
            <w:tcBorders>
              <w:top w:val="single" w:sz="4" w:space="0" w:color="auto"/>
              <w:left w:val="nil"/>
              <w:bottom w:val="single" w:sz="4" w:space="0" w:color="auto"/>
              <w:right w:val="single" w:sz="4" w:space="0" w:color="auto"/>
            </w:tcBorders>
            <w:shd w:val="clear" w:color="auto" w:fill="C6EFCE"/>
            <w:noWrap/>
          </w:tcPr>
          <w:p w14:paraId="1E8F43B4" w14:textId="77777777" w:rsidR="00CB0FCB" w:rsidRDefault="009D2B11">
            <w:pPr>
              <w:pStyle w:val="P68B1DB1-Normal9"/>
              <w:spacing w:after="0" w:line="240" w:lineRule="auto"/>
              <w:rPr>
                <w:rFonts w:eastAsia="Times New Roman" w:cs="Calibri"/>
                <w:noProof/>
                <w:szCs w:val="18"/>
              </w:rPr>
            </w:pPr>
            <w:r>
              <w:rPr>
                <w:noProof/>
              </w:rPr>
              <w:t>Pabeigšanas ziņojums, tostarp saņēmēju apliecinājums par ieguldījumu pabeigšanu.</w:t>
            </w:r>
          </w:p>
        </w:tc>
        <w:tc>
          <w:tcPr>
            <w:tcW w:w="1397" w:type="dxa"/>
            <w:tcBorders>
              <w:top w:val="single" w:sz="4" w:space="0" w:color="auto"/>
              <w:left w:val="nil"/>
              <w:bottom w:val="single" w:sz="4" w:space="0" w:color="auto"/>
              <w:right w:val="single" w:sz="4" w:space="0" w:color="auto"/>
            </w:tcBorders>
            <w:shd w:val="clear" w:color="auto" w:fill="C6EFCE"/>
            <w:noWrap/>
          </w:tcPr>
          <w:p w14:paraId="79251313"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1E59B312"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237740E"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46C37F8"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single" w:sz="4" w:space="0" w:color="auto"/>
              <w:left w:val="nil"/>
              <w:bottom w:val="single" w:sz="4" w:space="0" w:color="auto"/>
              <w:right w:val="single" w:sz="4" w:space="0" w:color="auto"/>
            </w:tcBorders>
            <w:shd w:val="clear" w:color="auto" w:fill="C6EFCE"/>
            <w:noWrap/>
          </w:tcPr>
          <w:p w14:paraId="56ABFABC" w14:textId="77777777" w:rsidR="00CB0FCB" w:rsidRDefault="009D2B11">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1EBEEFBE" w14:textId="77777777" w:rsidR="00CB0FCB" w:rsidRDefault="009D2B11">
            <w:pPr>
              <w:pStyle w:val="P68B1DB1-Normal9"/>
              <w:spacing w:after="0" w:line="240" w:lineRule="auto"/>
              <w:rPr>
                <w:rFonts w:eastAsia="Times New Roman" w:cs="Calibri"/>
                <w:noProof/>
                <w:szCs w:val="18"/>
              </w:rPr>
            </w:pPr>
            <w:r>
              <w:rPr>
                <w:noProof/>
              </w:rPr>
              <w:t>Infrastruktūras uzlabojumu pabeigšana izvēlētās vietās, lai uzlabotu fizisko piekļuvi un nodrošinātu gida vadītas ekskursijas sistēmas ar dzirdes un redzes palīglīdzekļiem kultūras norises vietās, piemēram, muzejos, teātros, festivālos, arheoloģiskos objektos; un pabeigt izstrādāt digitālu portālu apmeklētājiem ar invaliditāti. Priekšrakstu mākslas pabeigšana, tostarp tādu pasākumu veicināšana, kuros izmanto mākslu un kultūru, lai palīdzētu atgūties no garīgās veselības problēmām, nodrošinot apmācības programmas un darbseminārus nozares profesionāļiem.</w:t>
            </w:r>
          </w:p>
          <w:p w14:paraId="1DFFFFA7" w14:textId="77777777" w:rsidR="00CB0FCB" w:rsidRDefault="00CB0FCB">
            <w:pPr>
              <w:spacing w:after="0" w:line="240" w:lineRule="auto"/>
              <w:rPr>
                <w:rFonts w:eastAsia="Times New Roman" w:cs="Calibri"/>
                <w:noProof/>
                <w:color w:val="006100"/>
                <w:sz w:val="18"/>
                <w:szCs w:val="18"/>
              </w:rPr>
            </w:pPr>
          </w:p>
        </w:tc>
      </w:tr>
      <w:tr w:rsidR="00CB0FCB" w14:paraId="28BFEDA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0827C27" w14:textId="77777777" w:rsidR="00CB0FCB" w:rsidRDefault="009D2B11">
            <w:pPr>
              <w:pStyle w:val="P68B1DB1-Normal9"/>
              <w:spacing w:after="0" w:line="240" w:lineRule="auto"/>
              <w:rPr>
                <w:rFonts w:eastAsia="Times New Roman" w:cs="Calibri"/>
                <w:noProof/>
                <w:szCs w:val="18"/>
              </w:rPr>
            </w:pPr>
            <w:r>
              <w:rPr>
                <w:noProof/>
              </w:rPr>
              <w:t>290</w:t>
            </w:r>
          </w:p>
        </w:tc>
        <w:tc>
          <w:tcPr>
            <w:tcW w:w="1615" w:type="dxa"/>
            <w:tcBorders>
              <w:top w:val="single" w:sz="4" w:space="0" w:color="auto"/>
              <w:left w:val="nil"/>
              <w:bottom w:val="single" w:sz="4" w:space="0" w:color="auto"/>
              <w:right w:val="single" w:sz="4" w:space="0" w:color="auto"/>
            </w:tcBorders>
            <w:shd w:val="clear" w:color="auto" w:fill="C6EFCE"/>
            <w:noWrap/>
          </w:tcPr>
          <w:p w14:paraId="08E1D983"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16433_Kultūras pieminekļu un arheoloģisko objektu aizsardzība pret klimata pārmaiņām</w:t>
            </w:r>
          </w:p>
        </w:tc>
        <w:tc>
          <w:tcPr>
            <w:tcW w:w="1008" w:type="dxa"/>
            <w:tcBorders>
              <w:top w:val="single" w:sz="4" w:space="0" w:color="auto"/>
              <w:left w:val="nil"/>
              <w:bottom w:val="single" w:sz="4" w:space="0" w:color="auto"/>
              <w:right w:val="single" w:sz="4" w:space="0" w:color="auto"/>
            </w:tcBorders>
            <w:shd w:val="clear" w:color="auto" w:fill="C6EFCE"/>
            <w:noWrap/>
          </w:tcPr>
          <w:p w14:paraId="5B622066" w14:textId="77777777" w:rsidR="00CB0FCB" w:rsidRDefault="009D2B11">
            <w:pPr>
              <w:pStyle w:val="P68B1DB1-Normal9"/>
              <w:spacing w:after="0" w:line="240" w:lineRule="auto"/>
              <w:rPr>
                <w:rFonts w:eastAsia="Times New Roman" w:cs="Calibri"/>
                <w:noProof/>
                <w:szCs w:val="18"/>
              </w:rPr>
            </w:pPr>
            <w:r>
              <w:rPr>
                <w:noProof/>
              </w:rPr>
              <w:t xml:space="preserve">Atskaites punkts </w:t>
            </w:r>
          </w:p>
        </w:tc>
        <w:tc>
          <w:tcPr>
            <w:tcW w:w="1290" w:type="dxa"/>
            <w:tcBorders>
              <w:top w:val="single" w:sz="4" w:space="0" w:color="auto"/>
              <w:left w:val="nil"/>
              <w:bottom w:val="single" w:sz="4" w:space="0" w:color="auto"/>
              <w:right w:val="single" w:sz="4" w:space="0" w:color="auto"/>
            </w:tcBorders>
            <w:shd w:val="clear" w:color="auto" w:fill="C6EFCE"/>
            <w:noWrap/>
          </w:tcPr>
          <w:p w14:paraId="5E81D087" w14:textId="77777777" w:rsidR="00CB0FCB" w:rsidRDefault="009D2B11">
            <w:pPr>
              <w:pStyle w:val="P68B1DB1-Normal9"/>
              <w:spacing w:after="0" w:line="240" w:lineRule="auto"/>
              <w:rPr>
                <w:rFonts w:eastAsia="Times New Roman" w:cs="Calibri"/>
                <w:noProof/>
                <w:szCs w:val="18"/>
              </w:rPr>
            </w:pPr>
            <w:r>
              <w:rPr>
                <w:noProof/>
              </w:rPr>
              <w:t>Kultūras pieminekļu aizsardzība pret klimata pārmaiņām</w:t>
            </w:r>
          </w:p>
        </w:tc>
        <w:tc>
          <w:tcPr>
            <w:tcW w:w="1549" w:type="dxa"/>
            <w:tcBorders>
              <w:top w:val="single" w:sz="4" w:space="0" w:color="auto"/>
              <w:left w:val="nil"/>
              <w:bottom w:val="single" w:sz="4" w:space="0" w:color="auto"/>
              <w:right w:val="single" w:sz="4" w:space="0" w:color="auto"/>
            </w:tcBorders>
            <w:shd w:val="clear" w:color="auto" w:fill="C6EFCE"/>
            <w:noWrap/>
          </w:tcPr>
          <w:p w14:paraId="3529C554" w14:textId="77777777" w:rsidR="00CB0FCB" w:rsidRDefault="009D2B11">
            <w:pPr>
              <w:pStyle w:val="P68B1DB1-Normal9"/>
              <w:spacing w:after="0" w:line="240" w:lineRule="auto"/>
              <w:rPr>
                <w:rFonts w:eastAsia="Times New Roman" w:cs="Calibri"/>
                <w:noProof/>
                <w:szCs w:val="18"/>
              </w:rPr>
            </w:pPr>
            <w:r>
              <w:rPr>
                <w:noProof/>
              </w:rPr>
              <w:t xml:space="preserve">Pabeigšanas ziņojums, tostarp klimata pārmaiņu pielāgošanās plānu kopijas, maksājuma apliecinājumi un investīciju revīziju rezultāti, kas apliecina ieguldījumu pabeigšanu </w:t>
            </w:r>
          </w:p>
        </w:tc>
        <w:tc>
          <w:tcPr>
            <w:tcW w:w="1397" w:type="dxa"/>
            <w:tcBorders>
              <w:top w:val="single" w:sz="4" w:space="0" w:color="auto"/>
              <w:left w:val="nil"/>
              <w:bottom w:val="single" w:sz="4" w:space="0" w:color="auto"/>
              <w:right w:val="single" w:sz="4" w:space="0" w:color="auto"/>
            </w:tcBorders>
            <w:shd w:val="clear" w:color="auto" w:fill="C6EFCE"/>
            <w:noWrap/>
          </w:tcPr>
          <w:p w14:paraId="1E83EBC7"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45F8F6FA"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B27ABCF"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3BF71FFB"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single" w:sz="4" w:space="0" w:color="auto"/>
              <w:left w:val="nil"/>
              <w:bottom w:val="single" w:sz="4" w:space="0" w:color="auto"/>
              <w:right w:val="single" w:sz="4" w:space="0" w:color="auto"/>
            </w:tcBorders>
            <w:shd w:val="clear" w:color="auto" w:fill="C6EFCE"/>
            <w:noWrap/>
          </w:tcPr>
          <w:p w14:paraId="1292BCB9" w14:textId="77777777" w:rsidR="00CB0FCB" w:rsidRDefault="009D2B11">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225EC533" w14:textId="77777777" w:rsidR="00CB0FCB" w:rsidRDefault="009D2B11">
            <w:pPr>
              <w:pStyle w:val="P68B1DB1-Normal9"/>
              <w:spacing w:after="0" w:line="240" w:lineRule="auto"/>
              <w:rPr>
                <w:rFonts w:eastAsia="Times New Roman" w:cs="Calibri"/>
                <w:noProof/>
                <w:szCs w:val="18"/>
              </w:rPr>
            </w:pPr>
            <w:r>
              <w:rPr>
                <w:noProof/>
              </w:rPr>
              <w:t>Pabeigt kultūras pieminekļu aizsardzību pret klimata pārmaiņām, tostarp izstrādāt plānus par pielāgošanos klimata pārmaiņām kultūras mantojuma objektiem, tādējādi saglabājot kultūras mantojuma objektu ieguldījumu saimnieciskajā darbībā, tostarp telpiskus un laika novērtējumus par klimata riskiem un to neaizsargātības apzināšanu, ar kurām saskaras kultūras mantojuma objekti.</w:t>
            </w:r>
          </w:p>
        </w:tc>
      </w:tr>
      <w:tr w:rsidR="00CB0FCB" w14:paraId="6CCCF39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60CD504" w14:textId="77777777" w:rsidR="00CB0FCB" w:rsidRDefault="009D2B11">
            <w:pPr>
              <w:pStyle w:val="P68B1DB1-Normal9"/>
              <w:spacing w:after="0" w:line="240" w:lineRule="auto"/>
              <w:rPr>
                <w:rFonts w:eastAsia="Times New Roman" w:cs="Calibri"/>
                <w:noProof/>
                <w:szCs w:val="18"/>
              </w:rPr>
            </w:pPr>
            <w:r>
              <w:rPr>
                <w:noProof/>
              </w:rPr>
              <w:t>291</w:t>
            </w:r>
          </w:p>
        </w:tc>
        <w:tc>
          <w:tcPr>
            <w:tcW w:w="1615" w:type="dxa"/>
            <w:tcBorders>
              <w:top w:val="single" w:sz="4" w:space="0" w:color="auto"/>
              <w:left w:val="nil"/>
              <w:bottom w:val="single" w:sz="4" w:space="0" w:color="auto"/>
              <w:right w:val="single" w:sz="4" w:space="0" w:color="auto"/>
            </w:tcBorders>
            <w:shd w:val="clear" w:color="auto" w:fill="C6EFCE"/>
            <w:noWrap/>
          </w:tcPr>
          <w:p w14:paraId="1554E0E2"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16435_Restoration — Saglabāšana — Akropoles pieminekļu uzlabošana</w:t>
            </w:r>
          </w:p>
        </w:tc>
        <w:tc>
          <w:tcPr>
            <w:tcW w:w="1008" w:type="dxa"/>
            <w:tcBorders>
              <w:top w:val="single" w:sz="4" w:space="0" w:color="auto"/>
              <w:left w:val="nil"/>
              <w:bottom w:val="single" w:sz="4" w:space="0" w:color="auto"/>
              <w:right w:val="single" w:sz="4" w:space="0" w:color="auto"/>
            </w:tcBorders>
            <w:shd w:val="clear" w:color="auto" w:fill="C6EFCE"/>
            <w:noWrap/>
          </w:tcPr>
          <w:p w14:paraId="7443FD30" w14:textId="77777777" w:rsidR="00CB0FCB" w:rsidRDefault="009D2B11">
            <w:pPr>
              <w:pStyle w:val="P68B1DB1-Normal9"/>
              <w:spacing w:after="0" w:line="240" w:lineRule="auto"/>
              <w:rPr>
                <w:rFonts w:eastAsia="Times New Roman" w:cs="Calibri"/>
                <w:noProof/>
                <w:szCs w:val="18"/>
              </w:rPr>
            </w:pPr>
            <w:r>
              <w:rPr>
                <w:noProof/>
              </w:rPr>
              <w:t>Atskaites punkts</w:t>
            </w:r>
          </w:p>
          <w:p w14:paraId="6F551864" w14:textId="77777777" w:rsidR="00CB0FCB" w:rsidRDefault="00CB0FCB">
            <w:pPr>
              <w:spacing w:after="0" w:line="240" w:lineRule="auto"/>
              <w:rPr>
                <w:rFonts w:eastAsia="Times New Roman" w:cs="Calibri"/>
                <w:noProof/>
                <w:color w:val="006100"/>
                <w:sz w:val="18"/>
                <w:szCs w:val="18"/>
              </w:rPr>
            </w:pPr>
          </w:p>
        </w:tc>
        <w:tc>
          <w:tcPr>
            <w:tcW w:w="1290" w:type="dxa"/>
            <w:tcBorders>
              <w:top w:val="single" w:sz="4" w:space="0" w:color="auto"/>
              <w:left w:val="nil"/>
              <w:bottom w:val="single" w:sz="4" w:space="0" w:color="auto"/>
              <w:right w:val="single" w:sz="4" w:space="0" w:color="auto"/>
            </w:tcBorders>
            <w:shd w:val="clear" w:color="auto" w:fill="C6EFCE"/>
            <w:noWrap/>
          </w:tcPr>
          <w:p w14:paraId="2E959B35" w14:textId="77777777" w:rsidR="00CB0FCB" w:rsidRDefault="009D2B11">
            <w:pPr>
              <w:pStyle w:val="P68B1DB1-Normal9"/>
              <w:spacing w:after="0" w:line="240" w:lineRule="auto"/>
              <w:rPr>
                <w:rFonts w:eastAsia="Times New Roman" w:cs="Calibri"/>
                <w:noProof/>
                <w:szCs w:val="18"/>
              </w:rPr>
            </w:pPr>
            <w:r>
              <w:rPr>
                <w:noProof/>
              </w:rPr>
              <w:t>Atjaunošana — Saglabāšana — Akropoles uzlabošana</w:t>
            </w:r>
          </w:p>
        </w:tc>
        <w:tc>
          <w:tcPr>
            <w:tcW w:w="1549" w:type="dxa"/>
            <w:tcBorders>
              <w:top w:val="single" w:sz="4" w:space="0" w:color="auto"/>
              <w:left w:val="nil"/>
              <w:bottom w:val="single" w:sz="4" w:space="0" w:color="auto"/>
              <w:right w:val="single" w:sz="4" w:space="0" w:color="auto"/>
            </w:tcBorders>
            <w:shd w:val="clear" w:color="auto" w:fill="C6EFCE"/>
            <w:noWrap/>
          </w:tcPr>
          <w:p w14:paraId="3C7002DE" w14:textId="77777777" w:rsidR="00CB0FCB" w:rsidRDefault="009D2B11">
            <w:pPr>
              <w:pStyle w:val="P68B1DB1-Normal9"/>
              <w:spacing w:after="0" w:line="240" w:lineRule="auto"/>
              <w:rPr>
                <w:rFonts w:eastAsia="Times New Roman" w:cs="Calibri"/>
                <w:noProof/>
                <w:szCs w:val="18"/>
              </w:rPr>
            </w:pPr>
            <w:r>
              <w:rPr>
                <w:noProof/>
              </w:rPr>
              <w:t>Pabeigšanas ziņojums, tostarp maksājumu apliecinājumi un ieguldījumu revīziju rezultāti, ieguldījumu pabeigšanas apliecinājums.</w:t>
            </w:r>
          </w:p>
        </w:tc>
        <w:tc>
          <w:tcPr>
            <w:tcW w:w="1397" w:type="dxa"/>
            <w:tcBorders>
              <w:top w:val="single" w:sz="4" w:space="0" w:color="auto"/>
              <w:left w:val="nil"/>
              <w:bottom w:val="single" w:sz="4" w:space="0" w:color="auto"/>
              <w:right w:val="single" w:sz="4" w:space="0" w:color="auto"/>
            </w:tcBorders>
            <w:shd w:val="clear" w:color="auto" w:fill="C6EFCE"/>
            <w:noWrap/>
          </w:tcPr>
          <w:p w14:paraId="302AC47C" w14:textId="77777777" w:rsidR="00CB0FCB" w:rsidRDefault="00CB0FCB">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73C0879C" w14:textId="77777777" w:rsidR="00CB0FCB" w:rsidRDefault="00CB0FCB">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C1F5F36"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1A94780E" w14:textId="77777777" w:rsidR="00CB0FCB" w:rsidRDefault="009D2B11">
            <w:pPr>
              <w:pStyle w:val="P68B1DB1-Normal9"/>
              <w:spacing w:after="0" w:line="240" w:lineRule="auto"/>
              <w:rPr>
                <w:rFonts w:eastAsia="Times New Roman" w:cs="Calibri"/>
                <w:noProof/>
                <w:szCs w:val="18"/>
              </w:rPr>
            </w:pPr>
            <w:r>
              <w:rPr>
                <w:noProof/>
              </w:rPr>
              <w:t>4. CET.</w:t>
            </w:r>
          </w:p>
        </w:tc>
        <w:tc>
          <w:tcPr>
            <w:tcW w:w="851" w:type="dxa"/>
            <w:tcBorders>
              <w:top w:val="single" w:sz="4" w:space="0" w:color="auto"/>
              <w:left w:val="nil"/>
              <w:bottom w:val="single" w:sz="4" w:space="0" w:color="auto"/>
              <w:right w:val="single" w:sz="4" w:space="0" w:color="auto"/>
            </w:tcBorders>
            <w:shd w:val="clear" w:color="auto" w:fill="C6EFCE"/>
            <w:noWrap/>
          </w:tcPr>
          <w:p w14:paraId="4CCE77F8" w14:textId="77777777" w:rsidR="00CB0FCB" w:rsidRDefault="009D2B11">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27DD387E" w14:textId="77777777" w:rsidR="00CB0FCB" w:rsidRDefault="009D2B11">
            <w:pPr>
              <w:pStyle w:val="P68B1DB1-Normal9"/>
              <w:spacing w:after="0" w:line="240" w:lineRule="auto"/>
              <w:rPr>
                <w:rFonts w:eastAsia="Times New Roman" w:cs="Calibri"/>
                <w:noProof/>
                <w:szCs w:val="18"/>
              </w:rPr>
            </w:pPr>
            <w:r>
              <w:rPr>
                <w:noProof/>
              </w:rPr>
              <w:t xml:space="preserve">Pabeigt Akropoles pieminekļu atjaunošanu, lai saglabātu pieminekli pret klimata pārmaiņām, tostarp Parthenon un mūra atjaunošanas darbus, konkrētu teritorijas daļu saglabāšanu, iežu masu konsolidāciju un stabilizāciju un uzlabotus apmeklētāju piekļuves darbus. </w:t>
            </w:r>
          </w:p>
        </w:tc>
      </w:tr>
    </w:tbl>
    <w:p w14:paraId="31386336" w14:textId="77777777" w:rsidR="00CB0FCB" w:rsidRDefault="00CB0FCB">
      <w:pPr>
        <w:spacing w:before="120" w:after="0" w:line="240" w:lineRule="auto"/>
        <w:jc w:val="both"/>
        <w:rPr>
          <w:rFonts w:ascii="Times New Roman" w:hAnsi="Times New Roman" w:cs="Times New Roman"/>
          <w:noProof/>
          <w:sz w:val="24"/>
        </w:rPr>
        <w:sectPr w:rsidR="00CB0FCB" w:rsidSect="00271D33">
          <w:headerReference w:type="even" r:id="rId277"/>
          <w:headerReference w:type="default" r:id="rId278"/>
          <w:footerReference w:type="even" r:id="rId279"/>
          <w:footerReference w:type="default" r:id="rId280"/>
          <w:headerReference w:type="first" r:id="rId281"/>
          <w:footerReference w:type="first" r:id="rId282"/>
          <w:pgSz w:w="16839" w:h="11907" w:orient="landscape"/>
          <w:pgMar w:top="720" w:right="720" w:bottom="720" w:left="720" w:header="709" w:footer="500" w:gutter="0"/>
          <w:cols w:space="720"/>
          <w:docGrid w:linePitch="360"/>
        </w:sectPr>
      </w:pPr>
    </w:p>
    <w:p w14:paraId="5B42D918" w14:textId="77777777" w:rsidR="00CB0FCB" w:rsidRDefault="00CB0FCB">
      <w:pPr>
        <w:spacing w:before="120" w:after="0" w:line="240" w:lineRule="auto"/>
        <w:jc w:val="both"/>
        <w:rPr>
          <w:rFonts w:ascii="Times New Roman" w:hAnsi="Times New Roman" w:cs="Times New Roman"/>
          <w:noProof/>
          <w:sz w:val="24"/>
        </w:rPr>
      </w:pPr>
    </w:p>
    <w:p w14:paraId="2E8F5CB0" w14:textId="77777777" w:rsidR="00CB0FCB" w:rsidRDefault="009D2B11">
      <w:pPr>
        <w:pStyle w:val="P68B1DB1-Normal6"/>
        <w:keepNext/>
        <w:keepLines/>
        <w:spacing w:before="40" w:after="0" w:line="240" w:lineRule="auto"/>
        <w:jc w:val="both"/>
        <w:outlineLvl w:val="4"/>
        <w:rPr>
          <w:rFonts w:eastAsia="Times New Roman"/>
          <w:noProof/>
        </w:rPr>
      </w:pPr>
      <w:r>
        <w:rPr>
          <w:noProof/>
        </w:rPr>
        <w:t>Grupa: Tūrisms un kuģniecība</w:t>
      </w:r>
    </w:p>
    <w:p w14:paraId="4CE3A627" w14:textId="77777777" w:rsidR="00CB0FCB" w:rsidRDefault="009D2B11">
      <w:pPr>
        <w:pStyle w:val="P68B1DB1-Normal4"/>
        <w:numPr>
          <w:ilvl w:val="0"/>
          <w:numId w:val="31"/>
        </w:numPr>
        <w:spacing w:before="120" w:after="0" w:line="240" w:lineRule="auto"/>
        <w:jc w:val="both"/>
        <w:rPr>
          <w:rFonts w:cs="Times New Roman"/>
          <w:noProof/>
        </w:rPr>
      </w:pPr>
      <w:r>
        <w:rPr>
          <w:noProof/>
        </w:rPr>
        <w:t>Tūrisma attīstība (ietver apakšprojektu “Tūrisma ostu modernizācijas pasākumi”) (ID: 16931)</w:t>
      </w:r>
    </w:p>
    <w:p w14:paraId="5469F451" w14:textId="77777777" w:rsidR="00CB0FCB" w:rsidRDefault="009D2B11">
      <w:pPr>
        <w:pStyle w:val="P68B1DB1-Normal4"/>
        <w:numPr>
          <w:ilvl w:val="0"/>
          <w:numId w:val="31"/>
        </w:numPr>
        <w:spacing w:before="120" w:after="0" w:line="240" w:lineRule="auto"/>
        <w:jc w:val="both"/>
        <w:rPr>
          <w:rFonts w:cs="Times New Roman"/>
          <w:noProof/>
        </w:rPr>
      </w:pPr>
      <w:r>
        <w:rPr>
          <w:noProof/>
        </w:rPr>
        <w:t>Pārkvalifikācija un kvalifikācijas celšana tūrisma nozarē (ID: 16921)</w:t>
      </w:r>
    </w:p>
    <w:p w14:paraId="7FCEB292" w14:textId="77777777" w:rsidR="00CB0FCB" w:rsidRDefault="009D2B11">
      <w:pPr>
        <w:pStyle w:val="P68B1DB1-Normal4"/>
        <w:numPr>
          <w:ilvl w:val="0"/>
          <w:numId w:val="31"/>
        </w:numPr>
        <w:spacing w:before="120" w:after="0" w:line="240" w:lineRule="auto"/>
        <w:jc w:val="both"/>
        <w:rPr>
          <w:rFonts w:cs="Times New Roman"/>
          <w:noProof/>
        </w:rPr>
      </w:pPr>
      <w:r>
        <w:rPr>
          <w:noProof/>
        </w:rPr>
        <w:t>Reģionālo ostu modernizācijas pasākumi (ID: 16975)</w:t>
      </w:r>
    </w:p>
    <w:p w14:paraId="37A58180" w14:textId="77777777" w:rsidR="00CB0FCB" w:rsidRDefault="009D2B11">
      <w:pPr>
        <w:pStyle w:val="P68B1DB1-Normal4"/>
        <w:numPr>
          <w:ilvl w:val="0"/>
          <w:numId w:val="31"/>
        </w:numPr>
        <w:spacing w:before="120" w:after="120" w:line="240" w:lineRule="auto"/>
        <w:jc w:val="both"/>
        <w:rPr>
          <w:rFonts w:cs="Times New Roman"/>
          <w:noProof/>
        </w:rPr>
      </w:pPr>
      <w:r>
        <w:rPr>
          <w:noProof/>
        </w:rPr>
        <w:t>Grieķijas pasažieru flotes atjaunošanas ģenerālplāns (ID: 16944)</w:t>
      </w:r>
    </w:p>
    <w:p w14:paraId="6365EC15" w14:textId="77777777" w:rsidR="00CB0FCB" w:rsidRDefault="00CB0FCB">
      <w:pPr>
        <w:spacing w:before="120" w:after="0" w:line="240" w:lineRule="auto"/>
        <w:jc w:val="both"/>
        <w:rPr>
          <w:rFonts w:ascii="Times New Roman" w:hAnsi="Times New Roman" w:cs="Times New Roman"/>
          <w:noProof/>
          <w:sz w:val="24"/>
        </w:rPr>
      </w:pPr>
    </w:p>
    <w:tbl>
      <w:tblPr>
        <w:tblW w:w="16219" w:type="dxa"/>
        <w:jc w:val="center"/>
        <w:tblLook w:val="04A0" w:firstRow="1" w:lastRow="0" w:firstColumn="1" w:lastColumn="0" w:noHBand="0" w:noVBand="1"/>
      </w:tblPr>
      <w:tblGrid>
        <w:gridCol w:w="1027"/>
        <w:gridCol w:w="1847"/>
        <w:gridCol w:w="1807"/>
        <w:gridCol w:w="1316"/>
        <w:gridCol w:w="1741"/>
        <w:gridCol w:w="1741"/>
        <w:gridCol w:w="1396"/>
        <w:gridCol w:w="766"/>
        <w:gridCol w:w="1027"/>
        <w:gridCol w:w="662"/>
        <w:gridCol w:w="4305"/>
      </w:tblGrid>
      <w:tr w:rsidR="00CB0FCB" w14:paraId="0D4DDB06" w14:textId="77777777">
        <w:trPr>
          <w:trHeight w:val="594"/>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1EC0A3"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D11358"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DFE08D"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B642F0"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32B021"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331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A9BABA4" w14:textId="77777777"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1648" w:type="dxa"/>
            <w:gridSpan w:val="2"/>
            <w:tcBorders>
              <w:top w:val="single" w:sz="4" w:space="0" w:color="auto"/>
              <w:left w:val="nil"/>
              <w:bottom w:val="single" w:sz="4" w:space="0" w:color="auto"/>
              <w:right w:val="single" w:sz="4" w:space="0" w:color="auto"/>
            </w:tcBorders>
            <w:shd w:val="clear" w:color="auto" w:fill="BDD7EE"/>
            <w:vAlign w:val="center"/>
            <w:hideMark/>
          </w:tcPr>
          <w:p w14:paraId="7114A19F"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43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931F2"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0B469217" w14:textId="77777777">
        <w:trPr>
          <w:trHeight w:val="508"/>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7ED81AF1" w14:textId="77777777" w:rsidR="00CB0FCB" w:rsidRDefault="00CB0FCB">
            <w:pPr>
              <w:spacing w:after="0" w:line="240" w:lineRule="auto"/>
              <w:rPr>
                <w:rFonts w:ascii="Times New Roman" w:eastAsia="Times New Roman" w:hAnsi="Times New Roman" w:cs="Times New Roman"/>
                <w:b/>
                <w:bCs/>
                <w:noProof/>
                <w:sz w:val="18"/>
                <w:szCs w:val="18"/>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438E7E5F" w14:textId="77777777" w:rsidR="00CB0FCB" w:rsidRDefault="00CB0FCB">
            <w:pPr>
              <w:spacing w:after="0" w:line="240" w:lineRule="auto"/>
              <w:rPr>
                <w:rFonts w:ascii="Times New Roman" w:eastAsia="Times New Roman" w:hAnsi="Times New Roman" w:cs="Times New Roman"/>
                <w:b/>
                <w:bCs/>
                <w:noProof/>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4C92CEDD" w14:textId="77777777" w:rsidR="00CB0FCB" w:rsidRDefault="00CB0FCB">
            <w:pPr>
              <w:spacing w:after="0" w:line="240" w:lineRule="auto"/>
              <w:rPr>
                <w:rFonts w:ascii="Times New Roman" w:eastAsia="Times New Roman" w:hAnsi="Times New Roman" w:cs="Times New Roman"/>
                <w:b/>
                <w:bCs/>
                <w:noProof/>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3716D1A6" w14:textId="77777777" w:rsidR="00CB0FCB" w:rsidRDefault="00CB0FCB">
            <w:pPr>
              <w:spacing w:after="0" w:line="240" w:lineRule="auto"/>
              <w:rPr>
                <w:rFonts w:ascii="Times New Roman" w:eastAsia="Times New Roman" w:hAnsi="Times New Roman" w:cs="Times New Roman"/>
                <w:b/>
                <w:bCs/>
                <w:noProof/>
                <w:sz w:val="18"/>
                <w:szCs w:val="18"/>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14:paraId="01758D39" w14:textId="77777777" w:rsidR="00CB0FCB" w:rsidRDefault="00CB0FCB">
            <w:pPr>
              <w:spacing w:after="0" w:line="240" w:lineRule="auto"/>
              <w:rPr>
                <w:rFonts w:ascii="Times New Roman" w:eastAsia="Times New Roman" w:hAnsi="Times New Roman" w:cs="Times New Roman"/>
                <w:b/>
                <w:bCs/>
                <w:noProof/>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5B774DD"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857" w:type="dxa"/>
            <w:tcBorders>
              <w:top w:val="nil"/>
              <w:left w:val="nil"/>
              <w:bottom w:val="single" w:sz="4" w:space="0" w:color="auto"/>
              <w:right w:val="single" w:sz="4" w:space="0" w:color="auto"/>
            </w:tcBorders>
            <w:shd w:val="clear" w:color="auto" w:fill="BDD7EE"/>
            <w:vAlign w:val="center"/>
            <w:hideMark/>
          </w:tcPr>
          <w:p w14:paraId="3A0AFBC2"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713" w:type="dxa"/>
            <w:tcBorders>
              <w:top w:val="nil"/>
              <w:left w:val="nil"/>
              <w:bottom w:val="single" w:sz="4" w:space="0" w:color="auto"/>
              <w:right w:val="single" w:sz="4" w:space="0" w:color="auto"/>
            </w:tcBorders>
            <w:shd w:val="clear" w:color="auto" w:fill="BDD7EE"/>
            <w:vAlign w:val="center"/>
            <w:hideMark/>
          </w:tcPr>
          <w:p w14:paraId="52690CAB"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986" w:type="dxa"/>
            <w:tcBorders>
              <w:top w:val="nil"/>
              <w:left w:val="nil"/>
              <w:bottom w:val="single" w:sz="4" w:space="0" w:color="auto"/>
              <w:right w:val="single" w:sz="4" w:space="0" w:color="auto"/>
            </w:tcBorders>
            <w:shd w:val="clear" w:color="auto" w:fill="BDD7EE"/>
            <w:vAlign w:val="center"/>
            <w:hideMark/>
          </w:tcPr>
          <w:p w14:paraId="2317CD58"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662" w:type="dxa"/>
            <w:tcBorders>
              <w:top w:val="nil"/>
              <w:left w:val="nil"/>
              <w:bottom w:val="single" w:sz="4" w:space="0" w:color="auto"/>
              <w:right w:val="single" w:sz="4" w:space="0" w:color="auto"/>
            </w:tcBorders>
            <w:shd w:val="clear" w:color="auto" w:fill="BDD7EE"/>
            <w:vAlign w:val="center"/>
            <w:hideMark/>
          </w:tcPr>
          <w:p w14:paraId="632D7EE9"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4305" w:type="dxa"/>
            <w:vMerge/>
            <w:tcBorders>
              <w:top w:val="single" w:sz="4" w:space="0" w:color="auto"/>
              <w:bottom w:val="single" w:sz="4" w:space="0" w:color="auto"/>
              <w:right w:val="single" w:sz="4" w:space="0" w:color="auto"/>
            </w:tcBorders>
            <w:vAlign w:val="center"/>
            <w:hideMark/>
          </w:tcPr>
          <w:p w14:paraId="636A9798"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3F25A25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D5F371A" w14:textId="77777777" w:rsidR="00CB0FCB" w:rsidRDefault="009D2B11">
            <w:pPr>
              <w:pStyle w:val="P68B1DB1-Normal9"/>
              <w:spacing w:after="0" w:line="240" w:lineRule="auto"/>
              <w:rPr>
                <w:rFonts w:eastAsia="Times New Roman" w:cs="Calibri"/>
                <w:noProof/>
                <w:szCs w:val="18"/>
              </w:rPr>
            </w:pPr>
            <w:r>
              <w:rPr>
                <w:noProof/>
              </w:rPr>
              <w:t>292</w:t>
            </w:r>
          </w:p>
        </w:tc>
        <w:tc>
          <w:tcPr>
            <w:tcW w:w="1489" w:type="dxa"/>
            <w:tcBorders>
              <w:top w:val="single" w:sz="4" w:space="0" w:color="auto"/>
              <w:left w:val="nil"/>
              <w:bottom w:val="single" w:sz="4" w:space="0" w:color="auto"/>
              <w:right w:val="single" w:sz="4" w:space="0" w:color="auto"/>
            </w:tcBorders>
            <w:shd w:val="clear" w:color="auto" w:fill="C6EFCE"/>
            <w:noWrap/>
          </w:tcPr>
          <w:p w14:paraId="38D1A382"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16931_Tūrisma attīstība</w:t>
            </w:r>
          </w:p>
        </w:tc>
        <w:tc>
          <w:tcPr>
            <w:tcW w:w="1424" w:type="dxa"/>
            <w:tcBorders>
              <w:top w:val="single" w:sz="4" w:space="0" w:color="auto"/>
              <w:left w:val="nil"/>
              <w:bottom w:val="single" w:sz="4" w:space="0" w:color="auto"/>
              <w:right w:val="single" w:sz="4" w:space="0" w:color="auto"/>
            </w:tcBorders>
            <w:shd w:val="clear" w:color="auto" w:fill="C6EFCE"/>
            <w:noWrap/>
          </w:tcPr>
          <w:p w14:paraId="5D7A7B81" w14:textId="77777777" w:rsidR="00CB0FCB" w:rsidRDefault="009D2B11">
            <w:pPr>
              <w:pStyle w:val="P68B1DB1-Normal9"/>
              <w:spacing w:after="0" w:line="240" w:lineRule="auto"/>
              <w:rPr>
                <w:rFonts w:eastAsia="Times New Roman" w:cs="Calibri"/>
                <w:noProof/>
                <w:szCs w:val="18"/>
              </w:rPr>
            </w:pPr>
            <w:r>
              <w:rPr>
                <w:noProof/>
              </w:rPr>
              <w:t>Atskaites punkts</w:t>
            </w:r>
          </w:p>
          <w:p w14:paraId="3EE0F66E" w14:textId="77777777" w:rsidR="00CB0FCB" w:rsidRDefault="00CB0FCB">
            <w:pPr>
              <w:spacing w:after="0" w:line="240" w:lineRule="auto"/>
              <w:rPr>
                <w:rFonts w:eastAsia="Times New Roman" w:cs="Calibri"/>
                <w:noProof/>
                <w:color w:val="006100"/>
                <w:sz w:val="18"/>
                <w:szCs w:val="18"/>
              </w:rPr>
            </w:pPr>
          </w:p>
        </w:tc>
        <w:tc>
          <w:tcPr>
            <w:tcW w:w="1274" w:type="dxa"/>
            <w:tcBorders>
              <w:top w:val="single" w:sz="4" w:space="0" w:color="auto"/>
              <w:left w:val="nil"/>
              <w:bottom w:val="single" w:sz="4" w:space="0" w:color="auto"/>
              <w:right w:val="single" w:sz="4" w:space="0" w:color="auto"/>
            </w:tcBorders>
            <w:shd w:val="clear" w:color="auto" w:fill="C6EFCE"/>
            <w:noWrap/>
          </w:tcPr>
          <w:p w14:paraId="575AA962" w14:textId="77777777" w:rsidR="00CB0FCB" w:rsidRDefault="009D2B11">
            <w:pPr>
              <w:pStyle w:val="P68B1DB1-Normal9"/>
              <w:spacing w:after="0" w:line="240" w:lineRule="auto"/>
              <w:rPr>
                <w:rFonts w:eastAsia="Times New Roman" w:cs="Calibri"/>
                <w:noProof/>
                <w:szCs w:val="18"/>
              </w:rPr>
            </w:pPr>
            <w:r>
              <w:rPr>
                <w:noProof/>
              </w:rPr>
              <w:t>Tūrisma attīstība: tūrisma ostu reformas</w:t>
            </w:r>
          </w:p>
        </w:tc>
        <w:tc>
          <w:tcPr>
            <w:tcW w:w="1741" w:type="dxa"/>
            <w:tcBorders>
              <w:top w:val="single" w:sz="4" w:space="0" w:color="auto"/>
              <w:left w:val="nil"/>
              <w:bottom w:val="single" w:sz="4" w:space="0" w:color="auto"/>
              <w:right w:val="single" w:sz="4" w:space="0" w:color="auto"/>
            </w:tcBorders>
            <w:shd w:val="clear" w:color="auto" w:fill="C6EFCE"/>
            <w:noWrap/>
          </w:tcPr>
          <w:p w14:paraId="4C21031F" w14:textId="77777777" w:rsidR="00CB0FCB" w:rsidRDefault="009D2B11">
            <w:pPr>
              <w:pStyle w:val="P68B1DB1-Normal9"/>
              <w:spacing w:after="0" w:line="240" w:lineRule="auto"/>
              <w:rPr>
                <w:rFonts w:eastAsia="Times New Roman" w:cs="Calibri"/>
                <w:noProof/>
                <w:szCs w:val="18"/>
              </w:rPr>
            </w:pPr>
            <w:r>
              <w:rPr>
                <w:noProof/>
              </w:rPr>
              <w:t>1. Stājas spēkā grozījumi Likumā Nr. 2160/1993 par tūrisma ostām.</w:t>
            </w:r>
          </w:p>
          <w:p w14:paraId="29819308" w14:textId="77777777" w:rsidR="00CB0FCB" w:rsidRDefault="009D2B11">
            <w:pPr>
              <w:pStyle w:val="P68B1DB1-Normal9"/>
              <w:spacing w:after="0" w:line="240" w:lineRule="auto"/>
              <w:rPr>
                <w:rFonts w:eastAsia="Times New Roman" w:cs="Calibri"/>
                <w:noProof/>
                <w:szCs w:val="18"/>
              </w:rPr>
            </w:pPr>
            <w:r>
              <w:rPr>
                <w:noProof/>
              </w:rPr>
              <w:t>2. Stājas spēkā grozījumi likumos 4179/2013 un 4276/2014 par slēpošanas kūrortiem.</w:t>
            </w:r>
          </w:p>
          <w:p w14:paraId="6AF25A6B" w14:textId="77777777" w:rsidR="00CB0FCB" w:rsidRDefault="009D2B11">
            <w:pPr>
              <w:pStyle w:val="P68B1DB1-Normal9"/>
              <w:spacing w:after="0" w:line="240" w:lineRule="auto"/>
              <w:rPr>
                <w:rFonts w:eastAsia="Times New Roman" w:cs="Calibri"/>
                <w:noProof/>
                <w:szCs w:val="18"/>
              </w:rPr>
            </w:pPr>
            <w:r>
              <w:rPr>
                <w:noProof/>
              </w:rPr>
              <w:t>3 Ziņojums, kas apliecina projekta vadības biroja izveidi.</w:t>
            </w:r>
          </w:p>
        </w:tc>
        <w:tc>
          <w:tcPr>
            <w:tcW w:w="1741" w:type="dxa"/>
            <w:tcBorders>
              <w:top w:val="single" w:sz="4" w:space="0" w:color="auto"/>
              <w:left w:val="nil"/>
              <w:bottom w:val="single" w:sz="4" w:space="0" w:color="auto"/>
              <w:right w:val="single" w:sz="4" w:space="0" w:color="auto"/>
            </w:tcBorders>
            <w:shd w:val="clear" w:color="auto" w:fill="C6EFCE"/>
            <w:noWrap/>
          </w:tcPr>
          <w:p w14:paraId="6E83A3C5"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4B2EA1CB" w14:textId="77777777" w:rsidR="00CB0FCB" w:rsidRDefault="00CB0FCB">
            <w:pPr>
              <w:spacing w:after="0" w:line="240" w:lineRule="auto"/>
              <w:rPr>
                <w:rFonts w:eastAsia="Times New Roman" w:cs="Calibri"/>
                <w:noProof/>
                <w:color w:val="006100"/>
                <w:sz w:val="18"/>
                <w:szCs w:val="18"/>
              </w:rPr>
            </w:pPr>
          </w:p>
        </w:tc>
        <w:tc>
          <w:tcPr>
            <w:tcW w:w="713" w:type="dxa"/>
            <w:tcBorders>
              <w:top w:val="nil"/>
              <w:left w:val="nil"/>
              <w:bottom w:val="single" w:sz="4" w:space="0" w:color="auto"/>
              <w:right w:val="single" w:sz="4" w:space="0" w:color="auto"/>
            </w:tcBorders>
            <w:shd w:val="clear" w:color="auto" w:fill="C6EFCE"/>
            <w:noWrap/>
          </w:tcPr>
          <w:p w14:paraId="5701D1DF" w14:textId="77777777" w:rsidR="00CB0FCB" w:rsidRDefault="00CB0FCB">
            <w:pPr>
              <w:spacing w:after="0" w:line="240" w:lineRule="auto"/>
              <w:rPr>
                <w:rFonts w:eastAsia="Times New Roman" w:cs="Calibri"/>
                <w:noProof/>
                <w:color w:val="006100"/>
                <w:sz w:val="18"/>
                <w:szCs w:val="18"/>
              </w:rPr>
            </w:pPr>
          </w:p>
        </w:tc>
        <w:tc>
          <w:tcPr>
            <w:tcW w:w="986" w:type="dxa"/>
            <w:tcBorders>
              <w:top w:val="nil"/>
              <w:left w:val="nil"/>
              <w:bottom w:val="single" w:sz="4" w:space="0" w:color="auto"/>
              <w:right w:val="single" w:sz="4" w:space="0" w:color="auto"/>
            </w:tcBorders>
            <w:shd w:val="clear" w:color="auto" w:fill="C6EFCE"/>
            <w:noWrap/>
          </w:tcPr>
          <w:p w14:paraId="7BDD2BC7" w14:textId="77777777" w:rsidR="00CB0FCB" w:rsidRDefault="009D2B11">
            <w:pPr>
              <w:pStyle w:val="P68B1DB1-Normal9"/>
              <w:spacing w:after="0" w:line="240" w:lineRule="auto"/>
              <w:rPr>
                <w:rFonts w:eastAsia="Times New Roman" w:cs="Calibri"/>
                <w:noProof/>
                <w:szCs w:val="18"/>
              </w:rPr>
            </w:pPr>
            <w:r>
              <w:rPr>
                <w:noProof/>
              </w:rPr>
              <w:t>Q1</w:t>
            </w:r>
          </w:p>
        </w:tc>
        <w:tc>
          <w:tcPr>
            <w:tcW w:w="662" w:type="dxa"/>
            <w:tcBorders>
              <w:top w:val="nil"/>
              <w:left w:val="nil"/>
              <w:bottom w:val="single" w:sz="4" w:space="0" w:color="auto"/>
              <w:right w:val="single" w:sz="4" w:space="0" w:color="auto"/>
            </w:tcBorders>
            <w:shd w:val="clear" w:color="auto" w:fill="C6EFCE"/>
            <w:noWrap/>
          </w:tcPr>
          <w:p w14:paraId="6EE57457" w14:textId="77777777" w:rsidR="00CB0FCB" w:rsidRDefault="009D2B11">
            <w:pPr>
              <w:pStyle w:val="P68B1DB1-Normal9"/>
              <w:spacing w:after="0" w:line="240" w:lineRule="auto"/>
              <w:rPr>
                <w:rFonts w:eastAsia="Times New Roman" w:cs="Calibri"/>
                <w:noProof/>
                <w:szCs w:val="18"/>
              </w:rPr>
            </w:pPr>
            <w:r>
              <w:rPr>
                <w:noProof/>
              </w:rPr>
              <w:t>2022</w:t>
            </w:r>
          </w:p>
        </w:tc>
        <w:tc>
          <w:tcPr>
            <w:tcW w:w="4305" w:type="dxa"/>
            <w:tcBorders>
              <w:top w:val="single" w:sz="4" w:space="0" w:color="auto"/>
              <w:left w:val="nil"/>
              <w:bottom w:val="single" w:sz="4" w:space="0" w:color="auto"/>
              <w:right w:val="single" w:sz="4" w:space="0" w:color="auto"/>
            </w:tcBorders>
            <w:shd w:val="clear" w:color="auto" w:fill="C6EFCE"/>
            <w:noWrap/>
          </w:tcPr>
          <w:p w14:paraId="73AD21F7" w14:textId="77777777" w:rsidR="00CB0FCB" w:rsidRDefault="009D2B11">
            <w:pPr>
              <w:pStyle w:val="P68B1DB1-Normal9"/>
              <w:spacing w:after="0" w:line="240" w:lineRule="auto"/>
              <w:rPr>
                <w:rFonts w:cs="Calibri"/>
                <w:noProof/>
                <w:szCs w:val="18"/>
              </w:rPr>
            </w:pPr>
            <w:r>
              <w:rPr>
                <w:noProof/>
              </w:rPr>
              <w:t>(1) Tūrisma attīstība: Stājas spēkā tiesību akti, kuru mērķis ir reformēt tūrisma ostu likuma tiesisko regulējumu, lai veicinātu jaunus ieguldījumus, tostarp grozījumi noteikumos par uzstādīšanas un ekspluatācijas licencēšanu saskaņā ar Ieguldījumu licencēšanas likumu Nr. 4442/2016.</w:t>
            </w:r>
          </w:p>
          <w:p w14:paraId="53FD0461" w14:textId="77777777" w:rsidR="00CB0FCB" w:rsidRDefault="009D2B11">
            <w:pPr>
              <w:spacing w:after="0" w:line="240" w:lineRule="auto"/>
              <w:rPr>
                <w:rFonts w:cs="Calibri"/>
                <w:noProof/>
                <w:color w:val="006100"/>
                <w:sz w:val="18"/>
                <w:szCs w:val="18"/>
              </w:rPr>
            </w:pPr>
            <w:r>
              <w:rPr>
                <w:noProof/>
                <w:color w:val="006100"/>
                <w:sz w:val="18"/>
              </w:rPr>
              <w:t>(2) Tūrisma attīstība: Stājas spēkā tiesību akti, ar ko reformē slēpošanas kūrortu tiesisko regulējumu, lai veicinātu jaunus ieguldījumus, tostarp grozījumi noteikumos par uzstādīšanas un ekspluatācijas licencēšanu saskaņā ar Ieguldījumu licencēšanas likumu 4442/2016.</w:t>
            </w:r>
            <w:r>
              <w:rPr>
                <w:rFonts w:ascii="Times New Roman" w:hAnsi="Times New Roman"/>
                <w:noProof/>
                <w:sz w:val="24"/>
              </w:rPr>
              <w:t xml:space="preserve"> </w:t>
            </w:r>
          </w:p>
          <w:p w14:paraId="2C9DDCA0" w14:textId="77777777" w:rsidR="00CB0FCB" w:rsidRDefault="009D2B11">
            <w:pPr>
              <w:pStyle w:val="P68B1DB1-Normal9"/>
              <w:spacing w:after="0" w:line="240" w:lineRule="auto"/>
              <w:rPr>
                <w:rFonts w:eastAsia="Times New Roman" w:cs="Calibri"/>
                <w:noProof/>
                <w:szCs w:val="18"/>
              </w:rPr>
            </w:pPr>
            <w:r>
              <w:rPr>
                <w:noProof/>
              </w:rPr>
              <w:t>(3) Tūrisma attīstība: Projektu vadības biroja izveide ieguldījumu uzraudzībai tūrisma ostu modernizācijā.</w:t>
            </w:r>
          </w:p>
        </w:tc>
      </w:tr>
      <w:tr w:rsidR="00CB0FCB" w14:paraId="3134A3F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BBF2960" w14:textId="77777777" w:rsidR="00CB0FCB" w:rsidRDefault="009D2B11">
            <w:pPr>
              <w:pStyle w:val="P68B1DB1-Normal9"/>
              <w:spacing w:after="0" w:line="240" w:lineRule="auto"/>
              <w:rPr>
                <w:rFonts w:eastAsia="Times New Roman" w:cs="Calibri"/>
                <w:noProof/>
                <w:szCs w:val="18"/>
              </w:rPr>
            </w:pPr>
            <w:r>
              <w:rPr>
                <w:noProof/>
              </w:rPr>
              <w:t>294</w:t>
            </w:r>
          </w:p>
        </w:tc>
        <w:tc>
          <w:tcPr>
            <w:tcW w:w="1489" w:type="dxa"/>
            <w:tcBorders>
              <w:top w:val="single" w:sz="4" w:space="0" w:color="auto"/>
              <w:left w:val="nil"/>
              <w:bottom w:val="single" w:sz="4" w:space="0" w:color="auto"/>
              <w:right w:val="single" w:sz="4" w:space="0" w:color="auto"/>
            </w:tcBorders>
            <w:shd w:val="clear" w:color="auto" w:fill="C6EFCE"/>
            <w:noWrap/>
          </w:tcPr>
          <w:p w14:paraId="0FA303F9"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16944_Grieķu kuģu flotes atjaunošanas ģenerālplāns</w:t>
            </w:r>
          </w:p>
        </w:tc>
        <w:tc>
          <w:tcPr>
            <w:tcW w:w="1424" w:type="dxa"/>
            <w:tcBorders>
              <w:top w:val="single" w:sz="4" w:space="0" w:color="auto"/>
              <w:left w:val="nil"/>
              <w:bottom w:val="single" w:sz="4" w:space="0" w:color="auto"/>
              <w:right w:val="single" w:sz="4" w:space="0" w:color="auto"/>
            </w:tcBorders>
            <w:shd w:val="clear" w:color="auto" w:fill="C6EFCE"/>
            <w:noWrap/>
          </w:tcPr>
          <w:p w14:paraId="7BDC0E7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4" w:type="dxa"/>
            <w:tcBorders>
              <w:top w:val="single" w:sz="4" w:space="0" w:color="auto"/>
              <w:left w:val="nil"/>
              <w:bottom w:val="single" w:sz="4" w:space="0" w:color="auto"/>
              <w:right w:val="single" w:sz="4" w:space="0" w:color="auto"/>
            </w:tcBorders>
            <w:shd w:val="clear" w:color="auto" w:fill="C6EFCE"/>
            <w:noWrap/>
          </w:tcPr>
          <w:p w14:paraId="4424E9F7" w14:textId="77777777" w:rsidR="00CB0FCB" w:rsidRDefault="009D2B11">
            <w:pPr>
              <w:pStyle w:val="P68B1DB1-Normal9"/>
              <w:spacing w:after="0" w:line="240" w:lineRule="auto"/>
              <w:rPr>
                <w:rFonts w:eastAsia="Times New Roman" w:cs="Calibri"/>
                <w:noProof/>
                <w:szCs w:val="18"/>
              </w:rPr>
            </w:pPr>
            <w:r>
              <w:rPr>
                <w:noProof/>
              </w:rPr>
              <w:t>Grieķijas pasažieru pārvadājumu ģenerālplāns</w:t>
            </w:r>
          </w:p>
        </w:tc>
        <w:tc>
          <w:tcPr>
            <w:tcW w:w="1741" w:type="dxa"/>
            <w:tcBorders>
              <w:top w:val="single" w:sz="4" w:space="0" w:color="auto"/>
              <w:left w:val="nil"/>
              <w:bottom w:val="single" w:sz="4" w:space="0" w:color="auto"/>
              <w:right w:val="single" w:sz="4" w:space="0" w:color="auto"/>
            </w:tcBorders>
            <w:shd w:val="clear" w:color="auto" w:fill="C6EFCE"/>
            <w:noWrap/>
          </w:tcPr>
          <w:p w14:paraId="57307BAD" w14:textId="77777777" w:rsidR="00CB0FCB" w:rsidRDefault="009D2B11">
            <w:pPr>
              <w:pStyle w:val="P68B1DB1-Normal9"/>
              <w:spacing w:after="0" w:line="240" w:lineRule="auto"/>
              <w:rPr>
                <w:rFonts w:eastAsia="Times New Roman" w:cs="Calibri"/>
                <w:noProof/>
                <w:szCs w:val="18"/>
              </w:rPr>
            </w:pPr>
            <w:r>
              <w:rPr>
                <w:noProof/>
              </w:rPr>
              <w:t>Pabeigts ziņojums un kopsavilkums par apspriešanos.</w:t>
            </w:r>
          </w:p>
        </w:tc>
        <w:tc>
          <w:tcPr>
            <w:tcW w:w="1741" w:type="dxa"/>
            <w:tcBorders>
              <w:top w:val="single" w:sz="4" w:space="0" w:color="auto"/>
              <w:left w:val="nil"/>
              <w:bottom w:val="single" w:sz="4" w:space="0" w:color="auto"/>
              <w:right w:val="single" w:sz="4" w:space="0" w:color="auto"/>
            </w:tcBorders>
            <w:shd w:val="clear" w:color="auto" w:fill="C6EFCE"/>
            <w:noWrap/>
          </w:tcPr>
          <w:p w14:paraId="7A05789B"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EF0CD91" w14:textId="77777777" w:rsidR="00CB0FCB" w:rsidRDefault="00CB0FCB">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370B05DF" w14:textId="77777777" w:rsidR="00CB0FCB" w:rsidRDefault="00CB0FCB">
            <w:pPr>
              <w:spacing w:after="0" w:line="240" w:lineRule="auto"/>
              <w:rPr>
                <w:rFonts w:eastAsia="Times New Roman" w:cs="Calibri"/>
                <w:noProof/>
                <w:color w:val="006100"/>
                <w:sz w:val="18"/>
                <w:szCs w:val="18"/>
              </w:rPr>
            </w:pPr>
          </w:p>
        </w:tc>
        <w:tc>
          <w:tcPr>
            <w:tcW w:w="986" w:type="dxa"/>
            <w:tcBorders>
              <w:top w:val="single" w:sz="4" w:space="0" w:color="auto"/>
              <w:left w:val="nil"/>
              <w:bottom w:val="single" w:sz="4" w:space="0" w:color="auto"/>
              <w:right w:val="single" w:sz="4" w:space="0" w:color="auto"/>
            </w:tcBorders>
            <w:shd w:val="clear" w:color="auto" w:fill="C6EFCE"/>
            <w:noWrap/>
          </w:tcPr>
          <w:p w14:paraId="3CED1FD1" w14:textId="77777777" w:rsidR="00CB0FCB" w:rsidRDefault="009D2B11">
            <w:pPr>
              <w:pStyle w:val="P68B1DB1-Normal9"/>
              <w:spacing w:after="0" w:line="240" w:lineRule="auto"/>
              <w:rPr>
                <w:rFonts w:eastAsia="Times New Roman" w:cs="Calibri"/>
                <w:noProof/>
                <w:szCs w:val="18"/>
              </w:rPr>
            </w:pPr>
            <w:r>
              <w:rPr>
                <w:noProof/>
              </w:rPr>
              <w:t>2. CET.</w:t>
            </w:r>
          </w:p>
        </w:tc>
        <w:tc>
          <w:tcPr>
            <w:tcW w:w="662" w:type="dxa"/>
            <w:tcBorders>
              <w:top w:val="single" w:sz="4" w:space="0" w:color="auto"/>
              <w:left w:val="nil"/>
              <w:bottom w:val="single" w:sz="4" w:space="0" w:color="auto"/>
              <w:right w:val="single" w:sz="4" w:space="0" w:color="auto"/>
            </w:tcBorders>
            <w:shd w:val="clear" w:color="auto" w:fill="C6EFCE"/>
            <w:noWrap/>
          </w:tcPr>
          <w:p w14:paraId="6FEA6CAA" w14:textId="77777777" w:rsidR="00CB0FCB" w:rsidRDefault="009D2B11">
            <w:pPr>
              <w:pStyle w:val="P68B1DB1-Normal9"/>
              <w:spacing w:after="0" w:line="240" w:lineRule="auto"/>
              <w:rPr>
                <w:rFonts w:eastAsia="Times New Roman" w:cs="Calibri"/>
                <w:noProof/>
                <w:szCs w:val="18"/>
              </w:rPr>
            </w:pPr>
            <w:r>
              <w:rPr>
                <w:noProof/>
              </w:rPr>
              <w:t>2025</w:t>
            </w:r>
          </w:p>
        </w:tc>
        <w:tc>
          <w:tcPr>
            <w:tcW w:w="4305" w:type="dxa"/>
            <w:tcBorders>
              <w:top w:val="single" w:sz="4" w:space="0" w:color="auto"/>
              <w:left w:val="nil"/>
              <w:bottom w:val="single" w:sz="4" w:space="0" w:color="auto"/>
              <w:right w:val="single" w:sz="4" w:space="0" w:color="auto"/>
            </w:tcBorders>
            <w:shd w:val="clear" w:color="auto" w:fill="C6EFCE"/>
            <w:noWrap/>
          </w:tcPr>
          <w:p w14:paraId="0F57AA80" w14:textId="77777777" w:rsidR="00CB0FCB" w:rsidRDefault="009D2B11">
            <w:pPr>
              <w:pStyle w:val="P68B1DB1-Normal9"/>
              <w:spacing w:after="0" w:line="240" w:lineRule="auto"/>
              <w:rPr>
                <w:rFonts w:eastAsia="Times New Roman" w:cs="Calibri"/>
                <w:noProof/>
                <w:szCs w:val="18"/>
              </w:rPr>
            </w:pPr>
            <w:r>
              <w:rPr>
                <w:noProof/>
              </w:rPr>
              <w:t>Grieķijas pasažieru kuģu flotes atjaunošanas ģenerālplāns: Projekta pabeigšana</w:t>
            </w:r>
          </w:p>
        </w:tc>
      </w:tr>
      <w:tr w:rsidR="00CB0FCB" w14:paraId="0CB0AD57"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B837F7E" w14:textId="77777777" w:rsidR="00CB0FCB" w:rsidRDefault="009D2B11">
            <w:pPr>
              <w:pStyle w:val="P68B1DB1-Normal9"/>
              <w:spacing w:after="0" w:line="240" w:lineRule="auto"/>
              <w:rPr>
                <w:rFonts w:eastAsia="Times New Roman" w:cs="Calibri"/>
                <w:noProof/>
                <w:szCs w:val="18"/>
              </w:rPr>
            </w:pPr>
            <w:r>
              <w:rPr>
                <w:noProof/>
              </w:rPr>
              <w:t>295</w:t>
            </w:r>
          </w:p>
        </w:tc>
        <w:tc>
          <w:tcPr>
            <w:tcW w:w="1489" w:type="dxa"/>
            <w:tcBorders>
              <w:top w:val="single" w:sz="4" w:space="0" w:color="auto"/>
              <w:left w:val="nil"/>
              <w:bottom w:val="single" w:sz="4" w:space="0" w:color="auto"/>
              <w:right w:val="single" w:sz="4" w:space="0" w:color="auto"/>
            </w:tcBorders>
            <w:shd w:val="clear" w:color="auto" w:fill="C6EFCE"/>
            <w:noWrap/>
          </w:tcPr>
          <w:p w14:paraId="0EBEDE2B"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16931_Tūrisma attīstība</w:t>
            </w:r>
          </w:p>
        </w:tc>
        <w:tc>
          <w:tcPr>
            <w:tcW w:w="1424" w:type="dxa"/>
            <w:tcBorders>
              <w:top w:val="single" w:sz="4" w:space="0" w:color="auto"/>
              <w:left w:val="nil"/>
              <w:bottom w:val="single" w:sz="4" w:space="0" w:color="auto"/>
              <w:right w:val="single" w:sz="4" w:space="0" w:color="auto"/>
            </w:tcBorders>
            <w:shd w:val="clear" w:color="auto" w:fill="C6EFCE"/>
            <w:noWrap/>
          </w:tcPr>
          <w:p w14:paraId="4B5DBF7C"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4" w:type="dxa"/>
            <w:tcBorders>
              <w:top w:val="single" w:sz="4" w:space="0" w:color="auto"/>
              <w:left w:val="nil"/>
              <w:bottom w:val="single" w:sz="4" w:space="0" w:color="auto"/>
              <w:right w:val="single" w:sz="4" w:space="0" w:color="auto"/>
            </w:tcBorders>
            <w:shd w:val="clear" w:color="auto" w:fill="C6EFCE"/>
            <w:noWrap/>
          </w:tcPr>
          <w:p w14:paraId="6687C3CC" w14:textId="63F372F7" w:rsidR="00CB0FCB" w:rsidRDefault="009D2B11">
            <w:pPr>
              <w:pStyle w:val="P68B1DB1-Normal9"/>
              <w:spacing w:after="0" w:line="240" w:lineRule="auto"/>
              <w:rPr>
                <w:rFonts w:eastAsia="Times New Roman" w:cs="Calibri"/>
                <w:noProof/>
                <w:szCs w:val="18"/>
              </w:rPr>
            </w:pPr>
            <w:r>
              <w:rPr>
                <w:noProof/>
              </w:rPr>
              <w:t>Tūrisma attīstība: Tūrisma ostu apstiprinājuma lēmumu publicēšana</w:t>
            </w:r>
          </w:p>
        </w:tc>
        <w:tc>
          <w:tcPr>
            <w:tcW w:w="1741" w:type="dxa"/>
            <w:tcBorders>
              <w:top w:val="single" w:sz="4" w:space="0" w:color="auto"/>
              <w:left w:val="nil"/>
              <w:bottom w:val="single" w:sz="4" w:space="0" w:color="auto"/>
              <w:right w:val="single" w:sz="4" w:space="0" w:color="auto"/>
            </w:tcBorders>
            <w:shd w:val="clear" w:color="auto" w:fill="C6EFCE"/>
            <w:noWrap/>
          </w:tcPr>
          <w:p w14:paraId="016F5B74" w14:textId="0D8E5236" w:rsidR="00CB0FCB" w:rsidRDefault="009D2B11">
            <w:pPr>
              <w:pStyle w:val="P68B1DB1-Normal9"/>
              <w:spacing w:after="0" w:line="240" w:lineRule="auto"/>
              <w:rPr>
                <w:rFonts w:eastAsia="Times New Roman" w:cs="Calibri"/>
                <w:noProof/>
                <w:szCs w:val="18"/>
              </w:rPr>
            </w:pPr>
            <w:r>
              <w:rPr>
                <w:noProof/>
              </w:rPr>
              <w:t xml:space="preserve">Apstiprināšanas lēmumi </w:t>
            </w:r>
          </w:p>
        </w:tc>
        <w:tc>
          <w:tcPr>
            <w:tcW w:w="1741" w:type="dxa"/>
            <w:tcBorders>
              <w:top w:val="single" w:sz="4" w:space="0" w:color="auto"/>
              <w:left w:val="nil"/>
              <w:bottom w:val="single" w:sz="4" w:space="0" w:color="auto"/>
              <w:right w:val="single" w:sz="4" w:space="0" w:color="auto"/>
            </w:tcBorders>
            <w:shd w:val="clear" w:color="auto" w:fill="C6EFCE"/>
            <w:noWrap/>
          </w:tcPr>
          <w:p w14:paraId="28142BA9"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8DBC6EB" w14:textId="77777777" w:rsidR="00CB0FCB" w:rsidRDefault="00CB0FCB">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126AE028" w14:textId="77777777" w:rsidR="00CB0FCB" w:rsidRDefault="00CB0FCB">
            <w:pPr>
              <w:spacing w:after="0" w:line="240" w:lineRule="auto"/>
              <w:rPr>
                <w:rFonts w:eastAsia="Times New Roman" w:cs="Calibri"/>
                <w:noProof/>
                <w:color w:val="006100"/>
                <w:sz w:val="18"/>
                <w:szCs w:val="18"/>
              </w:rPr>
            </w:pPr>
          </w:p>
        </w:tc>
        <w:tc>
          <w:tcPr>
            <w:tcW w:w="986" w:type="dxa"/>
            <w:tcBorders>
              <w:top w:val="single" w:sz="4" w:space="0" w:color="auto"/>
              <w:left w:val="nil"/>
              <w:bottom w:val="single" w:sz="4" w:space="0" w:color="auto"/>
              <w:right w:val="single" w:sz="4" w:space="0" w:color="auto"/>
            </w:tcBorders>
            <w:shd w:val="clear" w:color="auto" w:fill="C6EFCE"/>
            <w:noWrap/>
          </w:tcPr>
          <w:p w14:paraId="292611E5" w14:textId="77777777" w:rsidR="00CB0FCB" w:rsidRDefault="009D2B11">
            <w:pPr>
              <w:pStyle w:val="P68B1DB1-Normal9"/>
              <w:spacing w:after="0" w:line="240" w:lineRule="auto"/>
              <w:rPr>
                <w:rFonts w:eastAsia="Times New Roman" w:cs="Calibri"/>
                <w:noProof/>
                <w:szCs w:val="18"/>
              </w:rPr>
            </w:pPr>
            <w:r>
              <w:rPr>
                <w:noProof/>
              </w:rPr>
              <w:t>2. CET.</w:t>
            </w:r>
          </w:p>
        </w:tc>
        <w:tc>
          <w:tcPr>
            <w:tcW w:w="662" w:type="dxa"/>
            <w:tcBorders>
              <w:top w:val="single" w:sz="4" w:space="0" w:color="auto"/>
              <w:left w:val="nil"/>
              <w:bottom w:val="single" w:sz="4" w:space="0" w:color="auto"/>
              <w:right w:val="single" w:sz="4" w:space="0" w:color="auto"/>
            </w:tcBorders>
            <w:shd w:val="clear" w:color="auto" w:fill="C6EFCE"/>
            <w:noWrap/>
          </w:tcPr>
          <w:p w14:paraId="34895898" w14:textId="77777777" w:rsidR="00CB0FCB" w:rsidRDefault="009D2B11">
            <w:pPr>
              <w:pStyle w:val="P68B1DB1-Normal9"/>
              <w:spacing w:after="0" w:line="240" w:lineRule="auto"/>
              <w:rPr>
                <w:rFonts w:eastAsia="Times New Roman" w:cs="Calibri"/>
                <w:noProof/>
                <w:szCs w:val="18"/>
              </w:rPr>
            </w:pPr>
            <w:r>
              <w:rPr>
                <w:noProof/>
              </w:rPr>
              <w:t>2024</w:t>
            </w:r>
          </w:p>
        </w:tc>
        <w:tc>
          <w:tcPr>
            <w:tcW w:w="4305" w:type="dxa"/>
            <w:tcBorders>
              <w:top w:val="single" w:sz="4" w:space="0" w:color="auto"/>
              <w:left w:val="nil"/>
              <w:bottom w:val="single" w:sz="4" w:space="0" w:color="auto"/>
              <w:right w:val="single" w:sz="4" w:space="0" w:color="auto"/>
            </w:tcBorders>
            <w:shd w:val="clear" w:color="auto" w:fill="C6EFCE"/>
            <w:noWrap/>
          </w:tcPr>
          <w:p w14:paraId="14188B9C" w14:textId="27F4AB59" w:rsidR="00CB0FCB" w:rsidRDefault="009D2B11">
            <w:pPr>
              <w:pStyle w:val="P68B1DB1-Normal9"/>
              <w:spacing w:after="0" w:line="240" w:lineRule="auto"/>
              <w:rPr>
                <w:rFonts w:eastAsia="Times New Roman" w:cs="Calibri"/>
                <w:noProof/>
                <w:szCs w:val="18"/>
              </w:rPr>
            </w:pPr>
            <w:r>
              <w:rPr>
                <w:noProof/>
              </w:rPr>
              <w:t xml:space="preserve">Atlasīto saņēmēju apstiprinājuma lēmumu publicēšana, lai modernizētu tūrisma ostu infrastruktūru un cita starpā uzlabotu to energoefektivitāti. </w:t>
            </w:r>
          </w:p>
        </w:tc>
      </w:tr>
      <w:tr w:rsidR="00CB0FCB" w14:paraId="165EC93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0F68D46" w14:textId="77777777" w:rsidR="00CB0FCB" w:rsidRDefault="009D2B11">
            <w:pPr>
              <w:pStyle w:val="P68B1DB1-Normal9"/>
              <w:spacing w:after="0" w:line="240" w:lineRule="auto"/>
              <w:rPr>
                <w:rFonts w:eastAsia="Times New Roman" w:cs="Calibri"/>
                <w:noProof/>
                <w:szCs w:val="18"/>
              </w:rPr>
            </w:pPr>
            <w:r>
              <w:rPr>
                <w:noProof/>
              </w:rPr>
              <w:t>296</w:t>
            </w:r>
          </w:p>
        </w:tc>
        <w:tc>
          <w:tcPr>
            <w:tcW w:w="1489" w:type="dxa"/>
            <w:tcBorders>
              <w:top w:val="single" w:sz="4" w:space="0" w:color="auto"/>
              <w:left w:val="nil"/>
              <w:bottom w:val="single" w:sz="4" w:space="0" w:color="auto"/>
              <w:right w:val="single" w:sz="4" w:space="0" w:color="auto"/>
            </w:tcBorders>
            <w:shd w:val="clear" w:color="auto" w:fill="C6EFCE"/>
            <w:noWrap/>
          </w:tcPr>
          <w:p w14:paraId="3D96B47F"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16921_Pārkvalifikācija un prasmju pilnveide tūrisma nozarē</w:t>
            </w:r>
          </w:p>
        </w:tc>
        <w:tc>
          <w:tcPr>
            <w:tcW w:w="1424" w:type="dxa"/>
            <w:tcBorders>
              <w:top w:val="single" w:sz="4" w:space="0" w:color="auto"/>
              <w:left w:val="nil"/>
              <w:bottom w:val="single" w:sz="4" w:space="0" w:color="auto"/>
              <w:right w:val="single" w:sz="4" w:space="0" w:color="auto"/>
            </w:tcBorders>
            <w:shd w:val="clear" w:color="auto" w:fill="C6EFCE"/>
            <w:noWrap/>
          </w:tcPr>
          <w:p w14:paraId="59974A52" w14:textId="77777777" w:rsidR="00CB0FCB" w:rsidRDefault="009D2B11">
            <w:pPr>
              <w:pStyle w:val="P68B1DB1-Normal9"/>
              <w:spacing w:after="0" w:line="240" w:lineRule="auto"/>
              <w:rPr>
                <w:rFonts w:eastAsia="Times New Roman" w:cs="Calibri"/>
                <w:noProof/>
                <w:szCs w:val="18"/>
              </w:rPr>
            </w:pPr>
            <w:r>
              <w:rPr>
                <w:noProof/>
              </w:rPr>
              <w:t>Mērķa</w:t>
            </w:r>
          </w:p>
        </w:tc>
        <w:tc>
          <w:tcPr>
            <w:tcW w:w="1274" w:type="dxa"/>
            <w:tcBorders>
              <w:top w:val="single" w:sz="4" w:space="0" w:color="auto"/>
              <w:left w:val="nil"/>
              <w:bottom w:val="single" w:sz="4" w:space="0" w:color="auto"/>
              <w:right w:val="single" w:sz="4" w:space="0" w:color="auto"/>
            </w:tcBorders>
            <w:shd w:val="clear" w:color="auto" w:fill="C6EFCE"/>
            <w:noWrap/>
          </w:tcPr>
          <w:p w14:paraId="1C0B11FE" w14:textId="77777777" w:rsidR="00CB0FCB" w:rsidRDefault="009D2B11">
            <w:pPr>
              <w:pStyle w:val="P68B1DB1-Normal9"/>
              <w:spacing w:after="0" w:line="240" w:lineRule="auto"/>
              <w:rPr>
                <w:rFonts w:eastAsia="Times New Roman" w:cs="Calibri"/>
                <w:noProof/>
                <w:szCs w:val="18"/>
              </w:rPr>
            </w:pPr>
            <w:r>
              <w:rPr>
                <w:noProof/>
              </w:rPr>
              <w:t>Pārkvalifikācija un kvalifikācijas celšana tūrisma nozarē (pabeigšana)</w:t>
            </w:r>
          </w:p>
        </w:tc>
        <w:tc>
          <w:tcPr>
            <w:tcW w:w="1741" w:type="dxa"/>
            <w:tcBorders>
              <w:top w:val="single" w:sz="4" w:space="0" w:color="auto"/>
              <w:left w:val="nil"/>
              <w:bottom w:val="single" w:sz="4" w:space="0" w:color="auto"/>
              <w:right w:val="single" w:sz="4" w:space="0" w:color="auto"/>
            </w:tcBorders>
            <w:shd w:val="clear" w:color="auto" w:fill="C6EFCE"/>
            <w:noWrap/>
          </w:tcPr>
          <w:p w14:paraId="6FBE0DD2" w14:textId="77777777" w:rsidR="00CB0FCB" w:rsidRDefault="00CB0FCB">
            <w:pPr>
              <w:spacing w:after="0" w:line="240" w:lineRule="auto"/>
              <w:rPr>
                <w:rFonts w:eastAsia="Times New Roman" w:cs="Calibri"/>
                <w:noProof/>
                <w:color w:val="006100"/>
                <w:sz w:val="18"/>
                <w:szCs w:val="18"/>
              </w:rPr>
            </w:pPr>
          </w:p>
        </w:tc>
        <w:tc>
          <w:tcPr>
            <w:tcW w:w="1741" w:type="dxa"/>
            <w:tcBorders>
              <w:top w:val="single" w:sz="4" w:space="0" w:color="auto"/>
              <w:left w:val="nil"/>
              <w:bottom w:val="single" w:sz="4" w:space="0" w:color="auto"/>
              <w:right w:val="single" w:sz="4" w:space="0" w:color="auto"/>
            </w:tcBorders>
            <w:shd w:val="clear" w:color="auto" w:fill="C6EFCE"/>
            <w:noWrap/>
          </w:tcPr>
          <w:p w14:paraId="6925153E" w14:textId="77777777" w:rsidR="00CB0FCB" w:rsidRDefault="009D2B11">
            <w:pPr>
              <w:pStyle w:val="P68B1DB1-Normal9"/>
              <w:spacing w:after="0" w:line="240" w:lineRule="auto"/>
              <w:rPr>
                <w:rFonts w:eastAsia="Times New Roman" w:cs="Calibri"/>
                <w:noProof/>
                <w:szCs w:val="18"/>
              </w:rPr>
            </w:pPr>
            <w:r>
              <w:rPr>
                <w:noProof/>
              </w:rPr>
              <w:t>To dalībnieku skaits, kuri sekmīgi pabeiguši apmācību</w:t>
            </w:r>
          </w:p>
        </w:tc>
        <w:tc>
          <w:tcPr>
            <w:tcW w:w="857" w:type="dxa"/>
            <w:tcBorders>
              <w:top w:val="single" w:sz="4" w:space="0" w:color="auto"/>
              <w:left w:val="nil"/>
              <w:bottom w:val="single" w:sz="4" w:space="0" w:color="auto"/>
              <w:right w:val="single" w:sz="4" w:space="0" w:color="auto"/>
            </w:tcBorders>
            <w:shd w:val="clear" w:color="auto" w:fill="C6EFCE"/>
            <w:noWrap/>
          </w:tcPr>
          <w:p w14:paraId="4EACD15A" w14:textId="77777777" w:rsidR="00CB0FCB" w:rsidRDefault="009D2B11">
            <w:pPr>
              <w:pStyle w:val="P68B1DB1-Normal9"/>
              <w:spacing w:after="0" w:line="240" w:lineRule="auto"/>
              <w:rPr>
                <w:rFonts w:eastAsia="Times New Roman" w:cs="Calibri"/>
                <w:noProof/>
                <w:szCs w:val="18"/>
              </w:rPr>
            </w:pPr>
            <w:r>
              <w:rPr>
                <w:noProof/>
              </w:rPr>
              <w:t>0</w:t>
            </w:r>
          </w:p>
        </w:tc>
        <w:tc>
          <w:tcPr>
            <w:tcW w:w="713" w:type="dxa"/>
            <w:tcBorders>
              <w:top w:val="single" w:sz="4" w:space="0" w:color="auto"/>
              <w:left w:val="nil"/>
              <w:bottom w:val="single" w:sz="4" w:space="0" w:color="auto"/>
              <w:right w:val="single" w:sz="4" w:space="0" w:color="auto"/>
            </w:tcBorders>
            <w:shd w:val="clear" w:color="auto" w:fill="C6EFCE"/>
            <w:noWrap/>
          </w:tcPr>
          <w:p w14:paraId="56E83DC4" w14:textId="77777777" w:rsidR="00CB0FCB" w:rsidRDefault="009D2B11">
            <w:pPr>
              <w:pStyle w:val="P68B1DB1-Normal9"/>
              <w:spacing w:after="0" w:line="240" w:lineRule="auto"/>
              <w:rPr>
                <w:rFonts w:eastAsia="Times New Roman" w:cs="Calibri"/>
                <w:noProof/>
                <w:szCs w:val="18"/>
              </w:rPr>
            </w:pPr>
            <w:r>
              <w:rPr>
                <w:noProof/>
              </w:rPr>
              <w:t>18 000</w:t>
            </w:r>
          </w:p>
        </w:tc>
        <w:tc>
          <w:tcPr>
            <w:tcW w:w="986" w:type="dxa"/>
            <w:tcBorders>
              <w:top w:val="single" w:sz="4" w:space="0" w:color="auto"/>
              <w:left w:val="nil"/>
              <w:bottom w:val="single" w:sz="4" w:space="0" w:color="auto"/>
              <w:right w:val="single" w:sz="4" w:space="0" w:color="auto"/>
            </w:tcBorders>
            <w:shd w:val="clear" w:color="auto" w:fill="C6EFCE"/>
            <w:noWrap/>
          </w:tcPr>
          <w:p w14:paraId="26965A67" w14:textId="77777777" w:rsidR="00CB0FCB" w:rsidRDefault="009D2B11">
            <w:pPr>
              <w:pStyle w:val="P68B1DB1-Normal9"/>
              <w:spacing w:after="0" w:line="240" w:lineRule="auto"/>
              <w:rPr>
                <w:rFonts w:eastAsia="Times New Roman" w:cs="Calibri"/>
                <w:noProof/>
                <w:szCs w:val="18"/>
              </w:rPr>
            </w:pPr>
            <w:r>
              <w:rPr>
                <w:noProof/>
              </w:rPr>
              <w:t>4. CET.</w:t>
            </w:r>
          </w:p>
        </w:tc>
        <w:tc>
          <w:tcPr>
            <w:tcW w:w="662" w:type="dxa"/>
            <w:tcBorders>
              <w:top w:val="single" w:sz="4" w:space="0" w:color="auto"/>
              <w:left w:val="nil"/>
              <w:bottom w:val="single" w:sz="4" w:space="0" w:color="auto"/>
              <w:right w:val="single" w:sz="4" w:space="0" w:color="auto"/>
            </w:tcBorders>
            <w:shd w:val="clear" w:color="auto" w:fill="C6EFCE"/>
            <w:noWrap/>
          </w:tcPr>
          <w:p w14:paraId="7116DEDB" w14:textId="77777777" w:rsidR="00CB0FCB" w:rsidRDefault="009D2B11">
            <w:pPr>
              <w:pStyle w:val="P68B1DB1-Normal9"/>
              <w:spacing w:after="0" w:line="240" w:lineRule="auto"/>
              <w:rPr>
                <w:rFonts w:eastAsia="Times New Roman" w:cs="Calibri"/>
                <w:noProof/>
                <w:szCs w:val="18"/>
              </w:rPr>
            </w:pPr>
            <w:r>
              <w:rPr>
                <w:noProof/>
              </w:rPr>
              <w:t>2025</w:t>
            </w:r>
          </w:p>
        </w:tc>
        <w:tc>
          <w:tcPr>
            <w:tcW w:w="4305" w:type="dxa"/>
            <w:tcBorders>
              <w:top w:val="single" w:sz="4" w:space="0" w:color="auto"/>
              <w:left w:val="nil"/>
              <w:bottom w:val="single" w:sz="4" w:space="0" w:color="auto"/>
              <w:right w:val="single" w:sz="4" w:space="0" w:color="auto"/>
            </w:tcBorders>
            <w:shd w:val="clear" w:color="auto" w:fill="C6EFCE"/>
            <w:noWrap/>
          </w:tcPr>
          <w:p w14:paraId="157075AA" w14:textId="77777777" w:rsidR="00CB0FCB" w:rsidRDefault="009D2B11">
            <w:pPr>
              <w:pStyle w:val="P68B1DB1-Normal9"/>
              <w:spacing w:after="0" w:line="240" w:lineRule="auto"/>
              <w:rPr>
                <w:rFonts w:eastAsia="Times New Roman" w:cs="Calibri"/>
                <w:noProof/>
                <w:szCs w:val="18"/>
              </w:rPr>
            </w:pPr>
            <w:r>
              <w:rPr>
                <w:noProof/>
              </w:rPr>
              <w:t>Tūrisma prasmju pilnveide un pārkvalifikācija: Mācību kursu pabeigšana, ko apliecina nobeiguma ziņojums ar detalizētu statistikas pielikumu par pabeigtajiem kursiem un sekmīgi pabeigtajiem kursiem un pēc kvalifikācijas.</w:t>
            </w:r>
          </w:p>
        </w:tc>
      </w:tr>
      <w:tr w:rsidR="00CB0FCB" w14:paraId="7BF12D8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D59D6E9" w14:textId="77777777" w:rsidR="00CB0FCB" w:rsidRDefault="009D2B11">
            <w:pPr>
              <w:pStyle w:val="P68B1DB1-Normal9"/>
              <w:spacing w:after="0" w:line="240" w:lineRule="auto"/>
              <w:rPr>
                <w:rFonts w:eastAsia="Times New Roman" w:cs="Calibri"/>
                <w:noProof/>
                <w:szCs w:val="18"/>
              </w:rPr>
            </w:pPr>
            <w:r>
              <w:rPr>
                <w:noProof/>
              </w:rPr>
              <w:t>297</w:t>
            </w:r>
          </w:p>
        </w:tc>
        <w:tc>
          <w:tcPr>
            <w:tcW w:w="1489" w:type="dxa"/>
            <w:tcBorders>
              <w:top w:val="single" w:sz="4" w:space="0" w:color="auto"/>
              <w:left w:val="nil"/>
              <w:bottom w:val="single" w:sz="4" w:space="0" w:color="auto"/>
              <w:right w:val="single" w:sz="4" w:space="0" w:color="auto"/>
            </w:tcBorders>
            <w:shd w:val="clear" w:color="auto" w:fill="C6EFCE"/>
            <w:noWrap/>
          </w:tcPr>
          <w:p w14:paraId="0A968EA0"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16931_Tūrisma attīstība</w:t>
            </w:r>
          </w:p>
        </w:tc>
        <w:tc>
          <w:tcPr>
            <w:tcW w:w="1424" w:type="dxa"/>
            <w:tcBorders>
              <w:top w:val="single" w:sz="4" w:space="0" w:color="auto"/>
              <w:left w:val="nil"/>
              <w:bottom w:val="single" w:sz="4" w:space="0" w:color="auto"/>
              <w:right w:val="single" w:sz="4" w:space="0" w:color="auto"/>
            </w:tcBorders>
            <w:shd w:val="clear" w:color="auto" w:fill="C6EFCE"/>
            <w:noWrap/>
          </w:tcPr>
          <w:p w14:paraId="4CEA4BC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4" w:type="dxa"/>
            <w:tcBorders>
              <w:top w:val="single" w:sz="4" w:space="0" w:color="auto"/>
              <w:left w:val="nil"/>
              <w:bottom w:val="single" w:sz="4" w:space="0" w:color="auto"/>
              <w:right w:val="single" w:sz="4" w:space="0" w:color="auto"/>
            </w:tcBorders>
            <w:shd w:val="clear" w:color="auto" w:fill="C6EFCE"/>
            <w:noWrap/>
          </w:tcPr>
          <w:p w14:paraId="53698E85" w14:textId="77777777" w:rsidR="00CB0FCB" w:rsidRDefault="009D2B11">
            <w:pPr>
              <w:pStyle w:val="P68B1DB1-Normal9"/>
              <w:spacing w:after="0" w:line="240" w:lineRule="auto"/>
              <w:rPr>
                <w:rFonts w:eastAsia="Times New Roman" w:cs="Calibri"/>
                <w:noProof/>
                <w:szCs w:val="18"/>
              </w:rPr>
            </w:pPr>
            <w:r>
              <w:rPr>
                <w:noProof/>
              </w:rPr>
              <w:t>Tūrisma attīstības projekta pabeigšana</w:t>
            </w:r>
          </w:p>
        </w:tc>
        <w:tc>
          <w:tcPr>
            <w:tcW w:w="1741" w:type="dxa"/>
            <w:tcBorders>
              <w:top w:val="single" w:sz="4" w:space="0" w:color="auto"/>
              <w:left w:val="nil"/>
              <w:bottom w:val="single" w:sz="4" w:space="0" w:color="auto"/>
              <w:right w:val="single" w:sz="4" w:space="0" w:color="auto"/>
            </w:tcBorders>
            <w:shd w:val="clear" w:color="auto" w:fill="C6EFCE"/>
            <w:noWrap/>
          </w:tcPr>
          <w:p w14:paraId="32FD03B6" w14:textId="469E4BB3" w:rsidR="00CB0FCB" w:rsidRDefault="009D2B11">
            <w:pPr>
              <w:pStyle w:val="P68B1DB1-Normal9"/>
              <w:spacing w:after="0" w:line="240" w:lineRule="auto"/>
              <w:rPr>
                <w:rFonts w:eastAsia="Times New Roman" w:cs="Calibri"/>
                <w:noProof/>
                <w:szCs w:val="18"/>
              </w:rPr>
            </w:pPr>
            <w:r>
              <w:rPr>
                <w:noProof/>
              </w:rPr>
              <w:t>Ieguldījumu pabeigšana</w:t>
            </w:r>
          </w:p>
        </w:tc>
        <w:tc>
          <w:tcPr>
            <w:tcW w:w="1741" w:type="dxa"/>
            <w:tcBorders>
              <w:top w:val="single" w:sz="4" w:space="0" w:color="auto"/>
              <w:left w:val="nil"/>
              <w:bottom w:val="single" w:sz="4" w:space="0" w:color="auto"/>
              <w:right w:val="single" w:sz="4" w:space="0" w:color="auto"/>
            </w:tcBorders>
            <w:shd w:val="clear" w:color="auto" w:fill="C6EFCE"/>
            <w:noWrap/>
          </w:tcPr>
          <w:p w14:paraId="2F8428A5"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7C181F60" w14:textId="77777777" w:rsidR="00CB0FCB" w:rsidRDefault="00CB0FCB">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4478931F" w14:textId="77777777" w:rsidR="00CB0FCB" w:rsidRDefault="00CB0FCB">
            <w:pPr>
              <w:spacing w:after="0" w:line="240" w:lineRule="auto"/>
              <w:rPr>
                <w:rFonts w:eastAsia="Times New Roman" w:cs="Calibri"/>
                <w:noProof/>
                <w:color w:val="006100"/>
                <w:sz w:val="18"/>
                <w:szCs w:val="18"/>
              </w:rPr>
            </w:pPr>
          </w:p>
        </w:tc>
        <w:tc>
          <w:tcPr>
            <w:tcW w:w="986" w:type="dxa"/>
            <w:tcBorders>
              <w:top w:val="single" w:sz="4" w:space="0" w:color="auto"/>
              <w:left w:val="nil"/>
              <w:bottom w:val="single" w:sz="4" w:space="0" w:color="auto"/>
              <w:right w:val="single" w:sz="4" w:space="0" w:color="auto"/>
            </w:tcBorders>
            <w:shd w:val="clear" w:color="auto" w:fill="C6EFCE"/>
            <w:noWrap/>
          </w:tcPr>
          <w:p w14:paraId="60B0DFCE" w14:textId="77777777" w:rsidR="00CB0FCB" w:rsidRDefault="009D2B11">
            <w:pPr>
              <w:pStyle w:val="P68B1DB1-Normal9"/>
              <w:spacing w:after="0" w:line="240" w:lineRule="auto"/>
              <w:rPr>
                <w:rFonts w:eastAsia="Times New Roman" w:cs="Calibri"/>
                <w:noProof/>
                <w:szCs w:val="18"/>
              </w:rPr>
            </w:pPr>
            <w:r>
              <w:rPr>
                <w:noProof/>
              </w:rPr>
              <w:t>4. CET.</w:t>
            </w:r>
          </w:p>
        </w:tc>
        <w:tc>
          <w:tcPr>
            <w:tcW w:w="662" w:type="dxa"/>
            <w:tcBorders>
              <w:top w:val="single" w:sz="4" w:space="0" w:color="auto"/>
              <w:left w:val="nil"/>
              <w:bottom w:val="single" w:sz="4" w:space="0" w:color="auto"/>
              <w:right w:val="single" w:sz="4" w:space="0" w:color="auto"/>
            </w:tcBorders>
            <w:shd w:val="clear" w:color="auto" w:fill="C6EFCE"/>
            <w:noWrap/>
          </w:tcPr>
          <w:p w14:paraId="7C86CFFA" w14:textId="77777777" w:rsidR="00CB0FCB" w:rsidRDefault="009D2B11">
            <w:pPr>
              <w:pStyle w:val="P68B1DB1-Normal9"/>
              <w:spacing w:after="0" w:line="240" w:lineRule="auto"/>
              <w:rPr>
                <w:rFonts w:eastAsia="Times New Roman" w:cs="Calibri"/>
                <w:noProof/>
                <w:szCs w:val="18"/>
              </w:rPr>
            </w:pPr>
            <w:r>
              <w:rPr>
                <w:noProof/>
              </w:rPr>
              <w:t>2025</w:t>
            </w:r>
          </w:p>
        </w:tc>
        <w:tc>
          <w:tcPr>
            <w:tcW w:w="4305" w:type="dxa"/>
            <w:tcBorders>
              <w:top w:val="single" w:sz="4" w:space="0" w:color="auto"/>
              <w:left w:val="nil"/>
              <w:bottom w:val="single" w:sz="4" w:space="0" w:color="auto"/>
              <w:right w:val="single" w:sz="4" w:space="0" w:color="auto"/>
            </w:tcBorders>
            <w:shd w:val="clear" w:color="auto" w:fill="C6EFCE"/>
            <w:noWrap/>
          </w:tcPr>
          <w:p w14:paraId="5AE5AA79" w14:textId="77777777" w:rsidR="00CB0FCB" w:rsidRDefault="009D2B11">
            <w:pPr>
              <w:pStyle w:val="P68B1DB1-Normal9"/>
              <w:spacing w:after="0" w:line="240" w:lineRule="auto"/>
              <w:rPr>
                <w:rFonts w:eastAsia="Times New Roman" w:cs="Calibri"/>
                <w:noProof/>
                <w:szCs w:val="18"/>
              </w:rPr>
            </w:pPr>
            <w:r>
              <w:rPr>
                <w:noProof/>
              </w:rPr>
              <w:t xml:space="preserve">Tūrisma attīstība: </w:t>
            </w:r>
          </w:p>
          <w:p w14:paraId="37C9B927" w14:textId="77777777" w:rsidR="00CB0FCB" w:rsidRDefault="009D2B11">
            <w:pPr>
              <w:pStyle w:val="P68B1DB1-Normal9"/>
              <w:spacing w:after="0" w:line="240" w:lineRule="auto"/>
              <w:rPr>
                <w:rFonts w:eastAsia="Times New Roman" w:cs="Calibri"/>
                <w:noProof/>
                <w:szCs w:val="18"/>
              </w:rPr>
            </w:pPr>
            <w:r>
              <w:rPr>
                <w:noProof/>
              </w:rPr>
              <w:t>(1a) Konkrētu tūrisma ostu modernizācijas darbu pabeigšana, lai veicinātu tūrismu un privātos ieguldījumus.</w:t>
            </w:r>
          </w:p>
          <w:p w14:paraId="50D0D4CC" w14:textId="41CAEF17" w:rsidR="00CB0FCB" w:rsidRDefault="009D2B11">
            <w:pPr>
              <w:spacing w:after="0" w:line="240" w:lineRule="auto"/>
              <w:rPr>
                <w:rFonts w:eastAsia="Times New Roman" w:cs="Calibri"/>
                <w:noProof/>
                <w:color w:val="006100"/>
                <w:sz w:val="18"/>
                <w:szCs w:val="18"/>
              </w:rPr>
            </w:pPr>
            <w:r>
              <w:rPr>
                <w:noProof/>
                <w:color w:val="006100"/>
                <w:sz w:val="18"/>
              </w:rPr>
              <w:t>(1b) Citu tūrisma intervences pasākumu pabeigšana, lai veicinātu alternatīvus tūrisma veidus un pagarinātu sezonu, tostarp:</w:t>
            </w:r>
          </w:p>
          <w:p w14:paraId="768088D2" w14:textId="0534BFA9" w:rsidR="00CB0FCB" w:rsidRDefault="009D2B11">
            <w:pPr>
              <w:pStyle w:val="P68B1DB1-Normal35"/>
              <w:spacing w:before="120" w:after="0" w:line="240" w:lineRule="auto"/>
              <w:rPr>
                <w:rFonts w:eastAsia="Times New Roman" w:cs="Calibri"/>
                <w:noProof/>
                <w:color w:val="006100"/>
                <w:szCs w:val="18"/>
              </w:rPr>
            </w:pPr>
            <w:r>
              <w:rPr>
                <w:rFonts w:ascii="Times New Roman" w:hAnsi="Times New Roman"/>
                <w:noProof/>
              </w:rPr>
              <w:t xml:space="preserve">— </w:t>
            </w:r>
            <w:r>
              <w:rPr>
                <w:noProof/>
                <w:color w:val="006100"/>
              </w:rPr>
              <w:t>Zaļā attīstība: vietējo galamērķu pārvaldības biroju un ilgtspējīga tūrisma novērošanas centru izveide; kalnu tūrisma attīstība, ietverot publiskās un privātās infrastruktūras/aprīkojuma energoefektīvu renovāciju un/vai jaunu atjaunojamo enerģijas avotu jaudas uzstādīšanu; veselības un labjutības tūrisms, izmantojot termālos atsperus; agrotūrisma un gastronomijas veicināšana.</w:t>
            </w:r>
          </w:p>
          <w:p w14:paraId="3C0DE403" w14:textId="53A95DCE" w:rsidR="00CB0FCB" w:rsidRDefault="009D2B11">
            <w:pPr>
              <w:pStyle w:val="P68B1DB1-Normal9"/>
              <w:spacing w:after="0" w:line="240" w:lineRule="auto"/>
              <w:rPr>
                <w:rFonts w:eastAsia="Times New Roman" w:cs="Calibri"/>
                <w:noProof/>
                <w:szCs w:val="18"/>
              </w:rPr>
            </w:pPr>
            <w:r>
              <w:rPr>
                <w:noProof/>
              </w:rPr>
              <w:t>— Zilā attīstība: modernizēt intervences pasākumus, lai uzlabotu piestātnēs piedāvāto infrastruktūru un pakalpojumus, pieejamību pludmalēs vecāka gadagājuma cilvēkiem un personām ar invaliditāti un lai veicinātu niršanas un zemūdens tūrisma attīstību.</w:t>
            </w:r>
          </w:p>
        </w:tc>
      </w:tr>
      <w:tr w:rsidR="00CB0FCB" w14:paraId="6C10F16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E6C0667" w14:textId="77777777" w:rsidR="00CB0FCB" w:rsidRDefault="009D2B11">
            <w:pPr>
              <w:pStyle w:val="P68B1DB1-Normal9"/>
              <w:spacing w:after="0" w:line="240" w:lineRule="auto"/>
              <w:rPr>
                <w:rFonts w:eastAsia="Times New Roman" w:cs="Calibri"/>
                <w:noProof/>
                <w:szCs w:val="18"/>
              </w:rPr>
            </w:pPr>
            <w:r>
              <w:rPr>
                <w:noProof/>
              </w:rPr>
              <w:t>298</w:t>
            </w:r>
          </w:p>
        </w:tc>
        <w:tc>
          <w:tcPr>
            <w:tcW w:w="1489" w:type="dxa"/>
            <w:tcBorders>
              <w:top w:val="single" w:sz="4" w:space="0" w:color="auto"/>
              <w:left w:val="nil"/>
              <w:bottom w:val="single" w:sz="4" w:space="0" w:color="auto"/>
              <w:right w:val="single" w:sz="4" w:space="0" w:color="auto"/>
            </w:tcBorders>
            <w:shd w:val="clear" w:color="auto" w:fill="C6EFCE"/>
            <w:noWrap/>
          </w:tcPr>
          <w:p w14:paraId="413E9B86"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16975_Atjaunināt intervences pasākumus reģionālajām ostām</w:t>
            </w:r>
          </w:p>
        </w:tc>
        <w:tc>
          <w:tcPr>
            <w:tcW w:w="1424" w:type="dxa"/>
            <w:tcBorders>
              <w:top w:val="single" w:sz="4" w:space="0" w:color="auto"/>
              <w:left w:val="nil"/>
              <w:bottom w:val="single" w:sz="4" w:space="0" w:color="auto"/>
              <w:right w:val="single" w:sz="4" w:space="0" w:color="auto"/>
            </w:tcBorders>
            <w:shd w:val="clear" w:color="auto" w:fill="C6EFCE"/>
            <w:noWrap/>
          </w:tcPr>
          <w:p w14:paraId="19E13222" w14:textId="23809682" w:rsidR="00CB0FCB" w:rsidRDefault="009D2B11">
            <w:pPr>
              <w:pStyle w:val="P68B1DB1-Normal10"/>
              <w:spacing w:after="0" w:line="240" w:lineRule="auto"/>
              <w:rPr>
                <w:rFonts w:eastAsia="Times New Roman" w:cs="Calibri"/>
                <w:noProof/>
              </w:rPr>
            </w:pPr>
            <w:r>
              <w:rPr>
                <w:noProof/>
              </w:rPr>
              <w:t>Atskaites punkts</w:t>
            </w:r>
          </w:p>
        </w:tc>
        <w:tc>
          <w:tcPr>
            <w:tcW w:w="1274" w:type="dxa"/>
            <w:tcBorders>
              <w:top w:val="single" w:sz="4" w:space="0" w:color="auto"/>
              <w:left w:val="nil"/>
              <w:bottom w:val="single" w:sz="4" w:space="0" w:color="auto"/>
              <w:right w:val="single" w:sz="4" w:space="0" w:color="auto"/>
            </w:tcBorders>
            <w:shd w:val="clear" w:color="auto" w:fill="C6EFCE"/>
            <w:noWrap/>
          </w:tcPr>
          <w:p w14:paraId="6F4CFCA5" w14:textId="77777777" w:rsidR="00CB0FCB" w:rsidRDefault="009D2B11">
            <w:pPr>
              <w:pStyle w:val="P68B1DB1-Normal9"/>
              <w:spacing w:after="0" w:line="240" w:lineRule="auto"/>
              <w:rPr>
                <w:rFonts w:eastAsia="Times New Roman" w:cs="Calibri"/>
                <w:noProof/>
                <w:szCs w:val="18"/>
              </w:rPr>
            </w:pPr>
            <w:r>
              <w:rPr>
                <w:noProof/>
              </w:rPr>
              <w:t>Reģionālo ostu modernizācijas pasākumi</w:t>
            </w:r>
          </w:p>
        </w:tc>
        <w:tc>
          <w:tcPr>
            <w:tcW w:w="1741" w:type="dxa"/>
            <w:tcBorders>
              <w:top w:val="single" w:sz="4" w:space="0" w:color="auto"/>
              <w:left w:val="nil"/>
              <w:bottom w:val="single" w:sz="4" w:space="0" w:color="auto"/>
              <w:right w:val="single" w:sz="4" w:space="0" w:color="auto"/>
            </w:tcBorders>
            <w:shd w:val="clear" w:color="auto" w:fill="C6EFCE"/>
            <w:noWrap/>
          </w:tcPr>
          <w:p w14:paraId="77852BEA" w14:textId="43C4CAD7" w:rsidR="00CB0FCB" w:rsidRDefault="009D2B11">
            <w:pPr>
              <w:pStyle w:val="P68B1DB1-Normal30"/>
              <w:spacing w:after="0" w:line="240" w:lineRule="auto"/>
              <w:rPr>
                <w:noProof/>
              </w:rPr>
            </w:pPr>
            <w:r>
              <w:rPr>
                <w:noProof/>
              </w:rPr>
              <w:t>Reģionālo ostu modernizācijas pabeigšana</w:t>
            </w:r>
          </w:p>
        </w:tc>
        <w:tc>
          <w:tcPr>
            <w:tcW w:w="1741" w:type="dxa"/>
            <w:tcBorders>
              <w:top w:val="single" w:sz="4" w:space="0" w:color="auto"/>
              <w:left w:val="nil"/>
              <w:bottom w:val="single" w:sz="4" w:space="0" w:color="auto"/>
              <w:right w:val="single" w:sz="4" w:space="0" w:color="auto"/>
            </w:tcBorders>
            <w:shd w:val="clear" w:color="auto" w:fill="C6EFCE"/>
            <w:noWrap/>
          </w:tcPr>
          <w:p w14:paraId="4AF2B874" w14:textId="4734A8AB"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C9B0B23" w14:textId="4A3775F9" w:rsidR="00CB0FCB" w:rsidRDefault="00CB0FCB">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4307251E" w14:textId="4CB5A0BB" w:rsidR="00CB0FCB" w:rsidRDefault="00CB0FCB">
            <w:pPr>
              <w:spacing w:after="0" w:line="240" w:lineRule="auto"/>
              <w:rPr>
                <w:rFonts w:eastAsia="Times New Roman" w:cs="Calibri"/>
                <w:noProof/>
                <w:color w:val="006100"/>
                <w:sz w:val="18"/>
                <w:szCs w:val="18"/>
              </w:rPr>
            </w:pPr>
          </w:p>
        </w:tc>
        <w:tc>
          <w:tcPr>
            <w:tcW w:w="986" w:type="dxa"/>
            <w:tcBorders>
              <w:top w:val="single" w:sz="4" w:space="0" w:color="auto"/>
              <w:left w:val="nil"/>
              <w:bottom w:val="single" w:sz="4" w:space="0" w:color="auto"/>
              <w:right w:val="single" w:sz="4" w:space="0" w:color="auto"/>
            </w:tcBorders>
            <w:shd w:val="clear" w:color="auto" w:fill="C6EFCE"/>
            <w:noWrap/>
          </w:tcPr>
          <w:p w14:paraId="0427BCDB" w14:textId="77777777" w:rsidR="00CB0FCB" w:rsidRDefault="009D2B11">
            <w:pPr>
              <w:pStyle w:val="P68B1DB1-Normal10"/>
              <w:spacing w:after="0" w:line="240" w:lineRule="auto"/>
              <w:rPr>
                <w:rFonts w:eastAsia="Times New Roman" w:cs="Calibri"/>
                <w:noProof/>
              </w:rPr>
            </w:pPr>
            <w:r>
              <w:rPr>
                <w:noProof/>
              </w:rPr>
              <w:t>4. CET.</w:t>
            </w:r>
          </w:p>
        </w:tc>
        <w:tc>
          <w:tcPr>
            <w:tcW w:w="662" w:type="dxa"/>
            <w:tcBorders>
              <w:top w:val="single" w:sz="4" w:space="0" w:color="auto"/>
              <w:left w:val="nil"/>
              <w:bottom w:val="single" w:sz="4" w:space="0" w:color="auto"/>
              <w:right w:val="single" w:sz="4" w:space="0" w:color="auto"/>
            </w:tcBorders>
            <w:shd w:val="clear" w:color="auto" w:fill="C6EFCE"/>
            <w:noWrap/>
          </w:tcPr>
          <w:p w14:paraId="0384BF94" w14:textId="77777777" w:rsidR="00CB0FCB" w:rsidRDefault="009D2B11">
            <w:pPr>
              <w:pStyle w:val="P68B1DB1-Normal10"/>
              <w:spacing w:after="0" w:line="240" w:lineRule="auto"/>
              <w:rPr>
                <w:rFonts w:eastAsia="Times New Roman" w:cs="Calibri"/>
                <w:noProof/>
              </w:rPr>
            </w:pPr>
            <w:r>
              <w:rPr>
                <w:noProof/>
              </w:rPr>
              <w:t>2025</w:t>
            </w:r>
          </w:p>
        </w:tc>
        <w:tc>
          <w:tcPr>
            <w:tcW w:w="4305" w:type="dxa"/>
            <w:tcBorders>
              <w:top w:val="single" w:sz="4" w:space="0" w:color="auto"/>
              <w:left w:val="nil"/>
              <w:bottom w:val="single" w:sz="4" w:space="0" w:color="auto"/>
              <w:right w:val="single" w:sz="4" w:space="0" w:color="auto"/>
            </w:tcBorders>
            <w:shd w:val="clear" w:color="auto" w:fill="C6EFCE"/>
            <w:noWrap/>
          </w:tcPr>
          <w:p w14:paraId="16B65614" w14:textId="24AC808F" w:rsidR="00CB0FCB" w:rsidRDefault="009D2B11">
            <w:pPr>
              <w:pStyle w:val="P68B1DB1-Normal10"/>
              <w:spacing w:after="0" w:line="240" w:lineRule="auto"/>
              <w:rPr>
                <w:rFonts w:eastAsia="Times New Roman" w:cs="Calibri"/>
                <w:noProof/>
              </w:rPr>
            </w:pPr>
            <w:r>
              <w:rPr>
                <w:noProof/>
              </w:rPr>
              <w:t>Trīspadsmit reģionālo ostu modernizācijas pabeigšana.</w:t>
            </w:r>
          </w:p>
        </w:tc>
      </w:tr>
    </w:tbl>
    <w:p w14:paraId="610A5988" w14:textId="77777777" w:rsidR="00CB0FCB" w:rsidRDefault="00CB0FCB">
      <w:pPr>
        <w:spacing w:before="120" w:after="0" w:line="240" w:lineRule="auto"/>
        <w:jc w:val="both"/>
        <w:rPr>
          <w:rFonts w:ascii="Times New Roman" w:hAnsi="Times New Roman" w:cs="Times New Roman"/>
          <w:noProof/>
          <w:sz w:val="24"/>
        </w:rPr>
      </w:pPr>
    </w:p>
    <w:p w14:paraId="18E0E5F4" w14:textId="77777777" w:rsidR="00CB0FCB" w:rsidRDefault="00CB0FCB">
      <w:pPr>
        <w:keepNext/>
        <w:keepLines/>
        <w:spacing w:before="40" w:after="0" w:line="240" w:lineRule="auto"/>
        <w:jc w:val="both"/>
        <w:outlineLvl w:val="4"/>
        <w:rPr>
          <w:rFonts w:ascii="Cambria" w:hAnsi="Cambria"/>
          <w:noProof/>
          <w:color w:val="365F91"/>
          <w:sz w:val="24"/>
        </w:rPr>
        <w:sectPr w:rsidR="00CB0FCB" w:rsidSect="00271D33">
          <w:headerReference w:type="even" r:id="rId283"/>
          <w:headerReference w:type="default" r:id="rId284"/>
          <w:footerReference w:type="even" r:id="rId285"/>
          <w:footerReference w:type="default" r:id="rId286"/>
          <w:headerReference w:type="first" r:id="rId287"/>
          <w:footerReference w:type="first" r:id="rId288"/>
          <w:pgSz w:w="16839" w:h="11907" w:orient="landscape"/>
          <w:pgMar w:top="720" w:right="720" w:bottom="720" w:left="720" w:header="709" w:footer="217" w:gutter="0"/>
          <w:cols w:space="720"/>
          <w:docGrid w:linePitch="360"/>
        </w:sectPr>
      </w:pPr>
    </w:p>
    <w:p w14:paraId="06E28AB3" w14:textId="77777777" w:rsidR="00CB0FCB" w:rsidRDefault="009D2B11">
      <w:pPr>
        <w:pStyle w:val="P68B1DB1-Normal6"/>
        <w:keepNext/>
        <w:keepLines/>
        <w:spacing w:before="40" w:after="0" w:line="240" w:lineRule="auto"/>
        <w:jc w:val="both"/>
        <w:outlineLvl w:val="4"/>
        <w:rPr>
          <w:rFonts w:eastAsia="Times New Roman"/>
          <w:noProof/>
        </w:rPr>
      </w:pPr>
      <w:r>
        <w:rPr>
          <w:noProof/>
        </w:rPr>
        <w:t>Grupa: Rūpniecība un ieguldījumi</w:t>
      </w:r>
    </w:p>
    <w:p w14:paraId="3BEFAC53" w14:textId="77777777" w:rsidR="00CB0FCB" w:rsidRDefault="009D2B11">
      <w:pPr>
        <w:pStyle w:val="P68B1DB1-Normal4"/>
        <w:numPr>
          <w:ilvl w:val="0"/>
          <w:numId w:val="30"/>
        </w:numPr>
        <w:spacing w:before="120" w:after="0" w:line="240" w:lineRule="auto"/>
        <w:jc w:val="both"/>
        <w:rPr>
          <w:rFonts w:cs="Times New Roman"/>
          <w:noProof/>
        </w:rPr>
      </w:pPr>
      <w:r>
        <w:rPr>
          <w:noProof/>
        </w:rPr>
        <w:t>Grozījumi tiesiskajā regulējumā stratēģisko investīciju piesaistīšanai (ID: 16593)</w:t>
      </w:r>
    </w:p>
    <w:p w14:paraId="09AD2F96" w14:textId="77777777" w:rsidR="00CB0FCB" w:rsidRDefault="009D2B11">
      <w:pPr>
        <w:pStyle w:val="P68B1DB1-Normal4"/>
        <w:numPr>
          <w:ilvl w:val="0"/>
          <w:numId w:val="30"/>
        </w:numPr>
        <w:spacing w:before="120" w:after="0" w:line="240" w:lineRule="auto"/>
        <w:jc w:val="both"/>
        <w:rPr>
          <w:rFonts w:cs="Times New Roman"/>
          <w:noProof/>
        </w:rPr>
      </w:pPr>
      <w:r>
        <w:rPr>
          <w:noProof/>
        </w:rPr>
        <w:t>Jauni industriālie parki (ID: 16634)</w:t>
      </w:r>
    </w:p>
    <w:p w14:paraId="54074876" w14:textId="77777777" w:rsidR="00CB0FCB" w:rsidRDefault="009D2B11">
      <w:pPr>
        <w:pStyle w:val="P68B1DB1-Normal4"/>
        <w:numPr>
          <w:ilvl w:val="0"/>
          <w:numId w:val="30"/>
        </w:numPr>
        <w:spacing w:before="120" w:after="120" w:line="240" w:lineRule="auto"/>
        <w:jc w:val="both"/>
        <w:rPr>
          <w:rFonts w:cs="Times New Roman"/>
          <w:noProof/>
        </w:rPr>
      </w:pPr>
      <w:r>
        <w:rPr>
          <w:noProof/>
        </w:rPr>
        <w:t>Viedās ražošanas paātrināšana (ID: 16721)</w:t>
      </w:r>
    </w:p>
    <w:tbl>
      <w:tblPr>
        <w:tblW w:w="15502" w:type="dxa"/>
        <w:jc w:val="center"/>
        <w:tblLayout w:type="fixed"/>
        <w:tblLook w:val="04A0" w:firstRow="1" w:lastRow="0" w:firstColumn="1" w:lastColumn="0" w:noHBand="0" w:noVBand="1"/>
      </w:tblPr>
      <w:tblGrid>
        <w:gridCol w:w="1186"/>
        <w:gridCol w:w="1517"/>
        <w:gridCol w:w="1298"/>
        <w:gridCol w:w="1396"/>
        <w:gridCol w:w="1823"/>
        <w:gridCol w:w="866"/>
        <w:gridCol w:w="857"/>
        <w:gridCol w:w="691"/>
        <w:gridCol w:w="851"/>
        <w:gridCol w:w="709"/>
        <w:gridCol w:w="4308"/>
      </w:tblGrid>
      <w:tr w:rsidR="00CB0FCB" w14:paraId="42C02D50" w14:textId="77777777">
        <w:trPr>
          <w:trHeight w:val="839"/>
          <w:tblHeader/>
          <w:jc w:val="center"/>
        </w:trPr>
        <w:tc>
          <w:tcPr>
            <w:tcW w:w="118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73AED5"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0704AA"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4A94B9"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384212"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4B5D3E"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241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A44EFE9" w14:textId="77777777"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156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01B49610"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43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EDA42E"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32FBF5AC" w14:textId="77777777">
        <w:trPr>
          <w:trHeight w:val="456"/>
          <w:tblHeader/>
          <w:jc w:val="center"/>
        </w:trPr>
        <w:tc>
          <w:tcPr>
            <w:tcW w:w="1186" w:type="dxa"/>
            <w:vMerge/>
            <w:tcBorders>
              <w:top w:val="single" w:sz="4" w:space="0" w:color="auto"/>
              <w:left w:val="single" w:sz="4" w:space="0" w:color="auto"/>
              <w:bottom w:val="single" w:sz="4" w:space="0" w:color="auto"/>
              <w:right w:val="single" w:sz="4" w:space="0" w:color="auto"/>
            </w:tcBorders>
            <w:vAlign w:val="center"/>
            <w:hideMark/>
          </w:tcPr>
          <w:p w14:paraId="61973429" w14:textId="77777777" w:rsidR="00CB0FCB" w:rsidRDefault="00CB0FCB">
            <w:pPr>
              <w:spacing w:after="0" w:line="240" w:lineRule="auto"/>
              <w:rPr>
                <w:rFonts w:ascii="Times New Roman" w:eastAsia="Times New Roman" w:hAnsi="Times New Roman" w:cs="Times New Roman"/>
                <w:b/>
                <w:bCs/>
                <w:noProof/>
                <w:sz w:val="18"/>
                <w:szCs w:val="18"/>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14:paraId="00B8FF36" w14:textId="77777777" w:rsidR="00CB0FCB" w:rsidRDefault="00CB0FCB">
            <w:pPr>
              <w:spacing w:after="0" w:line="240" w:lineRule="auto"/>
              <w:rPr>
                <w:rFonts w:ascii="Times New Roman" w:eastAsia="Times New Roman" w:hAnsi="Times New Roman" w:cs="Times New Roman"/>
                <w:b/>
                <w:bCs/>
                <w:noProof/>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14:paraId="542366D3" w14:textId="77777777" w:rsidR="00CB0FCB" w:rsidRDefault="00CB0FCB">
            <w:pPr>
              <w:spacing w:after="0" w:line="240" w:lineRule="auto"/>
              <w:rPr>
                <w:rFonts w:ascii="Times New Roman" w:eastAsia="Times New Roman" w:hAnsi="Times New Roman" w:cs="Times New Roman"/>
                <w:b/>
                <w:bCs/>
                <w:noProof/>
                <w:sz w:val="18"/>
                <w:szCs w:val="18"/>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6D2C8CEF" w14:textId="77777777" w:rsidR="00CB0FCB" w:rsidRDefault="00CB0FCB">
            <w:pPr>
              <w:spacing w:after="0" w:line="240" w:lineRule="auto"/>
              <w:rPr>
                <w:rFonts w:ascii="Times New Roman" w:eastAsia="Times New Roman" w:hAnsi="Times New Roman" w:cs="Times New Roman"/>
                <w:b/>
                <w:bCs/>
                <w:noProof/>
                <w:sz w:val="18"/>
                <w:szCs w:val="18"/>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127A1C9" w14:textId="77777777" w:rsidR="00CB0FCB" w:rsidRDefault="00CB0FCB">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768AB0"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6B366A5"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69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B758037"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5C48144"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9FEBE3"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4308" w:type="dxa"/>
            <w:vMerge/>
            <w:tcBorders>
              <w:top w:val="single" w:sz="4" w:space="0" w:color="auto"/>
              <w:left w:val="single" w:sz="4" w:space="0" w:color="auto"/>
              <w:bottom w:val="single" w:sz="4" w:space="0" w:color="auto"/>
              <w:right w:val="single" w:sz="4" w:space="0" w:color="auto"/>
            </w:tcBorders>
            <w:vAlign w:val="center"/>
            <w:hideMark/>
          </w:tcPr>
          <w:p w14:paraId="082949AC"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DAB1F8A" w14:textId="77777777">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070C8514" w14:textId="77777777" w:rsidR="00CB0FCB" w:rsidRDefault="009D2B11">
            <w:pPr>
              <w:pStyle w:val="P68B1DB1-Normal9"/>
              <w:spacing w:after="0" w:line="240" w:lineRule="auto"/>
              <w:rPr>
                <w:rFonts w:eastAsia="Times New Roman" w:cs="Calibri"/>
                <w:noProof/>
                <w:szCs w:val="18"/>
              </w:rPr>
            </w:pPr>
            <w:r>
              <w:rPr>
                <w:noProof/>
              </w:rPr>
              <w:t>299</w:t>
            </w:r>
          </w:p>
        </w:tc>
        <w:tc>
          <w:tcPr>
            <w:tcW w:w="1517" w:type="dxa"/>
            <w:tcBorders>
              <w:top w:val="single" w:sz="4" w:space="0" w:color="auto"/>
              <w:left w:val="nil"/>
              <w:bottom w:val="single" w:sz="4" w:space="0" w:color="auto"/>
              <w:right w:val="single" w:sz="4" w:space="0" w:color="auto"/>
            </w:tcBorders>
            <w:shd w:val="clear" w:color="auto" w:fill="C6EFCE"/>
            <w:noWrap/>
          </w:tcPr>
          <w:p w14:paraId="065A0F95"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16593_Grozījums tiesiskajā regulējumā stratēģisko investīciju piesaistīšanai</w:t>
            </w:r>
          </w:p>
        </w:tc>
        <w:tc>
          <w:tcPr>
            <w:tcW w:w="1298" w:type="dxa"/>
            <w:tcBorders>
              <w:top w:val="single" w:sz="4" w:space="0" w:color="auto"/>
              <w:left w:val="nil"/>
              <w:bottom w:val="single" w:sz="4" w:space="0" w:color="auto"/>
              <w:right w:val="single" w:sz="4" w:space="0" w:color="auto"/>
            </w:tcBorders>
            <w:shd w:val="clear" w:color="auto" w:fill="C6EFCE"/>
            <w:noWrap/>
          </w:tcPr>
          <w:p w14:paraId="48148D4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single" w:sz="4" w:space="0" w:color="auto"/>
              <w:left w:val="nil"/>
              <w:bottom w:val="single" w:sz="4" w:space="0" w:color="auto"/>
              <w:right w:val="single" w:sz="4" w:space="0" w:color="auto"/>
            </w:tcBorders>
            <w:shd w:val="clear" w:color="auto" w:fill="C6EFCE"/>
            <w:noWrap/>
          </w:tcPr>
          <w:p w14:paraId="577C1DC7" w14:textId="77777777" w:rsidR="00CB0FCB" w:rsidRDefault="009D2B11">
            <w:pPr>
              <w:pStyle w:val="P68B1DB1-Normal9"/>
              <w:spacing w:after="0" w:line="240" w:lineRule="auto"/>
              <w:rPr>
                <w:rFonts w:eastAsia="Times New Roman" w:cs="Calibri"/>
                <w:noProof/>
                <w:szCs w:val="18"/>
              </w:rPr>
            </w:pPr>
            <w:r>
              <w:rPr>
                <w:noProof/>
              </w:rPr>
              <w:t>Stratēģiskās investīcijas — likumdošanas reforma</w:t>
            </w:r>
          </w:p>
        </w:tc>
        <w:tc>
          <w:tcPr>
            <w:tcW w:w="1823" w:type="dxa"/>
            <w:tcBorders>
              <w:top w:val="single" w:sz="4" w:space="0" w:color="auto"/>
              <w:left w:val="nil"/>
              <w:bottom w:val="single" w:sz="4" w:space="0" w:color="auto"/>
              <w:right w:val="single" w:sz="4" w:space="0" w:color="auto"/>
            </w:tcBorders>
            <w:shd w:val="clear" w:color="auto" w:fill="C6EFCE"/>
            <w:noWrap/>
          </w:tcPr>
          <w:p w14:paraId="4F8F3E59" w14:textId="77777777" w:rsidR="00CB0FCB" w:rsidRDefault="009D2B11">
            <w:pPr>
              <w:pStyle w:val="P68B1DB1-Normal9"/>
              <w:spacing w:after="0" w:line="240" w:lineRule="auto"/>
              <w:rPr>
                <w:rFonts w:eastAsia="Times New Roman" w:cs="Calibri"/>
                <w:noProof/>
                <w:szCs w:val="18"/>
              </w:rPr>
            </w:pPr>
            <w:r>
              <w:rPr>
                <w:noProof/>
              </w:rPr>
              <w:t>Tiesību aktu grozījumu stāšanās spēkā</w:t>
            </w:r>
          </w:p>
        </w:tc>
        <w:tc>
          <w:tcPr>
            <w:tcW w:w="866" w:type="dxa"/>
            <w:tcBorders>
              <w:top w:val="single" w:sz="4" w:space="0" w:color="auto"/>
              <w:left w:val="nil"/>
              <w:bottom w:val="single" w:sz="4" w:space="0" w:color="auto"/>
              <w:right w:val="single" w:sz="4" w:space="0" w:color="auto"/>
            </w:tcBorders>
            <w:shd w:val="clear" w:color="auto" w:fill="C6EFCE"/>
            <w:noWrap/>
          </w:tcPr>
          <w:p w14:paraId="4557BB1E"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1B23F1F" w14:textId="77777777" w:rsidR="00CB0FCB" w:rsidRDefault="00CB0FCB">
            <w:pPr>
              <w:spacing w:after="0" w:line="240" w:lineRule="auto"/>
              <w:rPr>
                <w:rFonts w:eastAsia="Times New Roman" w:cs="Calibri"/>
                <w:noProof/>
                <w:color w:val="006100"/>
                <w:sz w:val="18"/>
                <w:szCs w:val="18"/>
              </w:rPr>
            </w:pPr>
          </w:p>
        </w:tc>
        <w:tc>
          <w:tcPr>
            <w:tcW w:w="691" w:type="dxa"/>
            <w:tcBorders>
              <w:top w:val="single" w:sz="4" w:space="0" w:color="auto"/>
              <w:left w:val="nil"/>
              <w:bottom w:val="single" w:sz="4" w:space="0" w:color="auto"/>
              <w:right w:val="single" w:sz="4" w:space="0" w:color="auto"/>
            </w:tcBorders>
            <w:shd w:val="clear" w:color="auto" w:fill="C6EFCE"/>
            <w:noWrap/>
          </w:tcPr>
          <w:p w14:paraId="3E2C5E34" w14:textId="77777777" w:rsidR="00CB0FCB" w:rsidRDefault="00CB0FCB">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4726D7D8"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383342F9" w14:textId="77777777" w:rsidR="00CB0FCB" w:rsidRDefault="009D2B11">
            <w:pPr>
              <w:pStyle w:val="P68B1DB1-Normal9"/>
              <w:spacing w:after="0" w:line="240" w:lineRule="auto"/>
              <w:rPr>
                <w:rFonts w:eastAsia="Times New Roman" w:cs="Calibri"/>
                <w:noProof/>
                <w:szCs w:val="18"/>
              </w:rPr>
            </w:pPr>
            <w:r>
              <w:rPr>
                <w:noProof/>
              </w:rPr>
              <w:t>2021</w:t>
            </w:r>
          </w:p>
        </w:tc>
        <w:tc>
          <w:tcPr>
            <w:tcW w:w="4308" w:type="dxa"/>
            <w:tcBorders>
              <w:top w:val="single" w:sz="4" w:space="0" w:color="auto"/>
              <w:left w:val="nil"/>
              <w:bottom w:val="single" w:sz="4" w:space="0" w:color="auto"/>
              <w:right w:val="single" w:sz="4" w:space="0" w:color="auto"/>
            </w:tcBorders>
            <w:shd w:val="clear" w:color="auto" w:fill="C6EFCE"/>
            <w:noWrap/>
          </w:tcPr>
          <w:p w14:paraId="219D2B91" w14:textId="77777777" w:rsidR="00CB0FCB" w:rsidRDefault="009D2B11">
            <w:pPr>
              <w:pStyle w:val="P68B1DB1-Normal9"/>
              <w:spacing w:after="0" w:line="240" w:lineRule="auto"/>
              <w:rPr>
                <w:rFonts w:eastAsia="Times New Roman" w:cs="Calibri"/>
                <w:noProof/>
                <w:szCs w:val="18"/>
              </w:rPr>
            </w:pPr>
            <w:r>
              <w:rPr>
                <w:noProof/>
              </w:rPr>
              <w:t xml:space="preserve">Stājas spēkā tiesību aktu grozījumi, lai reformētu tiesisko regulējumu stratēģisko investīciju piesaistīšanai (Likums Nr. 3894/2010 un Likums Nr. 4608/2019), tostarp izmantojot tiesību aktu kodifikāciju, lai izveidotu vienotu un saskaņotu satvaru, un tiesību aktu grozījumi nolūkā ieviest jaunu stratēģisko investīciju kategoriju “Emblemātiski ieguldījumi ar lielu nozīmi”. </w:t>
            </w:r>
          </w:p>
          <w:p w14:paraId="259D1CBD" w14:textId="77777777" w:rsidR="00CB0FCB" w:rsidRDefault="00CB0FCB">
            <w:pPr>
              <w:spacing w:after="0" w:line="240" w:lineRule="auto"/>
              <w:rPr>
                <w:rFonts w:eastAsia="Times New Roman" w:cs="Calibri"/>
                <w:noProof/>
                <w:color w:val="006100"/>
                <w:sz w:val="18"/>
                <w:szCs w:val="18"/>
              </w:rPr>
            </w:pPr>
          </w:p>
          <w:p w14:paraId="176447F1" w14:textId="77777777" w:rsidR="00CB0FCB" w:rsidRDefault="009D2B11">
            <w:pPr>
              <w:pStyle w:val="P68B1DB1-Normal9"/>
              <w:spacing w:after="0" w:line="240" w:lineRule="auto"/>
              <w:rPr>
                <w:rFonts w:eastAsia="Times New Roman" w:cs="Calibri"/>
                <w:noProof/>
                <w:szCs w:val="18"/>
              </w:rPr>
            </w:pPr>
            <w:r>
              <w:rPr>
                <w:noProof/>
              </w:rPr>
              <w:t>Stratēģisko investīciju satvara reformā iekļauj arī noteikumus, lai palīdzētu paātrināt administratīvo procedūru, kas saistīta ar stratēģisko investīciju apstiprināšanu un licencēšanu (t. i., lai uzlabotu paātrināto procedūru). Tiesību aktos ievieš jaunas stratēģisko investīciju kategorijas, pamatojoties uz kritērijiem, kas veicina inovāciju vai tehnoloģiju izplatīšanu, atjaunojamo energoresursu izmantošanu un pāreju uz mazoglekļa ekonomiku un/vai būtiski veicina Grieķijas ekonomikas konkurētspēju starptautiskā līmenī.</w:t>
            </w:r>
          </w:p>
          <w:p w14:paraId="7D28B4C0" w14:textId="77777777" w:rsidR="00CB0FCB" w:rsidRDefault="00CB0FCB">
            <w:pPr>
              <w:spacing w:after="0" w:line="240" w:lineRule="auto"/>
              <w:rPr>
                <w:rFonts w:eastAsia="Times New Roman" w:cs="Calibri"/>
                <w:noProof/>
                <w:color w:val="006100"/>
                <w:sz w:val="18"/>
                <w:szCs w:val="18"/>
                <w:highlight w:val="yellow"/>
              </w:rPr>
            </w:pPr>
          </w:p>
        </w:tc>
      </w:tr>
      <w:tr w:rsidR="00CB0FCB" w14:paraId="74F7DD34"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48E5B94A" w14:textId="77777777" w:rsidR="00CB0FCB" w:rsidRDefault="009D2B11">
            <w:pPr>
              <w:pStyle w:val="P68B1DB1-Normal9"/>
              <w:spacing w:after="0" w:line="240" w:lineRule="auto"/>
              <w:rPr>
                <w:rFonts w:eastAsia="Times New Roman" w:cs="Calibri"/>
                <w:noProof/>
                <w:szCs w:val="18"/>
              </w:rPr>
            </w:pPr>
            <w:r>
              <w:rPr>
                <w:noProof/>
              </w:rPr>
              <w:t>300</w:t>
            </w:r>
          </w:p>
        </w:tc>
        <w:tc>
          <w:tcPr>
            <w:tcW w:w="1517" w:type="dxa"/>
            <w:tcBorders>
              <w:top w:val="nil"/>
              <w:left w:val="nil"/>
              <w:bottom w:val="single" w:sz="4" w:space="0" w:color="auto"/>
              <w:right w:val="single" w:sz="4" w:space="0" w:color="auto"/>
            </w:tcBorders>
            <w:shd w:val="clear" w:color="auto" w:fill="C6EFCE"/>
            <w:noWrap/>
          </w:tcPr>
          <w:p w14:paraId="300222A7" w14:textId="4DE425A1"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-16721_Viedās ražošanas paātrināšana</w:t>
            </w:r>
          </w:p>
        </w:tc>
        <w:tc>
          <w:tcPr>
            <w:tcW w:w="1298" w:type="dxa"/>
            <w:tcBorders>
              <w:top w:val="nil"/>
              <w:left w:val="nil"/>
              <w:bottom w:val="single" w:sz="4" w:space="0" w:color="auto"/>
              <w:right w:val="single" w:sz="4" w:space="0" w:color="auto"/>
            </w:tcBorders>
            <w:shd w:val="clear" w:color="auto" w:fill="C6EFCE"/>
            <w:noWrap/>
          </w:tcPr>
          <w:p w14:paraId="5CF8212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nil"/>
              <w:left w:val="nil"/>
              <w:bottom w:val="single" w:sz="4" w:space="0" w:color="auto"/>
              <w:right w:val="single" w:sz="4" w:space="0" w:color="auto"/>
            </w:tcBorders>
            <w:shd w:val="clear" w:color="auto" w:fill="C6EFCE"/>
            <w:noWrap/>
          </w:tcPr>
          <w:p w14:paraId="361DCA9D" w14:textId="77777777" w:rsidR="00CB0FCB" w:rsidRDefault="009D2B11">
            <w:pPr>
              <w:pStyle w:val="P68B1DB1-Normal9"/>
              <w:spacing w:after="0" w:line="240" w:lineRule="auto"/>
              <w:rPr>
                <w:rFonts w:eastAsia="Times New Roman"/>
                <w:noProof/>
                <w:szCs w:val="18"/>
              </w:rPr>
            </w:pPr>
            <w:r>
              <w:rPr>
                <w:noProof/>
              </w:rPr>
              <w:t>Uzaicinājumu izsludināšana attiecībā uz ražošanu</w:t>
            </w:r>
          </w:p>
        </w:tc>
        <w:tc>
          <w:tcPr>
            <w:tcW w:w="1823" w:type="dxa"/>
            <w:tcBorders>
              <w:top w:val="nil"/>
              <w:left w:val="nil"/>
              <w:bottom w:val="single" w:sz="4" w:space="0" w:color="auto"/>
              <w:right w:val="single" w:sz="4" w:space="0" w:color="auto"/>
            </w:tcBorders>
            <w:shd w:val="clear" w:color="auto" w:fill="C6EFCE"/>
            <w:noWrap/>
          </w:tcPr>
          <w:p w14:paraId="2FF2A7E7" w14:textId="77777777" w:rsidR="00CB0FCB" w:rsidRDefault="009D2B11">
            <w:pPr>
              <w:pStyle w:val="P68B1DB1-Normal9"/>
              <w:spacing w:after="0" w:line="240" w:lineRule="auto"/>
              <w:rPr>
                <w:rFonts w:eastAsia="Times New Roman" w:cs="Calibri"/>
                <w:noProof/>
                <w:szCs w:val="18"/>
              </w:rPr>
            </w:pPr>
            <w:r>
              <w:rPr>
                <w:noProof/>
              </w:rPr>
              <w:t xml:space="preserve">Uzaicinājumu izsludināšana ražošanas uzņēmumiem </w:t>
            </w:r>
          </w:p>
        </w:tc>
        <w:tc>
          <w:tcPr>
            <w:tcW w:w="866" w:type="dxa"/>
            <w:tcBorders>
              <w:top w:val="nil"/>
              <w:left w:val="nil"/>
              <w:bottom w:val="single" w:sz="4" w:space="0" w:color="auto"/>
              <w:right w:val="single" w:sz="4" w:space="0" w:color="auto"/>
            </w:tcBorders>
            <w:shd w:val="clear" w:color="auto" w:fill="C6EFCE"/>
            <w:noWrap/>
          </w:tcPr>
          <w:p w14:paraId="0B200B9C"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76A061C" w14:textId="77777777" w:rsidR="00CB0FCB" w:rsidRDefault="00CB0FCB">
            <w:pPr>
              <w:spacing w:after="0" w:line="240" w:lineRule="auto"/>
              <w:rPr>
                <w:rFonts w:eastAsia="Times New Roman" w:cs="Calibri"/>
                <w:noProof/>
                <w:color w:val="006100"/>
                <w:sz w:val="18"/>
                <w:szCs w:val="18"/>
              </w:rPr>
            </w:pPr>
          </w:p>
        </w:tc>
        <w:tc>
          <w:tcPr>
            <w:tcW w:w="691" w:type="dxa"/>
            <w:tcBorders>
              <w:top w:val="nil"/>
              <w:left w:val="nil"/>
              <w:bottom w:val="single" w:sz="4" w:space="0" w:color="auto"/>
              <w:right w:val="single" w:sz="4" w:space="0" w:color="auto"/>
            </w:tcBorders>
            <w:shd w:val="clear" w:color="auto" w:fill="C6EFCE"/>
            <w:noWrap/>
          </w:tcPr>
          <w:p w14:paraId="697940FA"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6BBEAABB" w14:textId="77777777" w:rsidR="00CB0FCB" w:rsidRDefault="009D2B11">
            <w:pPr>
              <w:pStyle w:val="P68B1DB1-Normal9"/>
              <w:spacing w:after="0" w:line="240" w:lineRule="auto"/>
              <w:rPr>
                <w:rFonts w:eastAsia="Times New Roman" w:cs="Calibri"/>
                <w:noProof/>
                <w:szCs w:val="18"/>
              </w:rPr>
            </w:pPr>
            <w:r>
              <w:rPr>
                <w:noProof/>
              </w:rPr>
              <w:t>Q1</w:t>
            </w:r>
          </w:p>
        </w:tc>
        <w:tc>
          <w:tcPr>
            <w:tcW w:w="709" w:type="dxa"/>
            <w:tcBorders>
              <w:top w:val="nil"/>
              <w:left w:val="nil"/>
              <w:bottom w:val="single" w:sz="4" w:space="0" w:color="auto"/>
              <w:right w:val="single" w:sz="4" w:space="0" w:color="auto"/>
            </w:tcBorders>
            <w:shd w:val="clear" w:color="auto" w:fill="C6EFCE"/>
            <w:noWrap/>
          </w:tcPr>
          <w:p w14:paraId="0CA8C810" w14:textId="77777777" w:rsidR="00CB0FCB" w:rsidRDefault="009D2B11">
            <w:pPr>
              <w:pStyle w:val="P68B1DB1-Normal9"/>
              <w:spacing w:after="0" w:line="240" w:lineRule="auto"/>
              <w:rPr>
                <w:rFonts w:eastAsia="Times New Roman" w:cs="Calibri"/>
                <w:noProof/>
                <w:szCs w:val="18"/>
              </w:rPr>
            </w:pPr>
            <w:r>
              <w:rPr>
                <w:noProof/>
              </w:rPr>
              <w:t>2022</w:t>
            </w:r>
          </w:p>
        </w:tc>
        <w:tc>
          <w:tcPr>
            <w:tcW w:w="4308" w:type="dxa"/>
            <w:tcBorders>
              <w:top w:val="nil"/>
              <w:left w:val="nil"/>
              <w:bottom w:val="single" w:sz="4" w:space="0" w:color="auto"/>
              <w:right w:val="single" w:sz="4" w:space="0" w:color="auto"/>
            </w:tcBorders>
            <w:shd w:val="clear" w:color="auto" w:fill="C6EFCE"/>
            <w:noWrap/>
          </w:tcPr>
          <w:p w14:paraId="420FD8AB" w14:textId="77777777" w:rsidR="00CB0FCB" w:rsidRDefault="009D2B11">
            <w:pPr>
              <w:pStyle w:val="P68B1DB1-Normal9"/>
              <w:spacing w:after="0" w:line="240" w:lineRule="auto"/>
              <w:rPr>
                <w:rFonts w:eastAsia="Times New Roman" w:cs="Calibri"/>
                <w:noProof/>
                <w:szCs w:val="18"/>
              </w:rPr>
            </w:pPr>
            <w:r>
              <w:rPr>
                <w:noProof/>
              </w:rPr>
              <w:t>Izsludināt visus konkurētspējīgos uzaicinājumus iesniegt priekšlikumus ražošanas nozarei investīcijās, kas saistītas ar ražošanas līniju digitalizāciju, piegādes ķēžu automatizāciju un starpsavienojumiem, viedo produktu un pakalpojumu projektēšanu un ražošanu, viedo ražošanas tehnoloģiju ieviešanu īpaši ātrdarbīga 5G tīkla mehāniskajā, laboratorijas un ražošanas aprīkojumā, kvalitātes kontroles iekārtās, IKT un programmatūras iekārtās, programmatūras licencēs, mākoņdatošanas licencēs, jaunās IT infrastruktūras īstenošanas pakalpojumos un S/W, it drošības pakalpojumu, produktu izstrādes, intelektuālā īpašuma, patentu un sertifikācijas izmaksas ar darba uzdevumiem, tostarp atbilstības kritērijiem, kas nodrošina, ka atlasītie projekti atbilst tehniskajiem norādījumiem “nenodarīt būtisku kaitējumu” (2021/C58/01), izmantojot izslēgšanas sarakstu un prasību par atbilstību attiecīgajiem ES un valsts tiesību aktiem vides jomā.</w:t>
            </w:r>
          </w:p>
        </w:tc>
      </w:tr>
      <w:tr w:rsidR="00CB0FCB" w14:paraId="343FDF45"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63EDFFDC" w14:textId="77777777" w:rsidR="00CB0FCB" w:rsidRDefault="009D2B11">
            <w:pPr>
              <w:pStyle w:val="P68B1DB1-Normal9"/>
              <w:spacing w:after="0" w:line="240" w:lineRule="auto"/>
              <w:rPr>
                <w:rFonts w:eastAsia="Times New Roman" w:cs="Calibri"/>
                <w:noProof/>
                <w:szCs w:val="18"/>
              </w:rPr>
            </w:pPr>
            <w:r>
              <w:rPr>
                <w:noProof/>
              </w:rPr>
              <w:t>301</w:t>
            </w:r>
          </w:p>
        </w:tc>
        <w:tc>
          <w:tcPr>
            <w:tcW w:w="1517" w:type="dxa"/>
            <w:tcBorders>
              <w:top w:val="nil"/>
              <w:left w:val="nil"/>
              <w:bottom w:val="single" w:sz="4" w:space="0" w:color="auto"/>
              <w:right w:val="single" w:sz="4" w:space="0" w:color="auto"/>
            </w:tcBorders>
            <w:shd w:val="clear" w:color="auto" w:fill="C6EFCE"/>
            <w:noWrap/>
          </w:tcPr>
          <w:p w14:paraId="3C7D9162"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16634_Jaunie industriālie parki</w:t>
            </w:r>
          </w:p>
          <w:p w14:paraId="383F3D1C" w14:textId="77777777" w:rsidR="00CB0FCB" w:rsidRDefault="00CB0FCB">
            <w:pPr>
              <w:spacing w:after="0" w:line="240" w:lineRule="auto"/>
              <w:rPr>
                <w:rFonts w:eastAsia="Times New Roman" w:cs="Calibri"/>
                <w:noProof/>
                <w:color w:val="006100"/>
                <w:sz w:val="18"/>
                <w:szCs w:val="18"/>
              </w:rPr>
            </w:pPr>
          </w:p>
        </w:tc>
        <w:tc>
          <w:tcPr>
            <w:tcW w:w="1298" w:type="dxa"/>
            <w:tcBorders>
              <w:top w:val="nil"/>
              <w:left w:val="nil"/>
              <w:bottom w:val="single" w:sz="4" w:space="0" w:color="auto"/>
              <w:right w:val="single" w:sz="4" w:space="0" w:color="auto"/>
            </w:tcBorders>
            <w:shd w:val="clear" w:color="auto" w:fill="C6EFCE"/>
            <w:noWrap/>
          </w:tcPr>
          <w:p w14:paraId="6D18333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nil"/>
              <w:left w:val="nil"/>
              <w:bottom w:val="single" w:sz="4" w:space="0" w:color="auto"/>
              <w:right w:val="single" w:sz="4" w:space="0" w:color="auto"/>
            </w:tcBorders>
            <w:shd w:val="clear" w:color="auto" w:fill="C6EFCE"/>
            <w:noWrap/>
          </w:tcPr>
          <w:p w14:paraId="547188DD" w14:textId="77777777" w:rsidR="00CB0FCB" w:rsidRDefault="009D2B11">
            <w:pPr>
              <w:pStyle w:val="P68B1DB1-Normal9"/>
              <w:spacing w:after="0" w:line="240" w:lineRule="auto"/>
              <w:rPr>
                <w:rFonts w:eastAsia="Times New Roman" w:cs="Calibri"/>
                <w:noProof/>
                <w:szCs w:val="18"/>
              </w:rPr>
            </w:pPr>
            <w:r>
              <w:rPr>
                <w:noProof/>
              </w:rPr>
              <w:t>Izsludināt uzaicinājumus izveidot industriālos parkus</w:t>
            </w:r>
          </w:p>
        </w:tc>
        <w:tc>
          <w:tcPr>
            <w:tcW w:w="1823" w:type="dxa"/>
            <w:tcBorders>
              <w:top w:val="nil"/>
              <w:left w:val="nil"/>
              <w:bottom w:val="single" w:sz="4" w:space="0" w:color="auto"/>
              <w:right w:val="single" w:sz="4" w:space="0" w:color="auto"/>
            </w:tcBorders>
            <w:shd w:val="clear" w:color="auto" w:fill="C6EFCE"/>
            <w:noWrap/>
          </w:tcPr>
          <w:p w14:paraId="229C7601" w14:textId="77777777" w:rsidR="00CB0FCB" w:rsidRDefault="009D2B11">
            <w:pPr>
              <w:pStyle w:val="P68B1DB1-Normal9"/>
              <w:spacing w:after="0" w:line="240" w:lineRule="auto"/>
              <w:rPr>
                <w:rFonts w:eastAsia="Times New Roman" w:cs="Calibri"/>
                <w:noProof/>
                <w:szCs w:val="18"/>
              </w:rPr>
            </w:pPr>
            <w:r>
              <w:rPr>
                <w:noProof/>
              </w:rPr>
              <w:t xml:space="preserve">Izsludināti uzaicinājumi iesniegt priekšlikumus industriālajiem parkiem </w:t>
            </w:r>
          </w:p>
        </w:tc>
        <w:tc>
          <w:tcPr>
            <w:tcW w:w="866" w:type="dxa"/>
            <w:tcBorders>
              <w:top w:val="nil"/>
              <w:left w:val="nil"/>
              <w:bottom w:val="single" w:sz="4" w:space="0" w:color="auto"/>
              <w:right w:val="single" w:sz="4" w:space="0" w:color="auto"/>
            </w:tcBorders>
            <w:shd w:val="clear" w:color="auto" w:fill="C6EFCE"/>
            <w:noWrap/>
          </w:tcPr>
          <w:p w14:paraId="6767D788"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5C46E13" w14:textId="77777777" w:rsidR="00CB0FCB" w:rsidRDefault="00CB0FCB">
            <w:pPr>
              <w:spacing w:after="0" w:line="240" w:lineRule="auto"/>
              <w:rPr>
                <w:rFonts w:eastAsia="Times New Roman" w:cs="Calibri"/>
                <w:noProof/>
                <w:color w:val="006100"/>
                <w:sz w:val="18"/>
                <w:szCs w:val="18"/>
              </w:rPr>
            </w:pPr>
          </w:p>
        </w:tc>
        <w:tc>
          <w:tcPr>
            <w:tcW w:w="691" w:type="dxa"/>
            <w:tcBorders>
              <w:top w:val="nil"/>
              <w:left w:val="nil"/>
              <w:bottom w:val="single" w:sz="4" w:space="0" w:color="auto"/>
              <w:right w:val="single" w:sz="4" w:space="0" w:color="auto"/>
            </w:tcBorders>
            <w:shd w:val="clear" w:color="auto" w:fill="C6EFCE"/>
            <w:noWrap/>
          </w:tcPr>
          <w:p w14:paraId="2BBF976F"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70215091" w14:textId="77777777" w:rsidR="00CB0FCB" w:rsidRDefault="009D2B11">
            <w:pPr>
              <w:pStyle w:val="P68B1DB1-Normal9"/>
              <w:spacing w:after="0" w:line="240" w:lineRule="auto"/>
              <w:rPr>
                <w:rFonts w:eastAsia="Times New Roman" w:cs="Calibri"/>
                <w:noProof/>
                <w:szCs w:val="18"/>
              </w:rPr>
            </w:pPr>
            <w:r>
              <w:rPr>
                <w:noProof/>
              </w:rPr>
              <w:t>Q1</w:t>
            </w:r>
          </w:p>
        </w:tc>
        <w:tc>
          <w:tcPr>
            <w:tcW w:w="709" w:type="dxa"/>
            <w:tcBorders>
              <w:top w:val="nil"/>
              <w:left w:val="nil"/>
              <w:bottom w:val="single" w:sz="4" w:space="0" w:color="auto"/>
              <w:right w:val="single" w:sz="4" w:space="0" w:color="auto"/>
            </w:tcBorders>
            <w:shd w:val="clear" w:color="auto" w:fill="C6EFCE"/>
            <w:noWrap/>
          </w:tcPr>
          <w:p w14:paraId="491CC34F" w14:textId="77777777" w:rsidR="00CB0FCB" w:rsidRDefault="009D2B11">
            <w:pPr>
              <w:pStyle w:val="P68B1DB1-Normal9"/>
              <w:spacing w:after="0" w:line="240" w:lineRule="auto"/>
              <w:rPr>
                <w:rFonts w:eastAsia="Times New Roman" w:cs="Calibri"/>
                <w:noProof/>
                <w:szCs w:val="18"/>
              </w:rPr>
            </w:pPr>
            <w:r>
              <w:rPr>
                <w:noProof/>
              </w:rPr>
              <w:t>2022</w:t>
            </w:r>
          </w:p>
        </w:tc>
        <w:tc>
          <w:tcPr>
            <w:tcW w:w="4308" w:type="dxa"/>
            <w:tcBorders>
              <w:top w:val="nil"/>
              <w:left w:val="nil"/>
              <w:bottom w:val="single" w:sz="4" w:space="0" w:color="auto"/>
              <w:right w:val="single" w:sz="4" w:space="0" w:color="auto"/>
            </w:tcBorders>
            <w:shd w:val="clear" w:color="auto" w:fill="C6EFCE"/>
            <w:noWrap/>
          </w:tcPr>
          <w:p w14:paraId="6F7D989F" w14:textId="77777777" w:rsidR="00CB0FCB" w:rsidRDefault="009D2B11">
            <w:pPr>
              <w:pStyle w:val="P68B1DB1-Normal9"/>
              <w:spacing w:after="0" w:line="240" w:lineRule="auto"/>
              <w:rPr>
                <w:rFonts w:eastAsia="Times New Roman"/>
                <w:noProof/>
                <w:szCs w:val="18"/>
              </w:rPr>
            </w:pPr>
            <w:r>
              <w:rPr>
                <w:noProof/>
              </w:rPr>
              <w:t>Izsludināt visus uzaicinājumus iesniegt priekšlikumus par industriālo parku attīstību, lai veiktu ieguldījumus a) infrastruktūrā jaunās paaudzes parku izveidei (tostarp zemes iegādē) ar īpašiem energoefektivitātes kritērijiem jaunu ēku būvniecībai un energoefektivitātes un demonstrējumu projektiem lielos uzņēmumos un atbalsta pasākumos, b) infrastruktūrā, lai digitāli pārveidotu un izveidotu viedas rūpniecības teritorijas, c) saules atjaunojamā enerģijā, d) ūdens apsaimniekošanā un ūdens resursu saglabāšanā (ieguldījumiem jābūt vidējam infrastruktūras noplūžu indeksam (ILI) &amp; = 1,5), e) notekūdeņu savākšanas un attīrīšanas sistēmas, kas atbilst energoefektivitātes kritērijiem, f) elektromobilitāte (elektrisko vai ūdeņraža transportlīdzekļu uzpildes tīklu izstrāde vai biometāna uzpildes punktu izstrāde transportam), g) rūpniecisko objektu un piesārņoto zemju atjaunošanas projekti. Darba uzdevums, tostarp atbilstības kritēriji, nodrošina, ka atlasītie projekti atbilst tehniskajiem norādījumiem “nenodarīt būtisku kaitējumu” (2021/C58/01), izmantojot izslēgšanas sarakstu un prasību par atbilstību attiecīgajiem ES un valsts tiesību aktiem vides jomā.</w:t>
            </w:r>
          </w:p>
          <w:p w14:paraId="4054ED52" w14:textId="77777777" w:rsidR="00CB0FCB" w:rsidRDefault="00CB0FCB">
            <w:pPr>
              <w:spacing w:after="0" w:line="240" w:lineRule="auto"/>
              <w:rPr>
                <w:rFonts w:eastAsia="Times New Roman" w:cs="Calibri"/>
                <w:noProof/>
                <w:color w:val="006100"/>
                <w:sz w:val="18"/>
                <w:szCs w:val="18"/>
              </w:rPr>
            </w:pPr>
          </w:p>
          <w:p w14:paraId="15212973" w14:textId="77777777" w:rsidR="00CB0FCB" w:rsidRDefault="009D2B11">
            <w:pPr>
              <w:pStyle w:val="P68B1DB1-Normal9"/>
              <w:spacing w:after="0" w:line="240" w:lineRule="auto"/>
              <w:rPr>
                <w:rFonts w:eastAsia="Times New Roman" w:cs="Calibri"/>
                <w:noProof/>
                <w:szCs w:val="18"/>
              </w:rPr>
            </w:pPr>
            <w:r>
              <w:rPr>
                <w:noProof/>
              </w:rPr>
              <w:t>Jaunu ēku būvniecība atbilst primārās enerģijas pieprasījumam (PED), kas ir vismaz par 20 % zemāks nekā GNEĒ prasība (gandrīz nulles enerģijas ēka, valstu direktīvas). Priekšgala-gala notekūdeņu sistēmu būvniecības gadījumā pasākumam ir neto nulles enerģijas patēriņš, un, atjaunojot priekšpuses-gala notekūdeņu sistēmas, pasākuma rezultātā vidējais enerģijas patēriņš samazinās vismaz par 10 % (tikai ar energoefektivitātes pasākumiem, nevis ar būtiskām izmaiņām vai slodzes izmaiņām). Investīcijas elektromobilitātē atbilst Direktīvai (ES) 2018/2001 un attiecas uz alternatīvu degvielu transportam.</w:t>
            </w:r>
          </w:p>
        </w:tc>
      </w:tr>
      <w:tr w:rsidR="00CB0FCB" w14:paraId="10077B77"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11652047" w14:textId="77777777" w:rsidR="00CB0FCB" w:rsidRDefault="009D2B11">
            <w:pPr>
              <w:pStyle w:val="P68B1DB1-Normal9"/>
              <w:spacing w:after="0" w:line="240" w:lineRule="auto"/>
              <w:rPr>
                <w:rFonts w:eastAsia="Times New Roman" w:cs="Calibri"/>
                <w:noProof/>
                <w:szCs w:val="18"/>
              </w:rPr>
            </w:pPr>
            <w:r>
              <w:rPr>
                <w:noProof/>
              </w:rPr>
              <w:t>302</w:t>
            </w:r>
          </w:p>
        </w:tc>
        <w:tc>
          <w:tcPr>
            <w:tcW w:w="1517" w:type="dxa"/>
            <w:tcBorders>
              <w:top w:val="nil"/>
              <w:left w:val="nil"/>
              <w:bottom w:val="single" w:sz="4" w:space="0" w:color="auto"/>
              <w:right w:val="single" w:sz="4" w:space="0" w:color="auto"/>
            </w:tcBorders>
            <w:shd w:val="clear" w:color="auto" w:fill="C6EFCE"/>
            <w:noWrap/>
          </w:tcPr>
          <w:p w14:paraId="6F93FED5"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16634_Jaunie industriālie parki</w:t>
            </w:r>
          </w:p>
        </w:tc>
        <w:tc>
          <w:tcPr>
            <w:tcW w:w="1298" w:type="dxa"/>
            <w:tcBorders>
              <w:top w:val="nil"/>
              <w:left w:val="nil"/>
              <w:bottom w:val="single" w:sz="4" w:space="0" w:color="auto"/>
              <w:right w:val="single" w:sz="4" w:space="0" w:color="auto"/>
            </w:tcBorders>
            <w:shd w:val="clear" w:color="auto" w:fill="C6EFCE"/>
            <w:noWrap/>
          </w:tcPr>
          <w:p w14:paraId="1BA436A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nil"/>
              <w:left w:val="nil"/>
              <w:bottom w:val="single" w:sz="4" w:space="0" w:color="auto"/>
              <w:right w:val="single" w:sz="4" w:space="0" w:color="auto"/>
            </w:tcBorders>
            <w:shd w:val="clear" w:color="auto" w:fill="C6EFCE"/>
            <w:noWrap/>
          </w:tcPr>
          <w:p w14:paraId="05D26A16" w14:textId="77777777" w:rsidR="00CB0FCB" w:rsidRDefault="009D2B11">
            <w:pPr>
              <w:pStyle w:val="P68B1DB1-Normal9"/>
              <w:spacing w:after="0" w:line="240" w:lineRule="auto"/>
              <w:rPr>
                <w:rFonts w:eastAsia="Times New Roman" w:cs="Calibri"/>
                <w:noProof/>
                <w:szCs w:val="18"/>
              </w:rPr>
            </w:pPr>
            <w:r>
              <w:rPr>
                <w:noProof/>
              </w:rPr>
              <w:t>Industriālie parki — likumdošanas reforma (primārais likums)</w:t>
            </w:r>
          </w:p>
        </w:tc>
        <w:tc>
          <w:tcPr>
            <w:tcW w:w="1823" w:type="dxa"/>
            <w:tcBorders>
              <w:top w:val="nil"/>
              <w:left w:val="nil"/>
              <w:bottom w:val="single" w:sz="4" w:space="0" w:color="auto"/>
              <w:right w:val="single" w:sz="4" w:space="0" w:color="auto"/>
            </w:tcBorders>
            <w:shd w:val="clear" w:color="auto" w:fill="C6EFCE"/>
            <w:noWrap/>
          </w:tcPr>
          <w:p w14:paraId="743C7C4C" w14:textId="77777777" w:rsidR="00CB0FCB" w:rsidRDefault="009D2B11">
            <w:pPr>
              <w:pStyle w:val="P68B1DB1-Normal9"/>
              <w:spacing w:after="0" w:line="240" w:lineRule="auto"/>
              <w:rPr>
                <w:rFonts w:eastAsia="Times New Roman" w:cs="Calibri"/>
                <w:noProof/>
                <w:szCs w:val="18"/>
              </w:rPr>
            </w:pPr>
            <w:r>
              <w:rPr>
                <w:noProof/>
              </w:rPr>
              <w:t>Tiesību aktu publicēšana Oficiālajā Vēstnesī</w:t>
            </w:r>
          </w:p>
        </w:tc>
        <w:tc>
          <w:tcPr>
            <w:tcW w:w="866" w:type="dxa"/>
            <w:tcBorders>
              <w:top w:val="nil"/>
              <w:left w:val="nil"/>
              <w:bottom w:val="single" w:sz="4" w:space="0" w:color="auto"/>
              <w:right w:val="single" w:sz="4" w:space="0" w:color="auto"/>
            </w:tcBorders>
            <w:shd w:val="clear" w:color="auto" w:fill="C6EFCE"/>
            <w:noWrap/>
          </w:tcPr>
          <w:p w14:paraId="4F795330"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C7941B5" w14:textId="77777777" w:rsidR="00CB0FCB" w:rsidRDefault="00CB0FCB">
            <w:pPr>
              <w:spacing w:after="0" w:line="240" w:lineRule="auto"/>
              <w:rPr>
                <w:rFonts w:eastAsia="Times New Roman" w:cs="Calibri"/>
                <w:noProof/>
                <w:color w:val="006100"/>
                <w:sz w:val="18"/>
                <w:szCs w:val="18"/>
              </w:rPr>
            </w:pPr>
          </w:p>
        </w:tc>
        <w:tc>
          <w:tcPr>
            <w:tcW w:w="691" w:type="dxa"/>
            <w:tcBorders>
              <w:top w:val="nil"/>
              <w:left w:val="nil"/>
              <w:bottom w:val="single" w:sz="4" w:space="0" w:color="auto"/>
              <w:right w:val="single" w:sz="4" w:space="0" w:color="auto"/>
            </w:tcBorders>
            <w:shd w:val="clear" w:color="auto" w:fill="C6EFCE"/>
            <w:noWrap/>
          </w:tcPr>
          <w:p w14:paraId="52DAC4D3" w14:textId="77777777" w:rsidR="00CB0FCB" w:rsidRDefault="00CB0FCB">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DBDA719" w14:textId="77777777" w:rsidR="00CB0FCB" w:rsidRDefault="009D2B11">
            <w:pPr>
              <w:pStyle w:val="P68B1DB1-Normal9"/>
              <w:spacing w:after="0" w:line="240" w:lineRule="auto"/>
              <w:rPr>
                <w:rFonts w:eastAsia="Times New Roman" w:cs="Calibri"/>
                <w:noProof/>
                <w:szCs w:val="18"/>
              </w:rPr>
            </w:pPr>
            <w:r>
              <w:rPr>
                <w:noProof/>
              </w:rPr>
              <w:t>CET.</w:t>
            </w:r>
          </w:p>
        </w:tc>
        <w:tc>
          <w:tcPr>
            <w:tcW w:w="709" w:type="dxa"/>
            <w:tcBorders>
              <w:top w:val="nil"/>
              <w:left w:val="nil"/>
              <w:bottom w:val="single" w:sz="4" w:space="0" w:color="auto"/>
              <w:right w:val="single" w:sz="4" w:space="0" w:color="auto"/>
            </w:tcBorders>
            <w:shd w:val="clear" w:color="auto" w:fill="C6EFCE"/>
            <w:noWrap/>
          </w:tcPr>
          <w:p w14:paraId="5FC038C1" w14:textId="77777777" w:rsidR="00CB0FCB" w:rsidRDefault="009D2B11">
            <w:pPr>
              <w:pStyle w:val="P68B1DB1-Normal9"/>
              <w:spacing w:after="0" w:line="240" w:lineRule="auto"/>
              <w:rPr>
                <w:rFonts w:eastAsia="Times New Roman" w:cs="Calibri"/>
                <w:noProof/>
                <w:szCs w:val="18"/>
              </w:rPr>
            </w:pPr>
            <w:r>
              <w:rPr>
                <w:noProof/>
              </w:rPr>
              <w:t>2022</w:t>
            </w:r>
          </w:p>
        </w:tc>
        <w:tc>
          <w:tcPr>
            <w:tcW w:w="4308" w:type="dxa"/>
            <w:tcBorders>
              <w:top w:val="nil"/>
              <w:left w:val="nil"/>
              <w:bottom w:val="single" w:sz="4" w:space="0" w:color="auto"/>
              <w:right w:val="single" w:sz="4" w:space="0" w:color="auto"/>
            </w:tcBorders>
            <w:shd w:val="clear" w:color="auto" w:fill="C6EFCE"/>
            <w:noWrap/>
          </w:tcPr>
          <w:p w14:paraId="6C4E39AC" w14:textId="77777777" w:rsidR="00CB0FCB" w:rsidRDefault="009D2B11">
            <w:pPr>
              <w:pStyle w:val="P68B1DB1-Normal9"/>
              <w:spacing w:after="0" w:line="240" w:lineRule="auto"/>
              <w:rPr>
                <w:rFonts w:eastAsia="Times New Roman" w:cs="Calibri"/>
                <w:noProof/>
                <w:szCs w:val="18"/>
              </w:rPr>
            </w:pPr>
            <w:r>
              <w:rPr>
                <w:noProof/>
              </w:rPr>
              <w:t>Primāro tiesību aktu ieviešana, lai uzlabotu rūpniecisko uzņēmējdarbības parku tiesisko regulējumu, tostarp juridiskās nenoteiktības novēršanu, pārvaldības jautājumu risināšanu un efektīvu stimulu nodrošināšanu neformālas rūpnieciskās koncentrācijas risināšanai</w:t>
            </w:r>
          </w:p>
        </w:tc>
      </w:tr>
      <w:tr w:rsidR="00CB0FCB" w14:paraId="15E64A6E"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14:paraId="0A184100" w14:textId="77777777" w:rsidR="00CB0FCB" w:rsidRDefault="009D2B11">
            <w:pPr>
              <w:pStyle w:val="P68B1DB1-Normal9"/>
              <w:spacing w:after="0" w:line="240" w:lineRule="auto"/>
              <w:rPr>
                <w:rFonts w:eastAsia="Times New Roman" w:cs="Calibri"/>
                <w:noProof/>
                <w:szCs w:val="18"/>
              </w:rPr>
            </w:pPr>
            <w:r>
              <w:rPr>
                <w:noProof/>
              </w:rPr>
              <w:t>303</w:t>
            </w:r>
          </w:p>
        </w:tc>
        <w:tc>
          <w:tcPr>
            <w:tcW w:w="1517" w:type="dxa"/>
            <w:tcBorders>
              <w:top w:val="nil"/>
              <w:left w:val="nil"/>
              <w:bottom w:val="single" w:sz="4" w:space="0" w:color="auto"/>
              <w:right w:val="single" w:sz="4" w:space="0" w:color="auto"/>
            </w:tcBorders>
            <w:shd w:val="clear" w:color="auto" w:fill="C6EFCE"/>
            <w:noWrap/>
            <w:hideMark/>
          </w:tcPr>
          <w:p w14:paraId="5F825C63"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16593_Grozījums tiesiskajā regulējumā stratēģisko investīciju piesaistīšanai</w:t>
            </w:r>
          </w:p>
        </w:tc>
        <w:tc>
          <w:tcPr>
            <w:tcW w:w="1298" w:type="dxa"/>
            <w:tcBorders>
              <w:top w:val="nil"/>
              <w:left w:val="nil"/>
              <w:bottom w:val="single" w:sz="4" w:space="0" w:color="auto"/>
              <w:right w:val="single" w:sz="4" w:space="0" w:color="auto"/>
            </w:tcBorders>
            <w:shd w:val="clear" w:color="auto" w:fill="C6EFCE"/>
            <w:noWrap/>
            <w:hideMark/>
          </w:tcPr>
          <w:p w14:paraId="271F356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nil"/>
              <w:left w:val="nil"/>
              <w:bottom w:val="single" w:sz="4" w:space="0" w:color="auto"/>
              <w:right w:val="single" w:sz="4" w:space="0" w:color="auto"/>
            </w:tcBorders>
            <w:shd w:val="clear" w:color="auto" w:fill="C6EFCE"/>
            <w:noWrap/>
            <w:hideMark/>
          </w:tcPr>
          <w:p w14:paraId="73519347" w14:textId="77777777" w:rsidR="00CB0FCB" w:rsidRDefault="009D2B11">
            <w:pPr>
              <w:pStyle w:val="P68B1DB1-Normal9"/>
              <w:spacing w:after="0" w:line="240" w:lineRule="auto"/>
              <w:rPr>
                <w:rFonts w:eastAsia="Times New Roman" w:cs="Calibri"/>
                <w:noProof/>
                <w:szCs w:val="18"/>
              </w:rPr>
            </w:pPr>
            <w:r>
              <w:rPr>
                <w:noProof/>
              </w:rPr>
              <w:t>Stratēģiskās investīcijas — atbalsttiesīgo projektu atlase</w:t>
            </w:r>
          </w:p>
        </w:tc>
        <w:tc>
          <w:tcPr>
            <w:tcW w:w="1823" w:type="dxa"/>
            <w:tcBorders>
              <w:top w:val="nil"/>
              <w:left w:val="nil"/>
              <w:bottom w:val="single" w:sz="4" w:space="0" w:color="auto"/>
              <w:right w:val="single" w:sz="4" w:space="0" w:color="auto"/>
            </w:tcBorders>
            <w:shd w:val="clear" w:color="auto" w:fill="C6EFCE"/>
            <w:noWrap/>
            <w:hideMark/>
          </w:tcPr>
          <w:p w14:paraId="1B8BEE3A" w14:textId="77777777" w:rsidR="00CB0FCB" w:rsidRDefault="009D2B11">
            <w:pPr>
              <w:pStyle w:val="P68B1DB1-Normal9"/>
              <w:spacing w:after="0" w:line="240" w:lineRule="auto"/>
              <w:rPr>
                <w:rFonts w:eastAsia="Times New Roman" w:cs="Calibri"/>
                <w:noProof/>
                <w:szCs w:val="18"/>
              </w:rPr>
            </w:pPr>
            <w:r>
              <w:rPr>
                <w:noProof/>
              </w:rPr>
              <w:t xml:space="preserve"> To “Lieli nozīmīgu ieguldījumu” atlase, kuri ir tiesīgi saņemt finansējumu </w:t>
            </w:r>
          </w:p>
        </w:tc>
        <w:tc>
          <w:tcPr>
            <w:tcW w:w="866" w:type="dxa"/>
            <w:tcBorders>
              <w:top w:val="nil"/>
              <w:left w:val="nil"/>
              <w:bottom w:val="single" w:sz="4" w:space="0" w:color="auto"/>
              <w:right w:val="single" w:sz="4" w:space="0" w:color="auto"/>
            </w:tcBorders>
            <w:shd w:val="clear" w:color="auto" w:fill="C6EFCE"/>
            <w:noWrap/>
            <w:hideMark/>
          </w:tcPr>
          <w:p w14:paraId="623EDC0B"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208C7BF2"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691" w:type="dxa"/>
            <w:tcBorders>
              <w:top w:val="nil"/>
              <w:left w:val="nil"/>
              <w:bottom w:val="single" w:sz="4" w:space="0" w:color="auto"/>
              <w:right w:val="single" w:sz="4" w:space="0" w:color="auto"/>
            </w:tcBorders>
            <w:shd w:val="clear" w:color="auto" w:fill="C6EFCE"/>
            <w:noWrap/>
            <w:hideMark/>
          </w:tcPr>
          <w:p w14:paraId="487BC69C"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51" w:type="dxa"/>
            <w:tcBorders>
              <w:top w:val="nil"/>
              <w:left w:val="nil"/>
              <w:bottom w:val="single" w:sz="4" w:space="0" w:color="auto"/>
              <w:right w:val="single" w:sz="4" w:space="0" w:color="auto"/>
            </w:tcBorders>
            <w:shd w:val="clear" w:color="auto" w:fill="C6EFCE"/>
            <w:noWrap/>
            <w:hideMark/>
          </w:tcPr>
          <w:p w14:paraId="4F7F2464"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nil"/>
              <w:left w:val="nil"/>
              <w:bottom w:val="single" w:sz="4" w:space="0" w:color="auto"/>
              <w:right w:val="single" w:sz="4" w:space="0" w:color="auto"/>
            </w:tcBorders>
            <w:shd w:val="clear" w:color="auto" w:fill="C6EFCE"/>
            <w:noWrap/>
            <w:hideMark/>
          </w:tcPr>
          <w:p w14:paraId="5BA3E260" w14:textId="77777777" w:rsidR="00CB0FCB" w:rsidRDefault="009D2B11">
            <w:pPr>
              <w:pStyle w:val="P68B1DB1-Normal9"/>
              <w:spacing w:after="0" w:line="240" w:lineRule="auto"/>
              <w:rPr>
                <w:rFonts w:eastAsia="Times New Roman" w:cs="Calibri"/>
                <w:noProof/>
                <w:szCs w:val="18"/>
              </w:rPr>
            </w:pPr>
            <w:r>
              <w:rPr>
                <w:noProof/>
              </w:rPr>
              <w:t>2023</w:t>
            </w:r>
          </w:p>
        </w:tc>
        <w:tc>
          <w:tcPr>
            <w:tcW w:w="4308" w:type="dxa"/>
            <w:tcBorders>
              <w:top w:val="nil"/>
              <w:left w:val="nil"/>
              <w:bottom w:val="single" w:sz="4" w:space="0" w:color="auto"/>
              <w:right w:val="single" w:sz="4" w:space="0" w:color="auto"/>
            </w:tcBorders>
            <w:shd w:val="clear" w:color="auto" w:fill="C6EFCE"/>
            <w:noWrap/>
            <w:hideMark/>
          </w:tcPr>
          <w:p w14:paraId="393052BE" w14:textId="40F9B482" w:rsidR="00CB0FCB" w:rsidRDefault="009D2B11">
            <w:pPr>
              <w:pStyle w:val="P68B1DB1-Normal10"/>
              <w:spacing w:after="0" w:line="240" w:lineRule="auto"/>
              <w:rPr>
                <w:rFonts w:eastAsia="Times New Roman" w:cs="Calibri"/>
                <w:noProof/>
              </w:rPr>
            </w:pPr>
            <w:r>
              <w:rPr>
                <w:noProof/>
              </w:rPr>
              <w:t xml:space="preserve">“Lielu būtisku ieguldījumu” atlase ar Starpministriju stratēģisko investīciju komitejas apstiprinājuma lēmumu (apstiprināts ar lēmuma publicēšanu). Attiecībā uz investīcijām enerģētikā attiecināmās investīcijas ietver investīcijas a) infrastruktūrā ar īpašiem enerģijas kritērijiem jaunu ēku būvniecībai, b) hibrīdenerģijas ražošanas projektos no AER nesavienotās salās, c) investīcijas zaļā ūdeņraža ražošanā, d) elektroenerģijas uzkrāšanas sistēmās, ko ražo no AER, vai e) atkrastes vējparku un atkrastes fotoelementu parku iekārtās, kas atbilst Tehniskajiem norādījumiem “nenodarīt būtisku kaitējumu” (2021/C58/01), izmantojot izslēgšanas sarakstu un prasību par atbilstību attiecīgajiem ES un valsts tiesību aktiem vides jomā. </w:t>
            </w:r>
          </w:p>
          <w:p w14:paraId="0DE32303" w14:textId="77777777" w:rsidR="00CB0FCB" w:rsidRDefault="00CB0FCB">
            <w:pPr>
              <w:spacing w:after="0" w:line="240" w:lineRule="auto"/>
              <w:rPr>
                <w:rFonts w:eastAsia="Times New Roman" w:cs="Calibri"/>
                <w:noProof/>
                <w:color w:val="006100"/>
                <w:sz w:val="18"/>
                <w:szCs w:val="18"/>
              </w:rPr>
            </w:pPr>
          </w:p>
          <w:p w14:paraId="5DC2D15A" w14:textId="77777777" w:rsidR="00CB0FCB" w:rsidRDefault="009D2B11">
            <w:pPr>
              <w:pStyle w:val="P68B1DB1-Normal9"/>
              <w:spacing w:after="0" w:line="240" w:lineRule="auto"/>
              <w:rPr>
                <w:rFonts w:eastAsia="Times New Roman" w:cs="Calibri"/>
                <w:noProof/>
                <w:szCs w:val="18"/>
              </w:rPr>
            </w:pPr>
            <w:r>
              <w:rPr>
                <w:noProof/>
              </w:rPr>
              <w:t>Jaunu ēku būvniecība atbilst primārās enerģijas pieprasījumam (PED), kas ir vismaz par 20 % zemāks nekā GNEĒ prasība (gandrīz nulles enerģijas ēka, valstu direktīvas).</w:t>
            </w:r>
          </w:p>
        </w:tc>
      </w:tr>
      <w:tr w:rsidR="00CB0FCB" w14:paraId="742B9B2D"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14:paraId="3EC2248B" w14:textId="77777777" w:rsidR="00CB0FCB" w:rsidRDefault="009D2B11">
            <w:pPr>
              <w:pStyle w:val="P68B1DB1-Normal9"/>
              <w:spacing w:after="0" w:line="240" w:lineRule="auto"/>
              <w:rPr>
                <w:rFonts w:eastAsia="Times New Roman" w:cs="Calibri"/>
                <w:noProof/>
                <w:szCs w:val="18"/>
              </w:rPr>
            </w:pPr>
            <w:r>
              <w:rPr>
                <w:noProof/>
              </w:rPr>
              <w:t>304</w:t>
            </w:r>
          </w:p>
        </w:tc>
        <w:tc>
          <w:tcPr>
            <w:tcW w:w="1517" w:type="dxa"/>
            <w:tcBorders>
              <w:top w:val="nil"/>
              <w:left w:val="nil"/>
              <w:bottom w:val="single" w:sz="4" w:space="0" w:color="auto"/>
              <w:right w:val="single" w:sz="4" w:space="0" w:color="auto"/>
            </w:tcBorders>
            <w:shd w:val="clear" w:color="auto" w:fill="C6EFCE"/>
            <w:noWrap/>
            <w:hideMark/>
          </w:tcPr>
          <w:p w14:paraId="3900C662"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16634_Jaunie industriālie parki</w:t>
            </w:r>
          </w:p>
        </w:tc>
        <w:tc>
          <w:tcPr>
            <w:tcW w:w="1298" w:type="dxa"/>
            <w:tcBorders>
              <w:top w:val="nil"/>
              <w:left w:val="nil"/>
              <w:bottom w:val="single" w:sz="4" w:space="0" w:color="auto"/>
              <w:right w:val="single" w:sz="4" w:space="0" w:color="auto"/>
            </w:tcBorders>
            <w:shd w:val="clear" w:color="auto" w:fill="C6EFCE"/>
            <w:noWrap/>
            <w:hideMark/>
          </w:tcPr>
          <w:p w14:paraId="6DC767E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nil"/>
              <w:left w:val="nil"/>
              <w:bottom w:val="single" w:sz="4" w:space="0" w:color="auto"/>
              <w:right w:val="single" w:sz="4" w:space="0" w:color="auto"/>
            </w:tcBorders>
            <w:shd w:val="clear" w:color="auto" w:fill="C6EFCE"/>
            <w:noWrap/>
            <w:hideMark/>
          </w:tcPr>
          <w:p w14:paraId="15EAF67F" w14:textId="77777777" w:rsidR="00CB0FCB" w:rsidRDefault="009D2B11">
            <w:pPr>
              <w:pStyle w:val="P68B1DB1-Normal9"/>
              <w:spacing w:after="0" w:line="240" w:lineRule="auto"/>
              <w:rPr>
                <w:rFonts w:eastAsia="Times New Roman" w:cs="Calibri"/>
                <w:noProof/>
                <w:szCs w:val="18"/>
              </w:rPr>
            </w:pPr>
            <w:r>
              <w:rPr>
                <w:noProof/>
              </w:rPr>
              <w:t>Industriālie parki — likumdošanas reforma (sekundārie tiesību akti)</w:t>
            </w:r>
          </w:p>
        </w:tc>
        <w:tc>
          <w:tcPr>
            <w:tcW w:w="1823" w:type="dxa"/>
            <w:tcBorders>
              <w:top w:val="nil"/>
              <w:left w:val="nil"/>
              <w:bottom w:val="single" w:sz="4" w:space="0" w:color="auto"/>
              <w:right w:val="single" w:sz="4" w:space="0" w:color="auto"/>
            </w:tcBorders>
            <w:shd w:val="clear" w:color="auto" w:fill="C6EFCE"/>
            <w:noWrap/>
            <w:hideMark/>
          </w:tcPr>
          <w:p w14:paraId="71FF224D" w14:textId="77777777" w:rsidR="00CB0FCB" w:rsidRDefault="009D2B11">
            <w:pPr>
              <w:pStyle w:val="P68B1DB1-Normal9"/>
              <w:spacing w:after="0" w:line="240" w:lineRule="auto"/>
              <w:rPr>
                <w:rFonts w:eastAsia="Times New Roman" w:cs="Calibri"/>
                <w:noProof/>
                <w:szCs w:val="18"/>
              </w:rPr>
            </w:pPr>
            <w:r>
              <w:rPr>
                <w:noProof/>
              </w:rPr>
              <w:t xml:space="preserve">Visu vajadzīgo tiesību aktu stāšanās spēkā </w:t>
            </w:r>
          </w:p>
        </w:tc>
        <w:tc>
          <w:tcPr>
            <w:tcW w:w="866" w:type="dxa"/>
            <w:tcBorders>
              <w:top w:val="nil"/>
              <w:left w:val="nil"/>
              <w:bottom w:val="single" w:sz="4" w:space="0" w:color="auto"/>
              <w:right w:val="single" w:sz="4" w:space="0" w:color="auto"/>
            </w:tcBorders>
            <w:shd w:val="clear" w:color="auto" w:fill="C6EFCE"/>
            <w:noWrap/>
            <w:hideMark/>
          </w:tcPr>
          <w:p w14:paraId="63D3DEB4"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52138D9C"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691" w:type="dxa"/>
            <w:tcBorders>
              <w:top w:val="nil"/>
              <w:left w:val="nil"/>
              <w:bottom w:val="single" w:sz="4" w:space="0" w:color="auto"/>
              <w:right w:val="single" w:sz="4" w:space="0" w:color="auto"/>
            </w:tcBorders>
            <w:shd w:val="clear" w:color="auto" w:fill="C6EFCE"/>
            <w:noWrap/>
            <w:hideMark/>
          </w:tcPr>
          <w:p w14:paraId="532C7AEE" w14:textId="77777777" w:rsidR="00CB0FCB" w:rsidRDefault="009D2B11">
            <w:pPr>
              <w:pStyle w:val="P68B1DB1-Normal9"/>
              <w:spacing w:after="0" w:line="240" w:lineRule="auto"/>
              <w:rPr>
                <w:rFonts w:eastAsia="Times New Roman" w:cs="Calibri"/>
                <w:noProof/>
                <w:szCs w:val="18"/>
              </w:rPr>
            </w:pPr>
            <w:r>
              <w:rPr>
                <w:noProof/>
              </w:rPr>
              <w:t xml:space="preserve"> </w:t>
            </w:r>
          </w:p>
        </w:tc>
        <w:tc>
          <w:tcPr>
            <w:tcW w:w="851" w:type="dxa"/>
            <w:tcBorders>
              <w:top w:val="nil"/>
              <w:left w:val="nil"/>
              <w:bottom w:val="single" w:sz="4" w:space="0" w:color="auto"/>
              <w:right w:val="single" w:sz="4" w:space="0" w:color="auto"/>
            </w:tcBorders>
            <w:shd w:val="clear" w:color="auto" w:fill="C6EFCE"/>
            <w:noWrap/>
            <w:hideMark/>
          </w:tcPr>
          <w:p w14:paraId="6C74CD75" w14:textId="77777777" w:rsidR="00CB0FCB" w:rsidRDefault="009D2B11">
            <w:pPr>
              <w:pStyle w:val="P68B1DB1-Normal9"/>
              <w:spacing w:after="0" w:line="240" w:lineRule="auto"/>
              <w:rPr>
                <w:rFonts w:eastAsia="Times New Roman" w:cs="Calibri"/>
                <w:noProof/>
                <w:szCs w:val="18"/>
              </w:rPr>
            </w:pPr>
            <w:r>
              <w:rPr>
                <w:noProof/>
              </w:rPr>
              <w:t>2. CET.</w:t>
            </w:r>
          </w:p>
        </w:tc>
        <w:tc>
          <w:tcPr>
            <w:tcW w:w="709" w:type="dxa"/>
            <w:tcBorders>
              <w:top w:val="nil"/>
              <w:left w:val="nil"/>
              <w:bottom w:val="single" w:sz="4" w:space="0" w:color="auto"/>
              <w:right w:val="single" w:sz="4" w:space="0" w:color="auto"/>
            </w:tcBorders>
            <w:shd w:val="clear" w:color="auto" w:fill="C6EFCE"/>
            <w:noWrap/>
            <w:hideMark/>
          </w:tcPr>
          <w:p w14:paraId="57FAE8E7" w14:textId="77777777" w:rsidR="00CB0FCB" w:rsidRDefault="009D2B11">
            <w:pPr>
              <w:pStyle w:val="P68B1DB1-Normal9"/>
              <w:spacing w:after="0" w:line="240" w:lineRule="auto"/>
              <w:rPr>
                <w:rFonts w:eastAsia="Times New Roman" w:cs="Calibri"/>
                <w:noProof/>
                <w:szCs w:val="18"/>
              </w:rPr>
            </w:pPr>
            <w:r>
              <w:rPr>
                <w:noProof/>
              </w:rPr>
              <w:t>2024</w:t>
            </w:r>
          </w:p>
        </w:tc>
        <w:tc>
          <w:tcPr>
            <w:tcW w:w="4308" w:type="dxa"/>
            <w:tcBorders>
              <w:top w:val="nil"/>
              <w:left w:val="nil"/>
              <w:bottom w:val="single" w:sz="4" w:space="0" w:color="auto"/>
              <w:right w:val="single" w:sz="4" w:space="0" w:color="auto"/>
            </w:tcBorders>
            <w:shd w:val="clear" w:color="auto" w:fill="C6EFCE"/>
            <w:noWrap/>
            <w:hideMark/>
          </w:tcPr>
          <w:p w14:paraId="4FC5D93B" w14:textId="77777777" w:rsidR="00CB0FCB" w:rsidRDefault="009D2B11">
            <w:pPr>
              <w:pStyle w:val="P68B1DB1-Normal9"/>
              <w:spacing w:after="0" w:line="240" w:lineRule="auto"/>
              <w:rPr>
                <w:rFonts w:eastAsia="Times New Roman" w:cs="Calibri"/>
                <w:noProof/>
                <w:szCs w:val="18"/>
              </w:rPr>
            </w:pPr>
            <w:r>
              <w:rPr>
                <w:noProof/>
              </w:rPr>
              <w:t>Stājas spēkā visi sekundārie tiesību akti, kas vajadzīgi, lai īstenotu jauno regulējumu rūpniecības uzņēmējdarbības parku tiesiskā regulējuma uzlabošanai, tostarp juridiskās nenoteiktības novēršanai, pārvaldības jautājumu risināšanai un efektīvu stimulu nodrošināšanai neformālas rūpnieciskās koncentrācijas risināšanai.</w:t>
            </w:r>
          </w:p>
        </w:tc>
      </w:tr>
      <w:tr w:rsidR="00CB0FCB" w14:paraId="65BCA7B5" w14:textId="77777777">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040D021B" w14:textId="77777777" w:rsidR="00CB0FCB" w:rsidRDefault="009D2B11">
            <w:pPr>
              <w:pStyle w:val="P68B1DB1-Normal9"/>
              <w:spacing w:after="0" w:line="240" w:lineRule="auto"/>
              <w:rPr>
                <w:rFonts w:eastAsia="Times New Roman" w:cs="Calibri"/>
                <w:noProof/>
                <w:szCs w:val="18"/>
              </w:rPr>
            </w:pPr>
            <w:r>
              <w:rPr>
                <w:noProof/>
              </w:rPr>
              <w:t>307</w:t>
            </w:r>
          </w:p>
        </w:tc>
        <w:tc>
          <w:tcPr>
            <w:tcW w:w="1517" w:type="dxa"/>
            <w:tcBorders>
              <w:top w:val="single" w:sz="4" w:space="0" w:color="auto"/>
              <w:left w:val="nil"/>
              <w:bottom w:val="single" w:sz="4" w:space="0" w:color="auto"/>
              <w:right w:val="single" w:sz="4" w:space="0" w:color="auto"/>
            </w:tcBorders>
            <w:shd w:val="clear" w:color="auto" w:fill="C6EFCE"/>
            <w:noWrap/>
          </w:tcPr>
          <w:p w14:paraId="02166D9A"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16634_Jaunie industriālie parki</w:t>
            </w:r>
          </w:p>
        </w:tc>
        <w:tc>
          <w:tcPr>
            <w:tcW w:w="1298" w:type="dxa"/>
            <w:tcBorders>
              <w:top w:val="single" w:sz="4" w:space="0" w:color="auto"/>
              <w:left w:val="nil"/>
              <w:bottom w:val="single" w:sz="4" w:space="0" w:color="auto"/>
              <w:right w:val="single" w:sz="4" w:space="0" w:color="auto"/>
            </w:tcBorders>
            <w:shd w:val="clear" w:color="auto" w:fill="C6EFCE"/>
            <w:noWrap/>
          </w:tcPr>
          <w:p w14:paraId="31774B5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single" w:sz="4" w:space="0" w:color="auto"/>
              <w:left w:val="nil"/>
              <w:bottom w:val="single" w:sz="4" w:space="0" w:color="auto"/>
              <w:right w:val="single" w:sz="4" w:space="0" w:color="auto"/>
            </w:tcBorders>
            <w:shd w:val="clear" w:color="auto" w:fill="C6EFCE"/>
            <w:noWrap/>
          </w:tcPr>
          <w:p w14:paraId="48932540" w14:textId="77777777" w:rsidR="00CB0FCB" w:rsidRDefault="009D2B11">
            <w:pPr>
              <w:pStyle w:val="P68B1DB1-Normal9"/>
              <w:spacing w:after="0" w:line="240" w:lineRule="auto"/>
              <w:rPr>
                <w:rFonts w:eastAsia="Times New Roman" w:cs="Calibri"/>
                <w:noProof/>
                <w:szCs w:val="18"/>
              </w:rPr>
            </w:pPr>
            <w:r>
              <w:rPr>
                <w:noProof/>
              </w:rPr>
              <w:t>Industriālie parki — investīciju īstenošana</w:t>
            </w:r>
          </w:p>
        </w:tc>
        <w:tc>
          <w:tcPr>
            <w:tcW w:w="1823" w:type="dxa"/>
            <w:tcBorders>
              <w:top w:val="single" w:sz="4" w:space="0" w:color="auto"/>
              <w:left w:val="nil"/>
              <w:bottom w:val="single" w:sz="4" w:space="0" w:color="auto"/>
              <w:right w:val="single" w:sz="4" w:space="0" w:color="auto"/>
            </w:tcBorders>
            <w:shd w:val="clear" w:color="auto" w:fill="C6EFCE"/>
            <w:noWrap/>
          </w:tcPr>
          <w:p w14:paraId="5008D966" w14:textId="77777777" w:rsidR="00CB0FCB" w:rsidRDefault="009D2B11">
            <w:pPr>
              <w:pStyle w:val="P68B1DB1-Normal9"/>
              <w:spacing w:after="0" w:line="240" w:lineRule="auto"/>
              <w:rPr>
                <w:rFonts w:eastAsia="Times New Roman" w:cs="Calibri"/>
                <w:noProof/>
                <w:szCs w:val="18"/>
              </w:rPr>
            </w:pPr>
            <w:r>
              <w:rPr>
                <w:noProof/>
              </w:rPr>
              <w:t xml:space="preserve">Iesniegt būvdarbu revīziju rezultātus, saņēmēju apliecinājumus par ieguldījumu pabeigšanu un maksājuma apliecinājumu, lai apliecinātu atlasītu investīciju projektu īstenošanu industriālajos parkos. </w:t>
            </w:r>
          </w:p>
          <w:p w14:paraId="7E88ED07" w14:textId="77777777" w:rsidR="00CB0FCB" w:rsidRDefault="00CB0FCB">
            <w:pPr>
              <w:spacing w:after="0" w:line="240" w:lineRule="auto"/>
              <w:ind w:left="198" w:hanging="198"/>
              <w:rPr>
                <w:rFonts w:eastAsia="Times New Roman" w:cs="Calibri"/>
                <w:noProof/>
                <w:color w:val="006100"/>
                <w:sz w:val="18"/>
                <w:szCs w:val="18"/>
              </w:rPr>
            </w:pPr>
          </w:p>
        </w:tc>
        <w:tc>
          <w:tcPr>
            <w:tcW w:w="866" w:type="dxa"/>
            <w:tcBorders>
              <w:top w:val="single" w:sz="4" w:space="0" w:color="auto"/>
              <w:left w:val="nil"/>
              <w:bottom w:val="single" w:sz="4" w:space="0" w:color="auto"/>
              <w:right w:val="single" w:sz="4" w:space="0" w:color="auto"/>
            </w:tcBorders>
            <w:shd w:val="clear" w:color="auto" w:fill="C6EFCE"/>
            <w:noWrap/>
          </w:tcPr>
          <w:p w14:paraId="65FA109D"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55C469A" w14:textId="77777777" w:rsidR="00CB0FCB" w:rsidRDefault="00CB0FCB">
            <w:pPr>
              <w:spacing w:after="0" w:line="240" w:lineRule="auto"/>
              <w:rPr>
                <w:rFonts w:eastAsia="Times New Roman" w:cs="Calibri"/>
                <w:noProof/>
                <w:color w:val="006100"/>
                <w:sz w:val="18"/>
                <w:szCs w:val="18"/>
              </w:rPr>
            </w:pPr>
          </w:p>
        </w:tc>
        <w:tc>
          <w:tcPr>
            <w:tcW w:w="691" w:type="dxa"/>
            <w:tcBorders>
              <w:top w:val="single" w:sz="4" w:space="0" w:color="auto"/>
              <w:left w:val="nil"/>
              <w:bottom w:val="single" w:sz="4" w:space="0" w:color="auto"/>
              <w:right w:val="single" w:sz="4" w:space="0" w:color="auto"/>
            </w:tcBorders>
            <w:shd w:val="clear" w:color="auto" w:fill="C6EFCE"/>
            <w:noWrap/>
          </w:tcPr>
          <w:p w14:paraId="000D6D8C" w14:textId="77777777" w:rsidR="00CB0FCB" w:rsidRDefault="00CB0FCB">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1E30410B"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3C3C0AC8" w14:textId="77777777" w:rsidR="00CB0FCB" w:rsidRDefault="009D2B11">
            <w:pPr>
              <w:pStyle w:val="P68B1DB1-Normal9"/>
              <w:spacing w:after="0" w:line="240" w:lineRule="auto"/>
              <w:rPr>
                <w:rFonts w:eastAsia="Times New Roman" w:cs="Calibri"/>
                <w:noProof/>
                <w:szCs w:val="18"/>
              </w:rPr>
            </w:pPr>
            <w:r>
              <w:rPr>
                <w:noProof/>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66765C37" w14:textId="77777777" w:rsidR="00CB0FCB" w:rsidRDefault="009D2B11">
            <w:pPr>
              <w:pStyle w:val="P68B1DB1-Normal9"/>
              <w:spacing w:after="0" w:line="240" w:lineRule="auto"/>
              <w:rPr>
                <w:rFonts w:eastAsia="Times New Roman" w:cs="Calibri"/>
                <w:noProof/>
                <w:szCs w:val="18"/>
              </w:rPr>
            </w:pPr>
            <w:r>
              <w:rPr>
                <w:noProof/>
              </w:rPr>
              <w:t xml:space="preserve">Visu to investīciju projektu būvniecības pabeigšana, kas atlasīti uzaicinājumos iesniegt priekšlikumus konkursa kārtībā. </w:t>
            </w:r>
          </w:p>
        </w:tc>
      </w:tr>
      <w:tr w:rsidR="00CB0FCB" w14:paraId="11D91869" w14:textId="77777777">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117AC304" w14:textId="77777777" w:rsidR="00CB0FCB" w:rsidRDefault="009D2B11">
            <w:pPr>
              <w:pStyle w:val="P68B1DB1-Normal9"/>
              <w:spacing w:after="0" w:line="240" w:lineRule="auto"/>
              <w:rPr>
                <w:rFonts w:eastAsia="Times New Roman" w:cs="Calibri"/>
                <w:noProof/>
                <w:szCs w:val="18"/>
              </w:rPr>
            </w:pPr>
            <w:r>
              <w:rPr>
                <w:noProof/>
              </w:rPr>
              <w:t>308</w:t>
            </w:r>
          </w:p>
        </w:tc>
        <w:tc>
          <w:tcPr>
            <w:tcW w:w="1517" w:type="dxa"/>
            <w:tcBorders>
              <w:top w:val="single" w:sz="4" w:space="0" w:color="auto"/>
              <w:left w:val="nil"/>
              <w:bottom w:val="single" w:sz="4" w:space="0" w:color="auto"/>
              <w:right w:val="single" w:sz="4" w:space="0" w:color="auto"/>
            </w:tcBorders>
            <w:shd w:val="clear" w:color="auto" w:fill="C6EFCE"/>
            <w:noWrap/>
          </w:tcPr>
          <w:p w14:paraId="2D983863"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16593_Grozījums tiesiskajā regulējumā stratēģisko investīciju piesaistīšanai</w:t>
            </w:r>
          </w:p>
        </w:tc>
        <w:tc>
          <w:tcPr>
            <w:tcW w:w="1298" w:type="dxa"/>
            <w:tcBorders>
              <w:top w:val="single" w:sz="4" w:space="0" w:color="auto"/>
              <w:left w:val="nil"/>
              <w:bottom w:val="single" w:sz="4" w:space="0" w:color="auto"/>
              <w:right w:val="single" w:sz="4" w:space="0" w:color="auto"/>
            </w:tcBorders>
            <w:shd w:val="clear" w:color="auto" w:fill="C6EFCE"/>
            <w:noWrap/>
          </w:tcPr>
          <w:p w14:paraId="43B7EFD4"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single" w:sz="4" w:space="0" w:color="auto"/>
              <w:left w:val="nil"/>
              <w:bottom w:val="single" w:sz="4" w:space="0" w:color="auto"/>
              <w:right w:val="single" w:sz="4" w:space="0" w:color="auto"/>
            </w:tcBorders>
            <w:shd w:val="clear" w:color="auto" w:fill="C6EFCE"/>
            <w:noWrap/>
          </w:tcPr>
          <w:p w14:paraId="027864E5" w14:textId="77777777" w:rsidR="00CB0FCB" w:rsidRDefault="009D2B11">
            <w:pPr>
              <w:pStyle w:val="P68B1DB1-Normal9"/>
              <w:spacing w:after="0" w:line="240" w:lineRule="auto"/>
              <w:rPr>
                <w:rFonts w:eastAsia="Times New Roman" w:cs="Calibri"/>
                <w:noProof/>
                <w:szCs w:val="18"/>
              </w:rPr>
            </w:pPr>
            <w:r>
              <w:rPr>
                <w:noProof/>
              </w:rPr>
              <w:t>Stratēģiskās investīcijas — investīciju īstenošana</w:t>
            </w:r>
          </w:p>
        </w:tc>
        <w:tc>
          <w:tcPr>
            <w:tcW w:w="1823" w:type="dxa"/>
            <w:tcBorders>
              <w:top w:val="single" w:sz="4" w:space="0" w:color="auto"/>
              <w:left w:val="nil"/>
              <w:bottom w:val="single" w:sz="4" w:space="0" w:color="auto"/>
              <w:right w:val="single" w:sz="4" w:space="0" w:color="auto"/>
            </w:tcBorders>
            <w:shd w:val="clear" w:color="auto" w:fill="C6EFCE"/>
            <w:noWrap/>
          </w:tcPr>
          <w:p w14:paraId="5FC3669A" w14:textId="06C3F624" w:rsidR="00CB0FCB" w:rsidRDefault="009D2B11">
            <w:pPr>
              <w:pStyle w:val="P68B1DB1-Normal10"/>
              <w:spacing w:after="0" w:line="240" w:lineRule="auto"/>
              <w:rPr>
                <w:rFonts w:eastAsia="Times New Roman" w:cs="Calibri"/>
                <w:noProof/>
              </w:rPr>
            </w:pPr>
            <w:r>
              <w:rPr>
                <w:noProof/>
              </w:rPr>
              <w:t>Iesniegt būvdarbu revīziju rezultātus un saņēmēju apliecinājumus par ieguldījumu pabeigšanu, lai apliecinātu atlasīto investīciju projektu īstenošanu programmā “Lieli nozīmīgi ieguldījumi”.</w:t>
            </w:r>
          </w:p>
        </w:tc>
        <w:tc>
          <w:tcPr>
            <w:tcW w:w="866" w:type="dxa"/>
            <w:tcBorders>
              <w:top w:val="single" w:sz="4" w:space="0" w:color="auto"/>
              <w:left w:val="nil"/>
              <w:bottom w:val="single" w:sz="4" w:space="0" w:color="auto"/>
              <w:right w:val="single" w:sz="4" w:space="0" w:color="auto"/>
            </w:tcBorders>
            <w:shd w:val="clear" w:color="auto" w:fill="C6EFCE"/>
            <w:noWrap/>
          </w:tcPr>
          <w:p w14:paraId="664411BD"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C6970CD" w14:textId="77777777" w:rsidR="00CB0FCB" w:rsidRDefault="00CB0FCB">
            <w:pPr>
              <w:spacing w:after="0" w:line="240" w:lineRule="auto"/>
              <w:rPr>
                <w:rFonts w:eastAsia="Times New Roman" w:cs="Calibri"/>
                <w:noProof/>
                <w:color w:val="006100"/>
                <w:sz w:val="18"/>
                <w:szCs w:val="18"/>
              </w:rPr>
            </w:pPr>
          </w:p>
        </w:tc>
        <w:tc>
          <w:tcPr>
            <w:tcW w:w="691" w:type="dxa"/>
            <w:tcBorders>
              <w:top w:val="single" w:sz="4" w:space="0" w:color="auto"/>
              <w:left w:val="nil"/>
              <w:bottom w:val="single" w:sz="4" w:space="0" w:color="auto"/>
              <w:right w:val="single" w:sz="4" w:space="0" w:color="auto"/>
            </w:tcBorders>
            <w:shd w:val="clear" w:color="auto" w:fill="C6EFCE"/>
            <w:noWrap/>
          </w:tcPr>
          <w:p w14:paraId="54194CF3" w14:textId="77777777" w:rsidR="00CB0FCB" w:rsidRDefault="00CB0FCB">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69A9F65E"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385D6A29" w14:textId="77777777" w:rsidR="00CB0FCB" w:rsidRDefault="009D2B11">
            <w:pPr>
              <w:pStyle w:val="P68B1DB1-Normal9"/>
              <w:spacing w:after="0" w:line="240" w:lineRule="auto"/>
              <w:rPr>
                <w:rFonts w:eastAsia="Times New Roman" w:cs="Calibri"/>
                <w:noProof/>
                <w:szCs w:val="18"/>
              </w:rPr>
            </w:pPr>
            <w:r>
              <w:rPr>
                <w:noProof/>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72BE83F4" w14:textId="26C669F8" w:rsidR="00CB0FCB" w:rsidRDefault="009D2B11">
            <w:pPr>
              <w:pStyle w:val="P68B1DB1-Normal9"/>
              <w:spacing w:after="0" w:line="240" w:lineRule="auto"/>
              <w:rPr>
                <w:rFonts w:eastAsia="Times New Roman" w:cs="Calibri"/>
                <w:noProof/>
                <w:szCs w:val="18"/>
              </w:rPr>
            </w:pPr>
            <w:r>
              <w:rPr>
                <w:noProof/>
              </w:rPr>
              <w:t>Visu emblēmisko ieguldījumu ar lielu nozīmi būvniecības pabeigšana, kas atlasīti saskaņā ar Starpministriju stratēģisko investīciju komitejas apstiprinājuma lēmumu.</w:t>
            </w:r>
          </w:p>
        </w:tc>
      </w:tr>
      <w:tr w:rsidR="00CB0FCB" w14:paraId="230123EA" w14:textId="77777777">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508A35DB" w14:textId="77777777" w:rsidR="00CB0FCB" w:rsidRDefault="009D2B11">
            <w:pPr>
              <w:pStyle w:val="P68B1DB1-Normal9"/>
              <w:spacing w:after="0" w:line="240" w:lineRule="auto"/>
              <w:rPr>
                <w:rFonts w:eastAsia="Times New Roman" w:cs="Calibri"/>
                <w:noProof/>
                <w:szCs w:val="18"/>
              </w:rPr>
            </w:pPr>
            <w:r>
              <w:rPr>
                <w:noProof/>
              </w:rPr>
              <w:t>309</w:t>
            </w:r>
          </w:p>
        </w:tc>
        <w:tc>
          <w:tcPr>
            <w:tcW w:w="1517" w:type="dxa"/>
            <w:tcBorders>
              <w:top w:val="single" w:sz="4" w:space="0" w:color="auto"/>
              <w:left w:val="nil"/>
              <w:bottom w:val="single" w:sz="4" w:space="0" w:color="auto"/>
              <w:right w:val="single" w:sz="4" w:space="0" w:color="auto"/>
            </w:tcBorders>
            <w:shd w:val="clear" w:color="auto" w:fill="C6EFCE"/>
            <w:noWrap/>
          </w:tcPr>
          <w:p w14:paraId="6140F7DC" w14:textId="77777777" w:rsidR="00CB0FCB" w:rsidRDefault="009D2B11">
            <w:pPr>
              <w:pStyle w:val="P68B1DB1-Normal9"/>
              <w:spacing w:after="0" w:line="240" w:lineRule="auto"/>
              <w:rPr>
                <w:rFonts w:eastAsia="Times New Roman" w:cs="Calibri"/>
                <w:noProof/>
                <w:szCs w:val="18"/>
              </w:rPr>
            </w:pPr>
            <w:r>
              <w:rPr>
                <w:noProof/>
              </w:rPr>
              <w:t>17–4.6. Modernizēt un uzlabot galveno ekonomikas nozaru noturību — 16721_Viedās ražošanas paātrināšana</w:t>
            </w:r>
          </w:p>
        </w:tc>
        <w:tc>
          <w:tcPr>
            <w:tcW w:w="1298" w:type="dxa"/>
            <w:tcBorders>
              <w:top w:val="single" w:sz="4" w:space="0" w:color="auto"/>
              <w:left w:val="nil"/>
              <w:bottom w:val="single" w:sz="4" w:space="0" w:color="auto"/>
              <w:right w:val="single" w:sz="4" w:space="0" w:color="auto"/>
            </w:tcBorders>
            <w:shd w:val="clear" w:color="auto" w:fill="C6EFCE"/>
            <w:noWrap/>
          </w:tcPr>
          <w:p w14:paraId="1471A2F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96" w:type="dxa"/>
            <w:tcBorders>
              <w:top w:val="single" w:sz="4" w:space="0" w:color="auto"/>
              <w:left w:val="nil"/>
              <w:bottom w:val="single" w:sz="4" w:space="0" w:color="auto"/>
              <w:right w:val="single" w:sz="4" w:space="0" w:color="auto"/>
            </w:tcBorders>
            <w:shd w:val="clear" w:color="auto" w:fill="C6EFCE"/>
            <w:noWrap/>
          </w:tcPr>
          <w:p w14:paraId="6684C03B" w14:textId="77777777" w:rsidR="00CB0FCB" w:rsidRDefault="009D2B11">
            <w:pPr>
              <w:pStyle w:val="P68B1DB1-Normal9"/>
              <w:spacing w:after="0" w:line="240" w:lineRule="auto"/>
              <w:rPr>
                <w:rFonts w:eastAsia="Times New Roman" w:cs="Calibri"/>
                <w:noProof/>
                <w:szCs w:val="18"/>
              </w:rPr>
            </w:pPr>
            <w:r>
              <w:rPr>
                <w:noProof/>
              </w:rPr>
              <w:t>Ražošana, nozare — investīciju īstenošana</w:t>
            </w:r>
          </w:p>
        </w:tc>
        <w:tc>
          <w:tcPr>
            <w:tcW w:w="1823" w:type="dxa"/>
            <w:tcBorders>
              <w:top w:val="single" w:sz="4" w:space="0" w:color="auto"/>
              <w:left w:val="nil"/>
              <w:bottom w:val="single" w:sz="4" w:space="0" w:color="auto"/>
              <w:right w:val="single" w:sz="4" w:space="0" w:color="auto"/>
            </w:tcBorders>
            <w:shd w:val="clear" w:color="auto" w:fill="C6EFCE"/>
            <w:noWrap/>
          </w:tcPr>
          <w:p w14:paraId="0DCF789E" w14:textId="77777777" w:rsidR="00CB0FCB" w:rsidRDefault="009D2B11">
            <w:pPr>
              <w:pStyle w:val="P68B1DB1-Normal9"/>
              <w:spacing w:after="0" w:line="240" w:lineRule="auto"/>
              <w:rPr>
                <w:rFonts w:eastAsia="Times New Roman" w:cs="Calibri"/>
                <w:noProof/>
                <w:szCs w:val="18"/>
              </w:rPr>
            </w:pPr>
            <w:r>
              <w:rPr>
                <w:noProof/>
              </w:rPr>
              <w:t xml:space="preserve">Iesniedz intervences darbu revīziju rezultātus, saņēmēju apliecinājumus par ieguldījumu pabeigšanu un maksājuma apliecinājumu, lai apliecinātu atlasīto investīciju projektu īstenošanu </w:t>
            </w:r>
          </w:p>
          <w:p w14:paraId="6B530F6D" w14:textId="77777777" w:rsidR="00CB0FCB" w:rsidRDefault="009D2B11">
            <w:pPr>
              <w:pStyle w:val="P68B1DB1-Normal9"/>
              <w:spacing w:after="0" w:line="240" w:lineRule="auto"/>
              <w:rPr>
                <w:rFonts w:eastAsia="Times New Roman" w:cs="Calibri"/>
                <w:noProof/>
                <w:szCs w:val="18"/>
              </w:rPr>
            </w:pPr>
            <w:r>
              <w:rPr>
                <w:noProof/>
              </w:rPr>
              <w:t>ražošanas nozare.</w:t>
            </w:r>
          </w:p>
        </w:tc>
        <w:tc>
          <w:tcPr>
            <w:tcW w:w="866" w:type="dxa"/>
            <w:tcBorders>
              <w:top w:val="single" w:sz="4" w:space="0" w:color="auto"/>
              <w:left w:val="nil"/>
              <w:bottom w:val="single" w:sz="4" w:space="0" w:color="auto"/>
              <w:right w:val="single" w:sz="4" w:space="0" w:color="auto"/>
            </w:tcBorders>
            <w:shd w:val="clear" w:color="auto" w:fill="C6EFCE"/>
            <w:noWrap/>
          </w:tcPr>
          <w:p w14:paraId="6C83B41E"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3A1D5EB" w14:textId="77777777" w:rsidR="00CB0FCB" w:rsidRDefault="00CB0FCB">
            <w:pPr>
              <w:spacing w:after="0" w:line="240" w:lineRule="auto"/>
              <w:rPr>
                <w:rFonts w:eastAsia="Times New Roman" w:cs="Calibri"/>
                <w:noProof/>
                <w:color w:val="006100"/>
                <w:sz w:val="18"/>
                <w:szCs w:val="18"/>
              </w:rPr>
            </w:pPr>
          </w:p>
        </w:tc>
        <w:tc>
          <w:tcPr>
            <w:tcW w:w="691" w:type="dxa"/>
            <w:tcBorders>
              <w:top w:val="single" w:sz="4" w:space="0" w:color="auto"/>
              <w:left w:val="nil"/>
              <w:bottom w:val="single" w:sz="4" w:space="0" w:color="auto"/>
              <w:right w:val="single" w:sz="4" w:space="0" w:color="auto"/>
            </w:tcBorders>
            <w:shd w:val="clear" w:color="auto" w:fill="C6EFCE"/>
            <w:noWrap/>
          </w:tcPr>
          <w:p w14:paraId="429844F4" w14:textId="77777777" w:rsidR="00CB0FCB" w:rsidRDefault="00CB0FCB">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669A2166" w14:textId="77777777" w:rsidR="00CB0FCB" w:rsidRDefault="009D2B11">
            <w:pPr>
              <w:pStyle w:val="P68B1DB1-Normal9"/>
              <w:spacing w:after="0" w:line="240" w:lineRule="auto"/>
              <w:rPr>
                <w:rFonts w:eastAsia="Times New Roman" w:cs="Calibri"/>
                <w:noProof/>
                <w:szCs w:val="18"/>
              </w:rPr>
            </w:pPr>
            <w:r>
              <w:rPr>
                <w:noProof/>
              </w:rPr>
              <w:t>4. CET.</w:t>
            </w:r>
          </w:p>
        </w:tc>
        <w:tc>
          <w:tcPr>
            <w:tcW w:w="709" w:type="dxa"/>
            <w:tcBorders>
              <w:top w:val="single" w:sz="4" w:space="0" w:color="auto"/>
              <w:left w:val="nil"/>
              <w:bottom w:val="single" w:sz="4" w:space="0" w:color="auto"/>
              <w:right w:val="single" w:sz="4" w:space="0" w:color="auto"/>
            </w:tcBorders>
            <w:shd w:val="clear" w:color="auto" w:fill="C6EFCE"/>
            <w:noWrap/>
          </w:tcPr>
          <w:p w14:paraId="42004150" w14:textId="77777777" w:rsidR="00CB0FCB" w:rsidRDefault="009D2B11">
            <w:pPr>
              <w:pStyle w:val="P68B1DB1-Normal9"/>
              <w:spacing w:after="0" w:line="240" w:lineRule="auto"/>
              <w:rPr>
                <w:rFonts w:eastAsia="Times New Roman" w:cs="Calibri"/>
                <w:noProof/>
                <w:szCs w:val="18"/>
              </w:rPr>
            </w:pPr>
            <w:r>
              <w:rPr>
                <w:noProof/>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1ED66C30" w14:textId="77777777" w:rsidR="00CB0FCB" w:rsidRDefault="009D2B11">
            <w:pPr>
              <w:pStyle w:val="P68B1DB1-Normal9"/>
              <w:spacing w:after="0" w:line="240" w:lineRule="auto"/>
              <w:rPr>
                <w:rFonts w:eastAsia="Times New Roman" w:cs="Calibri"/>
                <w:noProof/>
                <w:szCs w:val="18"/>
              </w:rPr>
            </w:pPr>
            <w:r>
              <w:rPr>
                <w:noProof/>
              </w:rPr>
              <w:t>Visu to investīciju projektu būvniecības pabeigšana, kas atlasīti uzaicinājumos iesniegt priekšlikumus konkursa kārtībā.</w:t>
            </w:r>
          </w:p>
        </w:tc>
      </w:tr>
    </w:tbl>
    <w:p w14:paraId="7DCB7D81" w14:textId="77777777" w:rsidR="00CB0FCB" w:rsidRDefault="00CB0FCB">
      <w:pPr>
        <w:spacing w:before="120" w:after="0" w:line="240" w:lineRule="auto"/>
        <w:jc w:val="both"/>
        <w:rPr>
          <w:rFonts w:ascii="Times New Roman" w:hAnsi="Times New Roman" w:cs="Times New Roman"/>
          <w:noProof/>
          <w:sz w:val="24"/>
        </w:rPr>
      </w:pPr>
    </w:p>
    <w:p w14:paraId="029AB23B" w14:textId="77777777" w:rsidR="00CB0FCB" w:rsidRDefault="00CB0FCB">
      <w:pPr>
        <w:spacing w:before="120" w:after="0" w:line="240" w:lineRule="auto"/>
        <w:jc w:val="both"/>
        <w:rPr>
          <w:rFonts w:ascii="Times New Roman" w:hAnsi="Times New Roman" w:cs="Times New Roman"/>
          <w:noProof/>
          <w:sz w:val="24"/>
        </w:rPr>
        <w:sectPr w:rsidR="00CB0FCB" w:rsidSect="00271D33">
          <w:headerReference w:type="even" r:id="rId289"/>
          <w:headerReference w:type="default" r:id="rId290"/>
          <w:footerReference w:type="even" r:id="rId291"/>
          <w:footerReference w:type="default" r:id="rId292"/>
          <w:headerReference w:type="first" r:id="rId293"/>
          <w:footerReference w:type="first" r:id="rId294"/>
          <w:pgSz w:w="16839" w:h="11907" w:orient="landscape"/>
          <w:pgMar w:top="720" w:right="720" w:bottom="720" w:left="720" w:header="709" w:footer="709" w:gutter="0"/>
          <w:cols w:space="720"/>
          <w:docGrid w:linePitch="360"/>
        </w:sectPr>
      </w:pPr>
    </w:p>
    <w:p w14:paraId="33E2DA5F" w14:textId="77777777" w:rsidR="00CB0FCB" w:rsidRDefault="009D2B11">
      <w:pPr>
        <w:pStyle w:val="P68B1DB1-Normal6"/>
        <w:keepNext/>
        <w:keepLines/>
        <w:spacing w:before="40" w:after="0" w:line="240" w:lineRule="auto"/>
        <w:jc w:val="both"/>
        <w:outlineLvl w:val="4"/>
        <w:rPr>
          <w:rFonts w:eastAsia="Times New Roman"/>
          <w:noProof/>
        </w:rPr>
      </w:pPr>
      <w:r>
        <w:rPr>
          <w:noProof/>
        </w:rPr>
        <w:t>Grupa: Lauksaimniecība</w:t>
      </w:r>
    </w:p>
    <w:p w14:paraId="20E03AC8" w14:textId="77777777" w:rsidR="00CB0FCB" w:rsidRDefault="009D2B11">
      <w:pPr>
        <w:pStyle w:val="P68B1DB1-Normal4"/>
        <w:numPr>
          <w:ilvl w:val="0"/>
          <w:numId w:val="27"/>
        </w:numPr>
        <w:spacing w:before="120" w:after="0" w:line="240" w:lineRule="auto"/>
        <w:jc w:val="both"/>
        <w:rPr>
          <w:rFonts w:cs="Times New Roman"/>
          <w:noProof/>
        </w:rPr>
      </w:pPr>
      <w:r>
        <w:rPr>
          <w:noProof/>
        </w:rPr>
        <w:t>Ekonomikas pārveide lauksaimniecības nozarē (ID: 16626)</w:t>
      </w:r>
    </w:p>
    <w:p w14:paraId="553BD1CD" w14:textId="77777777" w:rsidR="00CB0FCB" w:rsidRDefault="009D2B11">
      <w:pPr>
        <w:pStyle w:val="P68B1DB1-Normal4"/>
        <w:numPr>
          <w:ilvl w:val="0"/>
          <w:numId w:val="27"/>
        </w:numPr>
        <w:spacing w:before="120" w:after="0" w:line="240" w:lineRule="auto"/>
        <w:jc w:val="both"/>
        <w:rPr>
          <w:rFonts w:cs="Times New Roman"/>
          <w:noProof/>
        </w:rPr>
      </w:pPr>
      <w:r>
        <w:rPr>
          <w:noProof/>
        </w:rPr>
        <w:t>Lauksaimniecības un pārtikas nozares digitālā pārveide (ID: 16653)</w:t>
      </w:r>
    </w:p>
    <w:p w14:paraId="72EC7E13" w14:textId="77777777" w:rsidR="00CB0FCB" w:rsidRDefault="009D2B11">
      <w:pPr>
        <w:pStyle w:val="P68B1DB1-Normal4"/>
        <w:numPr>
          <w:ilvl w:val="0"/>
          <w:numId w:val="27"/>
        </w:numPr>
        <w:spacing w:before="120" w:after="0" w:line="240" w:lineRule="auto"/>
        <w:jc w:val="both"/>
        <w:rPr>
          <w:rFonts w:cs="Times New Roman"/>
          <w:noProof/>
        </w:rPr>
      </w:pPr>
      <w:r>
        <w:rPr>
          <w:noProof/>
        </w:rPr>
        <w:t>Priekšlikumi darbībām akvakultūras nozarē (ID: 16584)</w:t>
      </w:r>
    </w:p>
    <w:p w14:paraId="75AD83E7" w14:textId="77777777" w:rsidR="00CB0FCB" w:rsidRDefault="009D2B11">
      <w:pPr>
        <w:pStyle w:val="P68B1DB1-Normal4"/>
        <w:numPr>
          <w:ilvl w:val="0"/>
          <w:numId w:val="27"/>
        </w:numPr>
        <w:spacing w:before="120" w:after="120" w:line="240" w:lineRule="auto"/>
        <w:jc w:val="both"/>
        <w:rPr>
          <w:rFonts w:cs="Times New Roman"/>
          <w:noProof/>
        </w:rPr>
      </w:pPr>
      <w:r>
        <w:rPr>
          <w:noProof/>
        </w:rPr>
        <w:t>Investīcijas valsts apūdeņošanas tīklā, izmantojot AAL shēmas (ID: 16285)</w:t>
      </w:r>
    </w:p>
    <w:tbl>
      <w:tblPr>
        <w:tblW w:w="15951" w:type="dxa"/>
        <w:jc w:val="center"/>
        <w:tblLook w:val="04A0" w:firstRow="1" w:lastRow="0" w:firstColumn="1" w:lastColumn="0" w:noHBand="0" w:noVBand="1"/>
      </w:tblPr>
      <w:tblGrid>
        <w:gridCol w:w="1252"/>
        <w:gridCol w:w="2036"/>
        <w:gridCol w:w="1807"/>
        <w:gridCol w:w="1491"/>
        <w:gridCol w:w="1704"/>
        <w:gridCol w:w="899"/>
        <w:gridCol w:w="1396"/>
        <w:gridCol w:w="766"/>
        <w:gridCol w:w="1027"/>
        <w:gridCol w:w="687"/>
        <w:gridCol w:w="4332"/>
      </w:tblGrid>
      <w:tr w:rsidR="00CB0FCB" w14:paraId="146B7067" w14:textId="77777777">
        <w:trPr>
          <w:trHeight w:val="731"/>
          <w:tblHeader/>
          <w:jc w:val="center"/>
        </w:trPr>
        <w:tc>
          <w:tcPr>
            <w:tcW w:w="1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AA2F6E"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EA41D6"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EC9566"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2C17B0"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95862B"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234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848ECAF" w14:textId="77777777"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1533" w:type="dxa"/>
            <w:gridSpan w:val="2"/>
            <w:tcBorders>
              <w:top w:val="single" w:sz="4" w:space="0" w:color="auto"/>
              <w:left w:val="nil"/>
              <w:bottom w:val="single" w:sz="4" w:space="0" w:color="auto"/>
              <w:right w:val="single" w:sz="4" w:space="0" w:color="auto"/>
            </w:tcBorders>
            <w:shd w:val="clear" w:color="auto" w:fill="BDD7EE"/>
            <w:vAlign w:val="center"/>
            <w:hideMark/>
          </w:tcPr>
          <w:p w14:paraId="50ACDB97"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710221"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21BCD386" w14:textId="77777777">
        <w:trPr>
          <w:trHeight w:val="504"/>
          <w:tblHeader/>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78C3CCAC" w14:textId="77777777" w:rsidR="00CB0FCB" w:rsidRDefault="00CB0FCB">
            <w:pPr>
              <w:spacing w:after="0" w:line="240" w:lineRule="auto"/>
              <w:rPr>
                <w:rFonts w:ascii="Times New Roman" w:eastAsia="Times New Roman" w:hAnsi="Times New Roman" w:cs="Times New Roman"/>
                <w:b/>
                <w:noProof/>
                <w:sz w:val="18"/>
                <w:szCs w:val="18"/>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0A8FD79A" w14:textId="77777777" w:rsidR="00CB0FCB" w:rsidRDefault="00CB0FCB">
            <w:pPr>
              <w:spacing w:after="0" w:line="240" w:lineRule="auto"/>
              <w:rPr>
                <w:rFonts w:ascii="Times New Roman" w:eastAsia="Times New Roman" w:hAnsi="Times New Roman" w:cs="Times New Roman"/>
                <w:b/>
                <w:noProof/>
                <w:sz w:val="18"/>
                <w:szCs w:val="18"/>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4B4EDED3" w14:textId="77777777" w:rsidR="00CB0FCB" w:rsidRDefault="00CB0FCB">
            <w:pPr>
              <w:spacing w:after="0" w:line="240" w:lineRule="auto"/>
              <w:rPr>
                <w:rFonts w:ascii="Times New Roman" w:eastAsia="Times New Roman" w:hAnsi="Times New Roman" w:cs="Times New Roman"/>
                <w:b/>
                <w:noProof/>
                <w:sz w:val="18"/>
                <w:szCs w:val="18"/>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2BC7211E" w14:textId="77777777" w:rsidR="00CB0FCB" w:rsidRDefault="00CB0FCB">
            <w:pPr>
              <w:spacing w:after="0" w:line="240" w:lineRule="auto"/>
              <w:rPr>
                <w:rFonts w:ascii="Times New Roman" w:eastAsia="Times New Roman" w:hAnsi="Times New Roman" w:cs="Times New Roman"/>
                <w:b/>
                <w:noProof/>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14E34EC" w14:textId="77777777" w:rsidR="00CB0FCB" w:rsidRDefault="00CB0FCB">
            <w:pPr>
              <w:spacing w:after="0" w:line="240" w:lineRule="auto"/>
              <w:rPr>
                <w:rFonts w:ascii="Times New Roman" w:eastAsia="Times New Roman" w:hAnsi="Times New Roman" w:cs="Times New Roman"/>
                <w:b/>
                <w:noProof/>
                <w:sz w:val="18"/>
                <w:szCs w:val="18"/>
              </w:rPr>
            </w:pPr>
          </w:p>
        </w:tc>
        <w:tc>
          <w:tcPr>
            <w:tcW w:w="89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50FDFB"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14:paraId="3E2C3B29"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14:paraId="41E6577B"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3CB6EBC4"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687" w:type="dxa"/>
            <w:tcBorders>
              <w:top w:val="single" w:sz="4" w:space="0" w:color="auto"/>
              <w:left w:val="nil"/>
              <w:bottom w:val="single" w:sz="4" w:space="0" w:color="auto"/>
              <w:right w:val="single" w:sz="4" w:space="0" w:color="auto"/>
            </w:tcBorders>
            <w:shd w:val="clear" w:color="auto" w:fill="BDD7EE"/>
            <w:vAlign w:val="center"/>
            <w:hideMark/>
          </w:tcPr>
          <w:p w14:paraId="507F8F20"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4332" w:type="dxa"/>
            <w:vMerge/>
            <w:tcBorders>
              <w:top w:val="single" w:sz="4" w:space="0" w:color="auto"/>
              <w:bottom w:val="single" w:sz="4" w:space="0" w:color="auto"/>
              <w:right w:val="single" w:sz="4" w:space="0" w:color="auto"/>
            </w:tcBorders>
            <w:vAlign w:val="center"/>
            <w:hideMark/>
          </w:tcPr>
          <w:p w14:paraId="48A29F0F" w14:textId="77777777" w:rsidR="00CB0FCB" w:rsidRDefault="00CB0FCB">
            <w:pPr>
              <w:spacing w:after="0" w:line="240" w:lineRule="auto"/>
              <w:rPr>
                <w:rFonts w:ascii="Times New Roman" w:eastAsia="Times New Roman" w:hAnsi="Times New Roman" w:cs="Times New Roman"/>
                <w:b/>
                <w:noProof/>
                <w:sz w:val="18"/>
                <w:szCs w:val="18"/>
              </w:rPr>
            </w:pPr>
          </w:p>
        </w:tc>
      </w:tr>
      <w:tr w:rsidR="00CB0FCB" w14:paraId="278178AF" w14:textId="77777777">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40B83AF" w14:textId="77777777" w:rsidR="00CB0FCB" w:rsidRDefault="009D2B11">
            <w:pPr>
              <w:pStyle w:val="P68B1DB1-Normal9"/>
              <w:spacing w:after="0" w:line="240" w:lineRule="auto"/>
              <w:rPr>
                <w:rFonts w:eastAsia="Times New Roman" w:cs="Calibri"/>
                <w:noProof/>
                <w:szCs w:val="18"/>
              </w:rPr>
            </w:pPr>
            <w:r>
              <w:rPr>
                <w:noProof/>
              </w:rPr>
              <w:t>310</w:t>
            </w:r>
          </w:p>
        </w:tc>
        <w:tc>
          <w:tcPr>
            <w:tcW w:w="1832" w:type="dxa"/>
            <w:tcBorders>
              <w:top w:val="single" w:sz="4" w:space="0" w:color="auto"/>
              <w:left w:val="nil"/>
              <w:bottom w:val="single" w:sz="4" w:space="0" w:color="auto"/>
              <w:right w:val="single" w:sz="4" w:space="0" w:color="auto"/>
            </w:tcBorders>
            <w:shd w:val="clear" w:color="auto" w:fill="C6EFCE"/>
            <w:noWrap/>
          </w:tcPr>
          <w:p w14:paraId="28C7BFC5" w14:textId="77777777" w:rsidR="00CB0FCB" w:rsidRDefault="009D2B11">
            <w:pPr>
              <w:pStyle w:val="P68B1DB1-Normal9"/>
              <w:spacing w:after="0" w:line="240" w:lineRule="auto"/>
              <w:rPr>
                <w:rFonts w:eastAsia="Times New Roman"/>
                <w:noProof/>
                <w:szCs w:val="18"/>
              </w:rPr>
            </w:pPr>
            <w:r>
              <w:rPr>
                <w:noProof/>
              </w:rPr>
              <w:t>17–4.6. Modernizēt un uzlabot galveno ekonomikas nozaru noturību — 16626_Lauksaimniecības nozares ekonomiskā pārveide</w:t>
            </w:r>
          </w:p>
        </w:tc>
        <w:tc>
          <w:tcPr>
            <w:tcW w:w="1589" w:type="dxa"/>
            <w:tcBorders>
              <w:top w:val="single" w:sz="4" w:space="0" w:color="auto"/>
              <w:left w:val="nil"/>
              <w:bottom w:val="single" w:sz="4" w:space="0" w:color="auto"/>
              <w:right w:val="single" w:sz="4" w:space="0" w:color="auto"/>
            </w:tcBorders>
            <w:shd w:val="clear" w:color="auto" w:fill="C6EFCE"/>
            <w:noWrap/>
          </w:tcPr>
          <w:p w14:paraId="1214B153" w14:textId="77777777" w:rsidR="00CB0FCB" w:rsidRDefault="009D2B11">
            <w:pPr>
              <w:pStyle w:val="P68B1DB1-Normal9"/>
              <w:spacing w:after="0" w:line="240" w:lineRule="auto"/>
              <w:rPr>
                <w:rFonts w:eastAsia="Times New Roman"/>
                <w:noProof/>
                <w:szCs w:val="18"/>
              </w:rPr>
            </w:pPr>
            <w:r>
              <w:rPr>
                <w:noProof/>
              </w:rPr>
              <w:t>Atskaites punkts</w:t>
            </w:r>
          </w:p>
        </w:tc>
        <w:tc>
          <w:tcPr>
            <w:tcW w:w="1366" w:type="dxa"/>
            <w:tcBorders>
              <w:top w:val="single" w:sz="4" w:space="0" w:color="auto"/>
              <w:left w:val="nil"/>
              <w:bottom w:val="single" w:sz="4" w:space="0" w:color="auto"/>
              <w:right w:val="single" w:sz="4" w:space="0" w:color="auto"/>
            </w:tcBorders>
            <w:shd w:val="clear" w:color="auto" w:fill="C6EFCE"/>
            <w:noWrap/>
          </w:tcPr>
          <w:p w14:paraId="3EE37EF1" w14:textId="77777777" w:rsidR="00CB0FCB" w:rsidRDefault="009D2B11">
            <w:pPr>
              <w:pStyle w:val="P68B1DB1-Normal9"/>
              <w:spacing w:after="0" w:line="240" w:lineRule="auto"/>
              <w:rPr>
                <w:rFonts w:eastAsia="Times New Roman"/>
                <w:noProof/>
                <w:szCs w:val="18"/>
              </w:rPr>
            </w:pPr>
            <w:r>
              <w:rPr>
                <w:noProof/>
              </w:rPr>
              <w:t>Lauksaimniecības ekonomiskā pārveide: Programmas uzsākšana</w:t>
            </w:r>
          </w:p>
        </w:tc>
        <w:tc>
          <w:tcPr>
            <w:tcW w:w="1704" w:type="dxa"/>
            <w:tcBorders>
              <w:top w:val="single" w:sz="4" w:space="0" w:color="auto"/>
              <w:left w:val="nil"/>
              <w:bottom w:val="single" w:sz="4" w:space="0" w:color="auto"/>
              <w:right w:val="single" w:sz="4" w:space="0" w:color="auto"/>
            </w:tcBorders>
            <w:shd w:val="clear" w:color="auto" w:fill="C6EFCE"/>
            <w:noWrap/>
          </w:tcPr>
          <w:p w14:paraId="3889A976" w14:textId="77777777" w:rsidR="00CB0FCB" w:rsidRDefault="009D2B11">
            <w:pPr>
              <w:pStyle w:val="P68B1DB1-Normal9"/>
              <w:spacing w:after="0" w:line="240" w:lineRule="auto"/>
              <w:rPr>
                <w:noProof/>
                <w:szCs w:val="18"/>
              </w:rPr>
            </w:pPr>
            <w:r>
              <w:rPr>
                <w:noProof/>
              </w:rPr>
              <w:t>Parakstīts līgums ar īstenošanas partneri</w:t>
            </w:r>
          </w:p>
          <w:p w14:paraId="1436D967" w14:textId="77777777" w:rsidR="00CB0FCB" w:rsidRDefault="00CB0FCB">
            <w:pPr>
              <w:spacing w:after="0" w:line="240" w:lineRule="auto"/>
              <w:rPr>
                <w:rFonts w:cs="Calibri"/>
                <w:noProof/>
                <w:color w:val="006100"/>
                <w:sz w:val="18"/>
                <w:szCs w:val="18"/>
              </w:rPr>
            </w:pPr>
          </w:p>
          <w:p w14:paraId="173F0D7A" w14:textId="77777777" w:rsidR="00CB0FCB" w:rsidRDefault="00CB0FCB">
            <w:pPr>
              <w:spacing w:after="0" w:line="240" w:lineRule="auto"/>
              <w:rPr>
                <w:rFonts w:eastAsia="Times New Roman" w:cs="Calibri"/>
                <w:noProof/>
                <w:color w:val="006100"/>
                <w:sz w:val="18"/>
                <w:szCs w:val="18"/>
              </w:rPr>
            </w:pPr>
          </w:p>
        </w:tc>
        <w:tc>
          <w:tcPr>
            <w:tcW w:w="899" w:type="dxa"/>
            <w:tcBorders>
              <w:top w:val="single" w:sz="4" w:space="0" w:color="auto"/>
              <w:left w:val="nil"/>
              <w:bottom w:val="single" w:sz="4" w:space="0" w:color="auto"/>
              <w:right w:val="single" w:sz="4" w:space="0" w:color="auto"/>
            </w:tcBorders>
            <w:shd w:val="clear" w:color="auto" w:fill="C6EFCE"/>
            <w:noWrap/>
          </w:tcPr>
          <w:p w14:paraId="68F4B89D"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F5B6130" w14:textId="77777777" w:rsidR="00CB0FCB" w:rsidRDefault="00CB0FCB">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3FAC3578" w14:textId="77777777" w:rsidR="00CB0FCB" w:rsidRDefault="00CB0FCB">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C8C1DED" w14:textId="77777777" w:rsidR="00CB0FCB" w:rsidRDefault="009D2B11">
            <w:pPr>
              <w:pStyle w:val="P68B1DB1-Normal9"/>
              <w:spacing w:after="0" w:line="240" w:lineRule="auto"/>
              <w:rPr>
                <w:rFonts w:eastAsia="Times New Roman"/>
                <w:noProof/>
                <w:szCs w:val="18"/>
              </w:rPr>
            </w:pPr>
            <w:r>
              <w:rPr>
                <w:noProof/>
              </w:rPr>
              <w:t>Q1</w:t>
            </w:r>
          </w:p>
        </w:tc>
        <w:tc>
          <w:tcPr>
            <w:tcW w:w="687" w:type="dxa"/>
            <w:tcBorders>
              <w:top w:val="nil"/>
              <w:left w:val="nil"/>
              <w:bottom w:val="single" w:sz="4" w:space="0" w:color="auto"/>
              <w:right w:val="single" w:sz="4" w:space="0" w:color="auto"/>
            </w:tcBorders>
            <w:shd w:val="clear" w:color="auto" w:fill="C6EFCE"/>
            <w:noWrap/>
          </w:tcPr>
          <w:p w14:paraId="3664E510" w14:textId="77777777" w:rsidR="00CB0FCB" w:rsidRDefault="009D2B11">
            <w:pPr>
              <w:pStyle w:val="P68B1DB1-Normal9"/>
              <w:spacing w:after="0" w:line="240" w:lineRule="auto"/>
              <w:rPr>
                <w:rFonts w:eastAsia="Times New Roman"/>
                <w:noProof/>
                <w:szCs w:val="18"/>
              </w:rPr>
            </w:pPr>
            <w:r>
              <w:rPr>
                <w:noProof/>
              </w:rPr>
              <w:t>2022</w:t>
            </w:r>
          </w:p>
        </w:tc>
        <w:tc>
          <w:tcPr>
            <w:tcW w:w="4332" w:type="dxa"/>
            <w:tcBorders>
              <w:top w:val="single" w:sz="4" w:space="0" w:color="auto"/>
              <w:left w:val="nil"/>
              <w:bottom w:val="single" w:sz="4" w:space="0" w:color="auto"/>
              <w:right w:val="single" w:sz="4" w:space="0" w:color="auto"/>
            </w:tcBorders>
            <w:shd w:val="clear" w:color="auto" w:fill="C6EFCE"/>
            <w:noWrap/>
          </w:tcPr>
          <w:p w14:paraId="57B47A17" w14:textId="77777777" w:rsidR="00CB0FCB" w:rsidRDefault="009D2B11">
            <w:pPr>
              <w:pStyle w:val="P68B1DB1-Normal9"/>
              <w:spacing w:after="0" w:line="240" w:lineRule="auto"/>
              <w:rPr>
                <w:noProof/>
                <w:szCs w:val="18"/>
              </w:rPr>
            </w:pPr>
            <w:r>
              <w:rPr>
                <w:noProof/>
              </w:rPr>
              <w:t>Izsludināti uzaicinājumi uz lauksaimniecības nozares ekonomisko pārveidi:</w:t>
            </w:r>
          </w:p>
          <w:p w14:paraId="41BCB80C" w14:textId="77777777" w:rsidR="00CB0FCB" w:rsidRDefault="009D2B11">
            <w:pPr>
              <w:pStyle w:val="P68B1DB1-Normal9"/>
              <w:spacing w:after="0" w:line="240" w:lineRule="auto"/>
              <w:rPr>
                <w:noProof/>
                <w:szCs w:val="18"/>
              </w:rPr>
            </w:pPr>
            <w:r>
              <w:rPr>
                <w:noProof/>
              </w:rPr>
              <w:t>Uzaicinājumi iesniegt priekšlikumus konkursa kārtībā ar darba uzdevumiem, tostarp atbilstības kritērijiem, kas nodrošina, ka atlasītie projekti atbilst Tehniskajiem norādījumiem “nenodari būtisku kaitējumu” (2021/C58/01), izmantojot izslēgšanas sarakstu un prasību par atbilstību attiecīgajiem ES un valsts tiesību aktiem vides jomā.</w:t>
            </w:r>
          </w:p>
          <w:p w14:paraId="7FED6937" w14:textId="77777777" w:rsidR="00CB0FCB" w:rsidRDefault="00CB0FCB">
            <w:pPr>
              <w:spacing w:after="0" w:line="240" w:lineRule="auto"/>
              <w:rPr>
                <w:noProof/>
                <w:color w:val="006100"/>
                <w:sz w:val="18"/>
                <w:szCs w:val="18"/>
              </w:rPr>
            </w:pPr>
          </w:p>
          <w:p w14:paraId="51EA6069" w14:textId="77777777" w:rsidR="00CB0FCB" w:rsidRDefault="009D2B11">
            <w:pPr>
              <w:pStyle w:val="P68B1DB1-Normal9"/>
              <w:spacing w:after="0" w:line="240" w:lineRule="auto"/>
              <w:rPr>
                <w:rFonts w:eastAsia="Times New Roman"/>
                <w:noProof/>
                <w:szCs w:val="18"/>
              </w:rPr>
            </w:pPr>
            <w:r>
              <w:rPr>
                <w:noProof/>
              </w:rPr>
              <w:t>Uzaicinājumi iesniegt piedāvājumus ietver šādas darbības: darbības, kas saistītas ar ražošanas vienību, ēku un mehāniskā aprīkojuma ar zemu enerģijas patēriņu energomodernizāciju, tūrisma objektu (ēku) energoefektivitātes uzlabošanu, videi draudzīgiem transportlīdzekļiem (elektriskie automobiļi, velosipēdi u. c.), atbalstu videi draudzīgiem ražošanas procesiem un resursu efektivitāti MVU, atjaunojamo enerģiju (saules enerģiju), pielāgošanās klimata pārmaiņām un novēršanas pasākumiem un ar klimatu saistīto risku pārvaldību, bioloģiskās daudzveidības aizsardzību, dabas mantojumu un resursiem.</w:t>
            </w:r>
          </w:p>
        </w:tc>
      </w:tr>
      <w:tr w:rsidR="00CB0FCB" w14:paraId="361EBB4F" w14:textId="77777777">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CFF9191" w14:textId="77777777" w:rsidR="00CB0FCB" w:rsidRDefault="009D2B11">
            <w:pPr>
              <w:pStyle w:val="P68B1DB1-Normal9"/>
              <w:spacing w:after="0" w:line="240" w:lineRule="auto"/>
              <w:rPr>
                <w:rFonts w:eastAsia="Times New Roman"/>
                <w:noProof/>
                <w:szCs w:val="18"/>
              </w:rPr>
            </w:pPr>
            <w:r>
              <w:rPr>
                <w:noProof/>
              </w:rPr>
              <w:t>311</w:t>
            </w:r>
          </w:p>
        </w:tc>
        <w:tc>
          <w:tcPr>
            <w:tcW w:w="1832" w:type="dxa"/>
            <w:tcBorders>
              <w:top w:val="nil"/>
              <w:left w:val="nil"/>
              <w:bottom w:val="single" w:sz="4" w:space="0" w:color="auto"/>
              <w:right w:val="single" w:sz="4" w:space="0" w:color="auto"/>
            </w:tcBorders>
            <w:shd w:val="clear" w:color="auto" w:fill="C6EFCE"/>
            <w:noWrap/>
            <w:hideMark/>
          </w:tcPr>
          <w:p w14:paraId="63801FCC" w14:textId="77777777" w:rsidR="00CB0FCB" w:rsidRDefault="009D2B11">
            <w:pPr>
              <w:pStyle w:val="P68B1DB1-Normal9"/>
              <w:spacing w:after="0" w:line="240" w:lineRule="auto"/>
              <w:rPr>
                <w:rFonts w:eastAsia="Times New Roman"/>
                <w:noProof/>
                <w:szCs w:val="18"/>
              </w:rPr>
            </w:pPr>
            <w:r>
              <w:rPr>
                <w:noProof/>
              </w:rPr>
              <w:t xml:space="preserve"> 17–4.6. Modernizēt un uzlabot galveno ekonomikas nozaru noturību — 16653_Lauksaimniecības un pārtikas nozares digitālā pārveide </w:t>
            </w:r>
          </w:p>
        </w:tc>
        <w:tc>
          <w:tcPr>
            <w:tcW w:w="1589" w:type="dxa"/>
            <w:tcBorders>
              <w:top w:val="nil"/>
              <w:left w:val="nil"/>
              <w:bottom w:val="single" w:sz="4" w:space="0" w:color="auto"/>
              <w:right w:val="single" w:sz="4" w:space="0" w:color="auto"/>
            </w:tcBorders>
            <w:shd w:val="clear" w:color="auto" w:fill="C6EFCE"/>
            <w:noWrap/>
            <w:hideMark/>
          </w:tcPr>
          <w:p w14:paraId="4550B0D2" w14:textId="77777777" w:rsidR="00CB0FCB" w:rsidRDefault="009D2B11">
            <w:pPr>
              <w:pStyle w:val="P68B1DB1-Normal9"/>
              <w:spacing w:after="0" w:line="240" w:lineRule="auto"/>
              <w:rPr>
                <w:rFonts w:eastAsia="Times New Roman"/>
                <w:noProof/>
                <w:szCs w:val="18"/>
              </w:rPr>
            </w:pPr>
            <w:r>
              <w:rPr>
                <w:noProof/>
              </w:rPr>
              <w:t> Atskaites punkts</w:t>
            </w:r>
          </w:p>
        </w:tc>
        <w:tc>
          <w:tcPr>
            <w:tcW w:w="1366" w:type="dxa"/>
            <w:tcBorders>
              <w:top w:val="nil"/>
              <w:left w:val="nil"/>
              <w:bottom w:val="single" w:sz="4" w:space="0" w:color="auto"/>
              <w:right w:val="single" w:sz="4" w:space="0" w:color="auto"/>
            </w:tcBorders>
            <w:shd w:val="clear" w:color="auto" w:fill="C6EFCE"/>
            <w:noWrap/>
            <w:hideMark/>
          </w:tcPr>
          <w:p w14:paraId="439C4EB7" w14:textId="77777777" w:rsidR="00CB0FCB" w:rsidRDefault="009D2B11">
            <w:pPr>
              <w:pStyle w:val="P68B1DB1-Normal9"/>
              <w:spacing w:after="0" w:line="240" w:lineRule="auto"/>
              <w:rPr>
                <w:rFonts w:eastAsia="Times New Roman"/>
                <w:noProof/>
                <w:szCs w:val="18"/>
              </w:rPr>
            </w:pPr>
            <w:r>
              <w:rPr>
                <w:noProof/>
              </w:rPr>
              <w:t xml:space="preserve">Izsludināts uzaicinājums uz lauksaimniecības pārtikas nozares digitālo pārveidi </w:t>
            </w:r>
          </w:p>
        </w:tc>
        <w:tc>
          <w:tcPr>
            <w:tcW w:w="1704" w:type="dxa"/>
            <w:tcBorders>
              <w:top w:val="nil"/>
              <w:left w:val="nil"/>
              <w:bottom w:val="single" w:sz="4" w:space="0" w:color="auto"/>
              <w:right w:val="single" w:sz="4" w:space="0" w:color="auto"/>
            </w:tcBorders>
            <w:shd w:val="clear" w:color="auto" w:fill="C6EFCE"/>
            <w:noWrap/>
            <w:hideMark/>
          </w:tcPr>
          <w:p w14:paraId="5E84A7EF" w14:textId="77777777" w:rsidR="00CB0FCB" w:rsidRDefault="009D2B11">
            <w:pPr>
              <w:pStyle w:val="P68B1DB1-Normal9"/>
              <w:spacing w:after="0" w:line="240" w:lineRule="auto"/>
              <w:rPr>
                <w:rFonts w:eastAsia="Times New Roman"/>
                <w:noProof/>
                <w:szCs w:val="18"/>
              </w:rPr>
            </w:pPr>
            <w:r>
              <w:rPr>
                <w:noProof/>
              </w:rPr>
              <w:t xml:space="preserve">Uzaicinājuma izsludināšana </w:t>
            </w:r>
          </w:p>
        </w:tc>
        <w:tc>
          <w:tcPr>
            <w:tcW w:w="899" w:type="dxa"/>
            <w:tcBorders>
              <w:top w:val="nil"/>
              <w:left w:val="nil"/>
              <w:bottom w:val="single" w:sz="4" w:space="0" w:color="auto"/>
              <w:right w:val="single" w:sz="4" w:space="0" w:color="auto"/>
            </w:tcBorders>
            <w:shd w:val="clear" w:color="auto" w:fill="C6EFCE"/>
            <w:noWrap/>
          </w:tcPr>
          <w:p w14:paraId="222B536B"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32BF04E" w14:textId="77777777" w:rsidR="00CB0FCB" w:rsidRDefault="00CB0FCB">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77AEE8A1" w14:textId="77777777" w:rsidR="00CB0FCB" w:rsidRDefault="00CB0FCB">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hideMark/>
          </w:tcPr>
          <w:p w14:paraId="0C1F51EA" w14:textId="61E108D7" w:rsidR="00CB0FCB" w:rsidRDefault="009D2B11">
            <w:pPr>
              <w:pStyle w:val="P68B1DB1-Normal9"/>
              <w:spacing w:after="0" w:line="240" w:lineRule="auto"/>
              <w:rPr>
                <w:rFonts w:eastAsia="Times New Roman"/>
                <w:noProof/>
                <w:szCs w:val="18"/>
              </w:rPr>
            </w:pPr>
            <w:r>
              <w:rPr>
                <w:noProof/>
              </w:rPr>
              <w:t>CET.</w:t>
            </w:r>
          </w:p>
        </w:tc>
        <w:tc>
          <w:tcPr>
            <w:tcW w:w="687" w:type="dxa"/>
            <w:tcBorders>
              <w:top w:val="nil"/>
              <w:left w:val="nil"/>
              <w:bottom w:val="single" w:sz="4" w:space="0" w:color="auto"/>
              <w:right w:val="single" w:sz="4" w:space="0" w:color="auto"/>
            </w:tcBorders>
            <w:shd w:val="clear" w:color="auto" w:fill="C6EFCE"/>
            <w:noWrap/>
            <w:hideMark/>
          </w:tcPr>
          <w:p w14:paraId="2896475D" w14:textId="77777777" w:rsidR="00CB0FCB" w:rsidRDefault="009D2B11">
            <w:pPr>
              <w:pStyle w:val="P68B1DB1-Normal9"/>
              <w:spacing w:after="0" w:line="240" w:lineRule="auto"/>
              <w:rPr>
                <w:rFonts w:eastAsia="Times New Roman"/>
                <w:noProof/>
                <w:szCs w:val="18"/>
              </w:rPr>
            </w:pPr>
            <w:r>
              <w:rPr>
                <w:noProof/>
              </w:rPr>
              <w:t>2022 </w:t>
            </w:r>
          </w:p>
        </w:tc>
        <w:tc>
          <w:tcPr>
            <w:tcW w:w="4332" w:type="dxa"/>
            <w:tcBorders>
              <w:top w:val="nil"/>
              <w:left w:val="nil"/>
              <w:bottom w:val="single" w:sz="4" w:space="0" w:color="auto"/>
              <w:right w:val="single" w:sz="4" w:space="0" w:color="auto"/>
            </w:tcBorders>
            <w:shd w:val="clear" w:color="auto" w:fill="C6EFCE"/>
            <w:noWrap/>
            <w:hideMark/>
          </w:tcPr>
          <w:p w14:paraId="283C8DF5" w14:textId="77777777" w:rsidR="00CB0FCB" w:rsidRDefault="009D2B11">
            <w:pPr>
              <w:pStyle w:val="P68B1DB1-Normal9"/>
              <w:spacing w:after="0" w:line="240" w:lineRule="auto"/>
              <w:rPr>
                <w:rFonts w:eastAsia="Times New Roman"/>
                <w:noProof/>
                <w:szCs w:val="18"/>
              </w:rPr>
            </w:pPr>
            <w:r>
              <w:rPr>
                <w:noProof/>
              </w:rPr>
              <w:t>Izsludināts uzaicinājums īstenot digitālās pārveides projektu, lai attīstītu plaša mēroga atvērtu digitālo lauksaimniecības infrastruktūru un kognitīvo lauksaimniecības vidi dabas resursu ražošanas procesam un pārvaldībai.</w:t>
            </w:r>
          </w:p>
        </w:tc>
      </w:tr>
      <w:tr w:rsidR="00CB0FCB" w14:paraId="001E4AD8" w14:textId="77777777">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36725CE" w14:textId="77777777" w:rsidR="00CB0FCB" w:rsidRDefault="009D2B11">
            <w:pPr>
              <w:pStyle w:val="P68B1DB1-Normal9"/>
              <w:spacing w:after="0" w:line="240" w:lineRule="auto"/>
              <w:rPr>
                <w:rFonts w:eastAsia="Times New Roman"/>
                <w:noProof/>
                <w:szCs w:val="18"/>
              </w:rPr>
            </w:pPr>
            <w:r>
              <w:rPr>
                <w:noProof/>
              </w:rPr>
              <w:t>313</w:t>
            </w:r>
          </w:p>
        </w:tc>
        <w:tc>
          <w:tcPr>
            <w:tcW w:w="1832" w:type="dxa"/>
            <w:tcBorders>
              <w:top w:val="nil"/>
              <w:left w:val="nil"/>
              <w:bottom w:val="single" w:sz="4" w:space="0" w:color="auto"/>
              <w:right w:val="single" w:sz="4" w:space="0" w:color="auto"/>
            </w:tcBorders>
            <w:shd w:val="clear" w:color="auto" w:fill="C6EFCE"/>
            <w:noWrap/>
            <w:hideMark/>
          </w:tcPr>
          <w:p w14:paraId="47221DD6" w14:textId="77777777" w:rsidR="00CB0FCB" w:rsidRDefault="009D2B11">
            <w:pPr>
              <w:pStyle w:val="P68B1DB1-Normal9"/>
              <w:spacing w:after="0" w:line="240" w:lineRule="auto"/>
              <w:rPr>
                <w:rFonts w:eastAsia="Times New Roman"/>
                <w:noProof/>
                <w:szCs w:val="18"/>
              </w:rPr>
            </w:pPr>
            <w:r>
              <w:rPr>
                <w:noProof/>
              </w:rPr>
              <w:t> 17–4.6. Modernizēt un uzlabot galveno ekonomikas nozaru noturību — 16653_Lauksaimniecības un pārtikas nozares digitālā pārveide</w:t>
            </w:r>
          </w:p>
        </w:tc>
        <w:tc>
          <w:tcPr>
            <w:tcW w:w="1589" w:type="dxa"/>
            <w:tcBorders>
              <w:top w:val="nil"/>
              <w:left w:val="nil"/>
              <w:bottom w:val="single" w:sz="4" w:space="0" w:color="auto"/>
              <w:right w:val="single" w:sz="4" w:space="0" w:color="auto"/>
            </w:tcBorders>
            <w:shd w:val="clear" w:color="auto" w:fill="C6EFCE"/>
            <w:noWrap/>
            <w:hideMark/>
          </w:tcPr>
          <w:p w14:paraId="02DF77F5" w14:textId="77777777" w:rsidR="00CB0FCB" w:rsidRDefault="009D2B11">
            <w:pPr>
              <w:pStyle w:val="P68B1DB1-Normal9"/>
              <w:spacing w:after="0" w:line="240" w:lineRule="auto"/>
              <w:rPr>
                <w:rFonts w:eastAsia="Times New Roman"/>
                <w:noProof/>
                <w:szCs w:val="18"/>
              </w:rPr>
            </w:pPr>
            <w:r>
              <w:rPr>
                <w:noProof/>
              </w:rPr>
              <w:t>Atskaites punkts</w:t>
            </w:r>
          </w:p>
        </w:tc>
        <w:tc>
          <w:tcPr>
            <w:tcW w:w="1366" w:type="dxa"/>
            <w:tcBorders>
              <w:top w:val="nil"/>
              <w:left w:val="nil"/>
              <w:bottom w:val="single" w:sz="4" w:space="0" w:color="auto"/>
              <w:right w:val="single" w:sz="4" w:space="0" w:color="auto"/>
            </w:tcBorders>
            <w:shd w:val="clear" w:color="auto" w:fill="C6EFCE"/>
            <w:noWrap/>
            <w:hideMark/>
          </w:tcPr>
          <w:p w14:paraId="5209A3FB" w14:textId="77777777" w:rsidR="00CB0FCB" w:rsidRDefault="009D2B11">
            <w:pPr>
              <w:pStyle w:val="P68B1DB1-Normal9"/>
              <w:spacing w:after="0" w:line="240" w:lineRule="auto"/>
              <w:rPr>
                <w:rFonts w:eastAsia="Times New Roman"/>
                <w:noProof/>
                <w:szCs w:val="18"/>
              </w:rPr>
            </w:pPr>
            <w:r>
              <w:rPr>
                <w:noProof/>
              </w:rPr>
              <w:t>Lauksaimniecības digitālās pārveides projekta pabeigšana</w:t>
            </w:r>
          </w:p>
        </w:tc>
        <w:tc>
          <w:tcPr>
            <w:tcW w:w="1704" w:type="dxa"/>
            <w:tcBorders>
              <w:top w:val="nil"/>
              <w:left w:val="nil"/>
              <w:bottom w:val="single" w:sz="4" w:space="0" w:color="auto"/>
              <w:right w:val="single" w:sz="4" w:space="0" w:color="auto"/>
            </w:tcBorders>
            <w:shd w:val="clear" w:color="auto" w:fill="C6EFCE"/>
            <w:noWrap/>
            <w:hideMark/>
          </w:tcPr>
          <w:p w14:paraId="56E4B3F1" w14:textId="77777777" w:rsidR="00CB0FCB" w:rsidRDefault="009D2B11">
            <w:pPr>
              <w:pStyle w:val="P68B1DB1-Normal9"/>
              <w:spacing w:after="0" w:line="240" w:lineRule="auto"/>
              <w:rPr>
                <w:rFonts w:eastAsia="Times New Roman"/>
                <w:noProof/>
                <w:szCs w:val="18"/>
              </w:rPr>
            </w:pPr>
            <w:r>
              <w:rPr>
                <w:noProof/>
              </w:rPr>
              <w:t>Nobeiguma ziņojums. Uz āru vērsti lauksaimniecības digitālie pakalpojumi, kas iekļauti Easy Agro Expo platformā.</w:t>
            </w:r>
          </w:p>
        </w:tc>
        <w:tc>
          <w:tcPr>
            <w:tcW w:w="899" w:type="dxa"/>
            <w:tcBorders>
              <w:top w:val="nil"/>
              <w:left w:val="nil"/>
              <w:bottom w:val="single" w:sz="4" w:space="0" w:color="auto"/>
              <w:right w:val="single" w:sz="4" w:space="0" w:color="auto"/>
            </w:tcBorders>
            <w:shd w:val="clear" w:color="auto" w:fill="C6EFCE"/>
            <w:noWrap/>
            <w:hideMark/>
          </w:tcPr>
          <w:p w14:paraId="1ED81AA4"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hideMark/>
          </w:tcPr>
          <w:p w14:paraId="6382C33E" w14:textId="77777777" w:rsidR="00CB0FCB" w:rsidRDefault="00CB0FCB">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hideMark/>
          </w:tcPr>
          <w:p w14:paraId="2A890E2C" w14:textId="77777777" w:rsidR="00CB0FCB" w:rsidRDefault="00CB0FCB">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hideMark/>
          </w:tcPr>
          <w:p w14:paraId="66F16FFF" w14:textId="77777777" w:rsidR="00CB0FCB" w:rsidRDefault="009D2B11">
            <w:pPr>
              <w:pStyle w:val="P68B1DB1-Normal9"/>
              <w:spacing w:after="0" w:line="240" w:lineRule="auto"/>
              <w:rPr>
                <w:rFonts w:eastAsia="Times New Roman"/>
                <w:noProof/>
                <w:szCs w:val="18"/>
              </w:rPr>
            </w:pPr>
            <w:r>
              <w:rPr>
                <w:noProof/>
              </w:rPr>
              <w:t>2. CET.</w:t>
            </w:r>
          </w:p>
        </w:tc>
        <w:tc>
          <w:tcPr>
            <w:tcW w:w="687" w:type="dxa"/>
            <w:tcBorders>
              <w:top w:val="nil"/>
              <w:left w:val="nil"/>
              <w:bottom w:val="single" w:sz="4" w:space="0" w:color="auto"/>
              <w:right w:val="single" w:sz="4" w:space="0" w:color="auto"/>
            </w:tcBorders>
            <w:shd w:val="clear" w:color="auto" w:fill="C6EFCE"/>
            <w:noWrap/>
            <w:hideMark/>
          </w:tcPr>
          <w:p w14:paraId="57626473" w14:textId="77777777" w:rsidR="00CB0FCB" w:rsidRDefault="009D2B11">
            <w:pPr>
              <w:pStyle w:val="P68B1DB1-Normal9"/>
              <w:spacing w:after="0" w:line="240" w:lineRule="auto"/>
              <w:rPr>
                <w:rFonts w:eastAsia="Times New Roman"/>
                <w:noProof/>
                <w:szCs w:val="18"/>
              </w:rPr>
            </w:pPr>
            <w:r>
              <w:rPr>
                <w:noProof/>
              </w:rPr>
              <w:t>2025 </w:t>
            </w:r>
          </w:p>
        </w:tc>
        <w:tc>
          <w:tcPr>
            <w:tcW w:w="4332" w:type="dxa"/>
            <w:tcBorders>
              <w:top w:val="nil"/>
              <w:left w:val="nil"/>
              <w:bottom w:val="single" w:sz="4" w:space="0" w:color="auto"/>
              <w:right w:val="single" w:sz="4" w:space="0" w:color="auto"/>
            </w:tcBorders>
            <w:shd w:val="clear" w:color="auto" w:fill="C6EFCE"/>
            <w:noWrap/>
            <w:hideMark/>
          </w:tcPr>
          <w:p w14:paraId="74B46F4F" w14:textId="77777777" w:rsidR="00CB0FCB" w:rsidRDefault="009D2B11">
            <w:pPr>
              <w:pStyle w:val="P68B1DB1-Normal9"/>
              <w:spacing w:after="0" w:line="240" w:lineRule="auto"/>
              <w:rPr>
                <w:noProof/>
                <w:szCs w:val="18"/>
              </w:rPr>
            </w:pPr>
            <w:r>
              <w:rPr>
                <w:noProof/>
              </w:rPr>
              <w:t>Abu komponentu pabeigšana:</w:t>
            </w:r>
          </w:p>
          <w:p w14:paraId="491F1A3E" w14:textId="77777777" w:rsidR="00CB0FCB" w:rsidRDefault="009D2B11">
            <w:pPr>
              <w:pStyle w:val="P68B1DB1-Normal9"/>
              <w:numPr>
                <w:ilvl w:val="0"/>
                <w:numId w:val="55"/>
              </w:numPr>
              <w:spacing w:before="120" w:after="0" w:line="259" w:lineRule="auto"/>
              <w:ind w:left="476"/>
              <w:contextualSpacing/>
              <w:jc w:val="both"/>
              <w:rPr>
                <w:noProof/>
                <w:szCs w:val="18"/>
              </w:rPr>
            </w:pPr>
            <w:r>
              <w:rPr>
                <w:noProof/>
              </w:rPr>
              <w:t xml:space="preserve">Lauksaimniecības nozares digitālā pārveide, kas ietver plaša mēroga atvērtas digitālas lauksaimniecības infrastruktūras izstrādi, izmantojot mākoņdatošanas (profilakses datošanas) infrastruktūru un Zemes novērošanas (satelīta un gaisa/dronu) datu un daudzdisciplīnu tehnoloģiju liela mēroga apstrādes spējas; </w:t>
            </w:r>
          </w:p>
          <w:p w14:paraId="493E8FC5" w14:textId="77777777" w:rsidR="00CB0FCB" w:rsidRDefault="009D2B11">
            <w:pPr>
              <w:pStyle w:val="P68B1DB1-Normal9"/>
              <w:numPr>
                <w:ilvl w:val="0"/>
                <w:numId w:val="55"/>
              </w:numPr>
              <w:spacing w:before="120" w:after="0" w:line="259" w:lineRule="auto"/>
              <w:ind w:left="476"/>
              <w:contextualSpacing/>
              <w:jc w:val="both"/>
              <w:rPr>
                <w:rFonts w:eastAsia="Times New Roman"/>
                <w:noProof/>
                <w:szCs w:val="18"/>
              </w:rPr>
            </w:pPr>
            <w:r>
              <w:rPr>
                <w:noProof/>
              </w:rPr>
              <w:t>Uz āru vērsta lauksaimniecība, kas ietver Easy Agro Expo platformas uzlabošanu eksporta sertifikātu izsniegšanai, importa un Kopienas iekšējās tirdzniecības datu pārvaldības sistēmas izstrādi, uzņēmējdarbības izpētes sistēmas izstrādi importam un eksportam un produktu veicināšanas portāla Grieķijas lauku saimniecībām uzlabošanu.</w:t>
            </w:r>
          </w:p>
        </w:tc>
      </w:tr>
      <w:tr w:rsidR="00CB0FCB" w14:paraId="6EAA602F" w14:textId="77777777">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529DE84" w14:textId="77777777" w:rsidR="00CB0FCB" w:rsidRDefault="009D2B11">
            <w:pPr>
              <w:pStyle w:val="P68B1DB1-Normal9"/>
              <w:spacing w:after="0" w:line="240" w:lineRule="auto"/>
              <w:rPr>
                <w:rFonts w:eastAsia="Times New Roman"/>
                <w:noProof/>
                <w:szCs w:val="18"/>
              </w:rPr>
            </w:pPr>
            <w:r>
              <w:rPr>
                <w:noProof/>
              </w:rPr>
              <w:t>314</w:t>
            </w:r>
          </w:p>
        </w:tc>
        <w:tc>
          <w:tcPr>
            <w:tcW w:w="1832" w:type="dxa"/>
            <w:tcBorders>
              <w:top w:val="nil"/>
              <w:left w:val="nil"/>
              <w:bottom w:val="single" w:sz="4" w:space="0" w:color="auto"/>
              <w:right w:val="single" w:sz="4" w:space="0" w:color="auto"/>
            </w:tcBorders>
            <w:shd w:val="clear" w:color="auto" w:fill="C6EFCE"/>
            <w:noWrap/>
            <w:hideMark/>
          </w:tcPr>
          <w:p w14:paraId="524A4193" w14:textId="77777777" w:rsidR="00CB0FCB" w:rsidRDefault="009D2B11">
            <w:pPr>
              <w:pStyle w:val="P68B1DB1-Normal9"/>
              <w:spacing w:after="0" w:line="240" w:lineRule="auto"/>
              <w:rPr>
                <w:rFonts w:eastAsia="Times New Roman"/>
                <w:noProof/>
                <w:szCs w:val="18"/>
              </w:rPr>
            </w:pPr>
            <w:r>
              <w:rPr>
                <w:noProof/>
              </w:rPr>
              <w:t>17–4.6. Modernizēt un uzlabot galveno ekonomikas nozaru noturību — 16626_Lauksaimniecības nozares ekonomiskā pārveide</w:t>
            </w:r>
          </w:p>
        </w:tc>
        <w:tc>
          <w:tcPr>
            <w:tcW w:w="1589" w:type="dxa"/>
            <w:tcBorders>
              <w:top w:val="nil"/>
              <w:left w:val="nil"/>
              <w:bottom w:val="single" w:sz="4" w:space="0" w:color="auto"/>
              <w:right w:val="single" w:sz="4" w:space="0" w:color="auto"/>
            </w:tcBorders>
            <w:shd w:val="clear" w:color="auto" w:fill="C6EFCE"/>
            <w:noWrap/>
            <w:hideMark/>
          </w:tcPr>
          <w:p w14:paraId="05C2818B" w14:textId="77777777" w:rsidR="00CB0FCB" w:rsidRDefault="009D2B11">
            <w:pPr>
              <w:pStyle w:val="P68B1DB1-Normal9"/>
              <w:spacing w:after="0" w:line="240" w:lineRule="auto"/>
              <w:rPr>
                <w:rFonts w:eastAsia="Times New Roman"/>
                <w:noProof/>
                <w:szCs w:val="18"/>
              </w:rPr>
            </w:pPr>
            <w:r>
              <w:rPr>
                <w:noProof/>
              </w:rPr>
              <w:t> Atskaites punkts</w:t>
            </w:r>
          </w:p>
        </w:tc>
        <w:tc>
          <w:tcPr>
            <w:tcW w:w="1366" w:type="dxa"/>
            <w:tcBorders>
              <w:top w:val="nil"/>
              <w:left w:val="nil"/>
              <w:bottom w:val="single" w:sz="4" w:space="0" w:color="auto"/>
              <w:right w:val="single" w:sz="4" w:space="0" w:color="auto"/>
            </w:tcBorders>
            <w:shd w:val="clear" w:color="auto" w:fill="C6EFCE"/>
            <w:noWrap/>
            <w:hideMark/>
          </w:tcPr>
          <w:p w14:paraId="11F05C82" w14:textId="77777777" w:rsidR="00CB0FCB" w:rsidRDefault="009D2B11">
            <w:pPr>
              <w:pStyle w:val="P68B1DB1-Normal9"/>
              <w:spacing w:after="0" w:line="240" w:lineRule="auto"/>
              <w:rPr>
                <w:rFonts w:eastAsia="Times New Roman"/>
                <w:noProof/>
                <w:szCs w:val="18"/>
              </w:rPr>
            </w:pPr>
            <w:r>
              <w:rPr>
                <w:noProof/>
              </w:rPr>
              <w:t>Lauksaimniecības ekonomikas pārveides pabeigšana</w:t>
            </w:r>
          </w:p>
        </w:tc>
        <w:tc>
          <w:tcPr>
            <w:tcW w:w="1704" w:type="dxa"/>
            <w:tcBorders>
              <w:top w:val="nil"/>
              <w:left w:val="nil"/>
              <w:bottom w:val="single" w:sz="4" w:space="0" w:color="auto"/>
              <w:right w:val="single" w:sz="4" w:space="0" w:color="auto"/>
            </w:tcBorders>
            <w:shd w:val="clear" w:color="auto" w:fill="C6EFCE"/>
            <w:noWrap/>
            <w:hideMark/>
          </w:tcPr>
          <w:p w14:paraId="4D19A4BE" w14:textId="4B150DBA" w:rsidR="00CB0FCB" w:rsidRDefault="009D2B11">
            <w:pPr>
              <w:pStyle w:val="P68B1DB1-Normal9"/>
              <w:spacing w:after="0" w:line="240" w:lineRule="auto"/>
              <w:rPr>
                <w:rFonts w:eastAsia="Times New Roman"/>
                <w:noProof/>
                <w:szCs w:val="18"/>
              </w:rPr>
            </w:pPr>
            <w:r>
              <w:rPr>
                <w:noProof/>
              </w:rPr>
              <w:t>Projekta slēgšana ar Lauku attīstības ministrijas izsniegtiem revīzijas apliecinājumiem saskaņā ar valsts tiesību aktiem</w:t>
            </w:r>
          </w:p>
        </w:tc>
        <w:tc>
          <w:tcPr>
            <w:tcW w:w="899" w:type="dxa"/>
            <w:tcBorders>
              <w:top w:val="nil"/>
              <w:left w:val="nil"/>
              <w:bottom w:val="single" w:sz="4" w:space="0" w:color="auto"/>
              <w:right w:val="single" w:sz="4" w:space="0" w:color="auto"/>
            </w:tcBorders>
            <w:shd w:val="clear" w:color="auto" w:fill="C6EFCE"/>
            <w:noWrap/>
            <w:hideMark/>
          </w:tcPr>
          <w:p w14:paraId="6BD1EBBB" w14:textId="77777777" w:rsidR="00CB0FCB" w:rsidRDefault="00CB0FCB">
            <w:pPr>
              <w:spacing w:after="0" w:line="240" w:lineRule="auto"/>
              <w:rPr>
                <w:rFonts w:eastAsia="Times New Roman"/>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hideMark/>
          </w:tcPr>
          <w:p w14:paraId="6F4D558C" w14:textId="77777777" w:rsidR="00CB0FCB" w:rsidRDefault="00CB0FCB">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hideMark/>
          </w:tcPr>
          <w:p w14:paraId="04D7DC5E" w14:textId="77777777" w:rsidR="00CB0FCB" w:rsidRDefault="00CB0FCB">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hideMark/>
          </w:tcPr>
          <w:p w14:paraId="682DA30A" w14:textId="77777777" w:rsidR="00CB0FCB" w:rsidRDefault="009D2B11">
            <w:pPr>
              <w:pStyle w:val="P68B1DB1-Normal9"/>
              <w:spacing w:after="0" w:line="240" w:lineRule="auto"/>
              <w:rPr>
                <w:rFonts w:eastAsia="Times New Roman"/>
                <w:noProof/>
                <w:szCs w:val="18"/>
              </w:rPr>
            </w:pPr>
            <w:r>
              <w:rPr>
                <w:noProof/>
              </w:rPr>
              <w:t>4. CET.</w:t>
            </w:r>
          </w:p>
        </w:tc>
        <w:tc>
          <w:tcPr>
            <w:tcW w:w="687" w:type="dxa"/>
            <w:tcBorders>
              <w:top w:val="nil"/>
              <w:left w:val="nil"/>
              <w:bottom w:val="single" w:sz="4" w:space="0" w:color="auto"/>
              <w:right w:val="single" w:sz="4" w:space="0" w:color="auto"/>
            </w:tcBorders>
            <w:shd w:val="clear" w:color="auto" w:fill="C6EFCE"/>
            <w:noWrap/>
            <w:hideMark/>
          </w:tcPr>
          <w:p w14:paraId="39D4ACDF" w14:textId="77777777" w:rsidR="00CB0FCB" w:rsidRDefault="009D2B11">
            <w:pPr>
              <w:pStyle w:val="P68B1DB1-Normal9"/>
              <w:spacing w:after="0" w:line="240" w:lineRule="auto"/>
              <w:rPr>
                <w:rFonts w:eastAsia="Times New Roman"/>
                <w:noProof/>
                <w:szCs w:val="18"/>
              </w:rPr>
            </w:pPr>
            <w:r>
              <w:rPr>
                <w:noProof/>
              </w:rPr>
              <w:t>2025</w:t>
            </w:r>
          </w:p>
        </w:tc>
        <w:tc>
          <w:tcPr>
            <w:tcW w:w="4332" w:type="dxa"/>
            <w:tcBorders>
              <w:top w:val="nil"/>
              <w:left w:val="nil"/>
              <w:bottom w:val="single" w:sz="4" w:space="0" w:color="auto"/>
              <w:right w:val="single" w:sz="4" w:space="0" w:color="auto"/>
            </w:tcBorders>
            <w:shd w:val="clear" w:color="auto" w:fill="C6EFCE"/>
            <w:noWrap/>
            <w:hideMark/>
          </w:tcPr>
          <w:p w14:paraId="2EF8B29E" w14:textId="77777777" w:rsidR="00CB0FCB" w:rsidRDefault="009D2B11">
            <w:pPr>
              <w:pStyle w:val="P68B1DB1-Normal9"/>
              <w:spacing w:before="120" w:after="0" w:line="240" w:lineRule="auto"/>
              <w:jc w:val="both"/>
              <w:rPr>
                <w:noProof/>
                <w:szCs w:val="18"/>
              </w:rPr>
            </w:pPr>
            <w:r>
              <w:rPr>
                <w:noProof/>
              </w:rPr>
              <w:t xml:space="preserve">Ekonomikas pārmaiņas lauksaimniecības nozarē: Visu komponentu finansiālā slēgšana: </w:t>
            </w:r>
          </w:p>
          <w:p w14:paraId="15E91571" w14:textId="77777777" w:rsidR="00CB0FCB" w:rsidRDefault="009D2B11">
            <w:pPr>
              <w:pStyle w:val="P68B1DB1-Normal9"/>
              <w:spacing w:after="0" w:line="259" w:lineRule="auto"/>
              <w:ind w:left="334"/>
              <w:contextualSpacing/>
              <w:rPr>
                <w:noProof/>
                <w:szCs w:val="18"/>
              </w:rPr>
            </w:pPr>
            <w:r>
              <w:rPr>
                <w:noProof/>
              </w:rPr>
              <w:t>1. Inovācija un zaļā pārkārtošanās lauksaimniecības produktu pārstrādē</w:t>
            </w:r>
          </w:p>
          <w:p w14:paraId="29E852D0" w14:textId="77777777" w:rsidR="00CB0FCB" w:rsidRDefault="009D2B11">
            <w:pPr>
              <w:pStyle w:val="P68B1DB1-Normal9"/>
              <w:spacing w:after="0" w:line="259" w:lineRule="auto"/>
              <w:ind w:left="334"/>
              <w:contextualSpacing/>
              <w:rPr>
                <w:noProof/>
                <w:szCs w:val="18"/>
              </w:rPr>
            </w:pPr>
            <w:r>
              <w:rPr>
                <w:noProof/>
              </w:rPr>
              <w:t>2. Primārā sektora modernizācija</w:t>
            </w:r>
          </w:p>
          <w:p w14:paraId="50BDC955" w14:textId="77777777" w:rsidR="00CB0FCB" w:rsidRDefault="009D2B11">
            <w:pPr>
              <w:pStyle w:val="P68B1DB1-Normal9"/>
              <w:spacing w:after="0" w:line="259" w:lineRule="auto"/>
              <w:ind w:left="334"/>
              <w:contextualSpacing/>
              <w:rPr>
                <w:noProof/>
                <w:szCs w:val="18"/>
              </w:rPr>
            </w:pPr>
            <w:r>
              <w:rPr>
                <w:noProof/>
              </w:rPr>
              <w:t>3. Videi draudzīgs lauku tūrisms</w:t>
            </w:r>
          </w:p>
          <w:p w14:paraId="1BE19E91" w14:textId="77777777" w:rsidR="00CB0FCB" w:rsidRDefault="009D2B11">
            <w:pPr>
              <w:pStyle w:val="P68B1DB1-Normal9"/>
              <w:spacing w:after="0" w:line="259" w:lineRule="auto"/>
              <w:ind w:left="334"/>
              <w:contextualSpacing/>
              <w:rPr>
                <w:noProof/>
                <w:szCs w:val="18"/>
              </w:rPr>
            </w:pPr>
            <w:r>
              <w:rPr>
                <w:noProof/>
              </w:rPr>
              <w:t>4. Audzēšanas pārstrukturēšana</w:t>
            </w:r>
          </w:p>
          <w:p w14:paraId="398CEE9A" w14:textId="77777777" w:rsidR="00CB0FCB" w:rsidRDefault="009D2B11">
            <w:pPr>
              <w:pStyle w:val="P68B1DB1-Normal9"/>
              <w:spacing w:after="0" w:line="259" w:lineRule="auto"/>
              <w:ind w:left="334"/>
              <w:contextualSpacing/>
              <w:rPr>
                <w:noProof/>
                <w:szCs w:val="18"/>
              </w:rPr>
            </w:pPr>
            <w:r>
              <w:rPr>
                <w:noProof/>
              </w:rPr>
              <w:t>5. Dzīvnieku ģenētiskā uzlabošana</w:t>
            </w:r>
          </w:p>
        </w:tc>
      </w:tr>
      <w:tr w:rsidR="00CB0FCB" w14:paraId="318639BB" w14:textId="77777777">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1938EDE7" w14:textId="77777777" w:rsidR="00CB0FCB" w:rsidRDefault="009D2B11">
            <w:pPr>
              <w:pStyle w:val="P68B1DB1-Normal9"/>
              <w:spacing w:after="0" w:line="240" w:lineRule="auto"/>
              <w:rPr>
                <w:rFonts w:eastAsia="Times New Roman" w:cs="Calibri"/>
                <w:noProof/>
                <w:szCs w:val="18"/>
              </w:rPr>
            </w:pPr>
            <w:r>
              <w:rPr>
                <w:noProof/>
              </w:rPr>
              <w:t>315</w:t>
            </w:r>
          </w:p>
        </w:tc>
        <w:tc>
          <w:tcPr>
            <w:tcW w:w="1832" w:type="dxa"/>
            <w:tcBorders>
              <w:top w:val="single" w:sz="4" w:space="0" w:color="auto"/>
              <w:left w:val="nil"/>
              <w:bottom w:val="single" w:sz="4" w:space="0" w:color="auto"/>
              <w:right w:val="single" w:sz="4" w:space="0" w:color="auto"/>
            </w:tcBorders>
            <w:shd w:val="clear" w:color="auto" w:fill="C6EFCE"/>
            <w:noWrap/>
          </w:tcPr>
          <w:p w14:paraId="380B7017" w14:textId="77777777" w:rsidR="00CB0FCB" w:rsidRDefault="009D2B11">
            <w:pPr>
              <w:pStyle w:val="P68B1DB1-Normal9"/>
              <w:spacing w:after="0" w:line="240" w:lineRule="auto"/>
              <w:rPr>
                <w:rFonts w:eastAsia="Times New Roman"/>
                <w:noProof/>
                <w:szCs w:val="18"/>
              </w:rPr>
            </w:pPr>
            <w:r>
              <w:rPr>
                <w:noProof/>
              </w:rPr>
              <w:t>17–4.6. Modernizēt un uzlabot galveno ekonomikas nozaru noturību — 16584_Priekšlikumi darbībām akvakultūras nozarē</w:t>
            </w:r>
          </w:p>
        </w:tc>
        <w:tc>
          <w:tcPr>
            <w:tcW w:w="1589" w:type="dxa"/>
            <w:tcBorders>
              <w:top w:val="single" w:sz="4" w:space="0" w:color="auto"/>
              <w:left w:val="nil"/>
              <w:bottom w:val="single" w:sz="4" w:space="0" w:color="auto"/>
              <w:right w:val="single" w:sz="4" w:space="0" w:color="auto"/>
            </w:tcBorders>
            <w:shd w:val="clear" w:color="auto" w:fill="C6EFCE"/>
            <w:noWrap/>
          </w:tcPr>
          <w:p w14:paraId="29D7EC89"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66" w:type="dxa"/>
            <w:tcBorders>
              <w:top w:val="single" w:sz="4" w:space="0" w:color="auto"/>
              <w:left w:val="nil"/>
              <w:bottom w:val="single" w:sz="4" w:space="0" w:color="auto"/>
              <w:right w:val="single" w:sz="4" w:space="0" w:color="auto"/>
            </w:tcBorders>
            <w:shd w:val="clear" w:color="auto" w:fill="C6EFCE"/>
            <w:noWrap/>
          </w:tcPr>
          <w:p w14:paraId="5B9A16DD" w14:textId="77777777" w:rsidR="00CB0FCB" w:rsidRDefault="009D2B11">
            <w:pPr>
              <w:pStyle w:val="P68B1DB1-Normal9"/>
              <w:spacing w:after="0" w:line="240" w:lineRule="auto"/>
              <w:rPr>
                <w:rFonts w:eastAsia="Times New Roman"/>
                <w:noProof/>
                <w:szCs w:val="18"/>
              </w:rPr>
            </w:pPr>
            <w:r>
              <w:rPr>
                <w:noProof/>
              </w:rPr>
              <w:t>Pabeigta akvakultūra</w:t>
            </w:r>
          </w:p>
        </w:tc>
        <w:tc>
          <w:tcPr>
            <w:tcW w:w="1704" w:type="dxa"/>
            <w:tcBorders>
              <w:top w:val="single" w:sz="4" w:space="0" w:color="auto"/>
              <w:left w:val="nil"/>
              <w:bottom w:val="single" w:sz="4" w:space="0" w:color="auto"/>
              <w:right w:val="single" w:sz="4" w:space="0" w:color="auto"/>
            </w:tcBorders>
            <w:shd w:val="clear" w:color="auto" w:fill="C6EFCE"/>
            <w:noWrap/>
          </w:tcPr>
          <w:p w14:paraId="416C06FC" w14:textId="01BC79C2" w:rsidR="00CB0FCB" w:rsidRDefault="009D2B11">
            <w:pPr>
              <w:pStyle w:val="P68B1DB1-Normal9"/>
              <w:spacing w:after="0" w:line="240" w:lineRule="auto"/>
              <w:rPr>
                <w:rFonts w:eastAsia="Times New Roman"/>
                <w:noProof/>
                <w:szCs w:val="18"/>
              </w:rPr>
            </w:pPr>
            <w:r>
              <w:rPr>
                <w:noProof/>
              </w:rPr>
              <w:t>Visu apakšprojektu pabeigšanas sertifikāts(-i) saskaņā ar valsts tiesību aktiem</w:t>
            </w:r>
          </w:p>
        </w:tc>
        <w:tc>
          <w:tcPr>
            <w:tcW w:w="899" w:type="dxa"/>
            <w:tcBorders>
              <w:top w:val="single" w:sz="4" w:space="0" w:color="auto"/>
              <w:left w:val="nil"/>
              <w:bottom w:val="single" w:sz="4" w:space="0" w:color="auto"/>
              <w:right w:val="single" w:sz="4" w:space="0" w:color="auto"/>
            </w:tcBorders>
            <w:shd w:val="clear" w:color="auto" w:fill="C6EFCE"/>
            <w:noWrap/>
          </w:tcPr>
          <w:p w14:paraId="6854BE32" w14:textId="77777777" w:rsidR="00CB0FCB" w:rsidRDefault="00CB0FCB">
            <w:pPr>
              <w:spacing w:before="120"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6117D67" w14:textId="77777777" w:rsidR="00CB0FCB" w:rsidRDefault="00CB0FCB">
            <w:pPr>
              <w:spacing w:after="0" w:line="240" w:lineRule="auto"/>
              <w:rPr>
                <w:rFonts w:eastAsia="Times New Roman"/>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380487D9" w14:textId="77777777" w:rsidR="00CB0FCB" w:rsidRDefault="00CB0FCB">
            <w:pPr>
              <w:spacing w:after="0" w:line="240" w:lineRule="auto"/>
              <w:rPr>
                <w:rFonts w:eastAsia="Times New Roman"/>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0DC68D9" w14:textId="77777777" w:rsidR="00CB0FCB" w:rsidRDefault="009D2B11">
            <w:pPr>
              <w:pStyle w:val="P68B1DB1-Normal9"/>
              <w:spacing w:after="0" w:line="240" w:lineRule="auto"/>
              <w:rPr>
                <w:rFonts w:eastAsia="Times New Roman"/>
                <w:noProof/>
                <w:szCs w:val="18"/>
              </w:rPr>
            </w:pPr>
            <w:r>
              <w:rPr>
                <w:noProof/>
              </w:rPr>
              <w:t>4. CET.</w:t>
            </w:r>
          </w:p>
        </w:tc>
        <w:tc>
          <w:tcPr>
            <w:tcW w:w="687" w:type="dxa"/>
            <w:tcBorders>
              <w:top w:val="single" w:sz="4" w:space="0" w:color="auto"/>
              <w:left w:val="nil"/>
              <w:bottom w:val="single" w:sz="4" w:space="0" w:color="auto"/>
              <w:right w:val="single" w:sz="4" w:space="0" w:color="auto"/>
            </w:tcBorders>
            <w:shd w:val="clear" w:color="auto" w:fill="C6EFCE"/>
            <w:noWrap/>
          </w:tcPr>
          <w:p w14:paraId="42AF1E94" w14:textId="77777777" w:rsidR="00CB0FCB" w:rsidRDefault="009D2B11">
            <w:pPr>
              <w:pStyle w:val="P68B1DB1-Normal9"/>
              <w:spacing w:after="0" w:line="240" w:lineRule="auto"/>
              <w:rPr>
                <w:rFonts w:eastAsia="Times New Roman"/>
                <w:noProof/>
                <w:szCs w:val="18"/>
              </w:rPr>
            </w:pPr>
            <w:r>
              <w:rPr>
                <w:noProof/>
              </w:rPr>
              <w:t>2025</w:t>
            </w:r>
          </w:p>
        </w:tc>
        <w:tc>
          <w:tcPr>
            <w:tcW w:w="4332" w:type="dxa"/>
            <w:tcBorders>
              <w:top w:val="single" w:sz="4" w:space="0" w:color="auto"/>
              <w:left w:val="nil"/>
              <w:bottom w:val="single" w:sz="4" w:space="0" w:color="auto"/>
              <w:right w:val="single" w:sz="4" w:space="0" w:color="auto"/>
            </w:tcBorders>
            <w:shd w:val="clear" w:color="auto" w:fill="C6EFCE"/>
            <w:noWrap/>
          </w:tcPr>
          <w:p w14:paraId="5334F41F" w14:textId="77777777" w:rsidR="00CB0FCB" w:rsidRDefault="009D2B11">
            <w:pPr>
              <w:pStyle w:val="P68B1DB1-Normal9"/>
              <w:spacing w:after="0" w:line="240" w:lineRule="auto"/>
              <w:rPr>
                <w:noProof/>
                <w:szCs w:val="18"/>
              </w:rPr>
            </w:pPr>
            <w:r>
              <w:rPr>
                <w:noProof/>
              </w:rPr>
              <w:t>Akvakultūra: Visas pabeigtās darbības, kas ietver ražošanas vienību, iekārtu, atkritumu apsaimniekošanas iekārtu modernizāciju, jaunas tehnoloģijas-IKT, jaunu produktu popularizēšanu, zinātības nodošanu, ģenētiskā materiāla banku, ekspertu konsultācijas.</w:t>
            </w:r>
          </w:p>
        </w:tc>
      </w:tr>
      <w:tr w:rsidR="00CB0FCB" w14:paraId="5E9FA4C7" w14:textId="77777777">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05618711" w14:textId="77777777" w:rsidR="00CB0FCB" w:rsidRDefault="009D2B11">
            <w:pPr>
              <w:pStyle w:val="P68B1DB1-Normal9"/>
              <w:spacing w:after="0" w:line="240" w:lineRule="auto"/>
              <w:rPr>
                <w:rFonts w:eastAsia="Times New Roman" w:cs="Calibri"/>
                <w:noProof/>
                <w:szCs w:val="18"/>
              </w:rPr>
            </w:pPr>
            <w:r>
              <w:rPr>
                <w:noProof/>
              </w:rPr>
              <w:t>316</w:t>
            </w:r>
          </w:p>
        </w:tc>
        <w:tc>
          <w:tcPr>
            <w:tcW w:w="1832" w:type="dxa"/>
            <w:tcBorders>
              <w:top w:val="single" w:sz="4" w:space="0" w:color="auto"/>
              <w:left w:val="nil"/>
              <w:bottom w:val="single" w:sz="4" w:space="0" w:color="auto"/>
              <w:right w:val="single" w:sz="4" w:space="0" w:color="auto"/>
            </w:tcBorders>
            <w:shd w:val="clear" w:color="auto" w:fill="C6EFCE"/>
            <w:noWrap/>
          </w:tcPr>
          <w:p w14:paraId="09873946" w14:textId="77777777" w:rsidR="00CB0FCB" w:rsidRDefault="009D2B11">
            <w:pPr>
              <w:pStyle w:val="P68B1DB1-Normal9"/>
              <w:spacing w:after="0" w:line="240" w:lineRule="auto"/>
              <w:rPr>
                <w:rFonts w:eastAsia="Times New Roman"/>
                <w:noProof/>
                <w:szCs w:val="18"/>
              </w:rPr>
            </w:pPr>
            <w:r>
              <w:rPr>
                <w:noProof/>
              </w:rPr>
              <w:t>4–1.4. Resursu ilgtspējīga izmantošana, klimatnoturība un vides aizsardzība — 16285_Ieguldījumi valsts apūdeņošanas tīklā, izmantojot PPP shēmas</w:t>
            </w:r>
          </w:p>
        </w:tc>
        <w:tc>
          <w:tcPr>
            <w:tcW w:w="1589" w:type="dxa"/>
            <w:tcBorders>
              <w:top w:val="single" w:sz="4" w:space="0" w:color="auto"/>
              <w:left w:val="nil"/>
              <w:bottom w:val="single" w:sz="4" w:space="0" w:color="auto"/>
              <w:right w:val="single" w:sz="4" w:space="0" w:color="auto"/>
            </w:tcBorders>
            <w:shd w:val="clear" w:color="auto" w:fill="C6EFCE"/>
            <w:noWrap/>
          </w:tcPr>
          <w:p w14:paraId="23ACD858" w14:textId="77777777" w:rsidR="00CB0FCB" w:rsidRDefault="009D2B11">
            <w:pPr>
              <w:pStyle w:val="P68B1DB1-Normal9"/>
              <w:spacing w:after="0" w:line="240" w:lineRule="auto"/>
              <w:rPr>
                <w:rFonts w:eastAsia="Times New Roman"/>
                <w:noProof/>
                <w:szCs w:val="18"/>
              </w:rPr>
            </w:pPr>
            <w:r>
              <w:rPr>
                <w:noProof/>
              </w:rPr>
              <w:t>Atskaites punkts</w:t>
            </w:r>
          </w:p>
        </w:tc>
        <w:tc>
          <w:tcPr>
            <w:tcW w:w="1366" w:type="dxa"/>
            <w:tcBorders>
              <w:top w:val="single" w:sz="4" w:space="0" w:color="auto"/>
              <w:left w:val="nil"/>
              <w:bottom w:val="single" w:sz="4" w:space="0" w:color="auto"/>
              <w:right w:val="single" w:sz="4" w:space="0" w:color="auto"/>
            </w:tcBorders>
            <w:shd w:val="clear" w:color="auto" w:fill="C6EFCE"/>
            <w:noWrap/>
          </w:tcPr>
          <w:p w14:paraId="38F47E5D" w14:textId="77777777" w:rsidR="00CB0FCB" w:rsidRDefault="009D2B11">
            <w:pPr>
              <w:pStyle w:val="P68B1DB1-Normal9"/>
              <w:spacing w:after="0" w:line="240" w:lineRule="auto"/>
              <w:rPr>
                <w:rFonts w:eastAsia="Times New Roman"/>
                <w:noProof/>
                <w:szCs w:val="18"/>
              </w:rPr>
            </w:pPr>
            <w:r>
              <w:rPr>
                <w:noProof/>
              </w:rPr>
              <w:t>Apūdeņošanas pabeigšana</w:t>
            </w:r>
          </w:p>
        </w:tc>
        <w:tc>
          <w:tcPr>
            <w:tcW w:w="1704" w:type="dxa"/>
            <w:tcBorders>
              <w:top w:val="single" w:sz="4" w:space="0" w:color="auto"/>
              <w:left w:val="nil"/>
              <w:bottom w:val="single" w:sz="4" w:space="0" w:color="auto"/>
              <w:right w:val="single" w:sz="4" w:space="0" w:color="auto"/>
            </w:tcBorders>
            <w:shd w:val="clear" w:color="auto" w:fill="C6EFCE"/>
            <w:noWrap/>
          </w:tcPr>
          <w:p w14:paraId="16A079D3" w14:textId="3697AB25" w:rsidR="00CB0FCB" w:rsidRDefault="009D2B11">
            <w:pPr>
              <w:pStyle w:val="P68B1DB1-Normal10"/>
              <w:spacing w:after="0" w:line="240" w:lineRule="auto"/>
              <w:rPr>
                <w:rFonts w:eastAsia="Times New Roman" w:cs="Calibri"/>
                <w:noProof/>
              </w:rPr>
            </w:pPr>
            <w:r>
              <w:rPr>
                <w:noProof/>
              </w:rPr>
              <w:t>Projektu pabeigšana</w:t>
            </w:r>
          </w:p>
        </w:tc>
        <w:tc>
          <w:tcPr>
            <w:tcW w:w="899" w:type="dxa"/>
            <w:tcBorders>
              <w:top w:val="single" w:sz="4" w:space="0" w:color="auto"/>
              <w:left w:val="nil"/>
              <w:bottom w:val="single" w:sz="4" w:space="0" w:color="auto"/>
              <w:right w:val="single" w:sz="4" w:space="0" w:color="auto"/>
            </w:tcBorders>
            <w:shd w:val="clear" w:color="auto" w:fill="C6EFCE"/>
            <w:noWrap/>
          </w:tcPr>
          <w:p w14:paraId="256E446F"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2441352" w14:textId="77777777" w:rsidR="00CB0FCB" w:rsidRDefault="00CB0FCB">
            <w:pPr>
              <w:spacing w:after="0" w:line="240" w:lineRule="auto"/>
              <w:rPr>
                <w:rFonts w:eastAsia="Times New Roman"/>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8A5DEB8" w14:textId="77777777" w:rsidR="00CB0FCB" w:rsidRDefault="00CB0FCB">
            <w:pPr>
              <w:spacing w:after="0" w:line="240" w:lineRule="auto"/>
              <w:rPr>
                <w:rFonts w:eastAsia="Times New Roman"/>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E5E1FF1" w14:textId="77777777" w:rsidR="00CB0FCB" w:rsidRDefault="009D2B11">
            <w:pPr>
              <w:pStyle w:val="P68B1DB1-Normal9"/>
              <w:spacing w:after="0" w:line="240" w:lineRule="auto"/>
              <w:rPr>
                <w:rFonts w:eastAsia="Times New Roman"/>
                <w:noProof/>
                <w:szCs w:val="18"/>
              </w:rPr>
            </w:pPr>
            <w:r>
              <w:rPr>
                <w:noProof/>
              </w:rPr>
              <w:t>4. CET.</w:t>
            </w:r>
          </w:p>
        </w:tc>
        <w:tc>
          <w:tcPr>
            <w:tcW w:w="687" w:type="dxa"/>
            <w:tcBorders>
              <w:top w:val="single" w:sz="4" w:space="0" w:color="auto"/>
              <w:left w:val="nil"/>
              <w:bottom w:val="single" w:sz="4" w:space="0" w:color="auto"/>
              <w:right w:val="single" w:sz="4" w:space="0" w:color="auto"/>
            </w:tcBorders>
            <w:shd w:val="clear" w:color="auto" w:fill="C6EFCE"/>
            <w:noWrap/>
          </w:tcPr>
          <w:p w14:paraId="2BFC5E5B" w14:textId="77777777" w:rsidR="00CB0FCB" w:rsidRDefault="009D2B11">
            <w:pPr>
              <w:pStyle w:val="P68B1DB1-Normal9"/>
              <w:spacing w:after="0" w:line="240" w:lineRule="auto"/>
              <w:rPr>
                <w:rFonts w:eastAsia="Times New Roman"/>
                <w:noProof/>
                <w:szCs w:val="18"/>
              </w:rPr>
            </w:pPr>
            <w:r>
              <w:rPr>
                <w:noProof/>
              </w:rPr>
              <w:t>2025</w:t>
            </w:r>
          </w:p>
        </w:tc>
        <w:tc>
          <w:tcPr>
            <w:tcW w:w="4332" w:type="dxa"/>
            <w:tcBorders>
              <w:top w:val="single" w:sz="4" w:space="0" w:color="auto"/>
              <w:left w:val="nil"/>
              <w:bottom w:val="single" w:sz="4" w:space="0" w:color="auto"/>
              <w:right w:val="single" w:sz="4" w:space="0" w:color="auto"/>
            </w:tcBorders>
            <w:shd w:val="clear" w:color="auto" w:fill="C6EFCE"/>
            <w:noWrap/>
          </w:tcPr>
          <w:p w14:paraId="0BBCA201" w14:textId="738D6F9A" w:rsidR="00CB0FCB" w:rsidRDefault="009D2B11">
            <w:pPr>
              <w:pStyle w:val="P68B1DB1-Normal10"/>
              <w:spacing w:after="0" w:line="240" w:lineRule="auto"/>
              <w:rPr>
                <w:noProof/>
              </w:rPr>
            </w:pPr>
            <w:r>
              <w:rPr>
                <w:noProof/>
              </w:rPr>
              <w:t>Apūdeņošana: Pabeigti visi pieci projekti.</w:t>
            </w:r>
          </w:p>
        </w:tc>
      </w:tr>
    </w:tbl>
    <w:p w14:paraId="2D814AC6" w14:textId="77777777" w:rsidR="00CB0FCB" w:rsidRDefault="00CB0FCB">
      <w:pPr>
        <w:spacing w:before="120" w:after="120" w:line="240" w:lineRule="auto"/>
        <w:ind w:left="709"/>
        <w:jc w:val="both"/>
        <w:rPr>
          <w:rFonts w:ascii="Times New Roman" w:hAnsi="Times New Roman" w:cs="Times New Roman"/>
          <w:noProof/>
          <w:sz w:val="24"/>
          <w:szCs w:val="24"/>
        </w:rPr>
      </w:pPr>
    </w:p>
    <w:p w14:paraId="3077A1E0"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295"/>
          <w:headerReference w:type="default" r:id="rId296"/>
          <w:footerReference w:type="even" r:id="rId297"/>
          <w:footerReference w:type="default" r:id="rId298"/>
          <w:headerReference w:type="first" r:id="rId299"/>
          <w:footerReference w:type="first" r:id="rId300"/>
          <w:pgSz w:w="16839" w:h="11907" w:orient="landscape"/>
          <w:pgMar w:top="720" w:right="720" w:bottom="720" w:left="720" w:header="709" w:footer="501" w:gutter="0"/>
          <w:cols w:space="720"/>
          <w:docGrid w:linePitch="360"/>
        </w:sectPr>
      </w:pPr>
    </w:p>
    <w:p w14:paraId="7889D853" w14:textId="77777777" w:rsidR="00CB0FCB" w:rsidRDefault="009D2B11">
      <w:pPr>
        <w:pStyle w:val="P68B1DB1-Normal2"/>
        <w:spacing w:before="120" w:after="120" w:line="240" w:lineRule="auto"/>
        <w:ind w:firstLine="6"/>
        <w:jc w:val="both"/>
        <w:outlineLvl w:val="3"/>
        <w:rPr>
          <w:rFonts w:cs="Times New Roman"/>
          <w:bCs/>
          <w:noProof/>
        </w:rPr>
      </w:pPr>
      <w:r>
        <w:rPr>
          <w:noProof/>
        </w:rPr>
        <w:t>R. 4.7. KOMPONENTS: UZLABOT KONKURĒTSPĒJU UN VEICINĀT PRIVĀTOS IEGULDĪJUMUS UN EKSPORTU</w:t>
      </w:r>
    </w:p>
    <w:p w14:paraId="5B3CF311" w14:textId="77777777" w:rsidR="00CB0FCB" w:rsidRDefault="009D2B11">
      <w:pPr>
        <w:pStyle w:val="P68B1DB1-Normal4"/>
        <w:spacing w:before="120" w:after="120" w:line="240" w:lineRule="auto"/>
        <w:jc w:val="both"/>
        <w:rPr>
          <w:rFonts w:cs="Times New Roman"/>
          <w:noProof/>
        </w:rPr>
      </w:pPr>
      <w:r>
        <w:rPr>
          <w:noProof/>
        </w:rPr>
        <w:t>Šā Grieķijas atveseļošanas un noturības plāna komponenta mērķis ir stimulēt privātās investīcijas un palielināt ekonomisko distroversiju, risinot ilgtermiņa strukturālus jautājumus un radot uzņēmējdarbības vidi, kas veicina saimnieciskās darbības attīstību. To veido pasākumi, kuru mērķis ir veicināt uzņēmumu lieluma pieaugumu, lai panāktu apjomradītus ietaupījumus un palīdzētu tiem iekļūt ārvalstu tirgos, atcelt pārmērīgu administratīvo slogu uzņēmumiem, veicināt atbilstību un vienlīdzīgus konkurences apstākļus, izmantojot efektīvu tirgus uzraudzību, un radīt vienkāršāku un paredzamāku tiesisko regulējumu. Šos pasākumus papildina priekšlikums izmantot aizdevumu atbalstu saskaņā ar Atveseļošanas un noturības mehānismu, lai atvieglotu finansiālu stimulu sniegšanu privātajam sektoram nolūkā veicināt privātās investīcijas. Paredzams, ka šis aizdevumu atbalsts tiks novirzīts ekonomikai, izmantojot trīs dažādus kanālus, proti, finanšu iestādes (izmantojot uzņēmumu obligāciju iegādi vai sindicētos aizdevumus), pašu kapitāla platformu un Grieķijas InvestEU valsts nodalījuma daļas izmantošanu. Komponents palīdz īstenot konkrētai valstij adresēto ieteikumu par publiskajām un privātajām investīcijām (2020. gada konkrētai valstij adresētais ieteikums Nr. 3 un 2019. gada konkrētai valstij adresētais ieteikums Nr. 2). Paredzams, ka neviens pasākums šajā komponentā nenodarīs būtisku kaitējumu vides mērķiem Regulas (ES) 2020/852 17. panta nozīmē, ņemot vērā atveseļošanas un noturības plānā izklāstīto pasākumu un mazināšanas pasākumu aprakstu saskaņā ar Tehniskajiem norādījumiem “nenodarīt būtisku kaitējumu” (2021/C58/01).</w:t>
      </w:r>
    </w:p>
    <w:p w14:paraId="4C45CA63" w14:textId="77777777" w:rsidR="00CB0FCB" w:rsidRDefault="009D2B11">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R.1. </w:t>
      </w:r>
      <w:r>
        <w:rPr>
          <w:noProof/>
        </w:rPr>
        <w:t xml:space="preserve"> </w:t>
      </w:r>
      <w:r>
        <w:rPr>
          <w:rFonts w:ascii="Times New Roman" w:hAnsi="Times New Roman"/>
          <w:b/>
          <w:noProof/>
          <w:sz w:val="24"/>
          <w:u w:val="single"/>
        </w:rPr>
        <w:t>Reformu un investīciju apraksts neatmaksājamam finansiālajam atbalstam</w:t>
      </w:r>
    </w:p>
    <w:p w14:paraId="2C72116E"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Darbības uzņēmējdarbības vides vienkāršošanai un tās kvalitātes un drošības uzlabošanai (pasākums ID 16543)</w:t>
      </w:r>
    </w:p>
    <w:p w14:paraId="2F137E28" w14:textId="2E1AF79E" w:rsidR="00CB0FCB" w:rsidRDefault="009D2B11">
      <w:pPr>
        <w:pStyle w:val="P68B1DB1-Normal11"/>
        <w:spacing w:before="120" w:after="120" w:line="240" w:lineRule="auto"/>
        <w:jc w:val="both"/>
        <w:rPr>
          <w:rFonts w:ascii="Times New Roman" w:hAnsi="Times New Roman" w:cs="Times New Roman"/>
          <w:noProof/>
        </w:rPr>
      </w:pPr>
      <w:r>
        <w:rPr>
          <w:rFonts w:ascii="Times New Roman" w:hAnsi="Times New Roman"/>
          <w:noProof/>
        </w:rPr>
        <w:t xml:space="preserve">Reformas mērķis ir radīt pievilcīgu uzņēmējdarbības vidi, kas veicina ieguldījumus, atvieglot uzņēmumu ienākšanu tirgū un darbvietu radīšanu, kā arī nodrošināt efektīvu tirgus uzraudzību. Reforma ietver pasākumu kopumu, lai vienkāršotu procedūras un prasības attiecībā uz uzņēmējdarbību, vienlaikus uzlabojot regulatīvo noteiktību un kvalitāti, proti, paplašinot ieguldījumu licencēšanas procedūru vienkāršošanu, attiecinot to arī uz papildu saimnieciskajām darbībām, pārskatot tiesisko regulējumu attiecībā uz ražošanas darbību Atikas reģionā un administratīvi kodificējot sadrumstalotos licencēšanas tiesību aktus ( </w:t>
      </w:r>
      <w:r>
        <w:rPr>
          <w:rFonts w:ascii="Times New Roman" w:hAnsi="Times New Roman" w:cs="Times New Roman"/>
          <w:i/>
          <w:noProof/>
          <w:szCs w:val="24"/>
        </w:rPr>
        <w:t>Διοικητική κθδικοποίηση</w:t>
      </w:r>
      <w:r>
        <w:rPr>
          <w:rFonts w:ascii="Times New Roman" w:hAnsi="Times New Roman" w:cs="Times New Roman"/>
          <w:noProof/>
          <w:szCs w:val="24"/>
        </w:rPr>
        <w:t xml:space="preserve">). </w:t>
      </w:r>
      <w:r>
        <w:rPr>
          <w:rFonts w:ascii="Times New Roman" w:hAnsi="Times New Roman"/>
          <w:noProof/>
        </w:rPr>
        <w:t>Reforma ietver arī darbības tirgus uzraudzības sistēmas uzlabošanai, proti, pārskatot standartizācijas, akreditācijas un atbilstības kvalitātes politiku, stiprinot tirgus uzraudzības struktūras un atbildīgās iestādes un paplašinot uzraudzības sistēmu uz jaunām inspekcijas jomām. Reformas īstenošanu pabeidz līdz 2025. gada 31. decembrim.</w:t>
      </w:r>
    </w:p>
    <w:p w14:paraId="19DB8C2A"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Uzņēmējdarbības vienkāršība (pasākums ID 16591)</w:t>
      </w:r>
    </w:p>
    <w:p w14:paraId="720BEB09" w14:textId="1B946A61" w:rsidR="00CB0FCB" w:rsidRDefault="009D2B11">
      <w:pPr>
        <w:pStyle w:val="P68B1DB1-Normal4"/>
        <w:spacing w:before="120" w:after="120" w:line="240" w:lineRule="auto"/>
        <w:jc w:val="both"/>
        <w:rPr>
          <w:b/>
          <w:noProof/>
        </w:rPr>
        <w:sectPr w:rsidR="00CB0FCB" w:rsidSect="00271D33">
          <w:headerReference w:type="even" r:id="rId301"/>
          <w:headerReference w:type="default" r:id="rId302"/>
          <w:footerReference w:type="even" r:id="rId303"/>
          <w:footerReference w:type="default" r:id="rId304"/>
          <w:headerReference w:type="first" r:id="rId305"/>
          <w:footerReference w:type="first" r:id="rId306"/>
          <w:pgSz w:w="11907" w:h="16839"/>
          <w:pgMar w:top="1134" w:right="1417" w:bottom="1134" w:left="1417" w:header="709" w:footer="327" w:gutter="0"/>
          <w:cols w:space="720"/>
          <w:docGrid w:linePitch="360"/>
        </w:sectPr>
      </w:pPr>
      <w:r>
        <w:rPr>
          <w:noProof/>
        </w:rPr>
        <w:t>Reformas mērķis ir uzlabot uzņēmējdarbības vidi un atvieglot administratīvo un regulatīvo slogu uzņēmumiem. Reformas mērķis ir arī uzlabot Grieķijas klasifikāciju starptautiskajos rādītājos, jo īpaši Pasaules Bankas “Doing Business” rādītājos, proti, saņemt kredītu, saņemt elektroenerģiju, reģistrēt īpašumu un saņemt būvniecības atļauju, samazinot procedūras, laiku un izmaksas un nodrošinot stabilu un paredzamu tiesisko regulējumu. Konkrētāk, tas ietver virkni intervences pasākumu, kuru mērķis ir samazināt procesu sarežģītību, izmaksas un laiku, kas saistīts ar katru no iepriekš minētajām jomām, kā arī šādos procesos iesaistītā publiskā sektora personāla apmācību un informēšanas pasākumus galvenajām ieinteresētajām personām. Reformas īstenošanu pabeidz līdz 2024. gada 30. jūnijam.</w:t>
      </w:r>
    </w:p>
    <w:p w14:paraId="4E44A7D6" w14:textId="77777777" w:rsidR="00CB0FCB" w:rsidRDefault="009D2B11">
      <w:pPr>
        <w:pStyle w:val="P68B1DB1-Normal4"/>
        <w:spacing w:before="120" w:after="120" w:line="240" w:lineRule="auto"/>
        <w:jc w:val="both"/>
        <w:rPr>
          <w:rFonts w:cs="Times New Roman"/>
          <w:noProof/>
        </w:rPr>
      </w:pPr>
      <w:r>
        <w:rPr>
          <w:b/>
          <w:noProof/>
        </w:rPr>
        <w:t>Reforma:</w:t>
      </w:r>
      <w:r>
        <w:rPr>
          <w:noProof/>
        </w:rPr>
        <w:t xml:space="preserve"> Stimulēšanas režīms attiecībā uz ražīgumu un uzņēmumu ekstroversiju (uzņēmumu lieluma palielināšana) (pasākums ID 16598)</w:t>
      </w:r>
    </w:p>
    <w:p w14:paraId="3AE7A86A" w14:textId="77777777" w:rsidR="00CB0FCB" w:rsidRDefault="009D2B11">
      <w:pPr>
        <w:pStyle w:val="P68B1DB1-Normal4"/>
        <w:spacing w:before="120" w:after="120" w:line="240" w:lineRule="auto"/>
        <w:jc w:val="both"/>
        <w:rPr>
          <w:rFonts w:cs="Times New Roman"/>
          <w:noProof/>
        </w:rPr>
      </w:pPr>
      <w:r>
        <w:rPr>
          <w:noProof/>
        </w:rPr>
        <w:t>Reformas mērķis ir novērst trūkumus, kas saistīti ar to, ka Grieķijas uzņēmumi pārsvarā ir nelieli. Tā rada virkni nodokļu un citu stimulu, lai mudinātu pašnodarbinātas personas un mikrouzņēmumus, mazos un vidējos uzņēmumus palielināt apjomradītus ietaupījumus, izmantojot apvienošanos, pārveidi, pārņemšanu un sadarbības shēmas un platformas, piemēram, kopuzņēmumus, kopas, kas arī veicina augstāku ražīgumu un lielāku eksportu. Reformas īstenošanu pabeidz līdz 2022. gada 31. martam.</w:t>
      </w:r>
    </w:p>
    <w:p w14:paraId="6434C505" w14:textId="77777777" w:rsidR="00CB0FCB" w:rsidRDefault="009D2B11">
      <w:pPr>
        <w:pStyle w:val="P68B1DB1-Normal44"/>
        <w:spacing w:before="120" w:after="120" w:line="240" w:lineRule="auto"/>
        <w:ind w:left="709"/>
        <w:jc w:val="both"/>
        <w:rPr>
          <w:rFonts w:cs="Times New Roman"/>
          <w:noProof/>
        </w:rPr>
      </w:pPr>
      <w:r>
        <w:rPr>
          <w:noProof/>
        </w:rPr>
        <w:t>.</w:t>
      </w:r>
    </w:p>
    <w:p w14:paraId="57773AD7"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307"/>
          <w:headerReference w:type="default" r:id="rId308"/>
          <w:footerReference w:type="even" r:id="rId309"/>
          <w:footerReference w:type="default" r:id="rId310"/>
          <w:headerReference w:type="first" r:id="rId311"/>
          <w:footerReference w:type="first" r:id="rId312"/>
          <w:pgSz w:w="11907" w:h="16839"/>
          <w:pgMar w:top="1134" w:right="1417" w:bottom="1134" w:left="1417" w:header="709" w:footer="709" w:gutter="0"/>
          <w:cols w:space="720"/>
          <w:docGrid w:linePitch="360"/>
        </w:sectPr>
      </w:pPr>
    </w:p>
    <w:p w14:paraId="141924C6" w14:textId="77777777" w:rsidR="00CB0FCB" w:rsidRDefault="009D2B11">
      <w:pPr>
        <w:spacing w:before="120" w:after="120" w:line="240" w:lineRule="auto"/>
        <w:ind w:left="709"/>
        <w:jc w:val="both"/>
        <w:rPr>
          <w:rFonts w:ascii="Times New Roman" w:hAnsi="Times New Roman" w:cs="Times New Roman"/>
          <w:b/>
          <w:noProof/>
          <w:sz w:val="24"/>
          <w:u w:val="single"/>
        </w:rPr>
      </w:pPr>
      <w:r>
        <w:rPr>
          <w:rFonts w:ascii="Times New Roman" w:hAnsi="Times New Roman"/>
          <w:b/>
          <w:noProof/>
          <w:sz w:val="24"/>
          <w:u w:val="single"/>
        </w:rPr>
        <w:t xml:space="preserve">R.2.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p>
    <w:p w14:paraId="23A46B2A" w14:textId="77777777" w:rsidR="00CB0FCB" w:rsidRDefault="00CB0FCB">
      <w:pPr>
        <w:rPr>
          <w:noProof/>
        </w:rPr>
      </w:pPr>
    </w:p>
    <w:p w14:paraId="75AFFCAD" w14:textId="77777777" w:rsidR="00CB0FCB" w:rsidRDefault="009D2B11">
      <w:pPr>
        <w:pStyle w:val="P68B1DB1-Normal6"/>
        <w:keepNext/>
        <w:keepLines/>
        <w:spacing w:before="40" w:after="0" w:line="240" w:lineRule="auto"/>
        <w:jc w:val="both"/>
        <w:outlineLvl w:val="4"/>
        <w:rPr>
          <w:noProof/>
        </w:rPr>
      </w:pPr>
      <w:r>
        <w:rPr>
          <w:noProof/>
        </w:rPr>
        <w:t>Galvenā reforma Nr. 10: Pasākumi uzņēmējdarbības vides vienkāršošanai un tās kvalitātes un drošības uzlabošanai — uzņēmējdarbības gaita</w:t>
      </w:r>
    </w:p>
    <w:p w14:paraId="7B7D718E" w14:textId="77777777" w:rsidR="00CB0FCB" w:rsidRDefault="00CB0FCB">
      <w:pPr>
        <w:keepNext/>
        <w:keepLines/>
        <w:spacing w:before="40" w:after="0" w:line="240" w:lineRule="auto"/>
        <w:jc w:val="both"/>
        <w:outlineLvl w:val="4"/>
        <w:rPr>
          <w:rFonts w:ascii="Cambria" w:eastAsia="Times New Roman" w:hAnsi="Cambria"/>
          <w:noProof/>
          <w:color w:val="365F91"/>
          <w:sz w:val="24"/>
          <w:szCs w:val="24"/>
        </w:rPr>
      </w:pPr>
    </w:p>
    <w:tbl>
      <w:tblPr>
        <w:tblW w:w="15502" w:type="dxa"/>
        <w:jc w:val="center"/>
        <w:tblLook w:val="04A0" w:firstRow="1" w:lastRow="0" w:firstColumn="1" w:lastColumn="0" w:noHBand="0" w:noVBand="1"/>
      </w:tblPr>
      <w:tblGrid>
        <w:gridCol w:w="1129"/>
        <w:gridCol w:w="2040"/>
        <w:gridCol w:w="1807"/>
        <w:gridCol w:w="1592"/>
        <w:gridCol w:w="2442"/>
        <w:gridCol w:w="983"/>
        <w:gridCol w:w="1396"/>
        <w:gridCol w:w="827"/>
        <w:gridCol w:w="1027"/>
        <w:gridCol w:w="707"/>
        <w:gridCol w:w="4449"/>
      </w:tblGrid>
      <w:tr w:rsidR="00CB0FCB" w14:paraId="4EEE6104" w14:textId="77777777">
        <w:trPr>
          <w:trHeight w:val="685"/>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7A4668"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EBB3F5"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63B657"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592" w:type="dxa"/>
            <w:vMerge w:val="restart"/>
            <w:tcBorders>
              <w:top w:val="single" w:sz="4" w:space="0" w:color="auto"/>
              <w:left w:val="nil"/>
              <w:bottom w:val="single" w:sz="4" w:space="0" w:color="auto"/>
              <w:right w:val="single" w:sz="4" w:space="0" w:color="auto"/>
            </w:tcBorders>
            <w:shd w:val="clear" w:color="auto" w:fill="BDD7EE"/>
            <w:vAlign w:val="center"/>
            <w:hideMark/>
          </w:tcPr>
          <w:p w14:paraId="2856F6A8"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4156B6"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667" w:type="dxa"/>
            <w:gridSpan w:val="3"/>
            <w:tcBorders>
              <w:top w:val="single" w:sz="4" w:space="0" w:color="auto"/>
              <w:left w:val="nil"/>
              <w:bottom w:val="single" w:sz="4" w:space="0" w:color="auto"/>
              <w:right w:val="single" w:sz="4" w:space="0" w:color="auto"/>
            </w:tcBorders>
            <w:shd w:val="clear" w:color="auto" w:fill="BDD7EE"/>
            <w:vAlign w:val="center"/>
            <w:hideMark/>
          </w:tcPr>
          <w:p w14:paraId="04A84921"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694" w:type="dxa"/>
            <w:gridSpan w:val="2"/>
            <w:tcBorders>
              <w:top w:val="single" w:sz="4" w:space="0" w:color="auto"/>
              <w:left w:val="nil"/>
              <w:bottom w:val="single" w:sz="4" w:space="0" w:color="auto"/>
              <w:right w:val="single" w:sz="4" w:space="0" w:color="auto"/>
            </w:tcBorders>
            <w:shd w:val="clear" w:color="auto" w:fill="BDD7EE"/>
            <w:vAlign w:val="center"/>
            <w:hideMark/>
          </w:tcPr>
          <w:p w14:paraId="470A35A1"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4449" w:type="dxa"/>
            <w:vMerge w:val="restart"/>
            <w:tcBorders>
              <w:top w:val="single" w:sz="4" w:space="0" w:color="auto"/>
              <w:left w:val="single" w:sz="4" w:space="0" w:color="auto"/>
              <w:right w:val="single" w:sz="4" w:space="0" w:color="auto"/>
            </w:tcBorders>
            <w:shd w:val="clear" w:color="auto" w:fill="BDD7EE"/>
            <w:vAlign w:val="center"/>
            <w:hideMark/>
          </w:tcPr>
          <w:p w14:paraId="6DB835A1"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2FD958E1" w14:textId="77777777">
        <w:trPr>
          <w:trHeight w:val="458"/>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0CB64A" w14:textId="77777777" w:rsidR="00CB0FCB" w:rsidRDefault="00CB0FCB">
            <w:pPr>
              <w:spacing w:after="0" w:line="240" w:lineRule="auto"/>
              <w:rPr>
                <w:rFonts w:ascii="Times New Roman" w:eastAsia="Times New Roman" w:hAnsi="Times New Roman" w:cs="Times New Roman"/>
                <w:b/>
                <w:bCs/>
                <w:noProof/>
                <w:sz w:val="18"/>
                <w:szCs w:val="18"/>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44B9F492" w14:textId="77777777" w:rsidR="00CB0FCB" w:rsidRDefault="00CB0FCB">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2CE86E04" w14:textId="77777777" w:rsidR="00CB0FCB" w:rsidRDefault="00CB0FCB">
            <w:pPr>
              <w:spacing w:after="0" w:line="240" w:lineRule="auto"/>
              <w:rPr>
                <w:rFonts w:ascii="Times New Roman" w:eastAsia="Times New Roman" w:hAnsi="Times New Roman" w:cs="Times New Roman"/>
                <w:b/>
                <w:bCs/>
                <w:noProof/>
                <w:sz w:val="18"/>
                <w:szCs w:val="18"/>
              </w:rPr>
            </w:pPr>
          </w:p>
        </w:tc>
        <w:tc>
          <w:tcPr>
            <w:tcW w:w="1592" w:type="dxa"/>
            <w:vMerge/>
            <w:tcBorders>
              <w:top w:val="single" w:sz="4" w:space="0" w:color="auto"/>
              <w:left w:val="nil"/>
              <w:bottom w:val="single" w:sz="4" w:space="0" w:color="auto"/>
              <w:right w:val="single" w:sz="4" w:space="0" w:color="auto"/>
            </w:tcBorders>
            <w:vAlign w:val="center"/>
            <w:hideMark/>
          </w:tcPr>
          <w:p w14:paraId="6BD15549" w14:textId="77777777" w:rsidR="00CB0FCB" w:rsidRDefault="00CB0FCB">
            <w:pPr>
              <w:spacing w:after="0" w:line="240" w:lineRule="auto"/>
              <w:rPr>
                <w:rFonts w:ascii="Times New Roman" w:eastAsia="Times New Roman" w:hAnsi="Times New Roman" w:cs="Times New Roman"/>
                <w:b/>
                <w:bCs/>
                <w:noProof/>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8C1B672" w14:textId="77777777" w:rsidR="00CB0FCB" w:rsidRDefault="00CB0FCB">
            <w:pPr>
              <w:spacing w:after="0" w:line="240" w:lineRule="auto"/>
              <w:rPr>
                <w:rFonts w:ascii="Times New Roman" w:eastAsia="Times New Roman" w:hAnsi="Times New Roman" w:cs="Times New Roman"/>
                <w:b/>
                <w:bCs/>
                <w:noProof/>
                <w:sz w:val="18"/>
                <w:szCs w:val="18"/>
              </w:rPr>
            </w:pPr>
          </w:p>
        </w:tc>
        <w:tc>
          <w:tcPr>
            <w:tcW w:w="983" w:type="dxa"/>
            <w:tcBorders>
              <w:top w:val="single" w:sz="4" w:space="0" w:color="auto"/>
              <w:left w:val="nil"/>
              <w:bottom w:val="single" w:sz="4" w:space="0" w:color="auto"/>
              <w:right w:val="single" w:sz="4" w:space="0" w:color="auto"/>
            </w:tcBorders>
            <w:shd w:val="clear" w:color="auto" w:fill="BDD7EE"/>
            <w:vAlign w:val="center"/>
            <w:hideMark/>
          </w:tcPr>
          <w:p w14:paraId="1A812708"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14:paraId="67C31BCB"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827" w:type="dxa"/>
            <w:tcBorders>
              <w:top w:val="single" w:sz="4" w:space="0" w:color="auto"/>
              <w:left w:val="nil"/>
              <w:bottom w:val="single" w:sz="4" w:space="0" w:color="auto"/>
              <w:right w:val="single" w:sz="4" w:space="0" w:color="auto"/>
            </w:tcBorders>
            <w:shd w:val="clear" w:color="auto" w:fill="BDD7EE"/>
            <w:vAlign w:val="center"/>
            <w:hideMark/>
          </w:tcPr>
          <w:p w14:paraId="430E3C4C"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87" w:type="dxa"/>
            <w:tcBorders>
              <w:top w:val="single" w:sz="4" w:space="0" w:color="auto"/>
              <w:left w:val="nil"/>
              <w:bottom w:val="single" w:sz="4" w:space="0" w:color="auto"/>
              <w:right w:val="single" w:sz="4" w:space="0" w:color="auto"/>
            </w:tcBorders>
            <w:shd w:val="clear" w:color="auto" w:fill="BDD7EE"/>
            <w:vAlign w:val="center"/>
            <w:hideMark/>
          </w:tcPr>
          <w:p w14:paraId="142C0BA0"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07" w:type="dxa"/>
            <w:tcBorders>
              <w:top w:val="single" w:sz="4" w:space="0" w:color="auto"/>
              <w:left w:val="nil"/>
              <w:bottom w:val="single" w:sz="4" w:space="0" w:color="auto"/>
              <w:right w:val="single" w:sz="4" w:space="0" w:color="auto"/>
            </w:tcBorders>
            <w:shd w:val="clear" w:color="auto" w:fill="BDD7EE"/>
            <w:vAlign w:val="center"/>
            <w:hideMark/>
          </w:tcPr>
          <w:p w14:paraId="78C6AEB2"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4449" w:type="dxa"/>
            <w:vMerge/>
            <w:tcBorders>
              <w:left w:val="single" w:sz="4" w:space="0" w:color="auto"/>
              <w:bottom w:val="single" w:sz="4" w:space="0" w:color="auto"/>
              <w:right w:val="single" w:sz="4" w:space="0" w:color="auto"/>
            </w:tcBorders>
            <w:vAlign w:val="center"/>
            <w:hideMark/>
          </w:tcPr>
          <w:p w14:paraId="7928DDFE"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62A7FB74" w14:textId="7777777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033701A" w14:textId="77777777" w:rsidR="00CB0FCB" w:rsidRDefault="009D2B11">
            <w:pPr>
              <w:pStyle w:val="P68B1DB1-Normal9"/>
              <w:spacing w:after="0" w:line="240" w:lineRule="auto"/>
              <w:rPr>
                <w:rFonts w:eastAsia="Times New Roman" w:cs="Calibri"/>
                <w:noProof/>
                <w:szCs w:val="18"/>
              </w:rPr>
            </w:pPr>
            <w:r>
              <w:rPr>
                <w:noProof/>
              </w:rPr>
              <w:t>317</w:t>
            </w:r>
          </w:p>
        </w:tc>
        <w:tc>
          <w:tcPr>
            <w:tcW w:w="1311" w:type="dxa"/>
            <w:tcBorders>
              <w:top w:val="single" w:sz="4" w:space="0" w:color="auto"/>
              <w:left w:val="nil"/>
              <w:bottom w:val="single" w:sz="4" w:space="0" w:color="auto"/>
              <w:right w:val="single" w:sz="4" w:space="0" w:color="auto"/>
            </w:tcBorders>
            <w:shd w:val="clear" w:color="auto" w:fill="C6EFCE"/>
            <w:noWrap/>
          </w:tcPr>
          <w:p w14:paraId="10607069" w14:textId="77777777" w:rsidR="00CB0FCB" w:rsidRDefault="009D2B11">
            <w:pPr>
              <w:pStyle w:val="P68B1DB1-Normal9"/>
              <w:spacing w:after="0" w:line="240" w:lineRule="auto"/>
              <w:rPr>
                <w:rFonts w:eastAsia="Times New Roman" w:cs="Calibri"/>
                <w:noProof/>
                <w:szCs w:val="18"/>
              </w:rPr>
            </w:pPr>
            <w:r>
              <w:rPr>
                <w:noProof/>
              </w:rPr>
              <w:t>18–4.7. Uzlabot konkurētspēju un veicināt privātos ieguldījumus un eksportu — 16543_Darbības uzņēmējdarbības vides vienkāršošanai un tās kvalitātes un drošības uzlabošanai</w:t>
            </w:r>
          </w:p>
        </w:tc>
        <w:tc>
          <w:tcPr>
            <w:tcW w:w="966" w:type="dxa"/>
            <w:tcBorders>
              <w:top w:val="single" w:sz="4" w:space="0" w:color="auto"/>
              <w:left w:val="nil"/>
              <w:bottom w:val="single" w:sz="4" w:space="0" w:color="auto"/>
              <w:right w:val="single" w:sz="4" w:space="0" w:color="auto"/>
            </w:tcBorders>
            <w:shd w:val="clear" w:color="auto" w:fill="C6EFCE"/>
            <w:noWrap/>
          </w:tcPr>
          <w:p w14:paraId="5EC5334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92" w:type="dxa"/>
            <w:tcBorders>
              <w:top w:val="single" w:sz="4" w:space="0" w:color="auto"/>
              <w:left w:val="nil"/>
              <w:bottom w:val="single" w:sz="4" w:space="0" w:color="auto"/>
              <w:right w:val="single" w:sz="4" w:space="0" w:color="auto"/>
            </w:tcBorders>
            <w:shd w:val="clear" w:color="auto" w:fill="C6EFCE"/>
            <w:noWrap/>
          </w:tcPr>
          <w:p w14:paraId="4E4C068D" w14:textId="77777777" w:rsidR="00CB0FCB" w:rsidRDefault="009D2B11">
            <w:pPr>
              <w:pStyle w:val="P68B1DB1-Normal9"/>
              <w:spacing w:after="0" w:line="240" w:lineRule="auto"/>
              <w:rPr>
                <w:rFonts w:eastAsia="Times New Roman" w:cs="Calibri"/>
                <w:noProof/>
                <w:szCs w:val="18"/>
              </w:rPr>
            </w:pPr>
            <w:r>
              <w:rPr>
                <w:noProof/>
              </w:rPr>
              <w:t xml:space="preserve">Kvalitātes politikas un jauna kvalitātes infrastruktūras tiesiskā regulējuma izveide </w:t>
            </w:r>
          </w:p>
        </w:tc>
        <w:tc>
          <w:tcPr>
            <w:tcW w:w="1694" w:type="dxa"/>
            <w:tcBorders>
              <w:top w:val="single" w:sz="4" w:space="0" w:color="auto"/>
              <w:left w:val="nil"/>
              <w:bottom w:val="single" w:sz="4" w:space="0" w:color="auto"/>
              <w:right w:val="single" w:sz="4" w:space="0" w:color="auto"/>
            </w:tcBorders>
            <w:shd w:val="clear" w:color="auto" w:fill="C6EFCE"/>
            <w:noWrap/>
          </w:tcPr>
          <w:p w14:paraId="55A42311" w14:textId="77777777" w:rsidR="00CB0FCB" w:rsidRDefault="009D2B11">
            <w:pPr>
              <w:pStyle w:val="P68B1DB1-Normal9"/>
              <w:spacing w:after="0" w:line="240" w:lineRule="auto"/>
              <w:rPr>
                <w:rFonts w:eastAsia="Times New Roman" w:cs="Calibri"/>
                <w:noProof/>
                <w:szCs w:val="18"/>
              </w:rPr>
            </w:pPr>
            <w:r>
              <w:rPr>
                <w:noProof/>
              </w:rPr>
              <w:t>Pieņemt valsts stratēģiju par kvalitatīvu infrastruktūru Grieķijā) un pieņemt nepieciešamo veicinošu regulējumu par standartizāciju, metroloģiju, akreditāciju un atbilstības novērtēšanu, izmantojot nepieciešamos tiesību aktus (norādīt atsauci uz “Oficiālo Vēstnesi”); un pieņemt tiesību aktu grozījumus Likumā Nr. 3325/2005 (B daļa par ražošanas darbību izveidi, paplašināšanu un modernizāciju Atikas reģionā)</w:t>
            </w:r>
          </w:p>
        </w:tc>
        <w:tc>
          <w:tcPr>
            <w:tcW w:w="983" w:type="dxa"/>
            <w:tcBorders>
              <w:top w:val="single" w:sz="4" w:space="0" w:color="auto"/>
              <w:left w:val="nil"/>
              <w:bottom w:val="single" w:sz="4" w:space="0" w:color="auto"/>
              <w:right w:val="single" w:sz="4" w:space="0" w:color="auto"/>
            </w:tcBorders>
            <w:shd w:val="clear" w:color="auto" w:fill="C6EFCE"/>
            <w:noWrap/>
          </w:tcPr>
          <w:p w14:paraId="14E226D5" w14:textId="77777777" w:rsidR="00CB0FCB" w:rsidRDefault="00CB0FCB">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2F8832F" w14:textId="77777777" w:rsidR="00CB0FCB" w:rsidRDefault="00CB0FCB">
            <w:pPr>
              <w:spacing w:after="0" w:line="240" w:lineRule="auto"/>
              <w:rPr>
                <w:rFonts w:eastAsia="Times New Roman" w:cs="Calibri"/>
                <w:noProof/>
                <w:color w:val="006100"/>
                <w:sz w:val="18"/>
                <w:szCs w:val="18"/>
              </w:rPr>
            </w:pPr>
          </w:p>
        </w:tc>
        <w:tc>
          <w:tcPr>
            <w:tcW w:w="827" w:type="dxa"/>
            <w:tcBorders>
              <w:top w:val="single" w:sz="4" w:space="0" w:color="auto"/>
              <w:left w:val="nil"/>
              <w:bottom w:val="single" w:sz="4" w:space="0" w:color="auto"/>
              <w:right w:val="single" w:sz="4" w:space="0" w:color="auto"/>
            </w:tcBorders>
            <w:shd w:val="clear" w:color="auto" w:fill="C6EFCE"/>
            <w:noWrap/>
          </w:tcPr>
          <w:p w14:paraId="52CD78B1" w14:textId="77777777" w:rsidR="00CB0FCB" w:rsidRDefault="00CB0FCB">
            <w:pPr>
              <w:spacing w:after="0" w:line="240" w:lineRule="auto"/>
              <w:rPr>
                <w:rFonts w:eastAsia="Times New Roman" w:cs="Calibri"/>
                <w:noProof/>
                <w:color w:val="006100"/>
                <w:sz w:val="18"/>
                <w:szCs w:val="18"/>
              </w:rPr>
            </w:pPr>
          </w:p>
        </w:tc>
        <w:tc>
          <w:tcPr>
            <w:tcW w:w="987" w:type="dxa"/>
            <w:tcBorders>
              <w:top w:val="single" w:sz="4" w:space="0" w:color="auto"/>
              <w:left w:val="nil"/>
              <w:bottom w:val="single" w:sz="4" w:space="0" w:color="auto"/>
              <w:right w:val="single" w:sz="4" w:space="0" w:color="auto"/>
            </w:tcBorders>
            <w:shd w:val="clear" w:color="auto" w:fill="C6EFCE"/>
            <w:noWrap/>
          </w:tcPr>
          <w:p w14:paraId="2F9BF73E" w14:textId="77777777" w:rsidR="00CB0FCB" w:rsidRDefault="009D2B11">
            <w:pPr>
              <w:pStyle w:val="P68B1DB1-Normal9"/>
              <w:spacing w:after="0" w:line="240" w:lineRule="auto"/>
              <w:rPr>
                <w:rFonts w:eastAsia="Times New Roman" w:cs="Calibri"/>
                <w:noProof/>
                <w:szCs w:val="18"/>
              </w:rPr>
            </w:pPr>
            <w:r>
              <w:rPr>
                <w:noProof/>
              </w:rPr>
              <w:t>2. CET.</w:t>
            </w:r>
          </w:p>
        </w:tc>
        <w:tc>
          <w:tcPr>
            <w:tcW w:w="707" w:type="dxa"/>
            <w:tcBorders>
              <w:top w:val="single" w:sz="4" w:space="0" w:color="auto"/>
              <w:left w:val="nil"/>
              <w:bottom w:val="single" w:sz="4" w:space="0" w:color="auto"/>
              <w:right w:val="single" w:sz="4" w:space="0" w:color="auto"/>
            </w:tcBorders>
            <w:shd w:val="clear" w:color="auto" w:fill="C6EFCE"/>
            <w:noWrap/>
          </w:tcPr>
          <w:p w14:paraId="0D68D04E" w14:textId="77777777" w:rsidR="00CB0FCB" w:rsidRDefault="009D2B11">
            <w:pPr>
              <w:pStyle w:val="P68B1DB1-Normal9"/>
              <w:spacing w:after="0" w:line="240" w:lineRule="auto"/>
              <w:rPr>
                <w:rFonts w:eastAsia="Times New Roman" w:cs="Calibri"/>
                <w:noProof/>
                <w:szCs w:val="18"/>
              </w:rPr>
            </w:pPr>
            <w:r>
              <w:rPr>
                <w:noProof/>
              </w:rPr>
              <w:t>2024</w:t>
            </w:r>
          </w:p>
        </w:tc>
        <w:tc>
          <w:tcPr>
            <w:tcW w:w="4449" w:type="dxa"/>
            <w:tcBorders>
              <w:top w:val="single" w:sz="4" w:space="0" w:color="auto"/>
              <w:left w:val="nil"/>
              <w:bottom w:val="single" w:sz="4" w:space="0" w:color="auto"/>
              <w:right w:val="single" w:sz="4" w:space="0" w:color="auto"/>
            </w:tcBorders>
            <w:shd w:val="clear" w:color="auto" w:fill="C6EFCE"/>
            <w:noWrap/>
          </w:tcPr>
          <w:p w14:paraId="090BFE75" w14:textId="77777777" w:rsidR="00CB0FCB" w:rsidRDefault="009D2B11">
            <w:pPr>
              <w:pStyle w:val="P68B1DB1-Normal9"/>
              <w:spacing w:after="0" w:line="240" w:lineRule="auto"/>
              <w:rPr>
                <w:rFonts w:eastAsia="Times New Roman" w:cs="Calibri"/>
                <w:noProof/>
                <w:szCs w:val="18"/>
              </w:rPr>
            </w:pPr>
            <w:r>
              <w:rPr>
                <w:noProof/>
              </w:rPr>
              <w:t>izstrādāt mūsdienīgu regulatīvo, organizatorisko un darbības sistēmu kvalitatīvai infrastruktūrai Grieķijā saskaņā ar Regulu (EK) Nr. 765/2008 par atbilstības novērtēšanas struktūru akreditāciju; un b) stājas spēkā tiesību akti, ar kuriem reformē tiesisko regulējumu attiecībā uz ražošanas darbību uzstādīšanu Atikā, lai likvidētu pārmērīgi augstus ierobežojumus, kas nav samērīgi ar politikas mērķiem.</w:t>
            </w:r>
          </w:p>
          <w:p w14:paraId="2C2D71DF" w14:textId="77777777" w:rsidR="00CB0FCB" w:rsidRDefault="00CB0FCB">
            <w:pPr>
              <w:spacing w:after="0" w:line="240" w:lineRule="auto"/>
              <w:rPr>
                <w:rFonts w:eastAsia="Times New Roman" w:cs="Calibri"/>
                <w:noProof/>
                <w:color w:val="006100"/>
                <w:sz w:val="18"/>
                <w:szCs w:val="18"/>
              </w:rPr>
            </w:pPr>
          </w:p>
          <w:p w14:paraId="667647A9" w14:textId="77777777" w:rsidR="00CB0FCB" w:rsidRDefault="009D2B11">
            <w:pPr>
              <w:pStyle w:val="P68B1DB1-Normal9"/>
              <w:spacing w:after="0" w:line="240" w:lineRule="auto"/>
              <w:rPr>
                <w:rFonts w:eastAsia="Times New Roman" w:cs="Calibri"/>
                <w:noProof/>
                <w:szCs w:val="18"/>
              </w:rPr>
            </w:pPr>
            <w:r>
              <w:rPr>
                <w:noProof/>
              </w:rPr>
              <w:t>Šā punkta b) apakšpunkts attiecas uz jaunu rūpniecisku vienību izveidi un esošo iekārtu, kas darbojas Atikā, modernizāciju, kā arī esošo iekārtu pārvietošanu un paplašināšanu Atikā.</w:t>
            </w:r>
          </w:p>
        </w:tc>
      </w:tr>
      <w:tr w:rsidR="00CB0FCB" w14:paraId="5C4E3E76" w14:textId="77777777">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14:paraId="616681E8" w14:textId="77777777" w:rsidR="00CB0FCB" w:rsidRDefault="009D2B11">
            <w:pPr>
              <w:pStyle w:val="P68B1DB1-Normal9"/>
              <w:spacing w:after="0" w:line="240" w:lineRule="auto"/>
              <w:rPr>
                <w:rFonts w:eastAsia="Times New Roman" w:cs="Calibri"/>
                <w:noProof/>
                <w:szCs w:val="18"/>
              </w:rPr>
            </w:pPr>
            <w:r>
              <w:rPr>
                <w:noProof/>
              </w:rPr>
              <w:t>318</w:t>
            </w:r>
          </w:p>
        </w:tc>
        <w:tc>
          <w:tcPr>
            <w:tcW w:w="1311" w:type="dxa"/>
            <w:tcBorders>
              <w:top w:val="nil"/>
              <w:left w:val="nil"/>
              <w:bottom w:val="single" w:sz="4" w:space="0" w:color="auto"/>
              <w:right w:val="single" w:sz="4" w:space="0" w:color="auto"/>
            </w:tcBorders>
            <w:shd w:val="clear" w:color="auto" w:fill="C6EFCE"/>
            <w:noWrap/>
          </w:tcPr>
          <w:p w14:paraId="34928948" w14:textId="77777777" w:rsidR="00CB0FCB" w:rsidRDefault="009D2B11">
            <w:pPr>
              <w:pStyle w:val="P68B1DB1-Normal9"/>
              <w:spacing w:after="0" w:line="240" w:lineRule="auto"/>
              <w:rPr>
                <w:rFonts w:eastAsia="Times New Roman" w:cs="Calibri"/>
                <w:noProof/>
                <w:szCs w:val="18"/>
              </w:rPr>
            </w:pPr>
            <w:r>
              <w:rPr>
                <w:noProof/>
              </w:rPr>
              <w:t>18–4.7. Uzlabot konkurētspēju un veicināt privātos ieguldījumus un eksportu — 16591_Uzņēmējdarbības novērtējums</w:t>
            </w:r>
          </w:p>
        </w:tc>
        <w:tc>
          <w:tcPr>
            <w:tcW w:w="966" w:type="dxa"/>
            <w:tcBorders>
              <w:top w:val="nil"/>
              <w:left w:val="nil"/>
              <w:bottom w:val="single" w:sz="4" w:space="0" w:color="auto"/>
              <w:right w:val="single" w:sz="4" w:space="0" w:color="auto"/>
            </w:tcBorders>
            <w:shd w:val="clear" w:color="auto" w:fill="C6EFCE"/>
            <w:noWrap/>
          </w:tcPr>
          <w:p w14:paraId="74A96D7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92" w:type="dxa"/>
            <w:tcBorders>
              <w:top w:val="nil"/>
              <w:left w:val="nil"/>
              <w:bottom w:val="single" w:sz="4" w:space="0" w:color="auto"/>
              <w:right w:val="single" w:sz="4" w:space="0" w:color="auto"/>
            </w:tcBorders>
            <w:shd w:val="clear" w:color="auto" w:fill="C6EFCE"/>
            <w:noWrap/>
          </w:tcPr>
          <w:p w14:paraId="22DA488D" w14:textId="77777777" w:rsidR="00CB0FCB" w:rsidRDefault="009D2B11">
            <w:pPr>
              <w:pStyle w:val="P68B1DB1-Normal9"/>
              <w:spacing w:after="0" w:line="240" w:lineRule="auto"/>
              <w:rPr>
                <w:rFonts w:eastAsia="Times New Roman" w:cs="Calibri"/>
                <w:noProof/>
                <w:szCs w:val="18"/>
              </w:rPr>
            </w:pPr>
            <w:r>
              <w:rPr>
                <w:noProof/>
              </w:rPr>
              <w:t>Uzņēmējdarbības vides uzlabošana — uzņēmējdarbības atvieglošana</w:t>
            </w:r>
          </w:p>
        </w:tc>
        <w:tc>
          <w:tcPr>
            <w:tcW w:w="1694" w:type="dxa"/>
            <w:tcBorders>
              <w:top w:val="nil"/>
              <w:left w:val="nil"/>
              <w:bottom w:val="single" w:sz="4" w:space="0" w:color="auto"/>
              <w:right w:val="single" w:sz="4" w:space="0" w:color="auto"/>
            </w:tcBorders>
            <w:shd w:val="clear" w:color="auto" w:fill="C6EFCE"/>
            <w:noWrap/>
          </w:tcPr>
          <w:p w14:paraId="2B1E11AE" w14:textId="77777777" w:rsidR="00CB0FCB" w:rsidRDefault="009D2B11">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color w:val="006100"/>
                <w:sz w:val="18"/>
              </w:rPr>
              <w:t>Darbībām, kurām nepieciešami tiesību akti: Tiesību aktu publicēšana Oficiālajā Vēstnesī (atsauce uz “Oficiālo Vēstnesi”)</w:t>
            </w:r>
          </w:p>
          <w:p w14:paraId="3B990C7D" w14:textId="77777777" w:rsidR="00CB0FCB" w:rsidRDefault="009D2B11">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color w:val="006100"/>
                <w:sz w:val="18"/>
              </w:rPr>
              <w:t xml:space="preserve">Sadarbspējas funkcijām, platformām un reģistriem: Sistēmu darbības uzsākšana (apliecināta ar ziņojumu) </w:t>
            </w:r>
          </w:p>
          <w:p w14:paraId="7980EDCD" w14:textId="77777777" w:rsidR="00CB0FCB" w:rsidRDefault="009D2B11">
            <w:pPr>
              <w:spacing w:after="0" w:line="259" w:lineRule="auto"/>
              <w:rPr>
                <w:rFonts w:ascii="Times New Roman" w:hAnsi="Times New Roman" w:cs="Times New Roman"/>
                <w:noProof/>
                <w:color w:val="006100"/>
                <w:sz w:val="18"/>
                <w:szCs w:val="18"/>
              </w:rPr>
            </w:pPr>
            <w:r>
              <w:rPr>
                <w:noProof/>
                <w:color w:val="006100"/>
                <w:sz w:val="18"/>
              </w:rPr>
              <w:t>— Aprīkojuma piegāde (apliecināta ar ziņojumu un pirkuma apliecinājumu)</w:t>
            </w:r>
          </w:p>
          <w:p w14:paraId="622FBBDE" w14:textId="77777777" w:rsidR="00CB0FCB" w:rsidRDefault="009D2B11">
            <w:pPr>
              <w:spacing w:after="0" w:line="240" w:lineRule="auto"/>
              <w:rPr>
                <w:rFonts w:eastAsia="Times New Roman" w:cs="Calibri"/>
                <w:noProof/>
                <w:color w:val="006100"/>
                <w:sz w:val="18"/>
                <w:szCs w:val="18"/>
              </w:rPr>
            </w:pPr>
            <w:r>
              <w:rPr>
                <w:rFonts w:ascii="Times New Roman" w:hAnsi="Times New Roman"/>
                <w:noProof/>
                <w:sz w:val="24"/>
              </w:rPr>
              <w:t>—</w:t>
            </w:r>
            <w:r>
              <w:rPr>
                <w:noProof/>
                <w:color w:val="006100"/>
                <w:sz w:val="18"/>
              </w:rPr>
              <w:t>Kampaņu pabeigšana un pamatnostādņu izdošana (ko apliecina izdotās pamatnostādnes/apkārtraksti)</w:t>
            </w:r>
            <w:r>
              <w:rPr>
                <w:rFonts w:ascii="Times New Roman" w:hAnsi="Times New Roman"/>
                <w:noProof/>
                <w:sz w:val="24"/>
              </w:rPr>
              <w:t xml:space="preserve"> </w:t>
            </w:r>
          </w:p>
        </w:tc>
        <w:tc>
          <w:tcPr>
            <w:tcW w:w="983" w:type="dxa"/>
            <w:tcBorders>
              <w:top w:val="nil"/>
              <w:left w:val="nil"/>
              <w:bottom w:val="single" w:sz="4" w:space="0" w:color="auto"/>
              <w:right w:val="single" w:sz="4" w:space="0" w:color="auto"/>
            </w:tcBorders>
            <w:shd w:val="clear" w:color="auto" w:fill="C6EFCE"/>
            <w:noWrap/>
          </w:tcPr>
          <w:p w14:paraId="5C473127"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32358886" w14:textId="77777777" w:rsidR="00CB0FCB" w:rsidRDefault="00CB0FCB">
            <w:pPr>
              <w:spacing w:after="0" w:line="240" w:lineRule="auto"/>
              <w:rPr>
                <w:rFonts w:eastAsia="Times New Roman" w:cs="Calibri"/>
                <w:noProof/>
                <w:color w:val="006100"/>
                <w:sz w:val="18"/>
                <w:szCs w:val="18"/>
              </w:rPr>
            </w:pPr>
          </w:p>
        </w:tc>
        <w:tc>
          <w:tcPr>
            <w:tcW w:w="827" w:type="dxa"/>
            <w:tcBorders>
              <w:top w:val="nil"/>
              <w:left w:val="nil"/>
              <w:bottom w:val="single" w:sz="4" w:space="0" w:color="auto"/>
              <w:right w:val="single" w:sz="4" w:space="0" w:color="auto"/>
            </w:tcBorders>
            <w:shd w:val="clear" w:color="auto" w:fill="C6EFCE"/>
            <w:noWrap/>
          </w:tcPr>
          <w:p w14:paraId="4AC350F9" w14:textId="77777777" w:rsidR="00CB0FCB" w:rsidRDefault="00CB0FCB">
            <w:pPr>
              <w:spacing w:after="0" w:line="240" w:lineRule="auto"/>
              <w:rPr>
                <w:rFonts w:eastAsia="Times New Roman" w:cs="Calibri"/>
                <w:noProof/>
                <w:color w:val="006100"/>
                <w:sz w:val="18"/>
                <w:szCs w:val="18"/>
              </w:rPr>
            </w:pPr>
          </w:p>
        </w:tc>
        <w:tc>
          <w:tcPr>
            <w:tcW w:w="987" w:type="dxa"/>
            <w:tcBorders>
              <w:top w:val="nil"/>
              <w:left w:val="nil"/>
              <w:bottom w:val="single" w:sz="4" w:space="0" w:color="auto"/>
              <w:right w:val="single" w:sz="4" w:space="0" w:color="auto"/>
            </w:tcBorders>
            <w:shd w:val="clear" w:color="auto" w:fill="C6EFCE"/>
            <w:noWrap/>
          </w:tcPr>
          <w:p w14:paraId="4206478F" w14:textId="77777777" w:rsidR="00CB0FCB" w:rsidRDefault="009D2B11">
            <w:pPr>
              <w:pStyle w:val="P68B1DB1-Normal9"/>
              <w:spacing w:after="0" w:line="240" w:lineRule="auto"/>
              <w:rPr>
                <w:rFonts w:eastAsia="Times New Roman" w:cs="Calibri"/>
                <w:noProof/>
                <w:szCs w:val="18"/>
              </w:rPr>
            </w:pPr>
            <w:r>
              <w:rPr>
                <w:noProof/>
              </w:rPr>
              <w:t>2. CET.</w:t>
            </w:r>
          </w:p>
        </w:tc>
        <w:tc>
          <w:tcPr>
            <w:tcW w:w="707" w:type="dxa"/>
            <w:tcBorders>
              <w:top w:val="nil"/>
              <w:left w:val="nil"/>
              <w:bottom w:val="single" w:sz="4" w:space="0" w:color="auto"/>
              <w:right w:val="single" w:sz="4" w:space="0" w:color="auto"/>
            </w:tcBorders>
            <w:shd w:val="clear" w:color="auto" w:fill="C6EFCE"/>
            <w:noWrap/>
          </w:tcPr>
          <w:p w14:paraId="05F41065" w14:textId="77777777" w:rsidR="00CB0FCB" w:rsidRDefault="009D2B11">
            <w:pPr>
              <w:pStyle w:val="P68B1DB1-Normal9"/>
              <w:spacing w:after="0" w:line="240" w:lineRule="auto"/>
              <w:rPr>
                <w:rFonts w:eastAsia="Times New Roman" w:cs="Calibri"/>
                <w:noProof/>
                <w:szCs w:val="18"/>
              </w:rPr>
            </w:pPr>
            <w:r>
              <w:rPr>
                <w:noProof/>
              </w:rPr>
              <w:t>2024</w:t>
            </w:r>
          </w:p>
        </w:tc>
        <w:tc>
          <w:tcPr>
            <w:tcW w:w="4449" w:type="dxa"/>
            <w:tcBorders>
              <w:top w:val="nil"/>
              <w:left w:val="nil"/>
              <w:bottom w:val="single" w:sz="4" w:space="0" w:color="auto"/>
              <w:right w:val="single" w:sz="4" w:space="0" w:color="auto"/>
            </w:tcBorders>
            <w:shd w:val="clear" w:color="auto" w:fill="C6EFCE"/>
            <w:noWrap/>
          </w:tcPr>
          <w:p w14:paraId="7F25A531" w14:textId="77777777" w:rsidR="00CB0FCB" w:rsidRDefault="009D2B11">
            <w:pPr>
              <w:pStyle w:val="P68B1DB1-Normal9"/>
              <w:spacing w:after="0" w:line="240" w:lineRule="auto"/>
              <w:rPr>
                <w:rFonts w:eastAsia="Times New Roman" w:cs="Calibri"/>
                <w:noProof/>
                <w:szCs w:val="18"/>
              </w:rPr>
            </w:pPr>
            <w:r>
              <w:rPr>
                <w:noProof/>
              </w:rPr>
              <w:t>Pabeigt reformu, lai samazinātu procedūru sarežģītību, laiku un izmaksas četrās apakšjomās: kredīta saņemšana, elektroenerģijas pieslēguma iegūšana, īpašuma reģistrēšana un būvniecības atļaujas saņemšana</w:t>
            </w:r>
          </w:p>
          <w:p w14:paraId="623F32F9" w14:textId="77777777" w:rsidR="00CB0FCB" w:rsidRDefault="009D2B11">
            <w:pPr>
              <w:pStyle w:val="P68B1DB1-Normal9"/>
              <w:spacing w:after="0" w:line="240" w:lineRule="auto"/>
              <w:rPr>
                <w:rFonts w:eastAsia="Times New Roman" w:cs="Calibri"/>
                <w:noProof/>
                <w:szCs w:val="18"/>
              </w:rPr>
            </w:pPr>
            <w:r>
              <w:rPr>
                <w:noProof/>
              </w:rPr>
              <w:t>Konkrētāk, reforma ietver šādus apakšprojektus un darbības:</w:t>
            </w:r>
          </w:p>
          <w:p w14:paraId="2D936322" w14:textId="77777777" w:rsidR="00CB0FCB" w:rsidRDefault="009D2B11">
            <w:pPr>
              <w:pStyle w:val="P68B1DB1-Normal9"/>
              <w:spacing w:after="0" w:line="240" w:lineRule="auto"/>
              <w:rPr>
                <w:rFonts w:eastAsia="Times New Roman" w:cs="Calibri"/>
                <w:noProof/>
                <w:szCs w:val="18"/>
              </w:rPr>
            </w:pPr>
            <w:r>
              <w:rPr>
                <w:noProof/>
              </w:rPr>
              <w:t>1. Kredītpunktu saņemšana</w:t>
            </w:r>
          </w:p>
          <w:p w14:paraId="0A4EDFAE" w14:textId="77777777" w:rsidR="00CB0FCB" w:rsidRDefault="009D2B11">
            <w:pPr>
              <w:pStyle w:val="P68B1DB1-Normal9"/>
              <w:spacing w:after="0" w:line="240" w:lineRule="auto"/>
              <w:rPr>
                <w:rFonts w:eastAsia="Times New Roman" w:cs="Calibri"/>
                <w:noProof/>
                <w:szCs w:val="18"/>
              </w:rPr>
            </w:pPr>
            <w:r>
              <w:rPr>
                <w:noProof/>
              </w:rPr>
              <w:t>Izveidot modernu un uzticamu tiesisko regulējumu attiecībā uz vērtspapīriem kustamajos aktīvos</w:t>
            </w:r>
          </w:p>
          <w:p w14:paraId="0EE7BEE6" w14:textId="77777777" w:rsidR="00CB0FCB" w:rsidRDefault="009D2B11">
            <w:pPr>
              <w:pStyle w:val="P68B1DB1-Normal9"/>
              <w:spacing w:after="0" w:line="240" w:lineRule="auto"/>
              <w:rPr>
                <w:rFonts w:eastAsia="Times New Roman" w:cs="Calibri"/>
                <w:noProof/>
                <w:szCs w:val="18"/>
              </w:rPr>
            </w:pPr>
            <w:r>
              <w:rPr>
                <w:noProof/>
              </w:rPr>
              <w:t>Izveidot drošu darījumu reģistru</w:t>
            </w:r>
          </w:p>
          <w:p w14:paraId="6B93493B" w14:textId="77777777" w:rsidR="00CB0FCB" w:rsidRDefault="009D2B11">
            <w:pPr>
              <w:pStyle w:val="P68B1DB1-Normal9"/>
              <w:spacing w:after="0" w:line="240" w:lineRule="auto"/>
              <w:rPr>
                <w:rFonts w:eastAsia="Times New Roman" w:cs="Calibri"/>
                <w:noProof/>
                <w:szCs w:val="18"/>
              </w:rPr>
            </w:pPr>
            <w:r>
              <w:rPr>
                <w:noProof/>
              </w:rPr>
              <w:t>2. Būvniecības atļaujas saņemšana</w:t>
            </w:r>
          </w:p>
          <w:p w14:paraId="0C6D47CF" w14:textId="77777777" w:rsidR="00CB0FCB" w:rsidRDefault="009D2B11">
            <w:pPr>
              <w:pStyle w:val="P68B1DB1-Normal9"/>
              <w:spacing w:after="0" w:line="240" w:lineRule="auto"/>
              <w:rPr>
                <w:rFonts w:eastAsia="Times New Roman" w:cs="Calibri"/>
                <w:noProof/>
                <w:szCs w:val="18"/>
              </w:rPr>
            </w:pPr>
            <w:r>
              <w:rPr>
                <w:noProof/>
              </w:rPr>
              <w:t>Panākt būvatļauju e-iekārtu sistēmu darbības sadarbspēju ar citām publiskām sistēmām</w:t>
            </w:r>
          </w:p>
          <w:p w14:paraId="57688EEA" w14:textId="77777777" w:rsidR="00CB0FCB" w:rsidRDefault="009D2B11">
            <w:pPr>
              <w:pStyle w:val="P68B1DB1-Normal9"/>
              <w:spacing w:after="0" w:line="240" w:lineRule="auto"/>
              <w:rPr>
                <w:rFonts w:eastAsia="Times New Roman" w:cs="Calibri"/>
                <w:noProof/>
                <w:szCs w:val="18"/>
              </w:rPr>
            </w:pPr>
            <w:r>
              <w:rPr>
                <w:noProof/>
              </w:rPr>
              <w:t>Īstenot informatīvas kampaņas ar privātā sektora ieinteresētajām personām</w:t>
            </w:r>
          </w:p>
          <w:p w14:paraId="613F821E" w14:textId="77777777" w:rsidR="00CB0FCB" w:rsidRDefault="009D2B11">
            <w:pPr>
              <w:pStyle w:val="P68B1DB1-Normal9"/>
              <w:spacing w:after="0" w:line="240" w:lineRule="auto"/>
              <w:rPr>
                <w:rFonts w:eastAsia="Times New Roman" w:cs="Calibri"/>
                <w:noProof/>
                <w:szCs w:val="18"/>
              </w:rPr>
            </w:pPr>
            <w:r>
              <w:rPr>
                <w:noProof/>
              </w:rPr>
              <w:t xml:space="preserve">—Aprīkošana un personāla apmācība </w:t>
            </w:r>
          </w:p>
          <w:p w14:paraId="5C6FB44E" w14:textId="77777777" w:rsidR="00CB0FCB" w:rsidRDefault="009D2B11">
            <w:pPr>
              <w:pStyle w:val="P68B1DB1-Normal9"/>
              <w:spacing w:after="0" w:line="240" w:lineRule="auto"/>
              <w:rPr>
                <w:rFonts w:eastAsia="Times New Roman" w:cs="Calibri"/>
                <w:noProof/>
                <w:szCs w:val="18"/>
              </w:rPr>
            </w:pPr>
            <w:r>
              <w:rPr>
                <w:noProof/>
              </w:rPr>
              <w:t>— Vadlīnijas, kas pieejamas tiešsaistē</w:t>
            </w:r>
          </w:p>
          <w:p w14:paraId="4464F465" w14:textId="77777777" w:rsidR="00CB0FCB" w:rsidRDefault="009D2B11">
            <w:pPr>
              <w:pStyle w:val="P68B1DB1-Normal9"/>
              <w:spacing w:after="0" w:line="240" w:lineRule="auto"/>
              <w:rPr>
                <w:rFonts w:eastAsia="Times New Roman" w:cs="Calibri"/>
                <w:noProof/>
                <w:szCs w:val="18"/>
              </w:rPr>
            </w:pPr>
            <w:r>
              <w:rPr>
                <w:noProof/>
              </w:rPr>
              <w:t>— Maksu grafiks pieejams tiešsaistē</w:t>
            </w:r>
          </w:p>
          <w:p w14:paraId="70009B48" w14:textId="77777777" w:rsidR="00CB0FCB" w:rsidRDefault="009D2B11">
            <w:pPr>
              <w:pStyle w:val="P68B1DB1-Normal9"/>
              <w:spacing w:after="0" w:line="240" w:lineRule="auto"/>
              <w:rPr>
                <w:rFonts w:eastAsia="Times New Roman" w:cs="Calibri"/>
                <w:noProof/>
                <w:szCs w:val="18"/>
              </w:rPr>
            </w:pPr>
            <w:r>
              <w:rPr>
                <w:noProof/>
              </w:rPr>
              <w:t>— Ugunsdzēsības departamenta iekšējās digitālās pārbaudes funkcijas</w:t>
            </w:r>
          </w:p>
          <w:p w14:paraId="62521C21" w14:textId="77777777" w:rsidR="00CB0FCB" w:rsidRDefault="009D2B11">
            <w:pPr>
              <w:pStyle w:val="P68B1DB1-Normal9"/>
              <w:spacing w:after="0" w:line="240" w:lineRule="auto"/>
              <w:rPr>
                <w:rFonts w:eastAsia="Times New Roman" w:cs="Calibri"/>
                <w:noProof/>
                <w:szCs w:val="18"/>
              </w:rPr>
            </w:pPr>
            <w:r>
              <w:rPr>
                <w:noProof/>
              </w:rPr>
              <w:t>3. Elektroenerģijas saņemšana</w:t>
            </w:r>
          </w:p>
          <w:p w14:paraId="030E0B50" w14:textId="77777777" w:rsidR="00CB0FCB" w:rsidRDefault="009D2B11">
            <w:pPr>
              <w:pStyle w:val="P68B1DB1-Normal9"/>
              <w:spacing w:after="0" w:line="240" w:lineRule="auto"/>
              <w:rPr>
                <w:rFonts w:eastAsia="Times New Roman" w:cs="Calibri"/>
                <w:noProof/>
                <w:szCs w:val="18"/>
              </w:rPr>
            </w:pPr>
            <w:r>
              <w:rPr>
                <w:noProof/>
              </w:rPr>
              <w:t>Vienkāršot/samazināt prasības attiecībā uz piemērošanu HEDNO un vienādot sistēmu kvadrātmetru deklarēšanai pašvaldībām.</w:t>
            </w:r>
          </w:p>
          <w:p w14:paraId="4CD4B010" w14:textId="77777777" w:rsidR="00CB0FCB" w:rsidRDefault="009D2B11">
            <w:pPr>
              <w:pStyle w:val="P68B1DB1-Normal9"/>
              <w:spacing w:after="0" w:line="240" w:lineRule="auto"/>
              <w:rPr>
                <w:rFonts w:eastAsia="Times New Roman" w:cs="Calibri"/>
                <w:noProof/>
                <w:szCs w:val="18"/>
              </w:rPr>
            </w:pPr>
            <w:r>
              <w:rPr>
                <w:noProof/>
              </w:rPr>
              <w:t>4. Īpašumtiesību reģistrācija</w:t>
            </w:r>
          </w:p>
          <w:p w14:paraId="167331E8" w14:textId="77777777" w:rsidR="00CB0FCB" w:rsidRDefault="009D2B11">
            <w:pPr>
              <w:pStyle w:val="P68B1DB1-Normal9"/>
              <w:spacing w:after="0" w:line="240" w:lineRule="auto"/>
              <w:rPr>
                <w:rFonts w:eastAsia="Times New Roman" w:cs="Calibri"/>
                <w:noProof/>
                <w:szCs w:val="18"/>
              </w:rPr>
            </w:pPr>
            <w:r>
              <w:rPr>
                <w:noProof/>
              </w:rPr>
              <w:t>Izveidot e-platformu, kas pircējiem ļautu izpildīt visas prasības īpašuma nodošanai tiešsaistē</w:t>
            </w:r>
          </w:p>
        </w:tc>
      </w:tr>
      <w:tr w:rsidR="00CB0FCB" w14:paraId="66BCE9BC" w14:textId="77777777">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14:paraId="40BF2303" w14:textId="77777777" w:rsidR="00CB0FCB" w:rsidRDefault="009D2B11">
            <w:pPr>
              <w:pStyle w:val="P68B1DB1-Normal9"/>
              <w:spacing w:after="0" w:line="240" w:lineRule="auto"/>
              <w:rPr>
                <w:rFonts w:eastAsia="Times New Roman" w:cs="Calibri"/>
                <w:noProof/>
                <w:szCs w:val="18"/>
              </w:rPr>
            </w:pPr>
            <w:r>
              <w:rPr>
                <w:noProof/>
              </w:rPr>
              <w:t>319</w:t>
            </w:r>
          </w:p>
        </w:tc>
        <w:tc>
          <w:tcPr>
            <w:tcW w:w="1311" w:type="dxa"/>
            <w:tcBorders>
              <w:top w:val="nil"/>
              <w:left w:val="nil"/>
              <w:bottom w:val="single" w:sz="4" w:space="0" w:color="auto"/>
              <w:right w:val="single" w:sz="4" w:space="0" w:color="auto"/>
            </w:tcBorders>
            <w:shd w:val="clear" w:color="auto" w:fill="C6EFCE"/>
            <w:noWrap/>
          </w:tcPr>
          <w:p w14:paraId="7FAF0460" w14:textId="77777777" w:rsidR="00CB0FCB" w:rsidRDefault="009D2B11">
            <w:pPr>
              <w:pStyle w:val="P68B1DB1-Normal9"/>
              <w:spacing w:after="0" w:line="240" w:lineRule="auto"/>
              <w:rPr>
                <w:rFonts w:eastAsia="Times New Roman" w:cs="Calibri"/>
                <w:noProof/>
                <w:szCs w:val="18"/>
              </w:rPr>
            </w:pPr>
            <w:r>
              <w:rPr>
                <w:noProof/>
              </w:rPr>
              <w:t>18–4.7. Uzlabot konkurētspēju un veicināt privātos ieguldījumus un eksportu — 16543_Darbības uzņēmējdarbības vides vienkāršošanai un tās kvalitātes un drošības uzlabošanai</w:t>
            </w:r>
          </w:p>
        </w:tc>
        <w:tc>
          <w:tcPr>
            <w:tcW w:w="966" w:type="dxa"/>
            <w:tcBorders>
              <w:top w:val="nil"/>
              <w:left w:val="nil"/>
              <w:bottom w:val="single" w:sz="4" w:space="0" w:color="auto"/>
              <w:right w:val="single" w:sz="4" w:space="0" w:color="auto"/>
            </w:tcBorders>
            <w:shd w:val="clear" w:color="auto" w:fill="C6EFCE"/>
            <w:noWrap/>
          </w:tcPr>
          <w:p w14:paraId="7847D25B"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592" w:type="dxa"/>
            <w:tcBorders>
              <w:top w:val="nil"/>
              <w:left w:val="nil"/>
              <w:bottom w:val="single" w:sz="4" w:space="0" w:color="auto"/>
              <w:right w:val="single" w:sz="4" w:space="0" w:color="auto"/>
            </w:tcBorders>
            <w:shd w:val="clear" w:color="auto" w:fill="C6EFCE"/>
            <w:noWrap/>
          </w:tcPr>
          <w:p w14:paraId="765DD415" w14:textId="77777777" w:rsidR="00CB0FCB" w:rsidRDefault="009D2B11">
            <w:pPr>
              <w:pStyle w:val="P68B1DB1-Normal9"/>
              <w:spacing w:after="0" w:line="240" w:lineRule="auto"/>
              <w:rPr>
                <w:rFonts w:eastAsia="Times New Roman" w:cs="Calibri"/>
                <w:noProof/>
                <w:szCs w:val="18"/>
              </w:rPr>
            </w:pPr>
            <w:r>
              <w:rPr>
                <w:noProof/>
              </w:rPr>
              <w:t>Uzņēmējdarbības vides uzlabošana — vienkāršošana un tirgus uzraudzība</w:t>
            </w:r>
          </w:p>
        </w:tc>
        <w:tc>
          <w:tcPr>
            <w:tcW w:w="1694" w:type="dxa"/>
            <w:tcBorders>
              <w:top w:val="nil"/>
              <w:left w:val="nil"/>
              <w:bottom w:val="single" w:sz="4" w:space="0" w:color="auto"/>
              <w:right w:val="single" w:sz="4" w:space="0" w:color="auto"/>
            </w:tcBorders>
            <w:shd w:val="clear" w:color="auto" w:fill="C6EFCE"/>
            <w:noWrap/>
          </w:tcPr>
          <w:p w14:paraId="089E208B" w14:textId="77777777" w:rsidR="00CB0FCB" w:rsidRDefault="009D2B11">
            <w:pPr>
              <w:pStyle w:val="P68B1DB1-Normal9"/>
              <w:spacing w:after="0" w:line="240" w:lineRule="auto"/>
              <w:rPr>
                <w:rFonts w:eastAsia="Times New Roman" w:cs="Calibri"/>
                <w:noProof/>
                <w:szCs w:val="18"/>
              </w:rPr>
            </w:pPr>
            <w:r>
              <w:rPr>
                <w:noProof/>
              </w:rPr>
              <w:t>Tiesību aktu publicēšana Oficiālajā Vēstnesī (atsauce uz “Oficiālo Vēstnesi”)</w:t>
            </w:r>
          </w:p>
          <w:p w14:paraId="3553322A" w14:textId="77777777" w:rsidR="00CB0FCB" w:rsidRDefault="00CB0FCB">
            <w:pPr>
              <w:spacing w:after="0" w:line="240" w:lineRule="auto"/>
              <w:rPr>
                <w:rFonts w:eastAsia="Times New Roman" w:cs="Calibri"/>
                <w:noProof/>
                <w:color w:val="006100"/>
                <w:sz w:val="18"/>
                <w:szCs w:val="18"/>
              </w:rPr>
            </w:pPr>
          </w:p>
        </w:tc>
        <w:tc>
          <w:tcPr>
            <w:tcW w:w="983" w:type="dxa"/>
            <w:tcBorders>
              <w:top w:val="nil"/>
              <w:left w:val="nil"/>
              <w:bottom w:val="single" w:sz="4" w:space="0" w:color="auto"/>
              <w:right w:val="single" w:sz="4" w:space="0" w:color="auto"/>
            </w:tcBorders>
            <w:shd w:val="clear" w:color="auto" w:fill="C6EFCE"/>
            <w:noWrap/>
          </w:tcPr>
          <w:p w14:paraId="53B83B8A" w14:textId="77777777" w:rsidR="00CB0FCB" w:rsidRDefault="00CB0FCB">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DD10582" w14:textId="77777777" w:rsidR="00CB0FCB" w:rsidRDefault="00CB0FCB">
            <w:pPr>
              <w:spacing w:after="0" w:line="240" w:lineRule="auto"/>
              <w:rPr>
                <w:rFonts w:eastAsia="Times New Roman" w:cs="Calibri"/>
                <w:noProof/>
                <w:color w:val="006100"/>
                <w:sz w:val="18"/>
                <w:szCs w:val="18"/>
              </w:rPr>
            </w:pPr>
          </w:p>
        </w:tc>
        <w:tc>
          <w:tcPr>
            <w:tcW w:w="827" w:type="dxa"/>
            <w:tcBorders>
              <w:top w:val="nil"/>
              <w:left w:val="nil"/>
              <w:bottom w:val="single" w:sz="4" w:space="0" w:color="auto"/>
              <w:right w:val="single" w:sz="4" w:space="0" w:color="auto"/>
            </w:tcBorders>
            <w:shd w:val="clear" w:color="auto" w:fill="C6EFCE"/>
            <w:noWrap/>
          </w:tcPr>
          <w:p w14:paraId="36CD270A" w14:textId="77777777" w:rsidR="00CB0FCB" w:rsidRDefault="00CB0FCB">
            <w:pPr>
              <w:spacing w:after="0" w:line="240" w:lineRule="auto"/>
              <w:rPr>
                <w:rFonts w:eastAsia="Times New Roman" w:cs="Calibri"/>
                <w:noProof/>
                <w:color w:val="006100"/>
                <w:sz w:val="18"/>
                <w:szCs w:val="18"/>
              </w:rPr>
            </w:pPr>
          </w:p>
        </w:tc>
        <w:tc>
          <w:tcPr>
            <w:tcW w:w="987" w:type="dxa"/>
            <w:tcBorders>
              <w:top w:val="nil"/>
              <w:left w:val="nil"/>
              <w:bottom w:val="single" w:sz="4" w:space="0" w:color="auto"/>
              <w:right w:val="single" w:sz="4" w:space="0" w:color="auto"/>
            </w:tcBorders>
            <w:shd w:val="clear" w:color="auto" w:fill="C6EFCE"/>
            <w:noWrap/>
          </w:tcPr>
          <w:p w14:paraId="775F8A2A" w14:textId="77777777" w:rsidR="00CB0FCB" w:rsidRDefault="009D2B11">
            <w:pPr>
              <w:pStyle w:val="P68B1DB1-Normal9"/>
              <w:spacing w:after="0" w:line="240" w:lineRule="auto"/>
              <w:rPr>
                <w:rFonts w:eastAsia="Times New Roman" w:cs="Calibri"/>
                <w:noProof/>
                <w:szCs w:val="18"/>
              </w:rPr>
            </w:pPr>
            <w:r>
              <w:rPr>
                <w:noProof/>
              </w:rPr>
              <w:t>4. CET.</w:t>
            </w:r>
          </w:p>
        </w:tc>
        <w:tc>
          <w:tcPr>
            <w:tcW w:w="707" w:type="dxa"/>
            <w:tcBorders>
              <w:top w:val="nil"/>
              <w:left w:val="nil"/>
              <w:bottom w:val="single" w:sz="4" w:space="0" w:color="auto"/>
              <w:right w:val="single" w:sz="4" w:space="0" w:color="auto"/>
            </w:tcBorders>
            <w:shd w:val="clear" w:color="auto" w:fill="C6EFCE"/>
            <w:noWrap/>
          </w:tcPr>
          <w:p w14:paraId="27445DCD" w14:textId="77777777" w:rsidR="00CB0FCB" w:rsidRDefault="009D2B11">
            <w:pPr>
              <w:pStyle w:val="P68B1DB1-Normal9"/>
              <w:spacing w:after="0" w:line="240" w:lineRule="auto"/>
              <w:rPr>
                <w:rFonts w:eastAsia="Times New Roman" w:cs="Calibri"/>
                <w:noProof/>
                <w:szCs w:val="18"/>
              </w:rPr>
            </w:pPr>
            <w:r>
              <w:rPr>
                <w:noProof/>
              </w:rPr>
              <w:t>2025</w:t>
            </w:r>
          </w:p>
        </w:tc>
        <w:tc>
          <w:tcPr>
            <w:tcW w:w="4449" w:type="dxa"/>
            <w:tcBorders>
              <w:top w:val="nil"/>
              <w:left w:val="nil"/>
              <w:bottom w:val="single" w:sz="4" w:space="0" w:color="auto"/>
              <w:right w:val="single" w:sz="4" w:space="0" w:color="auto"/>
            </w:tcBorders>
            <w:shd w:val="clear" w:color="auto" w:fill="C6EFCE"/>
            <w:noWrap/>
          </w:tcPr>
          <w:p w14:paraId="04CF54B9" w14:textId="77777777" w:rsidR="00CB0FCB" w:rsidRDefault="009D2B11">
            <w:pPr>
              <w:pStyle w:val="P68B1DB1-Normal9"/>
              <w:spacing w:after="0" w:line="240" w:lineRule="auto"/>
              <w:rPr>
                <w:rFonts w:eastAsia="Times New Roman" w:cs="Calibri"/>
                <w:noProof/>
                <w:szCs w:val="18"/>
              </w:rPr>
            </w:pPr>
            <w:r>
              <w:rPr>
                <w:noProof/>
              </w:rPr>
              <w:t>Stājas spēkā tiesību akti, ar kuriem reformē un veic nepieciešamos pasākumus, lai vēl vairāk uzlabotu tiesisko regulējumu attiecībā uz licencēšanu un uzņēmumu efektīvu uzraudzību:</w:t>
            </w:r>
          </w:p>
          <w:p w14:paraId="20F1E91E" w14:textId="77777777" w:rsidR="00CB0FCB" w:rsidRDefault="009D2B11">
            <w:pPr>
              <w:pStyle w:val="P68B1DB1-Normal9"/>
              <w:spacing w:before="120" w:after="0" w:line="240" w:lineRule="auto"/>
              <w:jc w:val="both"/>
              <w:rPr>
                <w:rFonts w:eastAsia="Times New Roman" w:cs="Calibri"/>
                <w:noProof/>
                <w:szCs w:val="18"/>
              </w:rPr>
            </w:pPr>
            <w:r>
              <w:rPr>
                <w:noProof/>
              </w:rPr>
              <w:t>—veikt līdz 2024. gada 1. ceturksnim notikušās licencēšanas reformas ex post ietekmes novērtējumu un īstenot politikas ieteikumus,</w:t>
            </w:r>
          </w:p>
          <w:p w14:paraId="7B88E84E" w14:textId="77777777" w:rsidR="00CB0FCB" w:rsidRDefault="009D2B11">
            <w:pPr>
              <w:pStyle w:val="P68B1DB1-Normal9"/>
              <w:spacing w:after="0" w:line="259" w:lineRule="auto"/>
              <w:ind w:left="12"/>
              <w:contextualSpacing/>
              <w:rPr>
                <w:rFonts w:eastAsia="Times New Roman" w:cs="Calibri"/>
                <w:noProof/>
                <w:szCs w:val="18"/>
              </w:rPr>
            </w:pPr>
            <w:r>
              <w:rPr>
                <w:noProof/>
              </w:rPr>
              <w:t xml:space="preserve">pārskatīt un vienkāršot licencēšanas procesus jaunām saimnieciskām darbībām, ko nosaka saskaņā ar Likumu 4442/16, samazinot prasības un sertifikātus, likvidējot procesa posmus, kas nerada pievienoto vērtību, saīsinot pieteikumu apstrādes laiku un ierobežojot ex ante kontroli, attiecinot to tikai uz augsta riska darbībām, saskaņā ar Likumdošanas Nr. 4442/2016 un Nr. 4512/2018 principiem, </w:t>
            </w:r>
          </w:p>
          <w:p w14:paraId="4E44F252" w14:textId="379C3EFB" w:rsidR="00CB0FCB" w:rsidRDefault="009D2B11">
            <w:pPr>
              <w:pStyle w:val="P68B1DB1-Normal9"/>
              <w:spacing w:after="0" w:line="240" w:lineRule="auto"/>
              <w:rPr>
                <w:rFonts w:eastAsia="Times New Roman" w:cs="Calibri"/>
                <w:noProof/>
                <w:szCs w:val="18"/>
              </w:rPr>
            </w:pPr>
            <w:r>
              <w:rPr>
                <w:noProof/>
              </w:rPr>
              <w:t>— likumu 3325/2005,</w:t>
            </w:r>
            <w:r>
              <w:rPr>
                <w:i/>
                <w:noProof/>
              </w:rPr>
              <w:t>3982/2011,</w:t>
            </w:r>
            <w:r>
              <w:rPr>
                <w:noProof/>
              </w:rPr>
              <w:t xml:space="preserve">4302/2014 un 4442/2016 administratīvā kodifikācija (Διοικητική κήδικοποίηση), </w:t>
            </w:r>
          </w:p>
          <w:p w14:paraId="4611028A" w14:textId="77777777" w:rsidR="00CB0FCB" w:rsidRDefault="009D2B11">
            <w:pPr>
              <w:pStyle w:val="P68B1DB1-Normal9"/>
              <w:spacing w:after="0" w:line="240" w:lineRule="auto"/>
              <w:rPr>
                <w:rFonts w:eastAsia="Times New Roman" w:cs="Calibri"/>
                <w:noProof/>
                <w:szCs w:val="18"/>
              </w:rPr>
            </w:pPr>
            <w:r>
              <w:rPr>
                <w:noProof/>
              </w:rPr>
              <w:t xml:space="preserve">izstrādāt tirgus uzraudzības stratēģiju saskaņā ar Regulu (ES) Nr. 1020/2019 un </w:t>
            </w:r>
          </w:p>
          <w:p w14:paraId="159B3E4E" w14:textId="77777777" w:rsidR="00CB0FCB" w:rsidRDefault="009D2B11">
            <w:pPr>
              <w:pStyle w:val="P68B1DB1-Normal9"/>
              <w:spacing w:after="0" w:line="240" w:lineRule="auto"/>
              <w:rPr>
                <w:rFonts w:eastAsia="Times New Roman" w:cs="Calibri"/>
                <w:noProof/>
                <w:szCs w:val="18"/>
              </w:rPr>
            </w:pPr>
            <w:r>
              <w:rPr>
                <w:noProof/>
              </w:rPr>
              <w:t>jaunās saimnieciskās darbības uzraudzības sistēmas efektīva īstenošana saskaņā ar tiesību aktiem 4512/18, pieņemot attiecīgus tiesību aktus un izveidojot kontroles iestāžu izvērtēšanas sistēmu,</w:t>
            </w:r>
          </w:p>
          <w:p w14:paraId="7FB1E576" w14:textId="77777777" w:rsidR="00CB0FCB" w:rsidRDefault="009D2B11">
            <w:pPr>
              <w:pStyle w:val="P68B1DB1-Normal9"/>
              <w:spacing w:after="0" w:line="240" w:lineRule="auto"/>
              <w:rPr>
                <w:rFonts w:eastAsia="Times New Roman" w:cs="Calibri"/>
                <w:noProof/>
                <w:szCs w:val="18"/>
              </w:rPr>
            </w:pPr>
            <w:r>
              <w:rPr>
                <w:noProof/>
              </w:rPr>
              <w:t>—īstenot un ieviest IT rīkus, lai atvieglotu tirgus uzraudzības funkciju procesus</w:t>
            </w:r>
          </w:p>
        </w:tc>
      </w:tr>
    </w:tbl>
    <w:p w14:paraId="785FB386" w14:textId="77777777" w:rsidR="00CB0FCB" w:rsidRDefault="00CB0FCB">
      <w:pPr>
        <w:spacing w:before="120" w:after="120" w:line="240" w:lineRule="auto"/>
        <w:ind w:left="709"/>
        <w:jc w:val="both"/>
        <w:rPr>
          <w:rFonts w:ascii="Times New Roman" w:hAnsi="Times New Roman" w:cs="Times New Roman"/>
          <w:noProof/>
          <w:sz w:val="24"/>
          <w:szCs w:val="24"/>
        </w:rPr>
      </w:pPr>
    </w:p>
    <w:p w14:paraId="645818CE" w14:textId="77777777" w:rsidR="00CB0FCB" w:rsidRDefault="00CB0FCB">
      <w:pPr>
        <w:spacing w:before="120" w:after="120" w:line="240" w:lineRule="auto"/>
        <w:ind w:left="709"/>
        <w:jc w:val="both"/>
        <w:rPr>
          <w:rFonts w:ascii="Times New Roman" w:hAnsi="Times New Roman" w:cs="Times New Roman"/>
          <w:noProof/>
          <w:sz w:val="24"/>
        </w:rPr>
        <w:sectPr w:rsidR="00CB0FCB" w:rsidSect="00271D33">
          <w:headerReference w:type="even" r:id="rId313"/>
          <w:headerReference w:type="default" r:id="rId314"/>
          <w:footerReference w:type="even" r:id="rId315"/>
          <w:footerReference w:type="default" r:id="rId316"/>
          <w:headerReference w:type="first" r:id="rId317"/>
          <w:footerReference w:type="first" r:id="rId318"/>
          <w:pgSz w:w="16839" w:h="11907" w:orient="landscape"/>
          <w:pgMar w:top="720" w:right="720" w:bottom="720" w:left="720" w:header="709" w:footer="217" w:gutter="0"/>
          <w:cols w:space="720"/>
          <w:docGrid w:linePitch="360"/>
        </w:sectPr>
      </w:pPr>
    </w:p>
    <w:p w14:paraId="22BC940B"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R.3. </w:t>
      </w:r>
      <w:r>
        <w:rPr>
          <w:noProof/>
        </w:rPr>
        <w:t xml:space="preserve"> </w:t>
      </w:r>
      <w:r>
        <w:rPr>
          <w:rFonts w:ascii="Times New Roman" w:hAnsi="Times New Roman"/>
          <w:b/>
          <w:noProof/>
          <w:sz w:val="24"/>
          <w:u w:val="single"/>
        </w:rPr>
        <w:t xml:space="preserve">Aizdevumam pieteikto reformu un investīciju apraksts </w:t>
      </w:r>
    </w:p>
    <w:p w14:paraId="3788317B"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Aizdevuma mehānisms (pasākums ID 16980)</w:t>
      </w:r>
    </w:p>
    <w:p w14:paraId="7EDEFA18" w14:textId="39174EA8" w:rsidR="00CB0FCB" w:rsidRDefault="009D2B11">
      <w:pPr>
        <w:pStyle w:val="P68B1DB1-Normal5"/>
        <w:spacing w:before="120" w:after="120" w:line="240" w:lineRule="auto"/>
        <w:jc w:val="both"/>
        <w:rPr>
          <w:rFonts w:cs="Times New Roman"/>
          <w:noProof/>
        </w:rPr>
      </w:pPr>
      <w:r>
        <w:rPr>
          <w:noProof/>
        </w:rPr>
        <w:t xml:space="preserve">Investīcijas attiecas uz aizdevumu atbalsta izmantošanu saskaņā ar Atveseļošanas un noturības mehānismu, lai atvieglotu finansiālu stimulu sniegšanu privātajam sektoram un veicinātu privātās investīcijas. Aizdevumu mehānisms izmanto dažādus izplatīšanas kanālus, proti, finanšu iestādes (izmantojot uzņēmumu obligāciju iegādi vai sindicētos aizdevumus, (15428 miljoni EUR), pašu kapitāla platformu (500 miljoni EUR) un programmas InvestEU dalībvalsts nodalījumu (500 miljoni EUR). </w:t>
      </w:r>
    </w:p>
    <w:p w14:paraId="4B2D76AF" w14:textId="77777777" w:rsidR="00CB0FCB" w:rsidRDefault="009D2B11">
      <w:pPr>
        <w:pStyle w:val="P68B1DB1-Normal4"/>
        <w:tabs>
          <w:tab w:val="left" w:pos="0"/>
        </w:tabs>
        <w:spacing w:before="120" w:after="120" w:line="240" w:lineRule="auto"/>
        <w:jc w:val="both"/>
        <w:rPr>
          <w:rFonts w:cs="Times New Roman"/>
          <w:noProof/>
          <w:szCs w:val="24"/>
        </w:rPr>
      </w:pPr>
      <w:r>
        <w:rPr>
          <w:noProof/>
        </w:rPr>
        <w:t xml:space="preserve">Attiecībā uz finanšu iestāžu izplatīšanas kanālu aizdevumus novirza ar starptautisko finanšu iestāžu (SFI) un komercbanku (CB) starpniecību. Valsts piešķirtie aizdevumi sedz ne vairāk kā 50 % no ieguldījumu izmaksām, finanšu iestādēm piedaloties vismaz 30 % apmērā un debitoriem — vismaz 20 % apmērā. </w:t>
      </w:r>
    </w:p>
    <w:p w14:paraId="2A2EFD1B" w14:textId="77777777" w:rsidR="00CB0FCB" w:rsidRDefault="009D2B11">
      <w:pPr>
        <w:pStyle w:val="P68B1DB1-Normal4"/>
        <w:tabs>
          <w:tab w:val="left" w:pos="0"/>
        </w:tabs>
        <w:spacing w:before="120" w:after="120" w:line="240" w:lineRule="auto"/>
        <w:jc w:val="both"/>
        <w:rPr>
          <w:rFonts w:cs="Times New Roman"/>
          <w:noProof/>
          <w:szCs w:val="24"/>
        </w:rPr>
      </w:pPr>
      <w:r>
        <w:rPr>
          <w:noProof/>
        </w:rPr>
        <w:t>Aizdevumus, kas izsniegti saskaņā ar aizdevumu mehānismu un kas atmaksāti sākotnējos 3 gados pēc aizdevumu mehānisma izveides, var atkārtoti izmantot jauniem aizdevumu mehānisma aizdevumu maksājumiem. Pretējā gadījumā visus atmaksājumus no aizdevumu mehānisma novirza uz atsevišķu kontu, ko izmanto vienīgi, lai apkalpotu valsts parādu un tādējādi palīdzētu atbalstīt publisko finanšu ilgtspēju.</w:t>
      </w:r>
    </w:p>
    <w:p w14:paraId="67B0AD01" w14:textId="77777777" w:rsidR="00CB0FCB" w:rsidRDefault="009D2B11">
      <w:pPr>
        <w:pStyle w:val="P68B1DB1-Normal4"/>
        <w:tabs>
          <w:tab w:val="left" w:pos="0"/>
        </w:tabs>
        <w:spacing w:before="120" w:after="120" w:line="240" w:lineRule="auto"/>
        <w:jc w:val="both"/>
        <w:rPr>
          <w:rFonts w:cs="Times New Roman"/>
          <w:noProof/>
          <w:szCs w:val="24"/>
        </w:rPr>
      </w:pPr>
      <w:r>
        <w:rPr>
          <w:noProof/>
        </w:rPr>
        <w:t xml:space="preserve">Aizdevumu mehānisms finansē tikai atbalsttiesīgus projektus. Konkrēti, SFI un CB nodrošina, ka finansētie ieguldījumi: </w:t>
      </w:r>
    </w:p>
    <w:p w14:paraId="7FE9E20A" w14:textId="77777777" w:rsidR="00CB0FCB" w:rsidRDefault="009D2B11">
      <w:pPr>
        <w:pStyle w:val="P68B1DB1-Normal4"/>
        <w:numPr>
          <w:ilvl w:val="0"/>
          <w:numId w:val="69"/>
        </w:numPr>
        <w:tabs>
          <w:tab w:val="left" w:pos="0"/>
        </w:tabs>
        <w:spacing w:before="120" w:after="120" w:line="240" w:lineRule="auto"/>
        <w:jc w:val="both"/>
        <w:rPr>
          <w:rFonts w:cs="Times New Roman"/>
          <w:noProof/>
          <w:szCs w:val="24"/>
        </w:rPr>
      </w:pPr>
      <w:r>
        <w:rPr>
          <w:noProof/>
        </w:rPr>
        <w:t>ir pozitīva neto pašreizējā vērtība, nodrošinot, ka lēmums par finansēšanu ir balstīts uz stabiliem ekonomiskiem kritērijiem;</w:t>
      </w:r>
    </w:p>
    <w:p w14:paraId="4A91A24D" w14:textId="77777777" w:rsidR="00CB0FCB" w:rsidRDefault="009D2B11">
      <w:pPr>
        <w:pStyle w:val="P68B1DB1-Normal4"/>
        <w:numPr>
          <w:ilvl w:val="0"/>
          <w:numId w:val="69"/>
        </w:numPr>
        <w:tabs>
          <w:tab w:val="left" w:pos="0"/>
        </w:tabs>
        <w:spacing w:before="120" w:after="120" w:line="240" w:lineRule="auto"/>
        <w:jc w:val="both"/>
        <w:rPr>
          <w:rFonts w:cs="Times New Roman"/>
          <w:noProof/>
          <w:szCs w:val="24"/>
        </w:rPr>
      </w:pPr>
      <w:r>
        <w:rPr>
          <w:noProof/>
        </w:rPr>
        <w:t>ir saskaņoti ar pieciem stratēģiskajiem pīlāriem, kas noteikti aizdevumu mehānismam, proti, zaļo pārkārtošanos, digitalizāciju, ekstroversiju, apjomradītiem ietaupījumiem, izmantojot apvienošanos un iegādi, inovāciju;</w:t>
      </w:r>
    </w:p>
    <w:p w14:paraId="500C49CD" w14:textId="77777777" w:rsidR="00CB0FCB" w:rsidRDefault="009D2B11">
      <w:pPr>
        <w:pStyle w:val="P68B1DB1-Normal4"/>
        <w:numPr>
          <w:ilvl w:val="0"/>
          <w:numId w:val="69"/>
        </w:numPr>
        <w:tabs>
          <w:tab w:val="left" w:pos="0"/>
        </w:tabs>
        <w:spacing w:before="120" w:after="120" w:line="240" w:lineRule="auto"/>
        <w:jc w:val="both"/>
        <w:rPr>
          <w:rFonts w:cs="Times New Roman"/>
          <w:noProof/>
          <w:szCs w:val="24"/>
        </w:rPr>
      </w:pPr>
      <w:r>
        <w:rPr>
          <w:noProof/>
        </w:rPr>
        <w:t xml:space="preserve">ievērot valsts atbalsta noteikumus. </w:t>
      </w:r>
    </w:p>
    <w:p w14:paraId="0278118C" w14:textId="77777777" w:rsidR="00CB0FCB" w:rsidRDefault="009D2B11">
      <w:pPr>
        <w:pStyle w:val="P68B1DB1-Normal4"/>
        <w:spacing w:before="120" w:after="120" w:line="240" w:lineRule="auto"/>
        <w:jc w:val="both"/>
        <w:rPr>
          <w:rFonts w:cs="Times New Roman"/>
          <w:noProof/>
        </w:rPr>
      </w:pPr>
      <w:r>
        <w:rPr>
          <w:noProof/>
        </w:rPr>
        <w:t>Lai nodrošinātu, ka pasākums atbilst Tehniskajiem norādījumiem “nenodarīt būtisku kaitējumu” (2021/C58/01), nolīgumos saistībā ar aizdevuma mehānismu:</w:t>
      </w:r>
    </w:p>
    <w:p w14:paraId="5345D3B1" w14:textId="77777777" w:rsidR="00CB0FCB" w:rsidRDefault="009D2B11">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 </w:t>
      </w:r>
      <w:r>
        <w:rPr>
          <w:noProof/>
        </w:rPr>
        <w:t xml:space="preserve"> </w:t>
      </w:r>
      <w:r>
        <w:rPr>
          <w:rFonts w:ascii="Times New Roman" w:hAnsi="Times New Roman"/>
          <w:noProof/>
          <w:sz w:val="24"/>
        </w:rPr>
        <w:t>pieprasīt, lai fondam InvestEU tiktu piemēroti Komisijas tehniskie norādījumi par ilgtspējas pārbaudi;</w:t>
      </w:r>
    </w:p>
    <w:p w14:paraId="38D7111C" w14:textId="77777777" w:rsidR="00CB0FCB" w:rsidRDefault="009D2B11">
      <w:pPr>
        <w:spacing w:before="120" w:after="120" w:line="240" w:lineRule="auto"/>
        <w:jc w:val="both"/>
        <w:rPr>
          <w:rFonts w:ascii="Times New Roman" w:hAnsi="Times New Roman" w:cs="Times New Roman"/>
          <w:noProof/>
          <w:sz w:val="24"/>
        </w:rPr>
      </w:pPr>
      <w:r>
        <w:rPr>
          <w:rFonts w:ascii="Times New Roman" w:hAnsi="Times New Roman"/>
          <w:noProof/>
          <w:sz w:val="24"/>
          <w:szCs w:val="24"/>
        </w:rPr>
        <w:t xml:space="preserve">II. </w:t>
      </w:r>
      <w:r>
        <w:rPr>
          <w:noProof/>
        </w:rPr>
        <w:t xml:space="preserve"> </w:t>
      </w:r>
      <w:r>
        <w:rPr>
          <w:rFonts w:ascii="Times New Roman" w:hAnsi="Times New Roman"/>
          <w:noProof/>
          <w:sz w:val="24"/>
          <w:szCs w:val="24"/>
        </w:rPr>
        <w:t>izslēgt no atbilstības šādu darbību un aktīvu sarakstu: I) darbībām un aktīviem, kas saistīti ar fosilo kurināmo, tostarp lejupēju izmantošanu</w:t>
      </w:r>
      <w:r>
        <w:rPr>
          <w:rFonts w:ascii="Times New Roman" w:hAnsi="Times New Roman"/>
          <w:noProof/>
          <w:sz w:val="24"/>
          <w:szCs w:val="24"/>
        </w:rPr>
        <w:footnoteReference w:id="39"/>
      </w:r>
      <w:r>
        <w:rPr>
          <w:rFonts w:ascii="Times New Roman" w:hAnsi="Times New Roman"/>
          <w:noProof/>
          <w:sz w:val="24"/>
          <w:szCs w:val="24"/>
        </w:rPr>
        <w:t>; II) darbības un aktīvi saskaņā ar ES emisijas kvotu tirdzniecības sistēmu (ETS), kuru prognozētās siltumnīcefekta gāzu emisijas nav zemākas par attiecīgajām līmeņatzīmēm</w:t>
      </w:r>
      <w:r>
        <w:rPr>
          <w:rFonts w:ascii="Times New Roman" w:hAnsi="Times New Roman"/>
          <w:noProof/>
          <w:sz w:val="24"/>
          <w:szCs w:val="24"/>
        </w:rPr>
        <w:footnoteReference w:id="40"/>
      </w:r>
      <w:r>
        <w:rPr>
          <w:rFonts w:ascii="Times New Roman" w:hAnsi="Times New Roman"/>
          <w:noProof/>
          <w:sz w:val="24"/>
          <w:szCs w:val="24"/>
        </w:rPr>
        <w:t>; III) darbības un aktīvi, kas saistīti ar atkritumu poligoniem, sadedzināšanas iekārtām</w:t>
      </w:r>
      <w:r>
        <w:rPr>
          <w:rFonts w:ascii="Times New Roman" w:hAnsi="Times New Roman"/>
          <w:noProof/>
          <w:sz w:val="24"/>
          <w:szCs w:val="24"/>
        </w:rPr>
        <w:footnoteReference w:id="41"/>
      </w:r>
      <w:r>
        <w:rPr>
          <w:rFonts w:ascii="Times New Roman" w:hAnsi="Times New Roman"/>
          <w:noProof/>
          <w:sz w:val="24"/>
          <w:szCs w:val="24"/>
        </w:rPr>
        <w:t xml:space="preserve"> un mehāniski bioloģiskās apstrādes iekārtām</w:t>
      </w:r>
      <w:r>
        <w:rPr>
          <w:rFonts w:ascii="Times New Roman" w:hAnsi="Times New Roman"/>
          <w:noProof/>
          <w:sz w:val="24"/>
          <w:szCs w:val="24"/>
        </w:rPr>
        <w:footnoteReference w:id="42"/>
      </w:r>
      <w:r>
        <w:rPr>
          <w:rFonts w:ascii="Times New Roman" w:hAnsi="Times New Roman"/>
          <w:noProof/>
          <w:sz w:val="24"/>
          <w:szCs w:val="24"/>
        </w:rPr>
        <w:t>; un iv) darbībām un aktīviem, kuros atkritumu ilgtermiņa apglabāšana var radīt kaitējumu videi; un</w:t>
      </w:r>
    </w:p>
    <w:p w14:paraId="74270A3E" w14:textId="77777777" w:rsidR="00CB0FCB" w:rsidRDefault="009D2B11">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III. </w:t>
      </w:r>
      <w:r>
        <w:rPr>
          <w:noProof/>
        </w:rPr>
        <w:t xml:space="preserve"> </w:t>
      </w:r>
      <w:r>
        <w:rPr>
          <w:rFonts w:ascii="Times New Roman" w:hAnsi="Times New Roman"/>
          <w:noProof/>
          <w:sz w:val="24"/>
        </w:rPr>
        <w:t>paredz pārbaudīt projektu juridisko atbilstību attiecīgajiem ES un valsts tiesību aktiem vides jomā attiecībā uz visiem darījumiem, t. sk. tiem, uz kuri ir atbrīvoti no ilgtspējas pārbaudes.</w:t>
      </w:r>
    </w:p>
    <w:p w14:paraId="18C0EB74" w14:textId="28EAFABD" w:rsidR="00CB0FCB" w:rsidRDefault="009D2B11">
      <w:pPr>
        <w:pStyle w:val="P68B1DB1-Normal4"/>
        <w:spacing w:before="120" w:after="120" w:line="240" w:lineRule="auto"/>
        <w:jc w:val="both"/>
        <w:rPr>
          <w:rFonts w:cs="Times New Roman"/>
          <w:noProof/>
        </w:rPr>
      </w:pPr>
      <w:r>
        <w:rPr>
          <w:noProof/>
        </w:rPr>
        <w:t xml:space="preserve">Turklāt aizdevumu mehānisms paredz finanšu iestāžu izplatīšanas kanāla apņemšanos ieguldīt vismaz 41,5 % no līdzekļiem klimatiskās pārkārtošanās atbalstam un 20,8 % no līdzekļiem digitālās pārkārtošanās atbalstam, izmantojot Atveseļošanas un noturības mehānisma regulas VI un VII pielikumā izklāstīto metodiku. </w:t>
      </w:r>
    </w:p>
    <w:p w14:paraId="3C158F97" w14:textId="59A1DA4F" w:rsidR="00CB0FCB" w:rsidRDefault="009D2B11">
      <w:pPr>
        <w:pStyle w:val="P68B1DB1-Normal4"/>
        <w:spacing w:before="120" w:after="120" w:line="240" w:lineRule="auto"/>
        <w:jc w:val="both"/>
        <w:rPr>
          <w:rFonts w:cs="Times New Roman"/>
          <w:noProof/>
        </w:rPr>
      </w:pPr>
      <w:r>
        <w:rPr>
          <w:noProof/>
        </w:rPr>
        <w:t>Neatkarīgi revidenti pirms katra maksājuma pieprasījuma pārbauda atbilstību NBK un 41,5 % klimata mērķrādītājam un 20,8 % digitālajam mērķrādītājam.</w:t>
      </w:r>
    </w:p>
    <w:p w14:paraId="22327484" w14:textId="57E31635" w:rsidR="00CB0FCB" w:rsidRDefault="009D2B11">
      <w:pPr>
        <w:pStyle w:val="P68B1DB1-Normal4"/>
        <w:spacing w:before="120" w:after="120" w:line="240" w:lineRule="auto"/>
        <w:jc w:val="both"/>
        <w:rPr>
          <w:rFonts w:cs="Times New Roman"/>
          <w:noProof/>
        </w:rPr>
      </w:pPr>
      <w:r>
        <w:rPr>
          <w:noProof/>
        </w:rPr>
        <w:t>Investīcijas īstenošanu pabeidz līdz 2026. gada 30. jūnijam.</w:t>
      </w:r>
    </w:p>
    <w:p w14:paraId="04ACAB92" w14:textId="77777777" w:rsidR="00CB0FCB" w:rsidRDefault="00CB0FCB">
      <w:pPr>
        <w:spacing w:before="120" w:after="120" w:line="240" w:lineRule="auto"/>
        <w:jc w:val="both"/>
        <w:rPr>
          <w:rFonts w:ascii="Times New Roman" w:hAnsi="Times New Roman" w:cs="Times New Roman"/>
          <w:i/>
          <w:noProof/>
          <w:sz w:val="24"/>
          <w:u w:val="single"/>
        </w:rPr>
      </w:pPr>
    </w:p>
    <w:p w14:paraId="6F3EBBAE" w14:textId="77777777" w:rsidR="00CB0FCB" w:rsidRDefault="00CB0FCB">
      <w:pPr>
        <w:spacing w:before="120" w:after="120" w:line="240" w:lineRule="auto"/>
        <w:jc w:val="both"/>
        <w:rPr>
          <w:rFonts w:ascii="Times New Roman" w:hAnsi="Times New Roman" w:cs="Times New Roman"/>
          <w:i/>
          <w:noProof/>
          <w:sz w:val="24"/>
          <w:u w:val="single"/>
        </w:rPr>
      </w:pPr>
    </w:p>
    <w:p w14:paraId="54B2F287" w14:textId="77777777" w:rsidR="00CB0FCB" w:rsidRDefault="00CB0FCB">
      <w:pPr>
        <w:spacing w:after="160" w:line="259" w:lineRule="auto"/>
        <w:ind w:left="709"/>
        <w:contextualSpacing/>
        <w:jc w:val="both"/>
        <w:rPr>
          <w:noProof/>
        </w:rPr>
      </w:pPr>
    </w:p>
    <w:p w14:paraId="22C8E1E5" w14:textId="77777777" w:rsidR="00CB0FCB" w:rsidRDefault="00CB0FCB">
      <w:pPr>
        <w:spacing w:after="160" w:line="259" w:lineRule="auto"/>
        <w:ind w:left="709"/>
        <w:contextualSpacing/>
        <w:jc w:val="both"/>
        <w:rPr>
          <w:noProof/>
        </w:rPr>
        <w:sectPr w:rsidR="00CB0FCB" w:rsidSect="00271D33">
          <w:headerReference w:type="even" r:id="rId319"/>
          <w:headerReference w:type="default" r:id="rId320"/>
          <w:footerReference w:type="even" r:id="rId321"/>
          <w:footerReference w:type="default" r:id="rId322"/>
          <w:headerReference w:type="first" r:id="rId323"/>
          <w:footerReference w:type="first" r:id="rId324"/>
          <w:pgSz w:w="11907" w:h="16839"/>
          <w:pgMar w:top="1134" w:right="1417" w:bottom="1134" w:left="1417" w:header="709" w:footer="326" w:gutter="0"/>
          <w:cols w:space="720"/>
          <w:docGrid w:linePitch="360"/>
        </w:sectPr>
      </w:pPr>
    </w:p>
    <w:p w14:paraId="0F8EC1AC" w14:textId="77777777" w:rsidR="00CB0FCB" w:rsidRDefault="009D2B11">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R.4. </w:t>
      </w:r>
      <w:r>
        <w:rPr>
          <w:noProof/>
        </w:rPr>
        <w:t xml:space="preserve"> </w:t>
      </w:r>
      <w:r>
        <w:rPr>
          <w:rFonts w:ascii="Times New Roman" w:hAnsi="Times New Roman"/>
          <w:b/>
          <w:noProof/>
          <w:sz w:val="24"/>
          <w:u w:val="single"/>
        </w:rPr>
        <w:t xml:space="preserve">Atskaites punkti, mērķrādītāji, citi rādītāji un aizdevuma uzraudzības un īstenošanas grafiks </w:t>
      </w:r>
    </w:p>
    <w:p w14:paraId="72A88ECA" w14:textId="3140E4A3" w:rsidR="00CB0FCB" w:rsidRDefault="009D2B11">
      <w:pPr>
        <w:pStyle w:val="P68B1DB1-Normal6"/>
        <w:keepNext/>
        <w:keepLines/>
        <w:spacing w:before="40" w:after="240" w:line="240" w:lineRule="auto"/>
        <w:jc w:val="both"/>
        <w:outlineLvl w:val="4"/>
        <w:rPr>
          <w:rFonts w:eastAsia="Times New Roman"/>
          <w:noProof/>
        </w:rPr>
      </w:pPr>
      <w:r>
        <w:rPr>
          <w:noProof/>
        </w:rPr>
        <w:t>Aizdevumu mehānisms (16980)</w:t>
      </w:r>
    </w:p>
    <w:tbl>
      <w:tblPr>
        <w:tblW w:w="15883" w:type="dxa"/>
        <w:jc w:val="center"/>
        <w:tblLayout w:type="fixed"/>
        <w:tblLook w:val="04A0" w:firstRow="1" w:lastRow="0" w:firstColumn="1" w:lastColumn="0" w:noHBand="0" w:noVBand="1"/>
      </w:tblPr>
      <w:tblGrid>
        <w:gridCol w:w="846"/>
        <w:gridCol w:w="1429"/>
        <w:gridCol w:w="1200"/>
        <w:gridCol w:w="1340"/>
        <w:gridCol w:w="1660"/>
        <w:gridCol w:w="1080"/>
        <w:gridCol w:w="1080"/>
        <w:gridCol w:w="840"/>
        <w:gridCol w:w="960"/>
        <w:gridCol w:w="840"/>
        <w:gridCol w:w="4608"/>
      </w:tblGrid>
      <w:tr w:rsidR="00CB0FCB" w14:paraId="459DB7F9" w14:textId="77777777">
        <w:trPr>
          <w:trHeight w:val="810"/>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7ADB23" w14:textId="47B22A1B" w:rsidR="00CB0FCB" w:rsidRDefault="009D2B11">
            <w:pPr>
              <w:pStyle w:val="P68B1DB1-Normal16"/>
              <w:spacing w:after="0" w:line="240" w:lineRule="auto"/>
              <w:jc w:val="center"/>
              <w:rPr>
                <w:rFonts w:eastAsia="Times New Roman" w:cs="Times New Roman"/>
                <w:noProof/>
                <w:szCs w:val="20"/>
              </w:rPr>
            </w:pPr>
            <w:r>
              <w:rPr>
                <w:noProof/>
              </w:rPr>
              <w:t>Kārtas Nē.</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359C04" w14:textId="77777777" w:rsidR="00CB0FCB" w:rsidRDefault="009D2B11">
            <w:pPr>
              <w:pStyle w:val="P68B1DB1-Normal16"/>
              <w:spacing w:after="0" w:line="240" w:lineRule="auto"/>
              <w:jc w:val="center"/>
              <w:rPr>
                <w:rFonts w:eastAsia="Times New Roman" w:cs="Times New Roman"/>
                <w:noProof/>
                <w:szCs w:val="20"/>
              </w:rPr>
            </w:pPr>
            <w:r>
              <w:rPr>
                <w:noProof/>
              </w:rPr>
              <w:t>Saistītais pasākums (reforma vai ieguldījums)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AF182C" w14:textId="77777777" w:rsidR="00CB0FCB" w:rsidRDefault="009D2B11">
            <w:pPr>
              <w:pStyle w:val="P68B1DB1-Normal16"/>
              <w:spacing w:after="0" w:line="240" w:lineRule="auto"/>
              <w:jc w:val="center"/>
              <w:rPr>
                <w:rFonts w:eastAsia="Times New Roman" w:cs="Times New Roman"/>
                <w:noProof/>
                <w:szCs w:val="20"/>
              </w:rPr>
            </w:pPr>
            <w:r>
              <w:rPr>
                <w:noProof/>
              </w:rPr>
              <w:t>Atskaites punkts/mērķrādītājs</w:t>
            </w:r>
          </w:p>
        </w:tc>
        <w:tc>
          <w:tcPr>
            <w:tcW w:w="1340" w:type="dxa"/>
            <w:vMerge w:val="restart"/>
            <w:tcBorders>
              <w:top w:val="single" w:sz="4" w:space="0" w:color="auto"/>
              <w:left w:val="nil"/>
              <w:bottom w:val="single" w:sz="4" w:space="0" w:color="auto"/>
              <w:right w:val="single" w:sz="4" w:space="0" w:color="auto"/>
            </w:tcBorders>
            <w:shd w:val="clear" w:color="auto" w:fill="BDD7EE"/>
            <w:vAlign w:val="center"/>
            <w:hideMark/>
          </w:tcPr>
          <w:p w14:paraId="163F3E35" w14:textId="77777777" w:rsidR="00CB0FCB" w:rsidRDefault="009D2B11">
            <w:pPr>
              <w:pStyle w:val="P68B1DB1-Normal16"/>
              <w:spacing w:after="0" w:line="240" w:lineRule="auto"/>
              <w:jc w:val="center"/>
              <w:rPr>
                <w:rFonts w:eastAsia="Times New Roman" w:cs="Times New Roman"/>
                <w:noProof/>
                <w:szCs w:val="20"/>
              </w:rPr>
            </w:pPr>
            <w:r>
              <w:rPr>
                <w:noProof/>
              </w:rPr>
              <w:t>Nosaukums</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423227" w14:textId="77777777" w:rsidR="00CB0FCB" w:rsidRDefault="009D2B11">
            <w:pPr>
              <w:pStyle w:val="P68B1DB1-Normal16"/>
              <w:spacing w:after="0" w:line="240" w:lineRule="auto"/>
              <w:jc w:val="center"/>
              <w:rPr>
                <w:rFonts w:eastAsia="Times New Roman" w:cs="Times New Roman"/>
                <w:noProof/>
                <w:szCs w:val="20"/>
              </w:rPr>
            </w:pPr>
            <w:r>
              <w:rPr>
                <w:noProof/>
              </w:rPr>
              <w:t>Kvalitatīvie rādītāji (atskaites punktiem)</w:t>
            </w:r>
          </w:p>
        </w:tc>
        <w:tc>
          <w:tcPr>
            <w:tcW w:w="3000" w:type="dxa"/>
            <w:gridSpan w:val="3"/>
            <w:tcBorders>
              <w:top w:val="single" w:sz="4" w:space="0" w:color="auto"/>
              <w:left w:val="nil"/>
              <w:bottom w:val="single" w:sz="4" w:space="0" w:color="auto"/>
              <w:right w:val="single" w:sz="4" w:space="0" w:color="auto"/>
            </w:tcBorders>
            <w:shd w:val="clear" w:color="auto" w:fill="BDD7EE"/>
            <w:vAlign w:val="center"/>
            <w:hideMark/>
          </w:tcPr>
          <w:p w14:paraId="6D8AACCD" w14:textId="77777777" w:rsidR="00CB0FCB" w:rsidRDefault="009D2B11">
            <w:pPr>
              <w:pStyle w:val="P68B1DB1-Normal16"/>
              <w:spacing w:after="0" w:line="240" w:lineRule="auto"/>
              <w:jc w:val="center"/>
              <w:rPr>
                <w:rFonts w:eastAsia="Times New Roman" w:cs="Times New Roman"/>
                <w:noProof/>
                <w:szCs w:val="20"/>
              </w:rPr>
            </w:pPr>
            <w:r>
              <w:rPr>
                <w:noProof/>
              </w:rPr>
              <w:t>Kvantitatīvie rādītāji (mērķrādītājiem)</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7C141BDF" w14:textId="77777777" w:rsidR="00CB0FCB" w:rsidRDefault="009D2B11">
            <w:pPr>
              <w:pStyle w:val="P68B1DB1-Normal16"/>
              <w:spacing w:after="0" w:line="240" w:lineRule="auto"/>
              <w:jc w:val="center"/>
              <w:rPr>
                <w:rFonts w:eastAsia="Times New Roman" w:cs="Times New Roman"/>
                <w:noProof/>
                <w:szCs w:val="20"/>
              </w:rPr>
            </w:pPr>
            <w:r>
              <w:rPr>
                <w:noProof/>
              </w:rPr>
              <w:t>Orientējošs pabeigšanas termiņš</w:t>
            </w:r>
          </w:p>
        </w:tc>
        <w:tc>
          <w:tcPr>
            <w:tcW w:w="46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7E2D54" w14:textId="77777777" w:rsidR="00CB0FCB" w:rsidRDefault="009D2B11">
            <w:pPr>
              <w:pStyle w:val="P68B1DB1-Normal16"/>
              <w:spacing w:after="0" w:line="240" w:lineRule="auto"/>
              <w:jc w:val="center"/>
              <w:rPr>
                <w:rFonts w:eastAsia="Times New Roman" w:cs="Times New Roman"/>
                <w:noProof/>
                <w:szCs w:val="20"/>
              </w:rPr>
            </w:pPr>
            <w:r>
              <w:rPr>
                <w:noProof/>
              </w:rPr>
              <w:t>Apraksts par katru atskaites punktu un mērķrādītāju</w:t>
            </w:r>
          </w:p>
        </w:tc>
      </w:tr>
      <w:tr w:rsidR="00CB0FCB" w14:paraId="66222D1C" w14:textId="77777777">
        <w:trPr>
          <w:trHeight w:val="581"/>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EA797BC" w14:textId="77777777" w:rsidR="00CB0FCB" w:rsidRDefault="00CB0FCB">
            <w:pPr>
              <w:spacing w:after="0" w:line="240" w:lineRule="auto"/>
              <w:rPr>
                <w:rFonts w:ascii="Times New Roman" w:eastAsia="Times New Roman" w:hAnsi="Times New Roman" w:cs="Times New Roman"/>
                <w:b/>
                <w:bCs/>
                <w:noProof/>
                <w:sz w:val="24"/>
                <w:szCs w:val="24"/>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0E74DDB1" w14:textId="77777777" w:rsidR="00CB0FCB" w:rsidRDefault="00CB0FCB">
            <w:pPr>
              <w:spacing w:after="0" w:line="240" w:lineRule="auto"/>
              <w:rPr>
                <w:rFonts w:ascii="Times New Roman" w:eastAsia="Times New Roman" w:hAnsi="Times New Roman" w:cs="Times New Roman"/>
                <w:b/>
                <w:bCs/>
                <w:noProof/>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4699356" w14:textId="77777777" w:rsidR="00CB0FCB" w:rsidRDefault="00CB0FCB">
            <w:pPr>
              <w:spacing w:after="0" w:line="240" w:lineRule="auto"/>
              <w:rPr>
                <w:rFonts w:ascii="Times New Roman" w:eastAsia="Times New Roman" w:hAnsi="Times New Roman" w:cs="Times New Roman"/>
                <w:b/>
                <w:bCs/>
                <w:noProof/>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1462162" w14:textId="77777777" w:rsidR="00CB0FCB" w:rsidRDefault="00CB0FCB">
            <w:pPr>
              <w:spacing w:after="0" w:line="240" w:lineRule="auto"/>
              <w:rPr>
                <w:rFonts w:ascii="Times New Roman" w:eastAsia="Times New Roman" w:hAnsi="Times New Roman" w:cs="Times New Roman"/>
                <w:b/>
                <w:bCs/>
                <w:noProof/>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A7B8FF6" w14:textId="77777777" w:rsidR="00CB0FCB" w:rsidRDefault="00CB0FCB">
            <w:pPr>
              <w:spacing w:after="0" w:line="240" w:lineRule="auto"/>
              <w:rPr>
                <w:rFonts w:ascii="Times New Roman" w:eastAsia="Times New Roman" w:hAnsi="Times New Roman" w:cs="Times New Roman"/>
                <w:b/>
                <w:bCs/>
                <w:noProof/>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14E7E4C"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B5010B5" w14:textId="77777777" w:rsidR="00CB0FCB" w:rsidRDefault="009D2B11">
            <w:pPr>
              <w:pStyle w:val="P68B1DB1-Normal7"/>
              <w:spacing w:after="0" w:line="240" w:lineRule="auto"/>
              <w:jc w:val="center"/>
              <w:rPr>
                <w:rFonts w:eastAsia="Times New Roman" w:cs="Times New Roman"/>
                <w:noProof/>
                <w:szCs w:val="18"/>
              </w:rPr>
            </w:pPr>
            <w:r>
              <w:rPr>
                <w:noProof/>
              </w:rPr>
              <w:t>Pamatscenārijs</w:t>
            </w:r>
          </w:p>
        </w:tc>
        <w:tc>
          <w:tcPr>
            <w:tcW w:w="84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99DED8F" w14:textId="77777777" w:rsidR="00CB0FCB" w:rsidRDefault="009D2B11">
            <w:pPr>
              <w:pStyle w:val="P68B1DB1-Normal7"/>
              <w:spacing w:after="0" w:line="240" w:lineRule="auto"/>
              <w:jc w:val="center"/>
              <w:rPr>
                <w:rFonts w:eastAsia="Times New Roman" w:cs="Times New Roman"/>
                <w:noProof/>
                <w:szCs w:val="18"/>
              </w:rPr>
            </w:pPr>
            <w:r>
              <w:rPr>
                <w:noProof/>
              </w:rPr>
              <w:t>Mērķis</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AAF5FE4"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84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4FE789B"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4608" w:type="dxa"/>
            <w:vMerge/>
            <w:tcBorders>
              <w:top w:val="single" w:sz="4" w:space="0" w:color="auto"/>
              <w:left w:val="single" w:sz="4" w:space="0" w:color="auto"/>
              <w:bottom w:val="single" w:sz="4" w:space="0" w:color="auto"/>
              <w:right w:val="single" w:sz="4" w:space="0" w:color="auto"/>
            </w:tcBorders>
            <w:vAlign w:val="center"/>
            <w:hideMark/>
          </w:tcPr>
          <w:p w14:paraId="7165B6C9" w14:textId="77777777" w:rsidR="00CB0FCB" w:rsidRDefault="00CB0FCB">
            <w:pPr>
              <w:spacing w:after="0" w:line="240" w:lineRule="auto"/>
              <w:rPr>
                <w:rFonts w:ascii="Times New Roman" w:eastAsia="Times New Roman" w:hAnsi="Times New Roman" w:cs="Times New Roman"/>
                <w:b/>
                <w:bCs/>
                <w:noProof/>
                <w:sz w:val="24"/>
                <w:szCs w:val="24"/>
              </w:rPr>
            </w:pPr>
          </w:p>
        </w:tc>
      </w:tr>
      <w:tr w:rsidR="00CB0FCB" w14:paraId="019A9153"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829812F" w14:textId="77777777" w:rsidR="00CB0FCB" w:rsidRDefault="009D2B11">
            <w:pPr>
              <w:pStyle w:val="P68B1DB1-Normal9"/>
              <w:spacing w:after="0" w:line="240" w:lineRule="auto"/>
              <w:rPr>
                <w:rFonts w:eastAsia="Times New Roman" w:cs="Calibri"/>
                <w:noProof/>
              </w:rPr>
            </w:pPr>
            <w:r>
              <w:rPr>
                <w:noProof/>
              </w:rPr>
              <w:t>320</w:t>
            </w:r>
          </w:p>
        </w:tc>
        <w:tc>
          <w:tcPr>
            <w:tcW w:w="1429" w:type="dxa"/>
            <w:tcBorders>
              <w:top w:val="single" w:sz="4" w:space="0" w:color="auto"/>
              <w:left w:val="nil"/>
              <w:bottom w:val="single" w:sz="4" w:space="0" w:color="auto"/>
              <w:right w:val="single" w:sz="4" w:space="0" w:color="auto"/>
            </w:tcBorders>
            <w:shd w:val="clear" w:color="auto" w:fill="C6EFCE"/>
            <w:noWrap/>
          </w:tcPr>
          <w:p w14:paraId="7B4DC522" w14:textId="77777777"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71909A1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0" w:type="dxa"/>
            <w:tcBorders>
              <w:top w:val="single" w:sz="4" w:space="0" w:color="auto"/>
              <w:left w:val="nil"/>
              <w:bottom w:val="single" w:sz="4" w:space="0" w:color="auto"/>
              <w:right w:val="single" w:sz="4" w:space="0" w:color="auto"/>
            </w:tcBorders>
            <w:shd w:val="clear" w:color="auto" w:fill="C6EFCE"/>
            <w:noWrap/>
          </w:tcPr>
          <w:p w14:paraId="537558F9" w14:textId="77777777" w:rsidR="00CB0FCB" w:rsidRDefault="009D2B11">
            <w:pPr>
              <w:pStyle w:val="P68B1DB1-Normal9"/>
              <w:spacing w:after="0" w:line="240" w:lineRule="auto"/>
              <w:rPr>
                <w:rFonts w:eastAsia="Times New Roman" w:cs="Calibri"/>
                <w:noProof/>
                <w:szCs w:val="18"/>
              </w:rPr>
            </w:pPr>
            <w:r>
              <w:rPr>
                <w:noProof/>
              </w:rPr>
              <w:t>Darbības nolīgumi ar starptautiskām finanšu iestādēm</w:t>
            </w:r>
          </w:p>
        </w:tc>
        <w:tc>
          <w:tcPr>
            <w:tcW w:w="1660" w:type="dxa"/>
            <w:tcBorders>
              <w:top w:val="single" w:sz="4" w:space="0" w:color="auto"/>
              <w:left w:val="nil"/>
              <w:bottom w:val="single" w:sz="4" w:space="0" w:color="auto"/>
              <w:right w:val="single" w:sz="4" w:space="0" w:color="auto"/>
            </w:tcBorders>
            <w:shd w:val="clear" w:color="auto" w:fill="C6EFCE"/>
            <w:noWrap/>
          </w:tcPr>
          <w:p w14:paraId="57E32DD5" w14:textId="77777777" w:rsidR="00CB0FCB" w:rsidRDefault="009D2B11">
            <w:pPr>
              <w:pStyle w:val="P68B1DB1-Normal9"/>
              <w:spacing w:after="0" w:line="240" w:lineRule="auto"/>
              <w:rPr>
                <w:rFonts w:eastAsia="Times New Roman" w:cs="Calibri"/>
                <w:noProof/>
                <w:szCs w:val="18"/>
              </w:rPr>
            </w:pPr>
            <w:r>
              <w:rPr>
                <w:noProof/>
              </w:rPr>
              <w:t>Parakstīts darbības nolīgums ar vienu starptautisku finanšu iestādi</w:t>
            </w:r>
          </w:p>
        </w:tc>
        <w:tc>
          <w:tcPr>
            <w:tcW w:w="1080" w:type="dxa"/>
            <w:tcBorders>
              <w:top w:val="single" w:sz="4" w:space="0" w:color="auto"/>
              <w:left w:val="nil"/>
              <w:bottom w:val="single" w:sz="4" w:space="0" w:color="auto"/>
              <w:right w:val="single" w:sz="4" w:space="0" w:color="auto"/>
            </w:tcBorders>
            <w:shd w:val="clear" w:color="auto" w:fill="C6EFCE"/>
            <w:noWrap/>
          </w:tcPr>
          <w:p w14:paraId="41623B5E"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708C49B5" w14:textId="77777777" w:rsidR="00CB0FCB" w:rsidRDefault="00CB0FCB">
            <w:pPr>
              <w:spacing w:after="0" w:line="240" w:lineRule="auto"/>
              <w:rPr>
                <w:rFonts w:eastAsia="Times New Roman" w:cs="Calibri"/>
                <w:noProof/>
                <w:color w:val="006100"/>
                <w:sz w:val="18"/>
                <w:szCs w:val="18"/>
              </w:rPr>
            </w:pPr>
          </w:p>
        </w:tc>
        <w:tc>
          <w:tcPr>
            <w:tcW w:w="840" w:type="dxa"/>
            <w:tcBorders>
              <w:top w:val="single" w:sz="4" w:space="0" w:color="auto"/>
              <w:left w:val="nil"/>
              <w:bottom w:val="single" w:sz="4" w:space="0" w:color="auto"/>
              <w:right w:val="single" w:sz="4" w:space="0" w:color="auto"/>
            </w:tcBorders>
            <w:shd w:val="clear" w:color="auto" w:fill="C6EFCE"/>
            <w:noWrap/>
          </w:tcPr>
          <w:p w14:paraId="50F4864F"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4FD171B8" w14:textId="77777777" w:rsidR="00CB0FCB" w:rsidRDefault="009D2B11">
            <w:pPr>
              <w:pStyle w:val="P68B1DB1-Normal9"/>
              <w:spacing w:after="0" w:line="240" w:lineRule="auto"/>
              <w:rPr>
                <w:rFonts w:eastAsia="Times New Roman" w:cs="Calibri"/>
                <w:noProof/>
                <w:szCs w:val="18"/>
              </w:rPr>
            </w:pPr>
            <w:r>
              <w:rPr>
                <w:noProof/>
              </w:rPr>
              <w:t>CET.</w:t>
            </w:r>
          </w:p>
        </w:tc>
        <w:tc>
          <w:tcPr>
            <w:tcW w:w="840" w:type="dxa"/>
            <w:tcBorders>
              <w:top w:val="single" w:sz="4" w:space="0" w:color="auto"/>
              <w:left w:val="nil"/>
              <w:bottom w:val="single" w:sz="4" w:space="0" w:color="auto"/>
              <w:right w:val="single" w:sz="4" w:space="0" w:color="auto"/>
            </w:tcBorders>
            <w:shd w:val="clear" w:color="auto" w:fill="C6EFCE"/>
            <w:noWrap/>
          </w:tcPr>
          <w:p w14:paraId="310484B3" w14:textId="77777777" w:rsidR="00CB0FCB" w:rsidRDefault="009D2B11">
            <w:pPr>
              <w:pStyle w:val="P68B1DB1-Normal9"/>
              <w:spacing w:after="0" w:line="240" w:lineRule="auto"/>
              <w:rPr>
                <w:rFonts w:eastAsia="Times New Roman" w:cs="Calibri"/>
                <w:noProof/>
                <w:szCs w:val="18"/>
              </w:rPr>
            </w:pPr>
            <w:r>
              <w:rPr>
                <w:noProof/>
              </w:rPr>
              <w:t>2021</w:t>
            </w:r>
          </w:p>
        </w:tc>
        <w:tc>
          <w:tcPr>
            <w:tcW w:w="4608" w:type="dxa"/>
            <w:tcBorders>
              <w:top w:val="single" w:sz="4" w:space="0" w:color="auto"/>
              <w:left w:val="nil"/>
              <w:bottom w:val="single" w:sz="4" w:space="0" w:color="auto"/>
              <w:right w:val="single" w:sz="4" w:space="0" w:color="auto"/>
            </w:tcBorders>
            <w:shd w:val="clear" w:color="auto" w:fill="C6EFCE"/>
            <w:noWrap/>
          </w:tcPr>
          <w:p w14:paraId="15638D3D" w14:textId="77777777" w:rsidR="00CB0FCB" w:rsidRDefault="009D2B11">
            <w:pPr>
              <w:pStyle w:val="P68B1DB1-Normal9"/>
              <w:spacing w:after="0" w:line="240" w:lineRule="auto"/>
              <w:rPr>
                <w:rFonts w:eastAsia="Times New Roman" w:cs="Calibri"/>
                <w:noProof/>
                <w:szCs w:val="18"/>
              </w:rPr>
            </w:pPr>
            <w:r>
              <w:rPr>
                <w:noProof/>
              </w:rPr>
              <w:t>Pieņem darbības pamatvienošanos, kas izmantojama visiem aizdevuma līgumiem ar starptautiskām finanšu iestādēm, un paraksta darbības nolīgumus starp Finanšu ministriju un vismaz vienu starptautisku finanšu iestādi. Darbības pamatvienībā nosaka:</w:t>
            </w:r>
          </w:p>
          <w:p w14:paraId="272E1835" w14:textId="77777777" w:rsidR="00CB0FCB" w:rsidRDefault="009D2B11">
            <w:pPr>
              <w:pStyle w:val="P68B1DB1-Normal9"/>
              <w:spacing w:after="0" w:line="240" w:lineRule="auto"/>
              <w:rPr>
                <w:rFonts w:eastAsia="Times New Roman" w:cs="Calibri"/>
                <w:noProof/>
                <w:szCs w:val="18"/>
              </w:rPr>
            </w:pPr>
            <w:r>
              <w:rPr>
                <w:noProof/>
              </w:rPr>
              <w:t xml:space="preserve">pārvaldības, atlases, uzraudzības un revīzijas un zaudējumu sadales kritēriji: </w:t>
            </w:r>
          </w:p>
          <w:p w14:paraId="2E6361D3" w14:textId="77777777" w:rsidR="00CB0FCB" w:rsidRDefault="009D2B11">
            <w:pPr>
              <w:pStyle w:val="P68B1DB1-Normal9"/>
              <w:numPr>
                <w:ilvl w:val="0"/>
                <w:numId w:val="70"/>
              </w:numPr>
              <w:tabs>
                <w:tab w:val="left" w:pos="0"/>
              </w:tabs>
              <w:spacing w:after="0" w:line="240" w:lineRule="auto"/>
              <w:jc w:val="both"/>
              <w:rPr>
                <w:rFonts w:eastAsia="Times New Roman" w:cs="Calibri"/>
                <w:noProof/>
                <w:szCs w:val="18"/>
              </w:rPr>
            </w:pPr>
            <w:r>
              <w:rPr>
                <w:noProof/>
              </w:rPr>
              <w:t>Pārvaldības sistēma:</w:t>
            </w:r>
          </w:p>
          <w:p w14:paraId="35ACBAD0" w14:textId="77777777" w:rsidR="00CB0FCB" w:rsidRDefault="009D2B11">
            <w:pPr>
              <w:pStyle w:val="P68B1DB1-Normal9"/>
              <w:numPr>
                <w:ilvl w:val="1"/>
                <w:numId w:val="70"/>
              </w:numPr>
              <w:tabs>
                <w:tab w:val="left" w:pos="0"/>
              </w:tabs>
              <w:spacing w:after="0" w:line="240" w:lineRule="auto"/>
              <w:jc w:val="both"/>
              <w:rPr>
                <w:rFonts w:eastAsia="Times New Roman" w:cs="Calibri"/>
                <w:noProof/>
                <w:szCs w:val="18"/>
              </w:rPr>
            </w:pPr>
            <w:r>
              <w:rPr>
                <w:noProof/>
              </w:rPr>
              <w:t>Lēmumus pieņem, pamatojoties uz stabiliem ekonomiskiem kritērijiem, un tos pieņem valdība.</w:t>
            </w:r>
          </w:p>
          <w:p w14:paraId="3E878B43" w14:textId="77777777" w:rsidR="00CB0FCB" w:rsidRDefault="009D2B11">
            <w:pPr>
              <w:pStyle w:val="P68B1DB1-Normal9"/>
              <w:numPr>
                <w:ilvl w:val="1"/>
                <w:numId w:val="70"/>
              </w:numPr>
              <w:tabs>
                <w:tab w:val="left" w:pos="0"/>
              </w:tabs>
              <w:spacing w:after="0" w:line="240" w:lineRule="auto"/>
              <w:jc w:val="both"/>
              <w:rPr>
                <w:rFonts w:eastAsia="Times New Roman" w:cs="Calibri"/>
                <w:noProof/>
                <w:szCs w:val="18"/>
              </w:rPr>
            </w:pPr>
            <w:r>
              <w:rPr>
                <w:noProof/>
              </w:rPr>
              <w:t>SĪF izvērtē finansējuma pieprasījumus un pieņem lēmumu, pamatojoties uz saviem iekšējiem kritērijiem. SĪF nodrošina, ka finansētajiem ieguldījumiem ir pozitīvas neto pašreizējās vērtības, ka tie ir saskaņoti ar aizdevumu mehānisma stratēģiskajiem pīlāriem un atbilst valsts atbalsta noteikumiem.</w:t>
            </w:r>
          </w:p>
          <w:p w14:paraId="70F6710A" w14:textId="77777777" w:rsidR="00CB0FCB" w:rsidRDefault="009D2B11">
            <w:pPr>
              <w:pStyle w:val="P68B1DB1-Normal9"/>
              <w:numPr>
                <w:ilvl w:val="1"/>
                <w:numId w:val="70"/>
              </w:numPr>
              <w:tabs>
                <w:tab w:val="left" w:pos="0"/>
              </w:tabs>
              <w:spacing w:after="0" w:line="240" w:lineRule="auto"/>
              <w:jc w:val="both"/>
              <w:rPr>
                <w:rFonts w:eastAsia="Times New Roman" w:cs="Calibri"/>
                <w:noProof/>
                <w:szCs w:val="18"/>
              </w:rPr>
            </w:pPr>
            <w:r>
              <w:rPr>
                <w:noProof/>
              </w:rPr>
              <w:t xml:space="preserve">Īpaša Investīciju padomes komiteja uzrauga īstenošanu, neiesaistoties atlases procesā. SĪF regulāri ziņo Investīciju padomes komitejai. </w:t>
            </w:r>
          </w:p>
          <w:p w14:paraId="395B7575" w14:textId="77777777" w:rsidR="00CB0FCB" w:rsidRDefault="009D2B11">
            <w:pPr>
              <w:pStyle w:val="P68B1DB1-Normal9"/>
              <w:numPr>
                <w:ilvl w:val="0"/>
                <w:numId w:val="70"/>
              </w:numPr>
              <w:tabs>
                <w:tab w:val="left" w:pos="0"/>
              </w:tabs>
              <w:spacing w:after="0" w:line="240" w:lineRule="auto"/>
              <w:jc w:val="both"/>
              <w:rPr>
                <w:rFonts w:eastAsia="Times New Roman" w:cs="Calibri"/>
                <w:noProof/>
                <w:szCs w:val="18"/>
              </w:rPr>
            </w:pPr>
            <w:r>
              <w:rPr>
                <w:noProof/>
              </w:rPr>
              <w:t>Izmaksājamās summas, kas tiek izmaksātas pa daļām, un uzraudzības un revīzijas kārtību:</w:t>
            </w:r>
          </w:p>
          <w:p w14:paraId="04B5E7D8" w14:textId="77777777" w:rsidR="00CB0FCB" w:rsidRDefault="009D2B11">
            <w:pPr>
              <w:pStyle w:val="P68B1DB1-Normal9"/>
              <w:numPr>
                <w:ilvl w:val="1"/>
                <w:numId w:val="70"/>
              </w:numPr>
              <w:tabs>
                <w:tab w:val="left" w:pos="0"/>
              </w:tabs>
              <w:spacing w:after="0" w:line="240" w:lineRule="auto"/>
              <w:jc w:val="both"/>
              <w:rPr>
                <w:rFonts w:eastAsia="Times New Roman" w:cs="Calibri"/>
                <w:noProof/>
                <w:szCs w:val="18"/>
              </w:rPr>
            </w:pPr>
            <w:r>
              <w:rPr>
                <w:noProof/>
              </w:rPr>
              <w:t>Galvenos darbības rādītājus (GDR) nosaka izmaksāto aizdevumu uzraudzībai, ko var izmantot arī kā etalonu turpmāku daļu nosacītai izmaksāšanai.</w:t>
            </w:r>
          </w:p>
          <w:p w14:paraId="518BF0E1" w14:textId="77777777" w:rsidR="00CB0FCB" w:rsidRDefault="009D2B11">
            <w:pPr>
              <w:pStyle w:val="P68B1DB1-Normal9"/>
              <w:numPr>
                <w:ilvl w:val="1"/>
                <w:numId w:val="70"/>
              </w:numPr>
              <w:tabs>
                <w:tab w:val="left" w:pos="0"/>
              </w:tabs>
              <w:spacing w:after="0" w:line="240" w:lineRule="auto"/>
              <w:jc w:val="both"/>
              <w:rPr>
                <w:rFonts w:eastAsia="Times New Roman" w:cs="Calibri"/>
                <w:noProof/>
                <w:szCs w:val="18"/>
              </w:rPr>
            </w:pPr>
            <w:r>
              <w:rPr>
                <w:noProof/>
              </w:rPr>
              <w:t>Ir paredzēti trīs atbilstības pārbaužu līmeņi: I) finanšu iestādes, kas nodrošina finansējumu, novērtējums; II) neatkarīga sertificēta revidenta novērtējums pirms finansējuma piešķiršanas; un iii) ex post novērtējumu, ko veic neatkarīgs sertificēts revidents.</w:t>
            </w:r>
            <w:r>
              <w:rPr>
                <w:noProof/>
                <w:highlight w:val="yellow"/>
              </w:rPr>
              <w:t xml:space="preserve"> </w:t>
            </w:r>
            <w:r>
              <w:rPr>
                <w:noProof/>
              </w:rPr>
              <w:t xml:space="preserve">Neatkarīgi revidenti novērtē ieguldījumu atbilstību saskaņā ar atlases kritērijiem un atbilstību attiecīgajiem valsts atbalsta noteikumiem. </w:t>
            </w:r>
          </w:p>
          <w:p w14:paraId="00A4D669" w14:textId="77777777" w:rsidR="00CB0FCB" w:rsidRDefault="009D2B11">
            <w:pPr>
              <w:pStyle w:val="P68B1DB1-Normal9"/>
              <w:numPr>
                <w:ilvl w:val="0"/>
                <w:numId w:val="70"/>
              </w:numPr>
              <w:tabs>
                <w:tab w:val="left" w:pos="0"/>
              </w:tabs>
              <w:spacing w:after="0" w:line="240" w:lineRule="auto"/>
              <w:jc w:val="both"/>
              <w:rPr>
                <w:rFonts w:eastAsia="Times New Roman" w:cs="Calibri"/>
                <w:noProof/>
                <w:szCs w:val="18"/>
              </w:rPr>
            </w:pPr>
            <w:r>
              <w:rPr>
                <w:noProof/>
              </w:rPr>
              <w:t xml:space="preserve">Zaudējumi no aizdevumiem (obligācijām vai sindicētajiem): Valsts un SĪF piedalās pari passu. Visus lēmumus par pārstrukturēšanu piešķir finanšu iestādēm. </w:t>
            </w:r>
          </w:p>
          <w:p w14:paraId="4EC2387C" w14:textId="77777777" w:rsidR="00CB0FCB" w:rsidRDefault="009D2B11">
            <w:pPr>
              <w:pStyle w:val="P68B1DB1-Normal9"/>
              <w:numPr>
                <w:ilvl w:val="0"/>
                <w:numId w:val="70"/>
              </w:numPr>
              <w:tabs>
                <w:tab w:val="left" w:pos="0"/>
              </w:tabs>
              <w:spacing w:after="0" w:line="240" w:lineRule="auto"/>
              <w:jc w:val="both"/>
              <w:rPr>
                <w:rFonts w:eastAsia="Times New Roman" w:cs="Calibri"/>
                <w:noProof/>
                <w:szCs w:val="18"/>
              </w:rPr>
            </w:pPr>
            <w:r>
              <w:rPr>
                <w:noProof/>
              </w:rPr>
              <w:t xml:space="preserve">Neietver neatmaksāto aizdevumu refinansēšanu. </w:t>
            </w:r>
          </w:p>
          <w:p w14:paraId="0BFDCBB0" w14:textId="3B89EF22" w:rsidR="00CB0FCB" w:rsidRDefault="009D2B11">
            <w:pPr>
              <w:pStyle w:val="P68B1DB1-Normal9"/>
              <w:tabs>
                <w:tab w:val="left" w:pos="0"/>
              </w:tabs>
              <w:spacing w:after="0" w:line="240" w:lineRule="auto"/>
              <w:jc w:val="both"/>
              <w:rPr>
                <w:rFonts w:eastAsia="Times New Roman" w:cs="Calibri"/>
                <w:noProof/>
                <w:szCs w:val="18"/>
              </w:rPr>
            </w:pPr>
            <w:r>
              <w:rPr>
                <w:noProof/>
              </w:rPr>
              <w:t>b) atlases kritēriji attiecībā uz atbalstīto darbību atbilstību Tehniskajiem norādījumiem “nenodarīt būtisku kaitējumu” (2021/C58/01), kuros prasīts izmantot ilgtspējas pārbaudi, izslēgšanas sarakstu un obligātas juridiskās atbilstības pārbaudes attiecīgajiem ES un valsts tiesību aktiem vides jomā, ko veic neatkarīgs revidents.</w:t>
            </w:r>
          </w:p>
          <w:p w14:paraId="227BC753" w14:textId="7F33A6C1" w:rsidR="00CB0FCB" w:rsidRDefault="009D2B11">
            <w:pPr>
              <w:pStyle w:val="P68B1DB1-Normal9"/>
              <w:spacing w:after="0" w:line="240" w:lineRule="auto"/>
              <w:rPr>
                <w:rFonts w:eastAsia="Times New Roman" w:cs="Calibri"/>
                <w:noProof/>
                <w:szCs w:val="18"/>
              </w:rPr>
            </w:pPr>
            <w:r>
              <w:rPr>
                <w:noProof/>
              </w:rPr>
              <w:t>apņemšanās ieguldīt vismaz 38,5 % no līdzekļiem klimatiskās pārkārtošanās atbalstam un 20,8 % no līdzekļiem digitālās pārkārtošanās atbalstam, izmantojot ANM regulas VI un VII pielikumā izklāstīto metodiku.</w:t>
            </w:r>
          </w:p>
        </w:tc>
      </w:tr>
      <w:tr w:rsidR="00CB0FCB" w14:paraId="4904AD25" w14:textId="77777777">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tcPr>
          <w:p w14:paraId="21C5CC49" w14:textId="77777777" w:rsidR="00CB0FCB" w:rsidRDefault="009D2B11">
            <w:pPr>
              <w:pStyle w:val="P68B1DB1-Normal9"/>
              <w:spacing w:after="0" w:line="240" w:lineRule="auto"/>
              <w:rPr>
                <w:rFonts w:eastAsia="Times New Roman" w:cs="Calibri"/>
                <w:noProof/>
              </w:rPr>
            </w:pPr>
            <w:r>
              <w:rPr>
                <w:noProof/>
              </w:rPr>
              <w:t>321</w:t>
            </w:r>
          </w:p>
        </w:tc>
        <w:tc>
          <w:tcPr>
            <w:tcW w:w="1429" w:type="dxa"/>
            <w:tcBorders>
              <w:top w:val="nil"/>
              <w:left w:val="nil"/>
              <w:bottom w:val="single" w:sz="4" w:space="0" w:color="auto"/>
              <w:right w:val="single" w:sz="4" w:space="0" w:color="auto"/>
            </w:tcBorders>
            <w:shd w:val="clear" w:color="auto" w:fill="C6EFCE"/>
            <w:noWrap/>
          </w:tcPr>
          <w:p w14:paraId="3C3AC9AA" w14:textId="77777777"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nil"/>
              <w:left w:val="nil"/>
              <w:bottom w:val="single" w:sz="4" w:space="0" w:color="auto"/>
              <w:right w:val="single" w:sz="4" w:space="0" w:color="auto"/>
            </w:tcBorders>
            <w:shd w:val="clear" w:color="auto" w:fill="C6EFCE"/>
            <w:noWrap/>
          </w:tcPr>
          <w:p w14:paraId="36574621"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0" w:type="dxa"/>
            <w:tcBorders>
              <w:top w:val="nil"/>
              <w:left w:val="nil"/>
              <w:bottom w:val="single" w:sz="4" w:space="0" w:color="auto"/>
              <w:right w:val="single" w:sz="4" w:space="0" w:color="auto"/>
            </w:tcBorders>
            <w:shd w:val="clear" w:color="auto" w:fill="C6EFCE"/>
            <w:noWrap/>
          </w:tcPr>
          <w:p w14:paraId="4D2A272B" w14:textId="77777777" w:rsidR="00CB0FCB" w:rsidRDefault="009D2B11">
            <w:pPr>
              <w:pStyle w:val="P68B1DB1-Normal9"/>
              <w:spacing w:after="0" w:line="240" w:lineRule="auto"/>
              <w:rPr>
                <w:rFonts w:eastAsia="Times New Roman" w:cs="Calibri"/>
                <w:noProof/>
                <w:szCs w:val="18"/>
              </w:rPr>
            </w:pPr>
            <w:r>
              <w:rPr>
                <w:noProof/>
              </w:rPr>
              <w:t>Komercbanku pieprasījuma izsludināšana</w:t>
            </w:r>
          </w:p>
        </w:tc>
        <w:tc>
          <w:tcPr>
            <w:tcW w:w="1660" w:type="dxa"/>
            <w:tcBorders>
              <w:top w:val="nil"/>
              <w:left w:val="nil"/>
              <w:bottom w:val="single" w:sz="4" w:space="0" w:color="auto"/>
              <w:right w:val="single" w:sz="4" w:space="0" w:color="auto"/>
            </w:tcBorders>
            <w:shd w:val="clear" w:color="auto" w:fill="C6EFCE"/>
            <w:noWrap/>
          </w:tcPr>
          <w:p w14:paraId="652D8BE3" w14:textId="77777777" w:rsidR="00CB0FCB" w:rsidRDefault="009D2B11">
            <w:pPr>
              <w:pStyle w:val="P68B1DB1-Normal9"/>
              <w:spacing w:after="0" w:line="240" w:lineRule="auto"/>
              <w:rPr>
                <w:rFonts w:eastAsia="Times New Roman" w:cs="Calibri"/>
                <w:noProof/>
                <w:szCs w:val="18"/>
              </w:rPr>
            </w:pPr>
            <w:r>
              <w:rPr>
                <w:noProof/>
              </w:rPr>
              <w:t>Uzaicinājuma izsludināšana</w:t>
            </w:r>
          </w:p>
        </w:tc>
        <w:tc>
          <w:tcPr>
            <w:tcW w:w="1080" w:type="dxa"/>
            <w:tcBorders>
              <w:top w:val="nil"/>
              <w:left w:val="nil"/>
              <w:bottom w:val="single" w:sz="4" w:space="0" w:color="auto"/>
              <w:right w:val="single" w:sz="4" w:space="0" w:color="auto"/>
            </w:tcBorders>
            <w:shd w:val="clear" w:color="auto" w:fill="C6EFCE"/>
            <w:noWrap/>
          </w:tcPr>
          <w:p w14:paraId="1F5C798E" w14:textId="77777777" w:rsidR="00CB0FCB" w:rsidRDefault="00CB0FCB">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noWrap/>
          </w:tcPr>
          <w:p w14:paraId="39AFFA41" w14:textId="77777777" w:rsidR="00CB0FCB" w:rsidRDefault="00CB0FCB">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tcPr>
          <w:p w14:paraId="2F2055E6"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068C1A92" w14:textId="77777777" w:rsidR="00CB0FCB" w:rsidRDefault="009D2B11">
            <w:pPr>
              <w:pStyle w:val="P68B1DB1-Normal9"/>
              <w:spacing w:after="0" w:line="240" w:lineRule="auto"/>
              <w:rPr>
                <w:rFonts w:eastAsia="Times New Roman" w:cs="Calibri"/>
                <w:noProof/>
                <w:szCs w:val="18"/>
              </w:rPr>
            </w:pPr>
            <w:r>
              <w:rPr>
                <w:noProof/>
              </w:rPr>
              <w:t>CET.</w:t>
            </w:r>
          </w:p>
        </w:tc>
        <w:tc>
          <w:tcPr>
            <w:tcW w:w="840" w:type="dxa"/>
            <w:tcBorders>
              <w:top w:val="nil"/>
              <w:left w:val="nil"/>
              <w:bottom w:val="single" w:sz="4" w:space="0" w:color="auto"/>
              <w:right w:val="single" w:sz="4" w:space="0" w:color="auto"/>
            </w:tcBorders>
            <w:shd w:val="clear" w:color="auto" w:fill="C6EFCE"/>
            <w:noWrap/>
          </w:tcPr>
          <w:p w14:paraId="47E4077D" w14:textId="77777777" w:rsidR="00CB0FCB" w:rsidRDefault="009D2B11">
            <w:pPr>
              <w:pStyle w:val="P68B1DB1-Normal9"/>
              <w:spacing w:after="0" w:line="240" w:lineRule="auto"/>
              <w:rPr>
                <w:rFonts w:eastAsia="Times New Roman" w:cs="Calibri"/>
                <w:noProof/>
                <w:szCs w:val="18"/>
              </w:rPr>
            </w:pPr>
            <w:r>
              <w:rPr>
                <w:noProof/>
              </w:rPr>
              <w:t>2021</w:t>
            </w:r>
          </w:p>
        </w:tc>
        <w:tc>
          <w:tcPr>
            <w:tcW w:w="4608" w:type="dxa"/>
            <w:tcBorders>
              <w:top w:val="nil"/>
              <w:left w:val="nil"/>
              <w:bottom w:val="single" w:sz="4" w:space="0" w:color="auto"/>
              <w:right w:val="single" w:sz="4" w:space="0" w:color="auto"/>
            </w:tcBorders>
            <w:shd w:val="clear" w:color="auto" w:fill="C6EFCE"/>
            <w:noWrap/>
          </w:tcPr>
          <w:p w14:paraId="120025F2" w14:textId="77777777" w:rsidR="00CB0FCB" w:rsidRDefault="009D2B11">
            <w:pPr>
              <w:pStyle w:val="P68B1DB1-Normal9"/>
              <w:spacing w:after="0" w:line="240" w:lineRule="auto"/>
              <w:rPr>
                <w:rFonts w:eastAsia="Times New Roman" w:cs="Calibri"/>
                <w:noProof/>
                <w:szCs w:val="18"/>
              </w:rPr>
            </w:pPr>
            <w:r>
              <w:rPr>
                <w:noProof/>
              </w:rPr>
              <w:t>Pieņemt darbības pamatvienošanos, kas izmantojama visiem aizdevuma līgumiem ar komercbankām, un izsludināt uzaicinājumu izvēlēties komercbankas, tostarp:</w:t>
            </w:r>
          </w:p>
          <w:p w14:paraId="2ABC7F18" w14:textId="77777777" w:rsidR="00CB0FCB" w:rsidRDefault="009D2B11">
            <w:pPr>
              <w:pStyle w:val="P68B1DB1-Normal9"/>
              <w:spacing w:after="0" w:line="240" w:lineRule="auto"/>
              <w:rPr>
                <w:rFonts w:eastAsia="Times New Roman" w:cs="Calibri"/>
                <w:noProof/>
                <w:szCs w:val="18"/>
              </w:rPr>
            </w:pPr>
            <w:r>
              <w:rPr>
                <w:noProof/>
              </w:rPr>
              <w:t>a) Pārvaldības, atlases, uzraudzības un revīzijas un zaudējumu sadales kritēriji, ievērojot tos pašus principus, kas attiecas uz aizdevumiem, kurus novirza ar SĪF starpniecību, kā aprakstīts iepriekš (atskaites punkts Nr. 320). Valsts garantiju nesniedz aizdevumiem, ko komercbankas izsniedz aizdevumu mehānisma ietvaros.</w:t>
            </w:r>
          </w:p>
          <w:p w14:paraId="1C648ED1" w14:textId="77777777" w:rsidR="00CB0FCB" w:rsidRDefault="009D2B11">
            <w:pPr>
              <w:pStyle w:val="P68B1DB1-Normal9"/>
              <w:spacing w:after="0" w:line="240" w:lineRule="auto"/>
              <w:rPr>
                <w:rFonts w:eastAsia="Times New Roman" w:cs="Calibri"/>
                <w:noProof/>
                <w:szCs w:val="18"/>
              </w:rPr>
            </w:pPr>
            <w:r>
              <w:rPr>
                <w:noProof/>
              </w:rPr>
              <w:t>b) atlases kritēriji attiecībā uz atbalstīto darbību atbilstību Tehniskajiem norādījumiem “nenodarīt būtisku kaitējumu” (2021/C58/01), kuros prasīts izmantot ilgtspējas pārbaudi, izslēgšanas sarakstu un obligātas juridiskās atbilstības pārbaudes attiecīgajiem ES un valsts tiesību aktiem vides jomā, ko veic neatkarīgs revidents.</w:t>
            </w:r>
          </w:p>
          <w:p w14:paraId="58C7AC42" w14:textId="77777777" w:rsidR="00CB0FCB" w:rsidRDefault="009D2B11">
            <w:pPr>
              <w:pStyle w:val="P68B1DB1-Normal9"/>
              <w:spacing w:after="0" w:line="240" w:lineRule="auto"/>
              <w:rPr>
                <w:rFonts w:eastAsia="Times New Roman" w:cs="Calibri"/>
                <w:noProof/>
                <w:szCs w:val="18"/>
              </w:rPr>
            </w:pPr>
            <w:r>
              <w:rPr>
                <w:noProof/>
              </w:rPr>
              <w:t>apņemšanās ieguldīt vismaz 38,5 % no līdzekļiem klimatiskās pārkārtošanās atbalstam un 20,8 % no līdzekļiem digitālās pārkārtošanās atbalstam, izmantojot ANM regulas VI un VII pielikumā izklāstīto metodiku.</w:t>
            </w:r>
          </w:p>
          <w:p w14:paraId="7F2852FD" w14:textId="77777777" w:rsidR="00CB0FCB" w:rsidRDefault="00CB0FCB">
            <w:pPr>
              <w:spacing w:after="0" w:line="240" w:lineRule="auto"/>
              <w:rPr>
                <w:rFonts w:eastAsia="Times New Roman" w:cs="Calibri"/>
                <w:noProof/>
                <w:color w:val="006100"/>
                <w:sz w:val="18"/>
                <w:szCs w:val="18"/>
              </w:rPr>
            </w:pPr>
          </w:p>
        </w:tc>
      </w:tr>
      <w:tr w:rsidR="00CB0FCB" w14:paraId="1AB8AD13" w14:textId="77777777">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hideMark/>
          </w:tcPr>
          <w:p w14:paraId="53733A62" w14:textId="77777777" w:rsidR="00CB0FCB" w:rsidRDefault="009D2B11">
            <w:pPr>
              <w:pStyle w:val="P68B1DB1-Normal9"/>
              <w:spacing w:after="0" w:line="240" w:lineRule="auto"/>
              <w:rPr>
                <w:noProof/>
              </w:rPr>
            </w:pPr>
            <w:r>
              <w:rPr>
                <w:noProof/>
              </w:rPr>
              <w:t>322</w:t>
            </w:r>
          </w:p>
        </w:tc>
        <w:tc>
          <w:tcPr>
            <w:tcW w:w="1429" w:type="dxa"/>
            <w:tcBorders>
              <w:top w:val="nil"/>
              <w:left w:val="nil"/>
              <w:bottom w:val="single" w:sz="4" w:space="0" w:color="auto"/>
              <w:right w:val="single" w:sz="4" w:space="0" w:color="auto"/>
            </w:tcBorders>
            <w:shd w:val="clear" w:color="auto" w:fill="C6EFCE"/>
            <w:noWrap/>
            <w:hideMark/>
          </w:tcPr>
          <w:p w14:paraId="0693A88F" w14:textId="4DF3EBB1"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nil"/>
              <w:left w:val="nil"/>
              <w:bottom w:val="single" w:sz="4" w:space="0" w:color="auto"/>
              <w:right w:val="single" w:sz="4" w:space="0" w:color="auto"/>
            </w:tcBorders>
            <w:shd w:val="clear" w:color="auto" w:fill="C6EFCE"/>
            <w:noWrap/>
            <w:hideMark/>
          </w:tcPr>
          <w:p w14:paraId="69B61917"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0" w:type="dxa"/>
            <w:tcBorders>
              <w:top w:val="nil"/>
              <w:left w:val="nil"/>
              <w:bottom w:val="single" w:sz="4" w:space="0" w:color="auto"/>
              <w:right w:val="single" w:sz="4" w:space="0" w:color="auto"/>
            </w:tcBorders>
            <w:shd w:val="clear" w:color="auto" w:fill="C6EFCE"/>
            <w:noWrap/>
            <w:hideMark/>
          </w:tcPr>
          <w:p w14:paraId="09ED6877" w14:textId="77777777" w:rsidR="00CB0FCB" w:rsidRDefault="009D2B11">
            <w:pPr>
              <w:pStyle w:val="P68B1DB1-Normal9"/>
              <w:spacing w:after="0" w:line="240" w:lineRule="auto"/>
              <w:rPr>
                <w:rFonts w:eastAsia="Times New Roman" w:cs="Calibri"/>
                <w:noProof/>
                <w:szCs w:val="18"/>
              </w:rPr>
            </w:pPr>
            <w:r>
              <w:rPr>
                <w:noProof/>
              </w:rPr>
              <w:t>Vienošanās par pašu kapitāla platformu</w:t>
            </w:r>
          </w:p>
        </w:tc>
        <w:tc>
          <w:tcPr>
            <w:tcW w:w="1660" w:type="dxa"/>
            <w:tcBorders>
              <w:top w:val="nil"/>
              <w:left w:val="nil"/>
              <w:bottom w:val="single" w:sz="4" w:space="0" w:color="auto"/>
              <w:right w:val="single" w:sz="4" w:space="0" w:color="auto"/>
            </w:tcBorders>
            <w:shd w:val="clear" w:color="auto" w:fill="C6EFCE"/>
            <w:noWrap/>
            <w:hideMark/>
          </w:tcPr>
          <w:p w14:paraId="73CD604A" w14:textId="77777777" w:rsidR="00CB0FCB" w:rsidRDefault="009D2B11">
            <w:pPr>
              <w:pStyle w:val="P68B1DB1-Normal9"/>
              <w:spacing w:after="0" w:line="240" w:lineRule="auto"/>
              <w:rPr>
                <w:rFonts w:eastAsia="Times New Roman" w:cs="Calibri"/>
                <w:noProof/>
                <w:szCs w:val="18"/>
              </w:rPr>
            </w:pPr>
            <w:r>
              <w:rPr>
                <w:noProof/>
              </w:rPr>
              <w:t>Parakstīts pilnvarojuma nolīgums</w:t>
            </w:r>
          </w:p>
        </w:tc>
        <w:tc>
          <w:tcPr>
            <w:tcW w:w="1080" w:type="dxa"/>
            <w:tcBorders>
              <w:top w:val="nil"/>
              <w:left w:val="nil"/>
              <w:bottom w:val="single" w:sz="4" w:space="0" w:color="auto"/>
              <w:right w:val="single" w:sz="4" w:space="0" w:color="auto"/>
            </w:tcBorders>
            <w:shd w:val="clear" w:color="auto" w:fill="C6EFCE"/>
            <w:noWrap/>
            <w:hideMark/>
          </w:tcPr>
          <w:p w14:paraId="28F3E687" w14:textId="77777777" w:rsidR="00CB0FCB" w:rsidRDefault="00CB0FCB">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noWrap/>
            <w:hideMark/>
          </w:tcPr>
          <w:p w14:paraId="2FDF9565" w14:textId="77777777" w:rsidR="00CB0FCB" w:rsidRDefault="00CB0FCB">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hideMark/>
          </w:tcPr>
          <w:p w14:paraId="2F73210E"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hideMark/>
          </w:tcPr>
          <w:p w14:paraId="6EC7D5FF" w14:textId="77777777" w:rsidR="00CB0FCB" w:rsidRDefault="009D2B11">
            <w:pPr>
              <w:pStyle w:val="P68B1DB1-Normal9"/>
              <w:spacing w:after="0" w:line="240" w:lineRule="auto"/>
              <w:rPr>
                <w:rFonts w:eastAsia="Times New Roman" w:cs="Calibri"/>
                <w:noProof/>
                <w:szCs w:val="18"/>
              </w:rPr>
            </w:pPr>
            <w:r>
              <w:rPr>
                <w:noProof/>
              </w:rPr>
              <w:t>Q1</w:t>
            </w:r>
          </w:p>
        </w:tc>
        <w:tc>
          <w:tcPr>
            <w:tcW w:w="840" w:type="dxa"/>
            <w:tcBorders>
              <w:top w:val="nil"/>
              <w:left w:val="nil"/>
              <w:bottom w:val="single" w:sz="4" w:space="0" w:color="auto"/>
              <w:right w:val="single" w:sz="4" w:space="0" w:color="auto"/>
            </w:tcBorders>
            <w:shd w:val="clear" w:color="auto" w:fill="C6EFCE"/>
            <w:noWrap/>
            <w:hideMark/>
          </w:tcPr>
          <w:p w14:paraId="03699585" w14:textId="77777777" w:rsidR="00CB0FCB" w:rsidRDefault="009D2B11">
            <w:pPr>
              <w:pStyle w:val="P68B1DB1-Normal9"/>
              <w:spacing w:after="0" w:line="240" w:lineRule="auto"/>
              <w:rPr>
                <w:rFonts w:eastAsia="Times New Roman" w:cs="Calibri"/>
                <w:noProof/>
                <w:szCs w:val="18"/>
              </w:rPr>
            </w:pPr>
            <w:r>
              <w:rPr>
                <w:noProof/>
              </w:rPr>
              <w:t>2022</w:t>
            </w:r>
          </w:p>
        </w:tc>
        <w:tc>
          <w:tcPr>
            <w:tcW w:w="4608" w:type="dxa"/>
            <w:tcBorders>
              <w:top w:val="nil"/>
              <w:left w:val="nil"/>
              <w:bottom w:val="single" w:sz="4" w:space="0" w:color="auto"/>
              <w:right w:val="single" w:sz="4" w:space="0" w:color="auto"/>
            </w:tcBorders>
            <w:shd w:val="clear" w:color="auto" w:fill="C6EFCE"/>
            <w:noWrap/>
            <w:hideMark/>
          </w:tcPr>
          <w:p w14:paraId="0499C8CA" w14:textId="77777777" w:rsidR="00CB0FCB" w:rsidRDefault="009D2B11">
            <w:pPr>
              <w:pStyle w:val="P68B1DB1-Normal9"/>
              <w:spacing w:after="0" w:line="240" w:lineRule="auto"/>
              <w:rPr>
                <w:rFonts w:eastAsia="Times New Roman" w:cs="Calibri"/>
                <w:noProof/>
                <w:szCs w:val="18"/>
              </w:rPr>
            </w:pPr>
            <w:r>
              <w:rPr>
                <w:noProof/>
              </w:rPr>
              <w:t>Pilnvarojuma līguma parakstīšana starp Finanšu ministriju un Grieķijas Investīciju attīstības banku, kas pārvalda Mezzanine Fund of Fund un Innovate Now Equifund. Pilnvarojuma nolīgumā iekļauj atlases kritērijus attiecībā uz atbalstīto uzņēmumu atbilstību Tehniskajiem norādījumiem “nenodarīt būtisku kaitējumu” (2021/C58/01), kas paredz, ka neatkarīgam revidentam ir jāizmanto ilgtspējas pārbaude, izslēgšanas saraksts un obligātas juridiskās atbilstības pārbaudes attiecīgajiem ES un valsts tiesību aktiem vides jomā.</w:t>
            </w:r>
          </w:p>
        </w:tc>
      </w:tr>
      <w:tr w:rsidR="00CB0FCB" w14:paraId="1EEE08EB" w14:textId="77777777">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hideMark/>
          </w:tcPr>
          <w:p w14:paraId="39D47484" w14:textId="77777777" w:rsidR="00CB0FCB" w:rsidRDefault="009D2B11">
            <w:pPr>
              <w:pStyle w:val="P68B1DB1-Normal9"/>
              <w:spacing w:after="0" w:line="240" w:lineRule="auto"/>
              <w:rPr>
                <w:noProof/>
              </w:rPr>
            </w:pPr>
            <w:r>
              <w:rPr>
                <w:noProof/>
              </w:rPr>
              <w:t>323</w:t>
            </w:r>
          </w:p>
        </w:tc>
        <w:tc>
          <w:tcPr>
            <w:tcW w:w="1429" w:type="dxa"/>
            <w:tcBorders>
              <w:top w:val="nil"/>
              <w:left w:val="nil"/>
              <w:bottom w:val="single" w:sz="4" w:space="0" w:color="auto"/>
              <w:right w:val="single" w:sz="4" w:space="0" w:color="auto"/>
            </w:tcBorders>
            <w:shd w:val="clear" w:color="auto" w:fill="C6EFCE"/>
            <w:noWrap/>
            <w:hideMark/>
          </w:tcPr>
          <w:p w14:paraId="2686B1CA" w14:textId="21A5D253"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nil"/>
              <w:left w:val="nil"/>
              <w:bottom w:val="single" w:sz="4" w:space="0" w:color="auto"/>
              <w:right w:val="single" w:sz="4" w:space="0" w:color="auto"/>
            </w:tcBorders>
            <w:shd w:val="clear" w:color="auto" w:fill="C6EFCE"/>
            <w:noWrap/>
            <w:hideMark/>
          </w:tcPr>
          <w:p w14:paraId="185F50F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0" w:type="dxa"/>
            <w:tcBorders>
              <w:top w:val="nil"/>
              <w:left w:val="nil"/>
              <w:bottom w:val="single" w:sz="4" w:space="0" w:color="auto"/>
              <w:right w:val="single" w:sz="4" w:space="0" w:color="auto"/>
            </w:tcBorders>
            <w:shd w:val="clear" w:color="auto" w:fill="C6EFCE"/>
            <w:noWrap/>
            <w:hideMark/>
          </w:tcPr>
          <w:p w14:paraId="1BB14775" w14:textId="77777777" w:rsidR="00CB0FCB" w:rsidRDefault="009D2B11">
            <w:pPr>
              <w:pStyle w:val="P68B1DB1-Normal9"/>
              <w:spacing w:after="0" w:line="240" w:lineRule="auto"/>
              <w:rPr>
                <w:rFonts w:eastAsia="Times New Roman" w:cs="Calibri"/>
                <w:noProof/>
                <w:szCs w:val="18"/>
              </w:rPr>
            </w:pPr>
            <w:r>
              <w:rPr>
                <w:noProof/>
              </w:rPr>
              <w:t>InvestEU iemaksu nolīgums</w:t>
            </w:r>
          </w:p>
        </w:tc>
        <w:tc>
          <w:tcPr>
            <w:tcW w:w="1660" w:type="dxa"/>
            <w:tcBorders>
              <w:top w:val="nil"/>
              <w:left w:val="nil"/>
              <w:bottom w:val="single" w:sz="4" w:space="0" w:color="auto"/>
              <w:right w:val="single" w:sz="4" w:space="0" w:color="auto"/>
            </w:tcBorders>
            <w:shd w:val="clear" w:color="auto" w:fill="C6EFCE"/>
            <w:noWrap/>
            <w:hideMark/>
          </w:tcPr>
          <w:p w14:paraId="7B0F0A6C" w14:textId="77777777" w:rsidR="00CB0FCB" w:rsidRDefault="009D2B11">
            <w:pPr>
              <w:pStyle w:val="P68B1DB1-Normal9"/>
              <w:spacing w:after="0" w:line="240" w:lineRule="auto"/>
              <w:rPr>
                <w:rFonts w:eastAsia="Times New Roman" w:cs="Calibri"/>
                <w:noProof/>
                <w:szCs w:val="18"/>
              </w:rPr>
            </w:pPr>
            <w:r>
              <w:rPr>
                <w:noProof/>
              </w:rPr>
              <w:t>Parakstīts iemaksu nolīgums</w:t>
            </w:r>
          </w:p>
        </w:tc>
        <w:tc>
          <w:tcPr>
            <w:tcW w:w="1080" w:type="dxa"/>
            <w:tcBorders>
              <w:top w:val="nil"/>
              <w:left w:val="nil"/>
              <w:bottom w:val="single" w:sz="4" w:space="0" w:color="auto"/>
              <w:right w:val="single" w:sz="4" w:space="0" w:color="auto"/>
            </w:tcBorders>
            <w:shd w:val="clear" w:color="auto" w:fill="C6EFCE"/>
            <w:noWrap/>
            <w:hideMark/>
          </w:tcPr>
          <w:p w14:paraId="0B0FD6E9" w14:textId="77777777" w:rsidR="00CB0FCB" w:rsidRDefault="00CB0FCB">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noWrap/>
            <w:hideMark/>
          </w:tcPr>
          <w:p w14:paraId="79B45DEA" w14:textId="77777777" w:rsidR="00CB0FCB" w:rsidRDefault="00CB0FCB">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hideMark/>
          </w:tcPr>
          <w:p w14:paraId="1783DFD5"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hideMark/>
          </w:tcPr>
          <w:p w14:paraId="392EB1BD" w14:textId="77777777" w:rsidR="00CB0FCB" w:rsidRDefault="009D2B11">
            <w:pPr>
              <w:pStyle w:val="P68B1DB1-Normal9"/>
              <w:spacing w:after="0" w:line="240" w:lineRule="auto"/>
              <w:rPr>
                <w:rFonts w:eastAsia="Times New Roman" w:cs="Calibri"/>
                <w:noProof/>
                <w:szCs w:val="18"/>
              </w:rPr>
            </w:pPr>
            <w:r>
              <w:rPr>
                <w:noProof/>
              </w:rPr>
              <w:t>Q1</w:t>
            </w:r>
          </w:p>
        </w:tc>
        <w:tc>
          <w:tcPr>
            <w:tcW w:w="840" w:type="dxa"/>
            <w:tcBorders>
              <w:top w:val="nil"/>
              <w:left w:val="nil"/>
              <w:bottom w:val="single" w:sz="4" w:space="0" w:color="auto"/>
              <w:right w:val="single" w:sz="4" w:space="0" w:color="auto"/>
            </w:tcBorders>
            <w:shd w:val="clear" w:color="auto" w:fill="C6EFCE"/>
            <w:noWrap/>
            <w:hideMark/>
          </w:tcPr>
          <w:p w14:paraId="4F6584D0" w14:textId="77777777" w:rsidR="00CB0FCB" w:rsidRDefault="009D2B11">
            <w:pPr>
              <w:pStyle w:val="P68B1DB1-Normal9"/>
              <w:spacing w:after="0" w:line="240" w:lineRule="auto"/>
              <w:rPr>
                <w:rFonts w:eastAsia="Times New Roman" w:cs="Calibri"/>
                <w:noProof/>
                <w:szCs w:val="18"/>
              </w:rPr>
            </w:pPr>
            <w:r>
              <w:rPr>
                <w:noProof/>
              </w:rPr>
              <w:t>2022</w:t>
            </w:r>
          </w:p>
        </w:tc>
        <w:tc>
          <w:tcPr>
            <w:tcW w:w="4608" w:type="dxa"/>
            <w:tcBorders>
              <w:top w:val="nil"/>
              <w:left w:val="nil"/>
              <w:bottom w:val="single" w:sz="4" w:space="0" w:color="auto"/>
              <w:right w:val="single" w:sz="4" w:space="0" w:color="auto"/>
            </w:tcBorders>
            <w:shd w:val="clear" w:color="auto" w:fill="C6EFCE"/>
            <w:noWrap/>
            <w:hideMark/>
          </w:tcPr>
          <w:p w14:paraId="04A501A6" w14:textId="77777777" w:rsidR="00CB0FCB" w:rsidRDefault="009D2B11">
            <w:pPr>
              <w:pStyle w:val="P68B1DB1-Normal9"/>
              <w:spacing w:after="0" w:line="240" w:lineRule="auto"/>
              <w:rPr>
                <w:rFonts w:eastAsia="Times New Roman" w:cs="Calibri"/>
                <w:noProof/>
                <w:szCs w:val="18"/>
              </w:rPr>
            </w:pPr>
            <w:r>
              <w:rPr>
                <w:noProof/>
              </w:rPr>
              <w:t>InvestEU iemaksu nolīguma parakstīšana starp Finanšu ministriju un Eiropas Komisiju, tostarp:</w:t>
            </w:r>
          </w:p>
          <w:p w14:paraId="493CE7DD" w14:textId="77777777" w:rsidR="00CB0FCB" w:rsidRDefault="009D2B11">
            <w:pPr>
              <w:pStyle w:val="P68B1DB1-Normal9"/>
              <w:spacing w:after="0" w:line="240" w:lineRule="auto"/>
              <w:rPr>
                <w:rFonts w:eastAsia="Times New Roman" w:cs="Calibri"/>
                <w:noProof/>
                <w:szCs w:val="18"/>
              </w:rPr>
            </w:pPr>
            <w:r>
              <w:rPr>
                <w:noProof/>
              </w:rPr>
              <w:t>a) atlases kritēriji atbalstīto uzņēmumu atbilstībai Tehniskajiem norādījumiem “nenodarīt būtisku kaitējumu” (2021/C58/01), kuros prasīts izmantot ilgtspējas pārbaudi, izslēgšanas sarakstu un obligātas juridiskās atbilstības pārbaudes attiecīgajiem ES un valsts tiesību aktiem vides jomā, ko veic neatkarīgs revidents.</w:t>
            </w:r>
          </w:p>
          <w:p w14:paraId="4097E9B8" w14:textId="77777777" w:rsidR="00CB0FCB" w:rsidRDefault="009D2B11">
            <w:pPr>
              <w:pStyle w:val="P68B1DB1-Normal9"/>
              <w:spacing w:after="0" w:line="240" w:lineRule="auto"/>
              <w:rPr>
                <w:rFonts w:eastAsia="Times New Roman" w:cs="Calibri"/>
                <w:noProof/>
                <w:szCs w:val="18"/>
              </w:rPr>
            </w:pPr>
            <w:r>
              <w:rPr>
                <w:noProof/>
              </w:rPr>
              <w:t>b) apņemšanās ieguldīt vismaz 38,5 % no līdzekļiem klimatiskās pārkārtošanās atbalstam un 20,8 % no līdzekļiem digitālās pārkārtošanās atbalstam, izmantojot ANM regulas VI un VII pielikumā izklāstīto metodiku.</w:t>
            </w:r>
          </w:p>
        </w:tc>
      </w:tr>
      <w:tr w:rsidR="00CB0FCB" w14:paraId="616848FD"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2CD8E761" w14:textId="77777777" w:rsidR="00CB0FCB" w:rsidRDefault="009D2B11">
            <w:pPr>
              <w:pStyle w:val="P68B1DB1-Normal9"/>
              <w:spacing w:after="0" w:line="240" w:lineRule="auto"/>
              <w:rPr>
                <w:noProof/>
              </w:rPr>
            </w:pPr>
            <w:r>
              <w:rPr>
                <w:noProof/>
              </w:rPr>
              <w:t>324</w:t>
            </w:r>
          </w:p>
        </w:tc>
        <w:tc>
          <w:tcPr>
            <w:tcW w:w="1429" w:type="dxa"/>
            <w:tcBorders>
              <w:top w:val="single" w:sz="4" w:space="0" w:color="auto"/>
              <w:left w:val="nil"/>
              <w:bottom w:val="single" w:sz="4" w:space="0" w:color="auto"/>
              <w:right w:val="single" w:sz="4" w:space="0" w:color="auto"/>
            </w:tcBorders>
            <w:shd w:val="clear" w:color="auto" w:fill="C6EFCE"/>
            <w:noWrap/>
          </w:tcPr>
          <w:p w14:paraId="18313D12" w14:textId="77777777" w:rsidR="00CB0FCB" w:rsidRDefault="009D2B11">
            <w:pPr>
              <w:pStyle w:val="P68B1DB1-Normal9"/>
              <w:spacing w:after="0" w:line="240" w:lineRule="auto"/>
              <w:rPr>
                <w:rFonts w:eastAsia="Times New Roman" w:cs="Calibri"/>
                <w:noProof/>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3400A44C"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17ABB966" w14:textId="77777777" w:rsidR="00CB0FCB" w:rsidRDefault="009D2B11">
            <w:pPr>
              <w:pStyle w:val="P68B1DB1-Normal9"/>
              <w:spacing w:after="0" w:line="240" w:lineRule="auto"/>
              <w:rPr>
                <w:rFonts w:eastAsia="Times New Roman" w:cs="Calibri"/>
                <w:noProof/>
                <w:szCs w:val="18"/>
              </w:rPr>
            </w:pPr>
            <w:r>
              <w:rPr>
                <w:noProof/>
              </w:rPr>
              <w:t>586,4 miljoni EUR no finanšu iestāžu līdzekļiem, kas parakstīti ar galīgajiem saņēmējiem</w:t>
            </w:r>
          </w:p>
        </w:tc>
        <w:tc>
          <w:tcPr>
            <w:tcW w:w="1660" w:type="dxa"/>
            <w:tcBorders>
              <w:top w:val="single" w:sz="4" w:space="0" w:color="auto"/>
              <w:left w:val="nil"/>
              <w:bottom w:val="single" w:sz="4" w:space="0" w:color="auto"/>
              <w:right w:val="single" w:sz="4" w:space="0" w:color="auto"/>
            </w:tcBorders>
            <w:shd w:val="clear" w:color="auto" w:fill="C6EFCE"/>
            <w:noWrap/>
          </w:tcPr>
          <w:p w14:paraId="31F443F7"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02E02045" w14:textId="77777777" w:rsidR="00CB0FCB" w:rsidRDefault="009D2B11">
            <w:pPr>
              <w:pStyle w:val="P68B1DB1-Normal9"/>
              <w:spacing w:after="0" w:line="240" w:lineRule="auto"/>
              <w:rPr>
                <w:rFonts w:eastAsia="Times New Roman" w:cs="Calibri"/>
                <w:noProof/>
                <w:szCs w:val="18"/>
              </w:rPr>
            </w:pPr>
            <w:r>
              <w:rPr>
                <w:noProof/>
              </w:rPr>
              <w:t>Parakstīto līdzekļu procentuālā daļa</w:t>
            </w:r>
          </w:p>
        </w:tc>
        <w:tc>
          <w:tcPr>
            <w:tcW w:w="1080" w:type="dxa"/>
            <w:tcBorders>
              <w:top w:val="single" w:sz="4" w:space="0" w:color="auto"/>
              <w:left w:val="nil"/>
              <w:bottom w:val="single" w:sz="4" w:space="0" w:color="auto"/>
              <w:right w:val="single" w:sz="4" w:space="0" w:color="auto"/>
            </w:tcBorders>
            <w:shd w:val="clear" w:color="auto" w:fill="C6EFCE"/>
            <w:noWrap/>
          </w:tcPr>
          <w:p w14:paraId="6B4299C2" w14:textId="77777777" w:rsidR="00CB0FCB" w:rsidRDefault="009D2B11">
            <w:pPr>
              <w:pStyle w:val="P68B1DB1-Normal9"/>
              <w:spacing w:after="0" w:line="240" w:lineRule="auto"/>
              <w:rPr>
                <w:rFonts w:eastAsia="Times New Roman" w:cs="Calibri"/>
                <w:noProof/>
                <w:szCs w:val="18"/>
              </w:rPr>
            </w:pPr>
            <w:r>
              <w:rPr>
                <w:noProof/>
              </w:rPr>
              <w:t>0</w:t>
            </w:r>
          </w:p>
        </w:tc>
        <w:tc>
          <w:tcPr>
            <w:tcW w:w="840" w:type="dxa"/>
            <w:tcBorders>
              <w:top w:val="single" w:sz="4" w:space="0" w:color="auto"/>
              <w:left w:val="nil"/>
              <w:bottom w:val="single" w:sz="4" w:space="0" w:color="auto"/>
              <w:right w:val="single" w:sz="4" w:space="0" w:color="auto"/>
            </w:tcBorders>
            <w:shd w:val="clear" w:color="auto" w:fill="C6EFCE"/>
            <w:noWrap/>
          </w:tcPr>
          <w:p w14:paraId="75118523" w14:textId="77777777" w:rsidR="00CB0FCB" w:rsidRDefault="009D2B11">
            <w:pPr>
              <w:pStyle w:val="P68B1DB1-Normal9"/>
              <w:spacing w:after="0" w:line="240" w:lineRule="auto"/>
              <w:rPr>
                <w:rFonts w:eastAsia="Times New Roman" w:cs="Calibri"/>
                <w:noProof/>
                <w:szCs w:val="18"/>
              </w:rPr>
            </w:pPr>
            <w:r>
              <w:rPr>
                <w:noProof/>
              </w:rPr>
              <w:t>5</w:t>
            </w:r>
          </w:p>
        </w:tc>
        <w:tc>
          <w:tcPr>
            <w:tcW w:w="960" w:type="dxa"/>
            <w:tcBorders>
              <w:top w:val="single" w:sz="4" w:space="0" w:color="auto"/>
              <w:left w:val="nil"/>
              <w:bottom w:val="single" w:sz="4" w:space="0" w:color="auto"/>
              <w:right w:val="single" w:sz="4" w:space="0" w:color="auto"/>
            </w:tcBorders>
            <w:shd w:val="clear" w:color="auto" w:fill="C6EFCE"/>
            <w:noWrap/>
          </w:tcPr>
          <w:p w14:paraId="3C2D8295"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38F75323" w14:textId="77777777" w:rsidR="00CB0FCB" w:rsidRDefault="009D2B11">
            <w:pPr>
              <w:pStyle w:val="P68B1DB1-Normal9"/>
              <w:spacing w:after="0" w:line="240" w:lineRule="auto"/>
              <w:rPr>
                <w:rFonts w:eastAsia="Times New Roman" w:cs="Calibri"/>
                <w:noProof/>
                <w:szCs w:val="18"/>
              </w:rPr>
            </w:pPr>
            <w:r>
              <w:rPr>
                <w:noProof/>
              </w:rPr>
              <w:t>2022</w:t>
            </w:r>
          </w:p>
        </w:tc>
        <w:tc>
          <w:tcPr>
            <w:tcW w:w="4608" w:type="dxa"/>
            <w:tcBorders>
              <w:top w:val="single" w:sz="4" w:space="0" w:color="auto"/>
              <w:left w:val="nil"/>
              <w:bottom w:val="single" w:sz="4" w:space="0" w:color="auto"/>
              <w:right w:val="single" w:sz="4" w:space="0" w:color="auto"/>
            </w:tcBorders>
            <w:shd w:val="clear" w:color="auto" w:fill="C6EFCE"/>
            <w:noWrap/>
          </w:tcPr>
          <w:p w14:paraId="033D4AB9" w14:textId="77777777" w:rsidR="00CB0FCB" w:rsidRDefault="009D2B11">
            <w:pPr>
              <w:pStyle w:val="P68B1DB1-Normal9"/>
              <w:spacing w:after="0" w:line="240" w:lineRule="auto"/>
              <w:rPr>
                <w:rFonts w:eastAsia="Times New Roman" w:cs="Calibri"/>
                <w:noProof/>
                <w:szCs w:val="18"/>
              </w:rPr>
            </w:pPr>
            <w:r>
              <w:rPr>
                <w:noProof/>
              </w:rPr>
              <w:t>586,4 miljoni EUR (ieskaitot pārvaldības maksas) no ANM aizdevumu mehānisma līdzekļiem, kas saistīti ar starptautiskajām finanšu iestādēm un komercbankām, ir parakstīti ar galīgajiem saņēmējiem saskaņā ar atskaites punktā noteiktajām pilnvarām un pēc tam, kad neatkarīgi revidenti ex ante ir pārbaudījuši atbilstību pārvaldības, atlases, uzraudzības un revīzijas un zaudējumu dalīšanas kritērijiem, tehniskajiem norādījumiem “nenodarīt būtisku kaitējumu” (2021/C58/01) un 38,5 % klimata mērķrādītājam un 20,8 % digitālajam mērķrādītājam.</w:t>
            </w:r>
          </w:p>
        </w:tc>
      </w:tr>
      <w:tr w:rsidR="00CB0FCB" w14:paraId="6B5ED77C"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78C4EB13" w14:textId="77777777" w:rsidR="00CB0FCB" w:rsidRDefault="009D2B11">
            <w:pPr>
              <w:pStyle w:val="P68B1DB1-Normal9"/>
              <w:spacing w:after="0" w:line="240" w:lineRule="auto"/>
              <w:rPr>
                <w:rFonts w:eastAsia="Times New Roman" w:cs="Calibri"/>
                <w:noProof/>
              </w:rPr>
            </w:pPr>
            <w:r>
              <w:rPr>
                <w:noProof/>
              </w:rPr>
              <w:t>325</w:t>
            </w:r>
          </w:p>
        </w:tc>
        <w:tc>
          <w:tcPr>
            <w:tcW w:w="1429" w:type="dxa"/>
            <w:tcBorders>
              <w:top w:val="single" w:sz="4" w:space="0" w:color="auto"/>
              <w:left w:val="nil"/>
              <w:bottom w:val="single" w:sz="4" w:space="0" w:color="auto"/>
              <w:right w:val="single" w:sz="4" w:space="0" w:color="auto"/>
            </w:tcBorders>
            <w:shd w:val="clear" w:color="auto" w:fill="C6EFCE"/>
            <w:noWrap/>
          </w:tcPr>
          <w:p w14:paraId="357B2E97" w14:textId="77777777" w:rsidR="00CB0FCB" w:rsidRDefault="009D2B11">
            <w:pPr>
              <w:pStyle w:val="P68B1DB1-Normal9"/>
              <w:spacing w:after="0" w:line="240" w:lineRule="auto"/>
              <w:rPr>
                <w:rFonts w:eastAsia="Times New Roman" w:cs="Calibri"/>
                <w:noProof/>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51B725E7"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7A3600F5" w14:textId="4A635419" w:rsidR="00CB0FCB" w:rsidRDefault="009D2B11">
            <w:pPr>
              <w:pStyle w:val="P68B1DB1-Normal45"/>
              <w:spacing w:after="0" w:line="240" w:lineRule="auto"/>
              <w:rPr>
                <w:rFonts w:eastAsia="Times New Roman" w:cs="Calibri"/>
                <w:noProof/>
                <w:szCs w:val="18"/>
              </w:rPr>
            </w:pPr>
            <w:r>
              <w:rPr>
                <w:noProof/>
              </w:rPr>
              <w:t>Ar galīgajiem saņēmējiem parakstītie finanšu iestāžu līdzekļi 3518.4 miljonu EUR apmērā</w:t>
            </w:r>
          </w:p>
        </w:tc>
        <w:tc>
          <w:tcPr>
            <w:tcW w:w="1660" w:type="dxa"/>
            <w:tcBorders>
              <w:top w:val="single" w:sz="4" w:space="0" w:color="auto"/>
              <w:left w:val="nil"/>
              <w:bottom w:val="single" w:sz="4" w:space="0" w:color="auto"/>
              <w:right w:val="single" w:sz="4" w:space="0" w:color="auto"/>
            </w:tcBorders>
            <w:shd w:val="clear" w:color="auto" w:fill="C6EFCE"/>
            <w:noWrap/>
          </w:tcPr>
          <w:p w14:paraId="04CFA261"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2C9521F4" w14:textId="77777777" w:rsidR="00CB0FCB" w:rsidRDefault="009D2B11">
            <w:pPr>
              <w:pStyle w:val="P68B1DB1-Normal9"/>
              <w:spacing w:after="0" w:line="240" w:lineRule="auto"/>
              <w:rPr>
                <w:rFonts w:eastAsia="Times New Roman" w:cs="Calibri"/>
                <w:noProof/>
                <w:szCs w:val="18"/>
              </w:rPr>
            </w:pPr>
            <w:r>
              <w:rPr>
                <w:noProof/>
              </w:rPr>
              <w:t>Parakstīto līdzekļu procentuālā daļa</w:t>
            </w:r>
          </w:p>
        </w:tc>
        <w:tc>
          <w:tcPr>
            <w:tcW w:w="1080" w:type="dxa"/>
            <w:tcBorders>
              <w:top w:val="single" w:sz="4" w:space="0" w:color="auto"/>
              <w:left w:val="nil"/>
              <w:bottom w:val="single" w:sz="4" w:space="0" w:color="auto"/>
              <w:right w:val="single" w:sz="4" w:space="0" w:color="auto"/>
            </w:tcBorders>
            <w:shd w:val="clear" w:color="auto" w:fill="C6EFCE"/>
            <w:noWrap/>
          </w:tcPr>
          <w:p w14:paraId="704468C0" w14:textId="77777777" w:rsidR="00CB0FCB" w:rsidRDefault="009D2B11">
            <w:pPr>
              <w:pStyle w:val="P68B1DB1-Normal9"/>
              <w:spacing w:after="0" w:line="240" w:lineRule="auto"/>
              <w:rPr>
                <w:rFonts w:eastAsia="Times New Roman" w:cs="Calibri"/>
                <w:noProof/>
                <w:szCs w:val="18"/>
              </w:rPr>
            </w:pPr>
            <w:r>
              <w:rPr>
                <w:noProof/>
              </w:rPr>
              <w:t>5</w:t>
            </w:r>
          </w:p>
        </w:tc>
        <w:tc>
          <w:tcPr>
            <w:tcW w:w="840" w:type="dxa"/>
            <w:tcBorders>
              <w:top w:val="single" w:sz="4" w:space="0" w:color="auto"/>
              <w:left w:val="nil"/>
              <w:bottom w:val="single" w:sz="4" w:space="0" w:color="auto"/>
              <w:right w:val="single" w:sz="4" w:space="0" w:color="auto"/>
            </w:tcBorders>
            <w:shd w:val="clear" w:color="auto" w:fill="C6EFCE"/>
            <w:noWrap/>
          </w:tcPr>
          <w:p w14:paraId="0B738929" w14:textId="77777777" w:rsidR="00CB0FCB" w:rsidRDefault="009D2B11">
            <w:pPr>
              <w:pStyle w:val="P68B1DB1-Normal9"/>
              <w:spacing w:after="0" w:line="240" w:lineRule="auto"/>
              <w:rPr>
                <w:rFonts w:eastAsia="Times New Roman" w:cs="Calibri"/>
                <w:noProof/>
                <w:szCs w:val="18"/>
              </w:rPr>
            </w:pPr>
            <w:r>
              <w:rPr>
                <w:noProof/>
              </w:rPr>
              <w:t>30</w:t>
            </w:r>
          </w:p>
        </w:tc>
        <w:tc>
          <w:tcPr>
            <w:tcW w:w="960" w:type="dxa"/>
            <w:tcBorders>
              <w:top w:val="single" w:sz="4" w:space="0" w:color="auto"/>
              <w:left w:val="nil"/>
              <w:bottom w:val="single" w:sz="4" w:space="0" w:color="auto"/>
              <w:right w:val="single" w:sz="4" w:space="0" w:color="auto"/>
            </w:tcBorders>
            <w:shd w:val="clear" w:color="auto" w:fill="C6EFCE"/>
            <w:noWrap/>
          </w:tcPr>
          <w:p w14:paraId="6A61A3A9"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3ED08C52" w14:textId="77777777" w:rsidR="00CB0FCB" w:rsidRDefault="009D2B11">
            <w:pPr>
              <w:pStyle w:val="P68B1DB1-Normal9"/>
              <w:spacing w:after="0" w:line="240" w:lineRule="auto"/>
              <w:rPr>
                <w:rFonts w:eastAsia="Times New Roman" w:cs="Calibri"/>
                <w:noProof/>
                <w:szCs w:val="18"/>
              </w:rPr>
            </w:pPr>
            <w:r>
              <w:rPr>
                <w:noProof/>
              </w:rPr>
              <w:t>2023</w:t>
            </w:r>
          </w:p>
        </w:tc>
        <w:tc>
          <w:tcPr>
            <w:tcW w:w="4608" w:type="dxa"/>
            <w:tcBorders>
              <w:top w:val="single" w:sz="4" w:space="0" w:color="auto"/>
              <w:left w:val="nil"/>
              <w:bottom w:val="single" w:sz="4" w:space="0" w:color="auto"/>
              <w:right w:val="single" w:sz="4" w:space="0" w:color="auto"/>
            </w:tcBorders>
            <w:shd w:val="clear" w:color="auto" w:fill="C6EFCE"/>
            <w:noWrap/>
          </w:tcPr>
          <w:p w14:paraId="61A3FE47" w14:textId="2D8913F9" w:rsidR="00CB0FCB" w:rsidRDefault="009D2B11">
            <w:pPr>
              <w:pStyle w:val="P68B1DB1-Normal45"/>
              <w:spacing w:after="0" w:line="240" w:lineRule="auto"/>
              <w:rPr>
                <w:rFonts w:eastAsia="Times New Roman" w:cs="Calibri"/>
                <w:noProof/>
                <w:szCs w:val="18"/>
              </w:rPr>
            </w:pPr>
            <w:r>
              <w:rPr>
                <w:noProof/>
              </w:rPr>
              <w:t>3518.4 miljoni EUR (ieskaitot pārvaldības maksas) no ANM aizdevumu mehānisma līdzekļiem, kas saistīti ar starptautiskajām finanšu iestādēm un komercbankām, ir parakstīti ar galasaņēmējiem saskaņā ar atskaites punktā noteiktajām pilnvarām un pēc tam, kad neatkarīgi revidenti ex ante ir pārbaudījuši atbilstību pārvaldības, atlases, uzraudzības un revīzijas un zaudējumu dalīšanas kritērijiem, tehniskajiem norādījumiem “nenodarīt būtisku kaitējumu” (2021/C58/01) un 38,5 % klimata mērķrādītājam un 20,8 % digitālajam mērķrādītājam.</w:t>
            </w:r>
          </w:p>
        </w:tc>
      </w:tr>
      <w:tr w:rsidR="00CB0FCB" w14:paraId="7430F3D2"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307DAD41" w14:textId="77777777" w:rsidR="00CB0FCB" w:rsidRDefault="009D2B11">
            <w:pPr>
              <w:pStyle w:val="P68B1DB1-Normal9"/>
              <w:spacing w:after="0" w:line="240" w:lineRule="auto"/>
              <w:rPr>
                <w:rFonts w:eastAsia="Times New Roman" w:cs="Calibri"/>
                <w:noProof/>
              </w:rPr>
            </w:pPr>
            <w:r>
              <w:rPr>
                <w:noProof/>
              </w:rPr>
              <w:t>325.a</w:t>
            </w:r>
          </w:p>
        </w:tc>
        <w:tc>
          <w:tcPr>
            <w:tcW w:w="1429" w:type="dxa"/>
            <w:tcBorders>
              <w:top w:val="single" w:sz="4" w:space="0" w:color="auto"/>
              <w:left w:val="nil"/>
              <w:bottom w:val="single" w:sz="4" w:space="0" w:color="auto"/>
              <w:right w:val="single" w:sz="4" w:space="0" w:color="auto"/>
            </w:tcBorders>
            <w:shd w:val="clear" w:color="auto" w:fill="C6EFCE"/>
            <w:noWrap/>
          </w:tcPr>
          <w:p w14:paraId="606C5E2B" w14:textId="77777777" w:rsidR="00CB0FCB" w:rsidRDefault="009D2B11">
            <w:pPr>
              <w:pStyle w:val="P68B1DB1-Normal9"/>
              <w:spacing w:after="0" w:line="240" w:lineRule="auto"/>
              <w:rPr>
                <w:noProof/>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3865835E"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296D8EA2" w14:textId="4F60E010" w:rsidR="00CB0FCB" w:rsidRDefault="009D2B11">
            <w:pPr>
              <w:pStyle w:val="P68B1DB1-Normal45"/>
              <w:spacing w:after="0" w:line="240" w:lineRule="auto"/>
              <w:rPr>
                <w:rFonts w:eastAsia="Times New Roman" w:cs="Calibri"/>
                <w:noProof/>
                <w:szCs w:val="18"/>
              </w:rPr>
            </w:pPr>
            <w:r>
              <w:rPr>
                <w:noProof/>
              </w:rPr>
              <w:t>Ar galīgajiem saņēmējiem parakstītie finanšu iestāžu līdzekļi 4518.4 miljonu EUR apmērā</w:t>
            </w:r>
          </w:p>
        </w:tc>
        <w:tc>
          <w:tcPr>
            <w:tcW w:w="1660" w:type="dxa"/>
            <w:tcBorders>
              <w:top w:val="single" w:sz="4" w:space="0" w:color="auto"/>
              <w:left w:val="nil"/>
              <w:bottom w:val="single" w:sz="4" w:space="0" w:color="auto"/>
              <w:right w:val="single" w:sz="4" w:space="0" w:color="auto"/>
            </w:tcBorders>
            <w:shd w:val="clear" w:color="auto" w:fill="C6EFCE"/>
            <w:noWrap/>
          </w:tcPr>
          <w:p w14:paraId="6B059C63"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514D835E" w14:textId="77777777" w:rsidR="00CB0FCB" w:rsidRDefault="009D2B11">
            <w:pPr>
              <w:pStyle w:val="P68B1DB1-Normal9"/>
              <w:spacing w:after="0" w:line="240" w:lineRule="auto"/>
              <w:rPr>
                <w:rFonts w:eastAsia="Times New Roman" w:cs="Calibri"/>
                <w:noProof/>
                <w:szCs w:val="18"/>
              </w:rPr>
            </w:pPr>
            <w:r>
              <w:rPr>
                <w:noProof/>
              </w:rPr>
              <w:t>Parakstīto līdzekļu summa (EUR)</w:t>
            </w:r>
          </w:p>
        </w:tc>
        <w:tc>
          <w:tcPr>
            <w:tcW w:w="1080" w:type="dxa"/>
            <w:tcBorders>
              <w:top w:val="single" w:sz="4" w:space="0" w:color="auto"/>
              <w:left w:val="nil"/>
              <w:bottom w:val="single" w:sz="4" w:space="0" w:color="auto"/>
              <w:right w:val="single" w:sz="4" w:space="0" w:color="auto"/>
            </w:tcBorders>
            <w:shd w:val="clear" w:color="auto" w:fill="C6EFCE"/>
            <w:noWrap/>
          </w:tcPr>
          <w:p w14:paraId="25B57B4D" w14:textId="2AA4E4E9" w:rsidR="00CB0FCB" w:rsidRDefault="009D2B11">
            <w:pPr>
              <w:pStyle w:val="P68B1DB1-Normal45"/>
              <w:spacing w:after="0" w:line="240" w:lineRule="auto"/>
              <w:rPr>
                <w:rFonts w:eastAsia="Times New Roman" w:cs="Calibri"/>
                <w:noProof/>
                <w:szCs w:val="18"/>
              </w:rPr>
            </w:pPr>
            <w:r>
              <w:rPr>
                <w:noProof/>
              </w:rPr>
              <w:t>3 518.4</w:t>
            </w:r>
          </w:p>
        </w:tc>
        <w:tc>
          <w:tcPr>
            <w:tcW w:w="840" w:type="dxa"/>
            <w:tcBorders>
              <w:top w:val="single" w:sz="4" w:space="0" w:color="auto"/>
              <w:left w:val="nil"/>
              <w:bottom w:val="single" w:sz="4" w:space="0" w:color="auto"/>
              <w:right w:val="single" w:sz="4" w:space="0" w:color="auto"/>
            </w:tcBorders>
            <w:shd w:val="clear" w:color="auto" w:fill="C6EFCE"/>
            <w:noWrap/>
          </w:tcPr>
          <w:p w14:paraId="3E47FDC2" w14:textId="6600A2DB" w:rsidR="00CB0FCB" w:rsidRDefault="009D2B11">
            <w:pPr>
              <w:pStyle w:val="P68B1DB1-Normal45"/>
              <w:spacing w:after="0" w:line="240" w:lineRule="auto"/>
              <w:rPr>
                <w:rFonts w:eastAsia="Times New Roman" w:cs="Calibri"/>
                <w:noProof/>
                <w:szCs w:val="18"/>
              </w:rPr>
            </w:pPr>
            <w:r>
              <w:rPr>
                <w:noProof/>
              </w:rPr>
              <w:t>4 518.4</w:t>
            </w:r>
          </w:p>
        </w:tc>
        <w:tc>
          <w:tcPr>
            <w:tcW w:w="960" w:type="dxa"/>
            <w:tcBorders>
              <w:top w:val="single" w:sz="4" w:space="0" w:color="auto"/>
              <w:left w:val="nil"/>
              <w:bottom w:val="single" w:sz="4" w:space="0" w:color="auto"/>
              <w:right w:val="single" w:sz="4" w:space="0" w:color="auto"/>
            </w:tcBorders>
            <w:shd w:val="clear" w:color="auto" w:fill="C6EFCE"/>
            <w:noWrap/>
          </w:tcPr>
          <w:p w14:paraId="6ADECB93"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tcBorders>
              <w:top w:val="single" w:sz="4" w:space="0" w:color="auto"/>
              <w:left w:val="nil"/>
              <w:bottom w:val="single" w:sz="4" w:space="0" w:color="auto"/>
              <w:right w:val="single" w:sz="4" w:space="0" w:color="auto"/>
            </w:tcBorders>
            <w:shd w:val="clear" w:color="auto" w:fill="C6EFCE"/>
            <w:noWrap/>
          </w:tcPr>
          <w:p w14:paraId="0034A6EA" w14:textId="77777777" w:rsidR="00CB0FCB" w:rsidRDefault="009D2B11">
            <w:pPr>
              <w:pStyle w:val="P68B1DB1-Normal9"/>
              <w:spacing w:after="0" w:line="240" w:lineRule="auto"/>
              <w:rPr>
                <w:rFonts w:eastAsia="Times New Roman" w:cs="Calibri"/>
                <w:noProof/>
                <w:szCs w:val="18"/>
              </w:rPr>
            </w:pPr>
            <w:r>
              <w:rPr>
                <w:noProof/>
              </w:rPr>
              <w:t>2024</w:t>
            </w:r>
          </w:p>
        </w:tc>
        <w:tc>
          <w:tcPr>
            <w:tcW w:w="4608" w:type="dxa"/>
            <w:tcBorders>
              <w:top w:val="single" w:sz="4" w:space="0" w:color="auto"/>
              <w:left w:val="nil"/>
              <w:bottom w:val="single" w:sz="4" w:space="0" w:color="auto"/>
              <w:right w:val="single" w:sz="4" w:space="0" w:color="auto"/>
            </w:tcBorders>
            <w:shd w:val="clear" w:color="auto" w:fill="C6EFCE"/>
            <w:noWrap/>
          </w:tcPr>
          <w:p w14:paraId="7EF410AF" w14:textId="0FE0DA86" w:rsidR="00CB0FCB" w:rsidRDefault="009D2B11">
            <w:pPr>
              <w:pStyle w:val="P68B1DB1-Normal45"/>
              <w:spacing w:after="0" w:line="240" w:lineRule="auto"/>
              <w:rPr>
                <w:rFonts w:eastAsia="Times New Roman" w:cs="Calibri"/>
                <w:noProof/>
                <w:szCs w:val="18"/>
              </w:rPr>
            </w:pPr>
            <w:r>
              <w:rPr>
                <w:noProof/>
              </w:rPr>
              <w:t>4518.4 miljoni EUR (ieskaitot pārvaldības maksas) no ANM aizdevumu mehānisma līdzekļiem, kas saistīti ar starptautiskajām finanšu iestādēm un komercbankām, ir parakstīti ar galasaņēmējiem saskaņā ar atskaites punktā noteiktajām pilnvarām un pēc tam, kad neatkarīgi revidenti ex ante ir pārbaudījuši atbilstību pārvaldības, atlases, uzraudzības un revīzijas un zaudējumu dalīšanas kritērijiem, tehniskajiem norādījumiem “nenodarīt būtisku kaitējumu” (2021/C58/01) un ieguldījumam 38,5 % klimata mērķrādītāja un 20,8 % digitālā mērķrādītāja sasniegšanā.</w:t>
            </w:r>
          </w:p>
        </w:tc>
      </w:tr>
      <w:tr w:rsidR="00CB0FCB" w14:paraId="3FD79C41"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1506BD3F" w14:textId="77777777" w:rsidR="00CB0FCB" w:rsidRDefault="009D2B11">
            <w:pPr>
              <w:pStyle w:val="P68B1DB1-Normal9"/>
              <w:spacing w:after="0" w:line="240" w:lineRule="auto"/>
              <w:rPr>
                <w:rFonts w:eastAsia="Times New Roman" w:cs="Calibri"/>
                <w:noProof/>
              </w:rPr>
            </w:pPr>
            <w:r>
              <w:rPr>
                <w:noProof/>
              </w:rPr>
              <w:t>326</w:t>
            </w:r>
          </w:p>
        </w:tc>
        <w:tc>
          <w:tcPr>
            <w:tcW w:w="1429" w:type="dxa"/>
            <w:tcBorders>
              <w:top w:val="single" w:sz="4" w:space="0" w:color="auto"/>
              <w:left w:val="nil"/>
              <w:bottom w:val="single" w:sz="4" w:space="0" w:color="auto"/>
              <w:right w:val="single" w:sz="4" w:space="0" w:color="auto"/>
            </w:tcBorders>
            <w:shd w:val="clear" w:color="auto" w:fill="C6EFCE"/>
            <w:noWrap/>
          </w:tcPr>
          <w:p w14:paraId="3E96DA67" w14:textId="77777777" w:rsidR="00CB0FCB" w:rsidRDefault="009D2B11">
            <w:pPr>
              <w:pStyle w:val="P68B1DB1-Normal9"/>
              <w:spacing w:after="0" w:line="240" w:lineRule="auto"/>
              <w:rPr>
                <w:noProof/>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3C4563F4"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4D186CDE" w14:textId="3A8DB52F" w:rsidR="00CB0FCB" w:rsidRDefault="009D2B11">
            <w:pPr>
              <w:pStyle w:val="P68B1DB1-Normal45"/>
              <w:spacing w:after="0" w:line="240" w:lineRule="auto"/>
              <w:rPr>
                <w:rFonts w:eastAsia="Times New Roman" w:cs="Calibri"/>
                <w:noProof/>
                <w:szCs w:val="18"/>
              </w:rPr>
            </w:pPr>
            <w:r>
              <w:rPr>
                <w:noProof/>
              </w:rPr>
              <w:t>Finanšu iestāžu līdzekļi 7064 miljonu EUR apmērā, kas parakstīti ar galīgajiem saņēmējiem</w:t>
            </w:r>
          </w:p>
        </w:tc>
        <w:tc>
          <w:tcPr>
            <w:tcW w:w="1660" w:type="dxa"/>
            <w:tcBorders>
              <w:top w:val="single" w:sz="4" w:space="0" w:color="auto"/>
              <w:left w:val="nil"/>
              <w:bottom w:val="single" w:sz="4" w:space="0" w:color="auto"/>
              <w:right w:val="single" w:sz="4" w:space="0" w:color="auto"/>
            </w:tcBorders>
            <w:shd w:val="clear" w:color="auto" w:fill="C6EFCE"/>
            <w:noWrap/>
          </w:tcPr>
          <w:p w14:paraId="3D1569B3"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7984C4D3" w14:textId="2FAFE22A" w:rsidR="00CB0FCB" w:rsidRDefault="009D2B11">
            <w:pPr>
              <w:pStyle w:val="P68B1DB1-Normal10"/>
              <w:spacing w:after="0" w:line="240" w:lineRule="auto"/>
              <w:rPr>
                <w:rFonts w:eastAsia="Times New Roman" w:cs="Calibri"/>
                <w:noProof/>
              </w:rPr>
            </w:pPr>
            <w:r>
              <w:rPr>
                <w:noProof/>
              </w:rPr>
              <w:t xml:space="preserve">Summa (miljonos EUR) </w:t>
            </w:r>
          </w:p>
        </w:tc>
        <w:tc>
          <w:tcPr>
            <w:tcW w:w="1080" w:type="dxa"/>
            <w:tcBorders>
              <w:top w:val="single" w:sz="4" w:space="0" w:color="auto"/>
              <w:left w:val="nil"/>
              <w:bottom w:val="single" w:sz="4" w:space="0" w:color="auto"/>
              <w:right w:val="single" w:sz="4" w:space="0" w:color="auto"/>
            </w:tcBorders>
            <w:shd w:val="clear" w:color="auto" w:fill="C6EFCE"/>
            <w:noWrap/>
          </w:tcPr>
          <w:p w14:paraId="757FD9D2" w14:textId="2202DA03" w:rsidR="00CB0FCB" w:rsidRDefault="009D2B11">
            <w:pPr>
              <w:pStyle w:val="P68B1DB1-Normal45"/>
              <w:spacing w:after="0" w:line="240" w:lineRule="auto"/>
              <w:rPr>
                <w:rFonts w:eastAsia="Times New Roman" w:cs="Calibri"/>
                <w:noProof/>
                <w:szCs w:val="18"/>
              </w:rPr>
            </w:pPr>
            <w:r>
              <w:rPr>
                <w:noProof/>
              </w:rPr>
              <w:t>4 518.4</w:t>
            </w:r>
          </w:p>
        </w:tc>
        <w:tc>
          <w:tcPr>
            <w:tcW w:w="840" w:type="dxa"/>
            <w:tcBorders>
              <w:top w:val="single" w:sz="4" w:space="0" w:color="auto"/>
              <w:left w:val="nil"/>
              <w:bottom w:val="single" w:sz="4" w:space="0" w:color="auto"/>
              <w:right w:val="single" w:sz="4" w:space="0" w:color="auto"/>
            </w:tcBorders>
            <w:shd w:val="clear" w:color="auto" w:fill="C6EFCE"/>
            <w:noWrap/>
          </w:tcPr>
          <w:p w14:paraId="44D44134" w14:textId="5A46271E" w:rsidR="00CB0FCB" w:rsidRDefault="009D2B11">
            <w:pPr>
              <w:pStyle w:val="P68B1DB1-Normal45"/>
              <w:spacing w:after="0" w:line="240" w:lineRule="auto"/>
              <w:rPr>
                <w:rFonts w:eastAsia="Times New Roman" w:cs="Calibri"/>
                <w:noProof/>
                <w:szCs w:val="18"/>
              </w:rPr>
            </w:pPr>
            <w:r>
              <w:rPr>
                <w:noProof/>
              </w:rPr>
              <w:t>7 064</w:t>
            </w:r>
          </w:p>
        </w:tc>
        <w:tc>
          <w:tcPr>
            <w:tcW w:w="960" w:type="dxa"/>
            <w:tcBorders>
              <w:top w:val="single" w:sz="4" w:space="0" w:color="auto"/>
              <w:left w:val="nil"/>
              <w:bottom w:val="single" w:sz="4" w:space="0" w:color="auto"/>
              <w:right w:val="single" w:sz="4" w:space="0" w:color="auto"/>
            </w:tcBorders>
            <w:shd w:val="clear" w:color="auto" w:fill="C6EFCE"/>
            <w:noWrap/>
          </w:tcPr>
          <w:p w14:paraId="1DD641BB"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3FA4749B" w14:textId="77777777" w:rsidR="00CB0FCB" w:rsidRDefault="009D2B11">
            <w:pPr>
              <w:pStyle w:val="P68B1DB1-Normal9"/>
              <w:spacing w:after="0" w:line="240" w:lineRule="auto"/>
              <w:rPr>
                <w:rFonts w:eastAsia="Times New Roman" w:cs="Calibri"/>
                <w:noProof/>
                <w:szCs w:val="18"/>
              </w:rPr>
            </w:pPr>
            <w:r>
              <w:rPr>
                <w:noProof/>
              </w:rPr>
              <w:t>2024</w:t>
            </w:r>
          </w:p>
        </w:tc>
        <w:tc>
          <w:tcPr>
            <w:tcW w:w="4608" w:type="dxa"/>
            <w:tcBorders>
              <w:top w:val="single" w:sz="4" w:space="0" w:color="auto"/>
              <w:left w:val="nil"/>
              <w:bottom w:val="single" w:sz="4" w:space="0" w:color="auto"/>
              <w:right w:val="single" w:sz="4" w:space="0" w:color="auto"/>
            </w:tcBorders>
            <w:shd w:val="clear" w:color="auto" w:fill="C6EFCE"/>
            <w:noWrap/>
          </w:tcPr>
          <w:p w14:paraId="231A37B3" w14:textId="30A10F89" w:rsidR="00CB0FCB" w:rsidRDefault="009D2B11">
            <w:pPr>
              <w:pStyle w:val="P68B1DB1-Normal9"/>
              <w:spacing w:after="0" w:line="240" w:lineRule="auto"/>
              <w:rPr>
                <w:rFonts w:eastAsia="Times New Roman" w:cs="Calibri"/>
                <w:noProof/>
                <w:szCs w:val="18"/>
              </w:rPr>
            </w:pPr>
            <w:r>
              <w:rPr>
                <w:noProof/>
                <w:szCs w:val="18"/>
              </w:rPr>
              <w:t>7064</w:t>
            </w:r>
            <w:r>
              <w:rPr>
                <w:rFonts w:cs="Calibri"/>
                <w:noProof/>
              </w:rPr>
              <w:t xml:space="preserve"> </w:t>
            </w:r>
            <w:r>
              <w:rPr>
                <w:noProof/>
                <w:szCs w:val="18"/>
              </w:rPr>
              <w:t>miljoni EUR (ieskaitot pārvaldības maksas) no ANM aizdevumu mehānisma līdzekļiem, kas saistīti ar starptautiskajām finanšu iestādēm un komercbankām, ir parakstīti ar galasaņēmējiem saskaņā ar atskaites punktā noteiktajām pilnvarām un pēc tam, kad neatkarīgi revidenti ex ante ir pārbaudījuši atbilstību pārvaldības, atlases, uzraudzības un revīzijas un zaudējumu dalīšanas kritērijiem, tehniskajiem norādījumiem “nenodarīt būtisku kaitējumu” (2021/C58/01) un ieguldījumam 41,5 % klimata mērķrādītāja un 20,8 % digitālā mērķrādītāja sasniegšanā.</w:t>
            </w:r>
          </w:p>
        </w:tc>
      </w:tr>
      <w:tr w:rsidR="00CB0FCB" w14:paraId="391D602D"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D92355E" w14:textId="77777777" w:rsidR="00CB0FCB" w:rsidRDefault="009D2B11">
            <w:pPr>
              <w:pStyle w:val="P68B1DB1-Normal9"/>
              <w:spacing w:after="0" w:line="240" w:lineRule="auto"/>
              <w:rPr>
                <w:rFonts w:eastAsia="Times New Roman" w:cs="Calibri"/>
                <w:noProof/>
              </w:rPr>
            </w:pPr>
            <w:r>
              <w:rPr>
                <w:noProof/>
              </w:rPr>
              <w:t>326a</w:t>
            </w:r>
          </w:p>
        </w:tc>
        <w:tc>
          <w:tcPr>
            <w:tcW w:w="1429" w:type="dxa"/>
            <w:tcBorders>
              <w:top w:val="single" w:sz="4" w:space="0" w:color="auto"/>
              <w:left w:val="nil"/>
              <w:bottom w:val="single" w:sz="4" w:space="0" w:color="auto"/>
              <w:right w:val="single" w:sz="4" w:space="0" w:color="auto"/>
            </w:tcBorders>
            <w:shd w:val="clear" w:color="auto" w:fill="C6EFCE"/>
            <w:noWrap/>
          </w:tcPr>
          <w:p w14:paraId="7D16231F" w14:textId="77777777"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554E6382"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3B4C46D2" w14:textId="04BBFB00" w:rsidR="00CB0FCB" w:rsidRDefault="009D2B11">
            <w:pPr>
              <w:pStyle w:val="P68B1DB1-Normal45"/>
              <w:spacing w:after="0" w:line="240" w:lineRule="auto"/>
              <w:rPr>
                <w:rFonts w:eastAsia="Times New Roman" w:cs="Calibri"/>
                <w:noProof/>
                <w:szCs w:val="18"/>
              </w:rPr>
            </w:pPr>
            <w:r>
              <w:rPr>
                <w:noProof/>
              </w:rPr>
              <w:t>Ar galīgajiem saņēmējiem parakstītie finanšu iestāžu līdzekļi 9000 miljonu EUR apmērā</w:t>
            </w:r>
          </w:p>
        </w:tc>
        <w:tc>
          <w:tcPr>
            <w:tcW w:w="1660" w:type="dxa"/>
            <w:tcBorders>
              <w:top w:val="single" w:sz="4" w:space="0" w:color="auto"/>
              <w:left w:val="nil"/>
              <w:bottom w:val="single" w:sz="4" w:space="0" w:color="auto"/>
              <w:right w:val="single" w:sz="4" w:space="0" w:color="auto"/>
            </w:tcBorders>
            <w:shd w:val="clear" w:color="auto" w:fill="C6EFCE"/>
            <w:noWrap/>
          </w:tcPr>
          <w:p w14:paraId="7845C2E6"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2752DEE0" w14:textId="7EE24292" w:rsidR="00CB0FCB" w:rsidRDefault="009D2B11">
            <w:pPr>
              <w:pStyle w:val="P68B1DB1-Normal9"/>
              <w:spacing w:after="0" w:line="240" w:lineRule="auto"/>
              <w:rPr>
                <w:rFonts w:eastAsia="Times New Roman" w:cs="Calibri"/>
                <w:noProof/>
                <w:szCs w:val="18"/>
              </w:rPr>
            </w:pPr>
            <w:r>
              <w:rPr>
                <w:noProof/>
              </w:rPr>
              <w:t>Summa (</w:t>
            </w:r>
            <w:r>
              <w:rPr>
                <w:noProof/>
                <w:szCs w:val="18"/>
              </w:rPr>
              <w:t>miljonos</w:t>
            </w:r>
            <w:r>
              <w:rPr>
                <w:noProof/>
              </w:rPr>
              <w:t xml:space="preserve"> EUR)</w:t>
            </w:r>
          </w:p>
        </w:tc>
        <w:tc>
          <w:tcPr>
            <w:tcW w:w="1080" w:type="dxa"/>
            <w:tcBorders>
              <w:top w:val="single" w:sz="4" w:space="0" w:color="auto"/>
              <w:left w:val="nil"/>
              <w:bottom w:val="single" w:sz="4" w:space="0" w:color="auto"/>
              <w:right w:val="single" w:sz="4" w:space="0" w:color="auto"/>
            </w:tcBorders>
            <w:shd w:val="clear" w:color="auto" w:fill="C6EFCE"/>
            <w:noWrap/>
          </w:tcPr>
          <w:p w14:paraId="313D11D1" w14:textId="4C7C0C42" w:rsidR="00CB0FCB" w:rsidRDefault="009D2B11">
            <w:pPr>
              <w:pStyle w:val="P68B1DB1-Normal45"/>
              <w:spacing w:after="0" w:line="240" w:lineRule="auto"/>
              <w:rPr>
                <w:rFonts w:eastAsia="Times New Roman" w:cs="Calibri"/>
                <w:noProof/>
                <w:szCs w:val="18"/>
              </w:rPr>
            </w:pPr>
            <w:r>
              <w:rPr>
                <w:noProof/>
              </w:rPr>
              <w:t>7 064</w:t>
            </w:r>
          </w:p>
        </w:tc>
        <w:tc>
          <w:tcPr>
            <w:tcW w:w="840" w:type="dxa"/>
            <w:tcBorders>
              <w:top w:val="single" w:sz="4" w:space="0" w:color="auto"/>
              <w:left w:val="nil"/>
              <w:bottom w:val="single" w:sz="4" w:space="0" w:color="auto"/>
              <w:right w:val="single" w:sz="4" w:space="0" w:color="auto"/>
            </w:tcBorders>
            <w:shd w:val="clear" w:color="auto" w:fill="C6EFCE"/>
            <w:noWrap/>
          </w:tcPr>
          <w:p w14:paraId="0EE13B9F" w14:textId="68178019" w:rsidR="00CB0FCB" w:rsidRDefault="009D2B11">
            <w:pPr>
              <w:pStyle w:val="P68B1DB1-Normal45"/>
              <w:spacing w:after="0" w:line="240" w:lineRule="auto"/>
              <w:rPr>
                <w:rFonts w:eastAsia="Times New Roman" w:cs="Calibri"/>
                <w:noProof/>
                <w:szCs w:val="18"/>
              </w:rPr>
            </w:pPr>
            <w:r>
              <w:rPr>
                <w:noProof/>
              </w:rPr>
              <w:t>9 000</w:t>
            </w:r>
          </w:p>
        </w:tc>
        <w:tc>
          <w:tcPr>
            <w:tcW w:w="960" w:type="dxa"/>
            <w:tcBorders>
              <w:top w:val="single" w:sz="4" w:space="0" w:color="auto"/>
              <w:left w:val="nil"/>
              <w:bottom w:val="single" w:sz="4" w:space="0" w:color="auto"/>
              <w:right w:val="single" w:sz="4" w:space="0" w:color="auto"/>
            </w:tcBorders>
            <w:shd w:val="clear" w:color="auto" w:fill="C6EFCE"/>
            <w:noWrap/>
          </w:tcPr>
          <w:p w14:paraId="71B8FB2E"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tcBorders>
              <w:top w:val="single" w:sz="4" w:space="0" w:color="auto"/>
              <w:left w:val="nil"/>
              <w:bottom w:val="single" w:sz="4" w:space="0" w:color="auto"/>
              <w:right w:val="single" w:sz="4" w:space="0" w:color="auto"/>
            </w:tcBorders>
            <w:shd w:val="clear" w:color="auto" w:fill="C6EFCE"/>
            <w:noWrap/>
          </w:tcPr>
          <w:p w14:paraId="60890B4B" w14:textId="77777777" w:rsidR="00CB0FCB" w:rsidRDefault="009D2B11">
            <w:pPr>
              <w:pStyle w:val="P68B1DB1-Normal9"/>
              <w:spacing w:after="0" w:line="240" w:lineRule="auto"/>
              <w:rPr>
                <w:rFonts w:eastAsia="Times New Roman" w:cs="Calibri"/>
                <w:noProof/>
                <w:szCs w:val="18"/>
              </w:rPr>
            </w:pPr>
            <w:r>
              <w:rPr>
                <w:noProof/>
              </w:rPr>
              <w:t>2025</w:t>
            </w:r>
          </w:p>
        </w:tc>
        <w:tc>
          <w:tcPr>
            <w:tcW w:w="4608" w:type="dxa"/>
            <w:tcBorders>
              <w:top w:val="single" w:sz="4" w:space="0" w:color="auto"/>
              <w:left w:val="nil"/>
              <w:bottom w:val="single" w:sz="4" w:space="0" w:color="auto"/>
              <w:right w:val="single" w:sz="4" w:space="0" w:color="auto"/>
            </w:tcBorders>
            <w:shd w:val="clear" w:color="auto" w:fill="C6EFCE"/>
            <w:noWrap/>
          </w:tcPr>
          <w:p w14:paraId="0483388E" w14:textId="536FA70D" w:rsidR="00CB0FCB" w:rsidRDefault="009D2B11">
            <w:pPr>
              <w:pStyle w:val="P68B1DB1-Normal9"/>
              <w:spacing w:after="0" w:line="240" w:lineRule="auto"/>
              <w:rPr>
                <w:rFonts w:eastAsia="Times New Roman" w:cs="Calibri"/>
                <w:noProof/>
                <w:szCs w:val="18"/>
              </w:rPr>
            </w:pPr>
            <w:r>
              <w:rPr>
                <w:noProof/>
                <w:szCs w:val="18"/>
              </w:rPr>
              <w:t>9000 miljoni EUR (ieskaitot pārvaldības maksas) no ANM aizdevumu mehānisma līdzekļiem, kas saistīti ar starptautiskajām finanšu iestādēm un komercbankām, ir parakstīti ar galasaņēmējiem saskaņā ar atskaites punktā noteiktajām pilnvarām un pēc tam, kad neatkarīgi revidenti ex ante ir pārbaudījuši atbilstību pārvaldības, atlases, uzraudzības un revīzijas un zaudējumu dalīšanas kritērijiem, tehniskajiem norādījumiem “nenodarīt būtisku kaitējumu” (2021/C58/01) un ieguldījumam 41,5 % klimata mērķrādītāja un 20,8 % digitālā mērķrādītāja sasniegšanā.</w:t>
            </w:r>
          </w:p>
        </w:tc>
      </w:tr>
      <w:tr w:rsidR="00CB0FCB" w14:paraId="72641C64"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36FF67DA" w14:textId="77777777" w:rsidR="00CB0FCB" w:rsidRDefault="009D2B11">
            <w:pPr>
              <w:pStyle w:val="P68B1DB1-Normal9"/>
              <w:spacing w:after="0" w:line="240" w:lineRule="auto"/>
              <w:rPr>
                <w:rFonts w:eastAsia="Times New Roman" w:cs="Calibri"/>
                <w:noProof/>
              </w:rPr>
            </w:pPr>
            <w:r>
              <w:rPr>
                <w:noProof/>
              </w:rPr>
              <w:t>327</w:t>
            </w:r>
          </w:p>
        </w:tc>
        <w:tc>
          <w:tcPr>
            <w:tcW w:w="1429" w:type="dxa"/>
            <w:tcBorders>
              <w:top w:val="single" w:sz="4" w:space="0" w:color="auto"/>
              <w:left w:val="nil"/>
              <w:bottom w:val="single" w:sz="4" w:space="0" w:color="auto"/>
              <w:right w:val="single" w:sz="4" w:space="0" w:color="auto"/>
            </w:tcBorders>
            <w:shd w:val="clear" w:color="auto" w:fill="C6EFCE"/>
            <w:noWrap/>
          </w:tcPr>
          <w:p w14:paraId="7F3FF74D" w14:textId="77777777"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53FF2E65"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7FA3C868" w14:textId="142A0B88" w:rsidR="00CB0FCB" w:rsidRDefault="009D2B11">
            <w:pPr>
              <w:pStyle w:val="P68B1DB1-Normal45"/>
              <w:spacing w:after="0" w:line="240" w:lineRule="auto"/>
              <w:rPr>
                <w:rFonts w:eastAsia="Times New Roman" w:cs="Calibri"/>
                <w:noProof/>
                <w:szCs w:val="18"/>
              </w:rPr>
            </w:pPr>
            <w:r>
              <w:rPr>
                <w:noProof/>
              </w:rPr>
              <w:t>Ar galīgajiem saņēmējiem parakstītie finanšu iestāžu līdzekļi 11182 miljonu EUR apmērā</w:t>
            </w:r>
          </w:p>
        </w:tc>
        <w:tc>
          <w:tcPr>
            <w:tcW w:w="1660" w:type="dxa"/>
            <w:tcBorders>
              <w:top w:val="single" w:sz="4" w:space="0" w:color="auto"/>
              <w:left w:val="nil"/>
              <w:bottom w:val="single" w:sz="4" w:space="0" w:color="auto"/>
              <w:right w:val="single" w:sz="4" w:space="0" w:color="auto"/>
            </w:tcBorders>
            <w:shd w:val="clear" w:color="auto" w:fill="C6EFCE"/>
          </w:tcPr>
          <w:p w14:paraId="494C3751"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0BF2E9E2" w14:textId="5C3C875E" w:rsidR="00CB0FCB" w:rsidRDefault="009D2B11">
            <w:pPr>
              <w:pStyle w:val="P68B1DB1-Normal9"/>
              <w:spacing w:after="0" w:line="240" w:lineRule="auto"/>
              <w:rPr>
                <w:rFonts w:eastAsia="Times New Roman" w:cs="Calibri"/>
                <w:noProof/>
                <w:szCs w:val="18"/>
              </w:rPr>
            </w:pPr>
            <w:r>
              <w:rPr>
                <w:noProof/>
              </w:rPr>
              <w:t>Summa (</w:t>
            </w:r>
            <w:r>
              <w:rPr>
                <w:noProof/>
                <w:szCs w:val="18"/>
              </w:rPr>
              <w:t>miljonos</w:t>
            </w:r>
            <w:r>
              <w:rPr>
                <w:noProof/>
              </w:rPr>
              <w:t xml:space="preserve"> EUR)</w:t>
            </w:r>
          </w:p>
        </w:tc>
        <w:tc>
          <w:tcPr>
            <w:tcW w:w="1080" w:type="dxa"/>
            <w:tcBorders>
              <w:top w:val="single" w:sz="4" w:space="0" w:color="auto"/>
              <w:left w:val="nil"/>
              <w:bottom w:val="single" w:sz="4" w:space="0" w:color="auto"/>
              <w:right w:val="single" w:sz="4" w:space="0" w:color="auto"/>
            </w:tcBorders>
            <w:shd w:val="clear" w:color="auto" w:fill="C6EFCE"/>
            <w:noWrap/>
          </w:tcPr>
          <w:p w14:paraId="01033336" w14:textId="7BFCD8EB" w:rsidR="00CB0FCB" w:rsidRDefault="009D2B11">
            <w:pPr>
              <w:pStyle w:val="P68B1DB1-Normal9"/>
              <w:spacing w:after="0" w:line="240" w:lineRule="auto"/>
              <w:rPr>
                <w:rFonts w:eastAsia="Times New Roman" w:cs="Calibri"/>
                <w:noProof/>
                <w:szCs w:val="18"/>
              </w:rPr>
            </w:pPr>
            <w:r>
              <w:rPr>
                <w:noProof/>
              </w:rPr>
              <w:t>9 000</w:t>
            </w:r>
          </w:p>
        </w:tc>
        <w:tc>
          <w:tcPr>
            <w:tcW w:w="840" w:type="dxa"/>
            <w:tcBorders>
              <w:top w:val="single" w:sz="4" w:space="0" w:color="auto"/>
              <w:left w:val="nil"/>
              <w:bottom w:val="single" w:sz="4" w:space="0" w:color="auto"/>
              <w:right w:val="single" w:sz="4" w:space="0" w:color="auto"/>
            </w:tcBorders>
            <w:shd w:val="clear" w:color="auto" w:fill="C6EFCE"/>
            <w:noWrap/>
          </w:tcPr>
          <w:p w14:paraId="72D04341" w14:textId="508F2EFE" w:rsidR="00CB0FCB" w:rsidRDefault="009D2B11">
            <w:pPr>
              <w:pStyle w:val="P68B1DB1-Normal45"/>
              <w:spacing w:after="0" w:line="240" w:lineRule="auto"/>
              <w:rPr>
                <w:rFonts w:eastAsia="Times New Roman" w:cs="Calibri"/>
                <w:noProof/>
                <w:szCs w:val="18"/>
              </w:rPr>
            </w:pPr>
            <w:r>
              <w:rPr>
                <w:noProof/>
              </w:rPr>
              <w:t>11 182</w:t>
            </w:r>
          </w:p>
        </w:tc>
        <w:tc>
          <w:tcPr>
            <w:tcW w:w="960" w:type="dxa"/>
            <w:tcBorders>
              <w:top w:val="single" w:sz="4" w:space="0" w:color="auto"/>
              <w:left w:val="nil"/>
              <w:bottom w:val="single" w:sz="4" w:space="0" w:color="auto"/>
              <w:right w:val="single" w:sz="4" w:space="0" w:color="auto"/>
            </w:tcBorders>
            <w:shd w:val="clear" w:color="auto" w:fill="C6EFCE"/>
            <w:noWrap/>
          </w:tcPr>
          <w:p w14:paraId="3AB10E00" w14:textId="77777777"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3572DEE8" w14:textId="77777777" w:rsidR="00CB0FCB" w:rsidRDefault="009D2B11">
            <w:pPr>
              <w:pStyle w:val="P68B1DB1-Normal9"/>
              <w:spacing w:after="0" w:line="240" w:lineRule="auto"/>
              <w:rPr>
                <w:rFonts w:eastAsia="Times New Roman" w:cs="Calibri"/>
                <w:noProof/>
                <w:szCs w:val="18"/>
              </w:rPr>
            </w:pPr>
            <w:r>
              <w:rPr>
                <w:noProof/>
              </w:rPr>
              <w:t>2025</w:t>
            </w:r>
          </w:p>
        </w:tc>
        <w:tc>
          <w:tcPr>
            <w:tcW w:w="4608" w:type="dxa"/>
            <w:tcBorders>
              <w:top w:val="single" w:sz="4" w:space="0" w:color="auto"/>
              <w:left w:val="nil"/>
              <w:bottom w:val="single" w:sz="4" w:space="0" w:color="auto"/>
              <w:right w:val="single" w:sz="4" w:space="0" w:color="auto"/>
            </w:tcBorders>
            <w:shd w:val="clear" w:color="auto" w:fill="C6EFCE"/>
            <w:noWrap/>
          </w:tcPr>
          <w:p w14:paraId="12DE3A02" w14:textId="2FB9D2CC" w:rsidR="00CB0FCB" w:rsidRDefault="009D2B11">
            <w:pPr>
              <w:pStyle w:val="P68B1DB1-Normal9"/>
              <w:spacing w:after="0" w:line="240" w:lineRule="auto"/>
              <w:rPr>
                <w:rFonts w:eastAsia="Times New Roman" w:cs="Calibri"/>
                <w:noProof/>
                <w:szCs w:val="18"/>
              </w:rPr>
            </w:pPr>
            <w:r>
              <w:rPr>
                <w:noProof/>
                <w:szCs w:val="18"/>
              </w:rPr>
              <w:t>11182 miljoni EUR (ieskaitot pārvaldības maksas) no ANM aizdevumu mehānisma līdzekļiem, kas saistīti ar starptautiskajām finanšu iestādēm un komercbankām, ir parakstīti ar galasaņēmējiem saskaņā ar atskaites punktā noteiktajām pilnvarām un pēc tam, kad neatkarīgi revidenti ex ante ir pārbaudījuši atbilstību pārvaldības, atlases, uzraudzības un revīzijas un zaudējumu dalīšanas kritērijiem, tehniskajiem norādījumiem “nenodarīt būtisku kaitējumu” (2021/C58/01) un ieguldījumam 41,5 % klimata mērķrādītāja un 20,8 % digitālā mērķrādītāja sasniegšanā.</w:t>
            </w:r>
          </w:p>
        </w:tc>
      </w:tr>
      <w:tr w:rsidR="00CB0FCB" w14:paraId="0A72A5C9"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05A214FA" w14:textId="4A9AA0C9" w:rsidR="00CB0FCB" w:rsidRDefault="009D2B11">
            <w:pPr>
              <w:pStyle w:val="P68B1DB1-Normal9"/>
              <w:spacing w:after="0" w:line="240" w:lineRule="auto"/>
              <w:rPr>
                <w:noProof/>
              </w:rPr>
            </w:pPr>
            <w:r>
              <w:rPr>
                <w:noProof/>
              </w:rPr>
              <w:t>327a</w:t>
            </w:r>
          </w:p>
        </w:tc>
        <w:tc>
          <w:tcPr>
            <w:tcW w:w="1429" w:type="dxa"/>
            <w:tcBorders>
              <w:top w:val="single" w:sz="4" w:space="0" w:color="auto"/>
              <w:left w:val="nil"/>
              <w:bottom w:val="single" w:sz="4" w:space="0" w:color="auto"/>
              <w:right w:val="single" w:sz="4" w:space="0" w:color="auto"/>
            </w:tcBorders>
            <w:shd w:val="clear" w:color="auto" w:fill="C6EFCE"/>
            <w:noWrap/>
          </w:tcPr>
          <w:p w14:paraId="360B7CFC" w14:textId="77777777" w:rsidR="00CB0FCB" w:rsidRDefault="009D2B11">
            <w:pPr>
              <w:pStyle w:val="P68B1DB1-Normal9"/>
              <w:spacing w:after="0" w:line="240" w:lineRule="auto"/>
              <w:rPr>
                <w:noProof/>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71C691EE" w14:textId="77777777" w:rsidR="00CB0FCB" w:rsidRDefault="009D2B11">
            <w:pPr>
              <w:pStyle w:val="P68B1DB1-Normal9"/>
              <w:spacing w:after="0" w:line="240" w:lineRule="auto"/>
              <w:rPr>
                <w:noProof/>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69D9551D" w14:textId="7665F314" w:rsidR="00CB0FCB" w:rsidRDefault="009D2B11">
            <w:pPr>
              <w:pStyle w:val="P68B1DB1-Normal45"/>
              <w:spacing w:after="0" w:line="240" w:lineRule="auto"/>
              <w:rPr>
                <w:noProof/>
              </w:rPr>
            </w:pPr>
            <w:r>
              <w:rPr>
                <w:noProof/>
              </w:rPr>
              <w:t>Ar galīgajiem saņēmējiem parakstītie finanšu iestāžu līdzekļi 13364 miljonu EUR apmērā</w:t>
            </w:r>
          </w:p>
        </w:tc>
        <w:tc>
          <w:tcPr>
            <w:tcW w:w="1660" w:type="dxa"/>
            <w:tcBorders>
              <w:top w:val="single" w:sz="4" w:space="0" w:color="auto"/>
              <w:left w:val="nil"/>
              <w:bottom w:val="single" w:sz="4" w:space="0" w:color="auto"/>
              <w:right w:val="single" w:sz="4" w:space="0" w:color="auto"/>
            </w:tcBorders>
            <w:shd w:val="clear" w:color="auto" w:fill="C6EFCE"/>
          </w:tcPr>
          <w:p w14:paraId="51A32AE7"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7BB1B2EF" w14:textId="73BA5D44" w:rsidR="00CB0FCB" w:rsidRDefault="009D2B11">
            <w:pPr>
              <w:pStyle w:val="P68B1DB1-Normal9"/>
              <w:spacing w:after="0" w:line="240" w:lineRule="auto"/>
              <w:rPr>
                <w:noProof/>
              </w:rPr>
            </w:pPr>
            <w:r>
              <w:rPr>
                <w:noProof/>
              </w:rPr>
              <w:t>Summa (</w:t>
            </w:r>
            <w:r>
              <w:rPr>
                <w:noProof/>
                <w:szCs w:val="18"/>
              </w:rPr>
              <w:t>miljonos</w:t>
            </w:r>
            <w:r>
              <w:rPr>
                <w:noProof/>
              </w:rPr>
              <w:t xml:space="preserve"> EUR)</w:t>
            </w:r>
          </w:p>
        </w:tc>
        <w:tc>
          <w:tcPr>
            <w:tcW w:w="1080" w:type="dxa"/>
            <w:tcBorders>
              <w:top w:val="single" w:sz="4" w:space="0" w:color="auto"/>
              <w:left w:val="nil"/>
              <w:bottom w:val="single" w:sz="4" w:space="0" w:color="auto"/>
              <w:right w:val="single" w:sz="4" w:space="0" w:color="auto"/>
            </w:tcBorders>
            <w:shd w:val="clear" w:color="auto" w:fill="C6EFCE"/>
            <w:noWrap/>
          </w:tcPr>
          <w:p w14:paraId="6B2A84EA" w14:textId="55BE06E6" w:rsidR="00CB0FCB" w:rsidRDefault="009D2B11">
            <w:pPr>
              <w:pStyle w:val="P68B1DB1-Normal45"/>
              <w:spacing w:after="0" w:line="240" w:lineRule="auto"/>
              <w:rPr>
                <w:noProof/>
              </w:rPr>
            </w:pPr>
            <w:r>
              <w:rPr>
                <w:noProof/>
              </w:rPr>
              <w:t>11 182</w:t>
            </w:r>
          </w:p>
        </w:tc>
        <w:tc>
          <w:tcPr>
            <w:tcW w:w="840" w:type="dxa"/>
            <w:tcBorders>
              <w:top w:val="single" w:sz="4" w:space="0" w:color="auto"/>
              <w:left w:val="nil"/>
              <w:bottom w:val="single" w:sz="4" w:space="0" w:color="auto"/>
              <w:right w:val="single" w:sz="4" w:space="0" w:color="auto"/>
            </w:tcBorders>
            <w:shd w:val="clear" w:color="auto" w:fill="C6EFCE"/>
            <w:noWrap/>
          </w:tcPr>
          <w:p w14:paraId="5939FC38" w14:textId="1BC18B86" w:rsidR="00CB0FCB" w:rsidRDefault="009D2B11">
            <w:pPr>
              <w:pStyle w:val="P68B1DB1-Normal45"/>
              <w:spacing w:after="0" w:line="240" w:lineRule="auto"/>
              <w:rPr>
                <w:noProof/>
              </w:rPr>
            </w:pPr>
            <w:r>
              <w:rPr>
                <w:noProof/>
              </w:rPr>
              <w:t>13 364</w:t>
            </w:r>
          </w:p>
        </w:tc>
        <w:tc>
          <w:tcPr>
            <w:tcW w:w="960" w:type="dxa"/>
            <w:tcBorders>
              <w:top w:val="single" w:sz="4" w:space="0" w:color="auto"/>
              <w:left w:val="nil"/>
              <w:bottom w:val="single" w:sz="4" w:space="0" w:color="auto"/>
              <w:right w:val="single" w:sz="4" w:space="0" w:color="auto"/>
            </w:tcBorders>
            <w:shd w:val="clear" w:color="auto" w:fill="C6EFCE"/>
            <w:noWrap/>
          </w:tcPr>
          <w:p w14:paraId="208DC9E3" w14:textId="163EF537" w:rsidR="00CB0FCB" w:rsidRDefault="009D2B11">
            <w:pPr>
              <w:pStyle w:val="P68B1DB1-Normal9"/>
              <w:spacing w:after="0" w:line="240" w:lineRule="auto"/>
              <w:rPr>
                <w:noProof/>
              </w:rPr>
            </w:pPr>
            <w:r>
              <w:rPr>
                <w:noProof/>
              </w:rPr>
              <w:t>Q1</w:t>
            </w:r>
          </w:p>
        </w:tc>
        <w:tc>
          <w:tcPr>
            <w:tcW w:w="840" w:type="dxa"/>
            <w:tcBorders>
              <w:top w:val="single" w:sz="4" w:space="0" w:color="auto"/>
              <w:left w:val="nil"/>
              <w:bottom w:val="single" w:sz="4" w:space="0" w:color="auto"/>
              <w:right w:val="single" w:sz="4" w:space="0" w:color="auto"/>
            </w:tcBorders>
            <w:shd w:val="clear" w:color="auto" w:fill="C6EFCE"/>
            <w:noWrap/>
          </w:tcPr>
          <w:p w14:paraId="7A86BF43" w14:textId="77777777" w:rsidR="00CB0FCB" w:rsidRDefault="009D2B11">
            <w:pPr>
              <w:pStyle w:val="P68B1DB1-Normal9"/>
              <w:spacing w:after="0" w:line="240" w:lineRule="auto"/>
              <w:rPr>
                <w:noProof/>
              </w:rPr>
            </w:pPr>
            <w:r>
              <w:rPr>
                <w:noProof/>
              </w:rPr>
              <w:t>2026</w:t>
            </w:r>
          </w:p>
        </w:tc>
        <w:tc>
          <w:tcPr>
            <w:tcW w:w="4608" w:type="dxa"/>
            <w:tcBorders>
              <w:top w:val="single" w:sz="4" w:space="0" w:color="auto"/>
              <w:left w:val="nil"/>
              <w:bottom w:val="single" w:sz="4" w:space="0" w:color="auto"/>
              <w:right w:val="single" w:sz="4" w:space="0" w:color="auto"/>
            </w:tcBorders>
            <w:shd w:val="clear" w:color="auto" w:fill="C6EFCE"/>
            <w:noWrap/>
          </w:tcPr>
          <w:p w14:paraId="1E645737" w14:textId="409B560A" w:rsidR="00CB0FCB" w:rsidRDefault="009D2B11">
            <w:pPr>
              <w:pStyle w:val="P68B1DB1-Normal45"/>
              <w:spacing w:after="0" w:line="240" w:lineRule="auto"/>
              <w:rPr>
                <w:noProof/>
              </w:rPr>
            </w:pPr>
            <w:r>
              <w:rPr>
                <w:noProof/>
              </w:rPr>
              <w:t>13364 miljoni EUR (ieskaitot pārvaldības maksas) no ANM aizdevumu mehānisma līdzekļiem, kas saistīti ar starptautiskajām finanšu iestādēm un komercbankām, ir parakstīti ar galasaņēmējiem saskaņā ar atskaites punktā noteiktajām pilnvarām un pēc tam, kad neatkarīgi revidenti ex ante ir pārbaudījuši atbilstību pārvaldības, atlases, uzraudzības un revīzijas un zaudējumu dalīšanas kritērijiem, tehniskajiem norādījumiem “nenodarīt būtisku kaitējumu” (2021/C58/01) un ieguldījumam 41,5 % klimata mērķrādītāja un 20,8 % digitālā mērķrādītāja sasniegšanā.</w:t>
            </w:r>
          </w:p>
        </w:tc>
      </w:tr>
      <w:tr w:rsidR="00CB0FCB" w14:paraId="5D70000E"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B4ECA76" w14:textId="77777777" w:rsidR="00CB0FCB" w:rsidRDefault="009D2B11">
            <w:pPr>
              <w:pStyle w:val="P68B1DB1-Normal9"/>
              <w:spacing w:after="0" w:line="240" w:lineRule="auto"/>
              <w:rPr>
                <w:rFonts w:eastAsia="Times New Roman" w:cs="Calibri"/>
                <w:noProof/>
              </w:rPr>
            </w:pPr>
            <w:r>
              <w:rPr>
                <w:noProof/>
              </w:rPr>
              <w:t>328</w:t>
            </w:r>
          </w:p>
        </w:tc>
        <w:tc>
          <w:tcPr>
            <w:tcW w:w="1429" w:type="dxa"/>
            <w:tcBorders>
              <w:top w:val="single" w:sz="4" w:space="0" w:color="auto"/>
              <w:left w:val="nil"/>
              <w:bottom w:val="single" w:sz="4" w:space="0" w:color="auto"/>
              <w:right w:val="single" w:sz="4" w:space="0" w:color="auto"/>
            </w:tcBorders>
            <w:shd w:val="clear" w:color="auto" w:fill="C6EFCE"/>
            <w:noWrap/>
          </w:tcPr>
          <w:p w14:paraId="48BA04C8" w14:textId="77777777"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2356467F"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3FDB47CF" w14:textId="76249982" w:rsidR="00CB0FCB" w:rsidRDefault="009D2B11">
            <w:pPr>
              <w:pStyle w:val="P68B1DB1-Normal9"/>
              <w:spacing w:after="0" w:line="240" w:lineRule="auto"/>
              <w:rPr>
                <w:rFonts w:eastAsia="Times New Roman" w:cs="Calibri"/>
                <w:noProof/>
                <w:szCs w:val="18"/>
              </w:rPr>
            </w:pPr>
            <w:r>
              <w:rPr>
                <w:noProof/>
              </w:rPr>
              <w:t>Ar galīgajiem saņēmējiem parakstītie finanšu iestāžu līdzekļi 15428 miljonu EUR apmērā</w:t>
            </w:r>
          </w:p>
        </w:tc>
        <w:tc>
          <w:tcPr>
            <w:tcW w:w="1660" w:type="dxa"/>
            <w:tcBorders>
              <w:top w:val="single" w:sz="4" w:space="0" w:color="auto"/>
              <w:left w:val="nil"/>
              <w:bottom w:val="single" w:sz="4" w:space="0" w:color="auto"/>
              <w:right w:val="single" w:sz="4" w:space="0" w:color="auto"/>
            </w:tcBorders>
            <w:shd w:val="clear" w:color="auto" w:fill="C6EFCE"/>
          </w:tcPr>
          <w:p w14:paraId="5A5EA996"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7C9CD414" w14:textId="77777777" w:rsidR="00CB0FCB" w:rsidRDefault="009D2B11">
            <w:pPr>
              <w:pStyle w:val="P68B1DB1-Normal9"/>
              <w:spacing w:after="0" w:line="240" w:lineRule="auto"/>
              <w:rPr>
                <w:rFonts w:eastAsia="Times New Roman" w:cs="Calibri"/>
                <w:noProof/>
                <w:szCs w:val="18"/>
              </w:rPr>
            </w:pPr>
            <w:r>
              <w:rPr>
                <w:noProof/>
              </w:rPr>
              <w:t>Summa (</w:t>
            </w:r>
            <w:r>
              <w:rPr>
                <w:noProof/>
                <w:szCs w:val="18"/>
              </w:rPr>
              <w:t>miljonos</w:t>
            </w:r>
            <w:r>
              <w:rPr>
                <w:noProof/>
              </w:rPr>
              <w:t xml:space="preserve"> EUR)</w:t>
            </w:r>
          </w:p>
        </w:tc>
        <w:tc>
          <w:tcPr>
            <w:tcW w:w="1080" w:type="dxa"/>
            <w:tcBorders>
              <w:top w:val="single" w:sz="4" w:space="0" w:color="auto"/>
              <w:left w:val="nil"/>
              <w:bottom w:val="single" w:sz="4" w:space="0" w:color="auto"/>
              <w:right w:val="single" w:sz="4" w:space="0" w:color="auto"/>
            </w:tcBorders>
            <w:shd w:val="clear" w:color="auto" w:fill="C6EFCE"/>
            <w:noWrap/>
          </w:tcPr>
          <w:p w14:paraId="2780F562" w14:textId="2E7FE14D" w:rsidR="00CB0FCB" w:rsidRDefault="009D2B11">
            <w:pPr>
              <w:pStyle w:val="P68B1DB1-Normal45"/>
              <w:spacing w:after="0" w:line="240" w:lineRule="auto"/>
              <w:rPr>
                <w:rFonts w:eastAsia="Times New Roman" w:cs="Calibri"/>
                <w:noProof/>
                <w:szCs w:val="18"/>
              </w:rPr>
            </w:pPr>
            <w:r>
              <w:rPr>
                <w:noProof/>
              </w:rPr>
              <w:t>13 364</w:t>
            </w:r>
          </w:p>
        </w:tc>
        <w:tc>
          <w:tcPr>
            <w:tcW w:w="840" w:type="dxa"/>
            <w:tcBorders>
              <w:top w:val="single" w:sz="4" w:space="0" w:color="auto"/>
              <w:left w:val="nil"/>
              <w:bottom w:val="single" w:sz="4" w:space="0" w:color="auto"/>
              <w:right w:val="single" w:sz="4" w:space="0" w:color="auto"/>
            </w:tcBorders>
            <w:shd w:val="clear" w:color="auto" w:fill="C6EFCE"/>
            <w:noWrap/>
          </w:tcPr>
          <w:p w14:paraId="19527CA8" w14:textId="5A5BB2F6" w:rsidR="00CB0FCB" w:rsidRDefault="009D2B11">
            <w:pPr>
              <w:pStyle w:val="P68B1DB1-Normal45"/>
              <w:spacing w:after="0" w:line="240" w:lineRule="auto"/>
              <w:rPr>
                <w:rFonts w:eastAsia="Times New Roman" w:cs="Calibri"/>
                <w:noProof/>
                <w:szCs w:val="18"/>
              </w:rPr>
            </w:pPr>
            <w:r>
              <w:rPr>
                <w:noProof/>
              </w:rPr>
              <w:t>15 428</w:t>
            </w:r>
          </w:p>
        </w:tc>
        <w:tc>
          <w:tcPr>
            <w:tcW w:w="960" w:type="dxa"/>
            <w:tcBorders>
              <w:top w:val="single" w:sz="4" w:space="0" w:color="auto"/>
              <w:left w:val="nil"/>
              <w:bottom w:val="single" w:sz="4" w:space="0" w:color="auto"/>
              <w:right w:val="single" w:sz="4" w:space="0" w:color="auto"/>
            </w:tcBorders>
            <w:shd w:val="clear" w:color="auto" w:fill="C6EFCE"/>
            <w:noWrap/>
          </w:tcPr>
          <w:p w14:paraId="0C84FA86"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tcBorders>
              <w:top w:val="single" w:sz="4" w:space="0" w:color="auto"/>
              <w:left w:val="nil"/>
              <w:bottom w:val="single" w:sz="4" w:space="0" w:color="auto"/>
              <w:right w:val="single" w:sz="4" w:space="0" w:color="auto"/>
            </w:tcBorders>
            <w:shd w:val="clear" w:color="auto" w:fill="C6EFCE"/>
            <w:noWrap/>
          </w:tcPr>
          <w:p w14:paraId="648B90B6" w14:textId="77777777" w:rsidR="00CB0FCB" w:rsidRDefault="009D2B11">
            <w:pPr>
              <w:pStyle w:val="P68B1DB1-Normal9"/>
              <w:spacing w:after="0" w:line="240" w:lineRule="auto"/>
              <w:rPr>
                <w:rFonts w:eastAsia="Times New Roman" w:cs="Calibri"/>
                <w:noProof/>
                <w:szCs w:val="18"/>
              </w:rPr>
            </w:pPr>
            <w:r>
              <w:rPr>
                <w:noProof/>
              </w:rPr>
              <w:t>2026</w:t>
            </w:r>
          </w:p>
        </w:tc>
        <w:tc>
          <w:tcPr>
            <w:tcW w:w="4608" w:type="dxa"/>
            <w:tcBorders>
              <w:top w:val="single" w:sz="4" w:space="0" w:color="auto"/>
              <w:left w:val="nil"/>
              <w:bottom w:val="single" w:sz="4" w:space="0" w:color="auto"/>
              <w:right w:val="single" w:sz="4" w:space="0" w:color="auto"/>
            </w:tcBorders>
            <w:shd w:val="clear" w:color="auto" w:fill="C6EFCE"/>
            <w:noWrap/>
          </w:tcPr>
          <w:p w14:paraId="593B927F" w14:textId="4FF07D57" w:rsidR="00CB0FCB" w:rsidRDefault="009D2B11">
            <w:pPr>
              <w:pStyle w:val="P68B1DB1-Normal9"/>
              <w:spacing w:after="0" w:line="240" w:lineRule="auto"/>
              <w:rPr>
                <w:rFonts w:eastAsia="Times New Roman" w:cs="Calibri"/>
                <w:noProof/>
                <w:szCs w:val="18"/>
              </w:rPr>
            </w:pPr>
            <w:r>
              <w:rPr>
                <w:noProof/>
                <w:szCs w:val="18"/>
              </w:rPr>
              <w:t>15428</w:t>
            </w:r>
            <w:r>
              <w:rPr>
                <w:rFonts w:cs="Calibri"/>
                <w:noProof/>
              </w:rPr>
              <w:t xml:space="preserve"> </w:t>
            </w:r>
            <w:r>
              <w:rPr>
                <w:noProof/>
                <w:szCs w:val="18"/>
              </w:rPr>
              <w:t>miljoni EUR (ieskaitot pārvaldības maksas) no ANM aizdevumu mehānisma līdzekļiem, kas saistīti ar starptautiskajām finanšu iestādēm un komercbankām, ir parakstīti ar galasaņēmējiem saskaņā ar atskaites punktā noteiktajām pilnvarām un pēc tam, kad neatkarīgi revidenti ex ante ir pārbaudījuši atbilstību pārvaldības, atlases, uzraudzības un revīzijas un zaudējumu dalīšanas kritērijiem, tehniskajiem norādījumiem “nenodarīt būtisku kaitējumu” (2021/C58/01) un ieguldījumam 41,5 % klimata mērķrādītāja un 20,8 % digitālā mērķrādītāja sasniegšanā.</w:t>
            </w:r>
          </w:p>
        </w:tc>
      </w:tr>
      <w:tr w:rsidR="00CB0FCB" w14:paraId="1A1E3537"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2CBF04D6" w14:textId="77777777" w:rsidR="00CB0FCB" w:rsidRDefault="009D2B11">
            <w:pPr>
              <w:pStyle w:val="P68B1DB1-Normal9"/>
              <w:spacing w:after="0" w:line="240" w:lineRule="auto"/>
              <w:rPr>
                <w:rFonts w:eastAsia="Times New Roman" w:cs="Calibri"/>
                <w:noProof/>
              </w:rPr>
            </w:pPr>
            <w:r>
              <w:rPr>
                <w:noProof/>
              </w:rPr>
              <w:t>328a</w:t>
            </w:r>
          </w:p>
        </w:tc>
        <w:tc>
          <w:tcPr>
            <w:tcW w:w="1429" w:type="dxa"/>
            <w:tcBorders>
              <w:top w:val="single" w:sz="4" w:space="0" w:color="auto"/>
              <w:left w:val="nil"/>
              <w:bottom w:val="single" w:sz="4" w:space="0" w:color="auto"/>
              <w:right w:val="single" w:sz="4" w:space="0" w:color="auto"/>
            </w:tcBorders>
            <w:shd w:val="clear" w:color="auto" w:fill="C6EFCE"/>
            <w:noWrap/>
          </w:tcPr>
          <w:p w14:paraId="372940DD" w14:textId="77777777"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44AA1DD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340" w:type="dxa"/>
            <w:tcBorders>
              <w:top w:val="single" w:sz="4" w:space="0" w:color="auto"/>
              <w:left w:val="nil"/>
              <w:bottom w:val="single" w:sz="4" w:space="0" w:color="auto"/>
              <w:right w:val="single" w:sz="4" w:space="0" w:color="auto"/>
            </w:tcBorders>
            <w:shd w:val="clear" w:color="auto" w:fill="C6EFCE"/>
            <w:noWrap/>
          </w:tcPr>
          <w:p w14:paraId="4D4702B1" w14:textId="0428ED55" w:rsidR="00CB0FCB" w:rsidRDefault="009D2B11">
            <w:pPr>
              <w:pStyle w:val="P68B1DB1-Normal9"/>
              <w:spacing w:after="0" w:line="240" w:lineRule="auto"/>
              <w:rPr>
                <w:rFonts w:eastAsia="Times New Roman" w:cs="Calibri"/>
                <w:noProof/>
                <w:szCs w:val="18"/>
              </w:rPr>
            </w:pPr>
            <w:r>
              <w:rPr>
                <w:noProof/>
              </w:rPr>
              <w:t>Aizdevumu mehānisms — Finanšu ministrija ir pabeigusi ieguldījumu</w:t>
            </w:r>
          </w:p>
        </w:tc>
        <w:tc>
          <w:tcPr>
            <w:tcW w:w="1660" w:type="dxa"/>
            <w:tcBorders>
              <w:top w:val="single" w:sz="4" w:space="0" w:color="auto"/>
              <w:left w:val="nil"/>
              <w:bottom w:val="single" w:sz="4" w:space="0" w:color="auto"/>
              <w:right w:val="single" w:sz="4" w:space="0" w:color="auto"/>
            </w:tcBorders>
            <w:shd w:val="clear" w:color="auto" w:fill="C6EFCE"/>
          </w:tcPr>
          <w:p w14:paraId="383F0E60" w14:textId="77777777" w:rsidR="00CB0FCB" w:rsidRDefault="009D2B11">
            <w:pPr>
              <w:pStyle w:val="P68B1DB1-Normal9"/>
              <w:spacing w:after="0" w:line="240" w:lineRule="auto"/>
              <w:rPr>
                <w:rFonts w:eastAsia="Times New Roman" w:cs="Calibri"/>
                <w:noProof/>
                <w:szCs w:val="18"/>
              </w:rPr>
            </w:pPr>
            <w:r>
              <w:rPr>
                <w:noProof/>
              </w:rPr>
              <w:t>Nodošanas sertifikāts</w:t>
            </w:r>
          </w:p>
        </w:tc>
        <w:tc>
          <w:tcPr>
            <w:tcW w:w="1080" w:type="dxa"/>
            <w:tcBorders>
              <w:top w:val="single" w:sz="4" w:space="0" w:color="auto"/>
              <w:left w:val="nil"/>
              <w:bottom w:val="single" w:sz="4" w:space="0" w:color="auto"/>
              <w:right w:val="single" w:sz="4" w:space="0" w:color="auto"/>
            </w:tcBorders>
            <w:shd w:val="clear" w:color="auto" w:fill="C6EFCE"/>
            <w:noWrap/>
          </w:tcPr>
          <w:p w14:paraId="66175D0D"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2959B64F" w14:textId="77777777" w:rsidR="00CB0FCB" w:rsidRDefault="00CB0FCB">
            <w:pPr>
              <w:spacing w:after="0" w:line="240" w:lineRule="auto"/>
              <w:rPr>
                <w:rFonts w:eastAsia="Times New Roman" w:cs="Calibri"/>
                <w:noProof/>
                <w:color w:val="006100"/>
                <w:sz w:val="18"/>
                <w:szCs w:val="18"/>
              </w:rPr>
            </w:pPr>
          </w:p>
        </w:tc>
        <w:tc>
          <w:tcPr>
            <w:tcW w:w="840" w:type="dxa"/>
            <w:tcBorders>
              <w:top w:val="single" w:sz="4" w:space="0" w:color="auto"/>
              <w:left w:val="nil"/>
              <w:bottom w:val="single" w:sz="4" w:space="0" w:color="auto"/>
              <w:right w:val="single" w:sz="4" w:space="0" w:color="auto"/>
            </w:tcBorders>
            <w:shd w:val="clear" w:color="auto" w:fill="C6EFCE"/>
            <w:noWrap/>
          </w:tcPr>
          <w:p w14:paraId="71B3AE77" w14:textId="77777777" w:rsidR="00CB0FCB" w:rsidRDefault="00CB0FCB">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15390D29" w14:textId="77777777" w:rsidR="00CB0FCB" w:rsidRDefault="009D2B11">
            <w:pPr>
              <w:pStyle w:val="P68B1DB1-Normal9"/>
              <w:spacing w:after="0" w:line="240" w:lineRule="auto"/>
              <w:rPr>
                <w:rFonts w:eastAsia="Times New Roman" w:cs="Calibri"/>
                <w:noProof/>
                <w:szCs w:val="18"/>
              </w:rPr>
            </w:pPr>
            <w:r>
              <w:rPr>
                <w:noProof/>
              </w:rPr>
              <w:t>2. CET.</w:t>
            </w:r>
          </w:p>
        </w:tc>
        <w:tc>
          <w:tcPr>
            <w:tcW w:w="840" w:type="dxa"/>
            <w:tcBorders>
              <w:top w:val="single" w:sz="4" w:space="0" w:color="auto"/>
              <w:left w:val="nil"/>
              <w:bottom w:val="single" w:sz="4" w:space="0" w:color="auto"/>
              <w:right w:val="single" w:sz="4" w:space="0" w:color="auto"/>
            </w:tcBorders>
            <w:shd w:val="clear" w:color="auto" w:fill="C6EFCE"/>
            <w:noWrap/>
          </w:tcPr>
          <w:p w14:paraId="48BA902C" w14:textId="77777777" w:rsidR="00CB0FCB" w:rsidRDefault="009D2B11">
            <w:pPr>
              <w:pStyle w:val="P68B1DB1-Normal9"/>
              <w:spacing w:after="0" w:line="240" w:lineRule="auto"/>
              <w:rPr>
                <w:rFonts w:eastAsia="Times New Roman" w:cs="Calibri"/>
                <w:noProof/>
                <w:szCs w:val="18"/>
              </w:rPr>
            </w:pPr>
            <w:r>
              <w:rPr>
                <w:noProof/>
              </w:rPr>
              <w:t>2026</w:t>
            </w:r>
          </w:p>
        </w:tc>
        <w:tc>
          <w:tcPr>
            <w:tcW w:w="4608" w:type="dxa"/>
            <w:tcBorders>
              <w:top w:val="single" w:sz="4" w:space="0" w:color="auto"/>
              <w:left w:val="nil"/>
              <w:bottom w:val="single" w:sz="4" w:space="0" w:color="auto"/>
              <w:right w:val="single" w:sz="4" w:space="0" w:color="auto"/>
            </w:tcBorders>
            <w:shd w:val="clear" w:color="auto" w:fill="C6EFCE"/>
            <w:noWrap/>
          </w:tcPr>
          <w:p w14:paraId="3839BD41" w14:textId="7D851932" w:rsidR="00CB0FCB" w:rsidRDefault="009D2B11">
            <w:pPr>
              <w:pStyle w:val="P68B1DB1-Normal9"/>
              <w:spacing w:after="0" w:line="240" w:lineRule="auto"/>
              <w:rPr>
                <w:rFonts w:eastAsia="Times New Roman" w:cs="Calibri"/>
                <w:noProof/>
                <w:szCs w:val="18"/>
              </w:rPr>
            </w:pPr>
            <w:r>
              <w:rPr>
                <w:noProof/>
              </w:rPr>
              <w:t>Grieķija pārskaita EUR 15428 miljonus starptautiskām finanšu iestādēm un komercbankām aizdevumu mehānisma vajadzībām.</w:t>
            </w:r>
          </w:p>
        </w:tc>
      </w:tr>
      <w:tr w:rsidR="00CB0FCB" w14:paraId="544DBA25"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13EC4737" w14:textId="164D53EB" w:rsidR="00CB0FCB" w:rsidRDefault="009D2B11">
            <w:pPr>
              <w:pStyle w:val="P68B1DB1-Normal9"/>
              <w:spacing w:after="0" w:line="240" w:lineRule="auto"/>
              <w:rPr>
                <w:noProof/>
              </w:rPr>
            </w:pPr>
            <w:r>
              <w:rPr>
                <w:noProof/>
              </w:rPr>
              <w:t>329</w:t>
            </w:r>
          </w:p>
        </w:tc>
        <w:tc>
          <w:tcPr>
            <w:tcW w:w="1429" w:type="dxa"/>
            <w:tcBorders>
              <w:top w:val="single" w:sz="4" w:space="0" w:color="auto"/>
              <w:left w:val="nil"/>
              <w:bottom w:val="single" w:sz="4" w:space="0" w:color="auto"/>
              <w:right w:val="single" w:sz="4" w:space="0" w:color="auto"/>
            </w:tcBorders>
            <w:shd w:val="clear" w:color="auto" w:fill="C6EFCE"/>
            <w:noWrap/>
          </w:tcPr>
          <w:p w14:paraId="6A74C05A" w14:textId="77777777"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1C041F74"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6537680D" w14:textId="77777777" w:rsidR="00CB0FCB" w:rsidRDefault="009D2B11">
            <w:pPr>
              <w:pStyle w:val="P68B1DB1-Normal9"/>
              <w:spacing w:after="0" w:line="240" w:lineRule="auto"/>
              <w:rPr>
                <w:rFonts w:eastAsia="Times New Roman" w:cs="Calibri"/>
                <w:noProof/>
                <w:szCs w:val="18"/>
              </w:rPr>
            </w:pPr>
            <w:r>
              <w:rPr>
                <w:noProof/>
              </w:rPr>
              <w:t xml:space="preserve">Ieguldījumi 100 % no pašu kapitāla atbalsta </w:t>
            </w:r>
          </w:p>
        </w:tc>
        <w:tc>
          <w:tcPr>
            <w:tcW w:w="1660" w:type="dxa"/>
            <w:tcBorders>
              <w:top w:val="single" w:sz="4" w:space="0" w:color="auto"/>
              <w:left w:val="nil"/>
              <w:bottom w:val="single" w:sz="4" w:space="0" w:color="auto"/>
              <w:right w:val="single" w:sz="4" w:space="0" w:color="auto"/>
            </w:tcBorders>
            <w:shd w:val="clear" w:color="auto" w:fill="C6EFCE"/>
          </w:tcPr>
          <w:p w14:paraId="199F9C6F"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1B40FC68" w14:textId="307896C2" w:rsidR="00CB0FCB" w:rsidRDefault="009D2B11">
            <w:pPr>
              <w:pStyle w:val="P68B1DB1-Normal9"/>
              <w:spacing w:after="0" w:line="240" w:lineRule="auto"/>
              <w:rPr>
                <w:rFonts w:eastAsia="Times New Roman" w:cs="Calibri"/>
                <w:noProof/>
                <w:szCs w:val="18"/>
              </w:rPr>
            </w:pPr>
            <w:r>
              <w:rPr>
                <w:noProof/>
              </w:rPr>
              <w:t xml:space="preserve">Procentuālā daļa (%) </w:t>
            </w:r>
          </w:p>
        </w:tc>
        <w:tc>
          <w:tcPr>
            <w:tcW w:w="1080" w:type="dxa"/>
            <w:tcBorders>
              <w:top w:val="single" w:sz="4" w:space="0" w:color="auto"/>
              <w:left w:val="nil"/>
              <w:bottom w:val="single" w:sz="4" w:space="0" w:color="auto"/>
              <w:right w:val="single" w:sz="4" w:space="0" w:color="auto"/>
            </w:tcBorders>
            <w:shd w:val="clear" w:color="auto" w:fill="C6EFCE"/>
            <w:noWrap/>
          </w:tcPr>
          <w:p w14:paraId="271FF075" w14:textId="77777777" w:rsidR="00CB0FCB" w:rsidRDefault="009D2B11">
            <w:pPr>
              <w:pStyle w:val="P68B1DB1-Normal9"/>
              <w:spacing w:after="0" w:line="240" w:lineRule="auto"/>
              <w:rPr>
                <w:rFonts w:eastAsia="Times New Roman" w:cs="Calibri"/>
                <w:noProof/>
                <w:szCs w:val="18"/>
              </w:rPr>
            </w:pPr>
            <w:r>
              <w:rPr>
                <w:noProof/>
              </w:rPr>
              <w:t>0</w:t>
            </w:r>
          </w:p>
        </w:tc>
        <w:tc>
          <w:tcPr>
            <w:tcW w:w="840" w:type="dxa"/>
            <w:tcBorders>
              <w:top w:val="single" w:sz="4" w:space="0" w:color="auto"/>
              <w:left w:val="nil"/>
              <w:bottom w:val="single" w:sz="4" w:space="0" w:color="auto"/>
              <w:right w:val="single" w:sz="4" w:space="0" w:color="auto"/>
            </w:tcBorders>
            <w:shd w:val="clear" w:color="auto" w:fill="C6EFCE"/>
            <w:noWrap/>
          </w:tcPr>
          <w:p w14:paraId="0F5887B5" w14:textId="77777777" w:rsidR="00CB0FCB" w:rsidRDefault="009D2B11">
            <w:pPr>
              <w:pStyle w:val="P68B1DB1-Normal9"/>
              <w:spacing w:after="0" w:line="240" w:lineRule="auto"/>
              <w:rPr>
                <w:rFonts w:eastAsia="Times New Roman" w:cs="Calibri"/>
                <w:noProof/>
                <w:szCs w:val="18"/>
              </w:rPr>
            </w:pPr>
            <w:r>
              <w:rPr>
                <w:noProof/>
              </w:rPr>
              <w:t>100</w:t>
            </w:r>
          </w:p>
        </w:tc>
        <w:tc>
          <w:tcPr>
            <w:tcW w:w="960" w:type="dxa"/>
            <w:tcBorders>
              <w:top w:val="single" w:sz="4" w:space="0" w:color="auto"/>
              <w:left w:val="nil"/>
              <w:bottom w:val="single" w:sz="4" w:space="0" w:color="auto"/>
              <w:right w:val="single" w:sz="4" w:space="0" w:color="auto"/>
            </w:tcBorders>
            <w:shd w:val="clear" w:color="auto" w:fill="C6EFCE"/>
            <w:noWrap/>
          </w:tcPr>
          <w:p w14:paraId="525ADE01" w14:textId="1D3C4AEC"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0303AF7F" w14:textId="2D130D49" w:rsidR="00CB0FCB" w:rsidRDefault="009D2B11">
            <w:pPr>
              <w:pStyle w:val="P68B1DB1-Normal9"/>
              <w:spacing w:after="0" w:line="240" w:lineRule="auto"/>
              <w:rPr>
                <w:rFonts w:eastAsia="Times New Roman" w:cs="Calibri"/>
                <w:noProof/>
                <w:szCs w:val="18"/>
              </w:rPr>
            </w:pPr>
            <w:r>
              <w:rPr>
                <w:noProof/>
              </w:rPr>
              <w:t>2025</w:t>
            </w:r>
          </w:p>
        </w:tc>
        <w:tc>
          <w:tcPr>
            <w:tcW w:w="4608" w:type="dxa"/>
            <w:tcBorders>
              <w:top w:val="single" w:sz="4" w:space="0" w:color="auto"/>
              <w:left w:val="nil"/>
              <w:bottom w:val="single" w:sz="4" w:space="0" w:color="auto"/>
              <w:right w:val="single" w:sz="4" w:space="0" w:color="auto"/>
            </w:tcBorders>
            <w:shd w:val="clear" w:color="auto" w:fill="C6EFCE"/>
            <w:noWrap/>
          </w:tcPr>
          <w:p w14:paraId="3F705A87" w14:textId="77777777" w:rsidR="00CB0FCB" w:rsidRDefault="009D2B11">
            <w:pPr>
              <w:pStyle w:val="P68B1DB1-Normal9"/>
              <w:spacing w:after="0" w:line="240" w:lineRule="auto"/>
              <w:rPr>
                <w:rFonts w:eastAsia="Times New Roman" w:cs="Calibri"/>
                <w:noProof/>
                <w:szCs w:val="18"/>
                <w:highlight w:val="yellow"/>
              </w:rPr>
            </w:pPr>
            <w:r>
              <w:rPr>
                <w:noProof/>
              </w:rPr>
              <w:t>Investīcijas 100 % apmērā no pašu kapitāla atbalsta saskaņā ar pilnvarojuma nolīgumu, kas noteikts atskaites punktā un kas ietver atlases kritērijus, lai nodrošinātu atbilstību atbalstīto uzņēmumu tehniskajiem norādījumiem “nenodarīt būtisku kaitējumu” (2021/C58/01), pieprasot izmantot ilgtspējas pārbaudi, izslēgšanas sarakstu un obligātas juridiskās atbilstības pārbaudes attiecīgajiem ES un valsts tiesību aktiem, ko veic neatkarīgs revidents.</w:t>
            </w:r>
          </w:p>
        </w:tc>
      </w:tr>
      <w:tr w:rsidR="00CB0FCB" w14:paraId="2680EEF4"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4EB0AC3" w14:textId="77777777" w:rsidR="00CB0FCB" w:rsidRDefault="009D2B11">
            <w:pPr>
              <w:pStyle w:val="P68B1DB1-Normal9"/>
              <w:spacing w:after="0" w:line="240" w:lineRule="auto"/>
              <w:rPr>
                <w:noProof/>
              </w:rPr>
            </w:pPr>
            <w:r>
              <w:rPr>
                <w:noProof/>
              </w:rPr>
              <w:t>330</w:t>
            </w:r>
          </w:p>
        </w:tc>
        <w:tc>
          <w:tcPr>
            <w:tcW w:w="1429" w:type="dxa"/>
            <w:tcBorders>
              <w:top w:val="single" w:sz="4" w:space="0" w:color="auto"/>
              <w:left w:val="nil"/>
              <w:bottom w:val="single" w:sz="4" w:space="0" w:color="auto"/>
              <w:right w:val="single" w:sz="4" w:space="0" w:color="auto"/>
            </w:tcBorders>
            <w:shd w:val="clear" w:color="auto" w:fill="C6EFCE"/>
            <w:noWrap/>
          </w:tcPr>
          <w:p w14:paraId="0808B535" w14:textId="77777777" w:rsidR="00CB0FCB" w:rsidRDefault="009D2B11">
            <w:pPr>
              <w:pStyle w:val="P68B1DB1-Normal9"/>
              <w:spacing w:after="0" w:line="240" w:lineRule="auto"/>
              <w:rPr>
                <w:rFonts w:eastAsia="Times New Roman" w:cs="Calibri"/>
                <w:noProof/>
                <w:szCs w:val="18"/>
              </w:rPr>
            </w:pPr>
            <w:r>
              <w:rPr>
                <w:noProof/>
              </w:rPr>
              <w:t>4.7. Uzlabot konkurētspēju un veicināt privātās investīcijas un eksportu — 16980_RNP aizdevumu mehānisms</w:t>
            </w:r>
          </w:p>
        </w:tc>
        <w:tc>
          <w:tcPr>
            <w:tcW w:w="1200" w:type="dxa"/>
            <w:tcBorders>
              <w:top w:val="single" w:sz="4" w:space="0" w:color="auto"/>
              <w:left w:val="nil"/>
              <w:bottom w:val="single" w:sz="4" w:space="0" w:color="auto"/>
              <w:right w:val="single" w:sz="4" w:space="0" w:color="auto"/>
            </w:tcBorders>
            <w:shd w:val="clear" w:color="auto" w:fill="C6EFCE"/>
            <w:noWrap/>
          </w:tcPr>
          <w:p w14:paraId="511C67FA" w14:textId="77777777" w:rsidR="00CB0FCB" w:rsidRDefault="009D2B11">
            <w:pPr>
              <w:pStyle w:val="P68B1DB1-Normal9"/>
              <w:spacing w:after="0" w:line="240" w:lineRule="auto"/>
              <w:rPr>
                <w:rFonts w:eastAsia="Times New Roman" w:cs="Calibri"/>
                <w:noProof/>
                <w:szCs w:val="18"/>
              </w:rPr>
            </w:pPr>
            <w:r>
              <w:rPr>
                <w:noProof/>
              </w:rPr>
              <w:t>Mērķa</w:t>
            </w:r>
          </w:p>
        </w:tc>
        <w:tc>
          <w:tcPr>
            <w:tcW w:w="1340" w:type="dxa"/>
            <w:tcBorders>
              <w:top w:val="single" w:sz="4" w:space="0" w:color="auto"/>
              <w:left w:val="nil"/>
              <w:bottom w:val="single" w:sz="4" w:space="0" w:color="auto"/>
              <w:right w:val="single" w:sz="4" w:space="0" w:color="auto"/>
            </w:tcBorders>
            <w:shd w:val="clear" w:color="auto" w:fill="C6EFCE"/>
            <w:noWrap/>
          </w:tcPr>
          <w:p w14:paraId="49CDC4BA" w14:textId="77777777" w:rsidR="00CB0FCB" w:rsidRDefault="009D2B11">
            <w:pPr>
              <w:pStyle w:val="P68B1DB1-Normal9"/>
              <w:spacing w:after="0" w:line="240" w:lineRule="auto"/>
              <w:rPr>
                <w:rFonts w:eastAsia="Times New Roman" w:cs="Calibri"/>
                <w:noProof/>
                <w:szCs w:val="18"/>
              </w:rPr>
            </w:pPr>
            <w:r>
              <w:rPr>
                <w:noProof/>
              </w:rPr>
              <w:t>InvestEU darbību apstiprināšana</w:t>
            </w:r>
          </w:p>
        </w:tc>
        <w:tc>
          <w:tcPr>
            <w:tcW w:w="1660" w:type="dxa"/>
            <w:tcBorders>
              <w:top w:val="single" w:sz="4" w:space="0" w:color="auto"/>
              <w:left w:val="nil"/>
              <w:bottom w:val="single" w:sz="4" w:space="0" w:color="auto"/>
              <w:right w:val="single" w:sz="4" w:space="0" w:color="auto"/>
            </w:tcBorders>
            <w:shd w:val="clear" w:color="auto" w:fill="C6EFCE"/>
          </w:tcPr>
          <w:p w14:paraId="7600E46A" w14:textId="77777777" w:rsidR="00CB0FCB" w:rsidRDefault="00CB0FCB">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1B47B657" w14:textId="3FC5CD4C" w:rsidR="00CB0FCB" w:rsidRDefault="009D2B11">
            <w:pPr>
              <w:pStyle w:val="P68B1DB1-Normal9"/>
              <w:spacing w:after="0" w:line="240" w:lineRule="auto"/>
              <w:rPr>
                <w:rFonts w:eastAsia="Times New Roman" w:cs="Calibri"/>
                <w:noProof/>
                <w:szCs w:val="18"/>
              </w:rPr>
            </w:pPr>
            <w:r>
              <w:rPr>
                <w:noProof/>
              </w:rPr>
              <w:t>Procentuālā daļa (%)</w:t>
            </w:r>
          </w:p>
        </w:tc>
        <w:tc>
          <w:tcPr>
            <w:tcW w:w="1080" w:type="dxa"/>
            <w:tcBorders>
              <w:top w:val="single" w:sz="4" w:space="0" w:color="auto"/>
              <w:left w:val="nil"/>
              <w:bottom w:val="single" w:sz="4" w:space="0" w:color="auto"/>
              <w:right w:val="single" w:sz="4" w:space="0" w:color="auto"/>
            </w:tcBorders>
            <w:shd w:val="clear" w:color="auto" w:fill="C6EFCE"/>
            <w:noWrap/>
          </w:tcPr>
          <w:p w14:paraId="292AD696" w14:textId="77777777" w:rsidR="00CB0FCB" w:rsidRDefault="009D2B11">
            <w:pPr>
              <w:pStyle w:val="P68B1DB1-Normal9"/>
              <w:spacing w:after="0" w:line="240" w:lineRule="auto"/>
              <w:rPr>
                <w:rFonts w:eastAsia="Times New Roman" w:cs="Calibri"/>
                <w:noProof/>
                <w:szCs w:val="18"/>
              </w:rPr>
            </w:pPr>
            <w:r>
              <w:rPr>
                <w:noProof/>
              </w:rPr>
              <w:t>0</w:t>
            </w:r>
          </w:p>
        </w:tc>
        <w:tc>
          <w:tcPr>
            <w:tcW w:w="840" w:type="dxa"/>
            <w:tcBorders>
              <w:top w:val="single" w:sz="4" w:space="0" w:color="auto"/>
              <w:left w:val="nil"/>
              <w:bottom w:val="single" w:sz="4" w:space="0" w:color="auto"/>
              <w:right w:val="single" w:sz="4" w:space="0" w:color="auto"/>
            </w:tcBorders>
            <w:shd w:val="clear" w:color="auto" w:fill="C6EFCE"/>
            <w:noWrap/>
          </w:tcPr>
          <w:p w14:paraId="6B770E0F" w14:textId="77777777" w:rsidR="00CB0FCB" w:rsidRDefault="009D2B11">
            <w:pPr>
              <w:pStyle w:val="P68B1DB1-Normal9"/>
              <w:spacing w:after="0" w:line="240" w:lineRule="auto"/>
              <w:rPr>
                <w:rFonts w:eastAsia="Times New Roman" w:cs="Calibri"/>
                <w:noProof/>
                <w:szCs w:val="18"/>
              </w:rPr>
            </w:pPr>
            <w:r>
              <w:rPr>
                <w:noProof/>
              </w:rPr>
              <w:t>100</w:t>
            </w:r>
          </w:p>
        </w:tc>
        <w:tc>
          <w:tcPr>
            <w:tcW w:w="960" w:type="dxa"/>
            <w:tcBorders>
              <w:top w:val="single" w:sz="4" w:space="0" w:color="auto"/>
              <w:left w:val="nil"/>
              <w:bottom w:val="single" w:sz="4" w:space="0" w:color="auto"/>
              <w:right w:val="single" w:sz="4" w:space="0" w:color="auto"/>
            </w:tcBorders>
            <w:shd w:val="clear" w:color="auto" w:fill="C6EFCE"/>
            <w:noWrap/>
          </w:tcPr>
          <w:p w14:paraId="51633FEC" w14:textId="2246523A" w:rsidR="00CB0FCB" w:rsidRDefault="009D2B11">
            <w:pPr>
              <w:pStyle w:val="P68B1DB1-Normal9"/>
              <w:spacing w:after="0" w:line="240" w:lineRule="auto"/>
              <w:rPr>
                <w:rFonts w:eastAsia="Times New Roman" w:cs="Calibri"/>
                <w:noProof/>
                <w:szCs w:val="18"/>
              </w:rPr>
            </w:pPr>
            <w:r>
              <w:rPr>
                <w:noProof/>
              </w:rPr>
              <w:t>4. CET.</w:t>
            </w:r>
          </w:p>
        </w:tc>
        <w:tc>
          <w:tcPr>
            <w:tcW w:w="840" w:type="dxa"/>
            <w:tcBorders>
              <w:top w:val="single" w:sz="4" w:space="0" w:color="auto"/>
              <w:left w:val="nil"/>
              <w:bottom w:val="single" w:sz="4" w:space="0" w:color="auto"/>
              <w:right w:val="single" w:sz="4" w:space="0" w:color="auto"/>
            </w:tcBorders>
            <w:shd w:val="clear" w:color="auto" w:fill="C6EFCE"/>
            <w:noWrap/>
          </w:tcPr>
          <w:p w14:paraId="67981EEB" w14:textId="7ECD3237" w:rsidR="00CB0FCB" w:rsidRDefault="009D2B11">
            <w:pPr>
              <w:pStyle w:val="P68B1DB1-Normal9"/>
              <w:spacing w:after="0" w:line="240" w:lineRule="auto"/>
              <w:rPr>
                <w:rFonts w:eastAsia="Times New Roman" w:cs="Calibri"/>
                <w:noProof/>
                <w:szCs w:val="18"/>
              </w:rPr>
            </w:pPr>
            <w:r>
              <w:rPr>
                <w:noProof/>
              </w:rPr>
              <w:t>2025</w:t>
            </w:r>
          </w:p>
        </w:tc>
        <w:tc>
          <w:tcPr>
            <w:tcW w:w="4608" w:type="dxa"/>
            <w:tcBorders>
              <w:top w:val="single" w:sz="4" w:space="0" w:color="auto"/>
              <w:left w:val="nil"/>
              <w:bottom w:val="single" w:sz="4" w:space="0" w:color="auto"/>
              <w:right w:val="single" w:sz="4" w:space="0" w:color="auto"/>
            </w:tcBorders>
            <w:shd w:val="clear" w:color="auto" w:fill="C6EFCE"/>
            <w:noWrap/>
          </w:tcPr>
          <w:p w14:paraId="51E70393" w14:textId="77777777" w:rsidR="00CB0FCB" w:rsidRDefault="009D2B11">
            <w:pPr>
              <w:pStyle w:val="P68B1DB1-Normal9"/>
              <w:spacing w:after="0" w:line="240" w:lineRule="auto"/>
              <w:rPr>
                <w:rFonts w:eastAsia="Times New Roman" w:cs="Calibri"/>
                <w:noProof/>
                <w:szCs w:val="18"/>
              </w:rPr>
            </w:pPr>
            <w:r>
              <w:rPr>
                <w:noProof/>
              </w:rPr>
              <w:t>InvestEU Investīciju komiteja apstiprina ieguldījumu darbības, kas veido 100 % no kopējās mērķfinansējuma (vai piesaistīto investīciju) summas.</w:t>
            </w:r>
          </w:p>
        </w:tc>
      </w:tr>
    </w:tbl>
    <w:p w14:paraId="1A905C77" w14:textId="77777777" w:rsidR="00CB0FCB" w:rsidRDefault="00CB0FCB">
      <w:pPr>
        <w:spacing w:before="120" w:after="120" w:line="240" w:lineRule="auto"/>
        <w:jc w:val="both"/>
        <w:rPr>
          <w:rFonts w:ascii="Times New Roman" w:hAnsi="Times New Roman" w:cs="Times New Roman"/>
          <w:noProof/>
          <w:sz w:val="24"/>
        </w:rPr>
        <w:sectPr w:rsidR="00CB0FCB" w:rsidSect="00271D33">
          <w:headerReference w:type="even" r:id="rId325"/>
          <w:headerReference w:type="default" r:id="rId326"/>
          <w:footerReference w:type="even" r:id="rId327"/>
          <w:footerReference w:type="default" r:id="rId328"/>
          <w:headerReference w:type="first" r:id="rId329"/>
          <w:footerReference w:type="first" r:id="rId330"/>
          <w:pgSz w:w="16839" w:h="11907" w:orient="landscape"/>
          <w:pgMar w:top="720" w:right="720" w:bottom="720" w:left="720" w:header="709" w:footer="75" w:gutter="0"/>
          <w:cols w:space="720"/>
          <w:docGrid w:linePitch="360"/>
        </w:sectPr>
      </w:pPr>
    </w:p>
    <w:p w14:paraId="2F3807BD" w14:textId="77777777" w:rsidR="00CB0FCB" w:rsidRDefault="009D2B11">
      <w:pPr>
        <w:pStyle w:val="P68B1DB1-Normal2"/>
        <w:spacing w:before="120" w:after="120" w:line="240" w:lineRule="auto"/>
        <w:ind w:firstLine="6"/>
        <w:jc w:val="both"/>
        <w:outlineLvl w:val="3"/>
        <w:rPr>
          <w:rFonts w:cs="Times New Roman"/>
          <w:bCs/>
          <w:noProof/>
        </w:rPr>
      </w:pPr>
      <w:r>
        <w:rPr>
          <w:noProof/>
        </w:rPr>
        <w:t>S. TEHNISKĀ PALĪDZĪBA</w:t>
      </w:r>
    </w:p>
    <w:p w14:paraId="138DB494" w14:textId="77777777" w:rsidR="00CB0FCB" w:rsidRDefault="009D2B11">
      <w:pPr>
        <w:pStyle w:val="P68B1DB1-Normal4"/>
        <w:spacing w:before="120" w:after="120" w:line="240" w:lineRule="auto"/>
        <w:jc w:val="both"/>
        <w:rPr>
          <w:rFonts w:cs="Times New Roman"/>
          <w:noProof/>
        </w:rPr>
      </w:pPr>
      <w:r>
        <w:rPr>
          <w:noProof/>
        </w:rPr>
        <w:t>Šo Grieķijas atveseļošanas un noturības plāna komponentu veido pasākumi, kuru mērķis ir stiprināt Atveseļošanas un noturības mehānisma aģentūras administratīvo spēju, kas ir jaunizveidotā struktūra, kuras vienīgais uzdevums ir koordinēt un īstenot Grieķijas atveseļošanas un noturības plānu. Pasākuma mērķis ir sniegt Grieķijas administrācijai nepieciešamo palīdzību, lai sekmīgi vadītu ANP īstenošanu. Tādējādi paredzams, ka tas netieši veicinās ANP mērķu sasniegšanu, kā pamatā ir visos četros pīlāros iekļautie pasākumi, un atbalstīs Grieķijai adresēto attiecīgo konkrētai valstij adresēto ieteikumu īstenošanu, t. i., publiskās un privātās investīcijas (2019. gada konkrētai valstij adresētais ieteikums Nr. 2 un 2020. gada konkrētai valstij adresētais ieteikums Nr. 3), publiskās finanses un veselības aprūpi (2020. gada konkrētai valstij adresētais ieteikums Nr. 1) un darba tirgus un sociālo politiku (2020. gada konkrētai valstij adresētais ieteikums Nr. 2).</w:t>
      </w:r>
    </w:p>
    <w:p w14:paraId="3E556037" w14:textId="77777777" w:rsidR="00CB0FCB" w:rsidRDefault="009D2B11">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S.1. </w:t>
      </w:r>
      <w:r>
        <w:rPr>
          <w:noProof/>
        </w:rPr>
        <w:t xml:space="preserve"> </w:t>
      </w:r>
      <w:r>
        <w:rPr>
          <w:rFonts w:ascii="Times New Roman" w:hAnsi="Times New Roman"/>
          <w:b/>
          <w:noProof/>
          <w:sz w:val="24"/>
          <w:u w:val="single"/>
        </w:rPr>
        <w:t>Reformu un investīciju apraksts neatmaksājamam finansiālajam atbalstam</w:t>
      </w:r>
    </w:p>
    <w:p w14:paraId="6C58FEA3"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Tehniskā palīdzība (pasākums ID 16968)</w:t>
      </w:r>
    </w:p>
    <w:p w14:paraId="2D2D9932" w14:textId="77777777" w:rsidR="00CB0FCB" w:rsidRDefault="009D2B11">
      <w:pPr>
        <w:pStyle w:val="P68B1DB1-Normal4"/>
        <w:spacing w:before="120" w:after="120" w:line="240" w:lineRule="auto"/>
        <w:jc w:val="both"/>
        <w:rPr>
          <w:rFonts w:cs="Times New Roman"/>
          <w:i/>
          <w:noProof/>
          <w:color w:val="4F81BD"/>
        </w:rPr>
      </w:pPr>
      <w:r>
        <w:rPr>
          <w:noProof/>
        </w:rPr>
        <w:t xml:space="preserve">Ieguldījumu veido seši apakšprojekti, proti: 1) sistēmu un instrumentu izstrāde darba organizēšanai, 2) pakalpojumu iegāde no ārējiem revidentiem, lai veiktu revīzijas, inspekcijas un sertifikāciju gadījumos, kad ir nepieciešamas īpašas zināšanas, un visaptverošas metodiskās sistēmas izstrāde revīzijām, pārbaudēm un sertifikācijai, lai atbalstītu Atveseļošanas un noturības mehānisma aģentūras pārraudzības funkciju attiecībā uz plāna pasākumu īstenošanu, 3) informācijas vākšanas un publicitātes pasākumi attiecībā uz plānā paredzētajām galvenajām investīcijām un reformām, 4) pētījumu veikšana un ārējo ekspertu un tehniskā atbalsta iegāde specializētos projektos, 5) finansē izdevumus aģentūras ikdienas darbībai (biroja īre, biroja aprīkojuma iegāde, komunālo pakalpojumu rēķinu segšana) un 6) valsts būvniecības projektu kvalitātes kontroles pakalpojumu iegādi, lai novērtētu atbilstību būvniecības līguma noteikumiem, noteikumiem, kā arī tehniskajiem standartiem. Apakšprojekta īstenošana notiek saistībā ar labas pārvaldības prakses izveidi. Attiecīgās darbības kļūst par sabiedriskās apspriešanas procedūras neatņemamu un pastāvīgu iezīmi, un tās izmanto kā instrumentu, lai veicinātu ieinteresēto personu iesaistīšanos un nodrošinātu konkrētu plānā paredzēto reformu un investīciju ilgtspējīgu īstenošanu. Apakšprojekta finansēšanai ir pagaidu raksturs, t. i., ciktāl tas ir nepieciešams, lai atbalstītu Atveseļošanas un noturības mehānisma aģentūru tās pilnvaru efektīvā īstenošanā. Pasākums attiecas arī uz pārvaldības, revīzijas un kontroles sistēmu izveidi. Investīcijas īstenošanu pabeidz līdz 2026. gada 30. jūnijam. </w:t>
      </w:r>
    </w:p>
    <w:p w14:paraId="06473FB0" w14:textId="77777777" w:rsidR="00CB0FCB" w:rsidRDefault="00CB0FCB">
      <w:pPr>
        <w:rPr>
          <w:rFonts w:ascii="Times New Roman" w:hAnsi="Times New Roman"/>
          <w:b/>
          <w:noProof/>
          <w:sz w:val="24"/>
          <w:u w:val="single"/>
        </w:rPr>
        <w:sectPr w:rsidR="00CB0FCB" w:rsidSect="00803D41">
          <w:headerReference w:type="even" r:id="rId331"/>
          <w:headerReference w:type="default" r:id="rId332"/>
          <w:footerReference w:type="even" r:id="rId333"/>
          <w:footerReference w:type="default" r:id="rId334"/>
          <w:headerReference w:type="first" r:id="rId335"/>
          <w:footerReference w:type="first" r:id="rId336"/>
          <w:pgSz w:w="11907" w:h="16839"/>
          <w:pgMar w:top="720" w:right="720" w:bottom="720" w:left="720" w:header="709" w:footer="215" w:gutter="0"/>
          <w:cols w:space="720"/>
          <w:docGrid w:linePitch="360"/>
        </w:sectPr>
      </w:pPr>
    </w:p>
    <w:p w14:paraId="495ACEE2" w14:textId="09E8EBC9" w:rsidR="00CB0FCB" w:rsidRDefault="009D2B11">
      <w:pPr>
        <w:pStyle w:val="P68B1DB1-Normal25"/>
        <w:spacing w:before="120" w:after="120" w:line="240" w:lineRule="auto"/>
        <w:jc w:val="both"/>
        <w:rPr>
          <w:rFonts w:cs="Times New Roman"/>
          <w:bCs/>
          <w:noProof/>
        </w:rPr>
      </w:pPr>
      <w:r>
        <w:rPr>
          <w:noProof/>
        </w:rPr>
        <w:t>S.2. Starpposma mērķi, mērķrādītāji, rādītāji un neatmaksājama finansiālā atbalsta uzraudzības un īstenošanas grafiks</w:t>
      </w:r>
    </w:p>
    <w:p w14:paraId="47997478" w14:textId="77777777" w:rsidR="00CB0FCB" w:rsidRDefault="009D2B11">
      <w:pPr>
        <w:pStyle w:val="P68B1DB1-Normal6"/>
        <w:keepNext/>
        <w:keepLines/>
        <w:spacing w:before="40" w:after="0" w:line="240" w:lineRule="auto"/>
        <w:jc w:val="both"/>
        <w:outlineLvl w:val="4"/>
        <w:rPr>
          <w:noProof/>
        </w:rPr>
      </w:pPr>
      <w:r>
        <w:rPr>
          <w:noProof/>
        </w:rPr>
        <w:t>Tehniskā palīdzība</w:t>
      </w:r>
    </w:p>
    <w:p w14:paraId="6515FF93" w14:textId="77777777" w:rsidR="00CB0FCB" w:rsidRDefault="00CB0FCB">
      <w:pPr>
        <w:keepNext/>
        <w:keepLines/>
        <w:spacing w:before="40" w:after="0" w:line="240" w:lineRule="auto"/>
        <w:jc w:val="both"/>
        <w:outlineLvl w:val="4"/>
        <w:rPr>
          <w:rFonts w:ascii="Cambria" w:eastAsia="Times New Roman" w:hAnsi="Cambria"/>
          <w:noProof/>
          <w:color w:val="365F91"/>
          <w:sz w:val="24"/>
        </w:rPr>
      </w:pPr>
    </w:p>
    <w:tbl>
      <w:tblPr>
        <w:tblW w:w="15502" w:type="dxa"/>
        <w:tblInd w:w="113" w:type="dxa"/>
        <w:tblLook w:val="04A0" w:firstRow="1" w:lastRow="0" w:firstColumn="1" w:lastColumn="0" w:noHBand="0" w:noVBand="1"/>
      </w:tblPr>
      <w:tblGrid>
        <w:gridCol w:w="1026"/>
        <w:gridCol w:w="1455"/>
        <w:gridCol w:w="1807"/>
        <w:gridCol w:w="1755"/>
        <w:gridCol w:w="1633"/>
        <w:gridCol w:w="865"/>
        <w:gridCol w:w="1396"/>
        <w:gridCol w:w="845"/>
        <w:gridCol w:w="1027"/>
        <w:gridCol w:w="769"/>
        <w:gridCol w:w="4302"/>
      </w:tblGrid>
      <w:tr w:rsidR="00CB0FCB" w14:paraId="02A5F0E7" w14:textId="77777777">
        <w:trPr>
          <w:trHeight w:val="706"/>
          <w:tblHeader/>
        </w:trPr>
        <w:tc>
          <w:tcPr>
            <w:tcW w:w="10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FA9E65" w14:textId="77777777" w:rsidR="00CB0FCB" w:rsidRDefault="009D2B11">
            <w:pPr>
              <w:pStyle w:val="P68B1DB1-Normal7"/>
              <w:spacing w:after="0" w:line="240" w:lineRule="auto"/>
              <w:jc w:val="center"/>
              <w:rPr>
                <w:rFonts w:eastAsia="Times New Roman" w:cs="Times New Roman"/>
                <w:noProof/>
                <w:szCs w:val="18"/>
              </w:rPr>
            </w:pPr>
            <w:r>
              <w:rPr>
                <w:noProof/>
              </w:rPr>
              <w:t>Kārtas numurs</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9B4311" w14:textId="77777777" w:rsidR="00CB0FCB" w:rsidRDefault="009D2B11">
            <w:pPr>
              <w:pStyle w:val="P68B1DB1-Normal7"/>
              <w:spacing w:after="0" w:line="240" w:lineRule="auto"/>
              <w:jc w:val="center"/>
              <w:rPr>
                <w:rFonts w:eastAsia="Times New Roman" w:cs="Times New Roman"/>
                <w:noProof/>
                <w:szCs w:val="18"/>
              </w:rPr>
            </w:pPr>
            <w:r>
              <w:rPr>
                <w:noProof/>
              </w:rPr>
              <w:t>Saistītais pasākums (reforma vai ieguldījums)</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688365" w14:textId="77777777" w:rsidR="00CB0FCB" w:rsidRDefault="009D2B11">
            <w:pPr>
              <w:pStyle w:val="P68B1DB1-Normal7"/>
              <w:spacing w:after="0" w:line="240" w:lineRule="auto"/>
              <w:jc w:val="center"/>
              <w:rPr>
                <w:rFonts w:eastAsia="Times New Roman" w:cs="Times New Roman"/>
                <w:noProof/>
                <w:szCs w:val="18"/>
              </w:rPr>
            </w:pPr>
            <w:r>
              <w:rPr>
                <w:noProof/>
              </w:rPr>
              <w:t>Atskaites punkts/mērķrādītājs</w:t>
            </w:r>
          </w:p>
        </w:tc>
        <w:tc>
          <w:tcPr>
            <w:tcW w:w="1755" w:type="dxa"/>
            <w:vMerge w:val="restart"/>
            <w:tcBorders>
              <w:top w:val="single" w:sz="4" w:space="0" w:color="auto"/>
              <w:left w:val="nil"/>
              <w:bottom w:val="single" w:sz="4" w:space="0" w:color="auto"/>
              <w:right w:val="single" w:sz="4" w:space="0" w:color="auto"/>
            </w:tcBorders>
            <w:shd w:val="clear" w:color="auto" w:fill="BDD7EE"/>
            <w:vAlign w:val="center"/>
            <w:hideMark/>
          </w:tcPr>
          <w:p w14:paraId="6B859793" w14:textId="77777777" w:rsidR="00CB0FCB" w:rsidRDefault="009D2B11">
            <w:pPr>
              <w:pStyle w:val="P68B1DB1-Normal7"/>
              <w:spacing w:after="0" w:line="240" w:lineRule="auto"/>
              <w:jc w:val="center"/>
              <w:rPr>
                <w:rFonts w:eastAsia="Times New Roman" w:cs="Times New Roman"/>
                <w:noProof/>
                <w:szCs w:val="18"/>
              </w:rPr>
            </w:pPr>
            <w:r>
              <w:rPr>
                <w:noProof/>
              </w:rPr>
              <w:t>Nosaukums</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F14D317" w14:textId="77777777" w:rsidR="00CB0FCB" w:rsidRDefault="009D2B11">
            <w:pPr>
              <w:pStyle w:val="P68B1DB1-Normal7"/>
              <w:spacing w:after="0" w:line="240" w:lineRule="auto"/>
              <w:jc w:val="center"/>
              <w:rPr>
                <w:rFonts w:eastAsia="Times New Roman" w:cs="Times New Roman"/>
                <w:noProof/>
                <w:szCs w:val="18"/>
              </w:rPr>
            </w:pPr>
            <w:r>
              <w:rPr>
                <w:noProof/>
              </w:rPr>
              <w:t>Kvalitatīvie rādītāji (atskaites punktiem)</w:t>
            </w:r>
          </w:p>
        </w:tc>
        <w:tc>
          <w:tcPr>
            <w:tcW w:w="2752" w:type="dxa"/>
            <w:gridSpan w:val="3"/>
            <w:tcBorders>
              <w:top w:val="single" w:sz="4" w:space="0" w:color="auto"/>
              <w:left w:val="nil"/>
              <w:bottom w:val="single" w:sz="4" w:space="0" w:color="auto"/>
              <w:right w:val="single" w:sz="4" w:space="0" w:color="auto"/>
            </w:tcBorders>
            <w:shd w:val="clear" w:color="auto" w:fill="BDD7EE"/>
            <w:vAlign w:val="center"/>
            <w:hideMark/>
          </w:tcPr>
          <w:p w14:paraId="5CF320C0" w14:textId="599BFB16" w:rsidR="00CB0FCB" w:rsidRDefault="009D2B11">
            <w:pPr>
              <w:pStyle w:val="P68B1DB1-Normal7"/>
              <w:spacing w:after="0" w:line="240" w:lineRule="auto"/>
              <w:jc w:val="center"/>
              <w:rPr>
                <w:rFonts w:eastAsia="Times New Roman" w:cs="Times New Roman"/>
                <w:noProof/>
                <w:szCs w:val="18"/>
              </w:rPr>
            </w:pPr>
            <w:r>
              <w:rPr>
                <w:noProof/>
              </w:rPr>
              <w:t>Kvantitatīvie rādītāji (mērķrādītājiem)</w:t>
            </w:r>
          </w:p>
        </w:tc>
        <w:tc>
          <w:tcPr>
            <w:tcW w:w="1614" w:type="dxa"/>
            <w:gridSpan w:val="2"/>
            <w:tcBorders>
              <w:top w:val="single" w:sz="4" w:space="0" w:color="auto"/>
              <w:left w:val="nil"/>
              <w:bottom w:val="single" w:sz="4" w:space="0" w:color="auto"/>
              <w:right w:val="single" w:sz="4" w:space="0" w:color="auto"/>
            </w:tcBorders>
            <w:shd w:val="clear" w:color="auto" w:fill="BDD7EE"/>
            <w:vAlign w:val="center"/>
            <w:hideMark/>
          </w:tcPr>
          <w:p w14:paraId="763C4847" w14:textId="77777777" w:rsidR="00CB0FCB" w:rsidRDefault="009D2B11">
            <w:pPr>
              <w:pStyle w:val="P68B1DB1-Normal7"/>
              <w:spacing w:after="0" w:line="240" w:lineRule="auto"/>
              <w:jc w:val="center"/>
              <w:rPr>
                <w:rFonts w:eastAsia="Times New Roman" w:cs="Times New Roman"/>
                <w:noProof/>
                <w:szCs w:val="18"/>
              </w:rPr>
            </w:pPr>
            <w:r>
              <w:rPr>
                <w:noProof/>
              </w:rPr>
              <w:t xml:space="preserve">Orientējošs pabeigšanas termiņš </w:t>
            </w:r>
          </w:p>
        </w:tc>
        <w:tc>
          <w:tcPr>
            <w:tcW w:w="43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ADC688" w14:textId="77777777" w:rsidR="00CB0FCB" w:rsidRDefault="009D2B11">
            <w:pPr>
              <w:pStyle w:val="P68B1DB1-Normal7"/>
              <w:spacing w:after="0" w:line="240" w:lineRule="auto"/>
              <w:jc w:val="center"/>
              <w:rPr>
                <w:rFonts w:eastAsia="Times New Roman" w:cs="Times New Roman"/>
                <w:noProof/>
                <w:szCs w:val="18"/>
              </w:rPr>
            </w:pPr>
            <w:r>
              <w:rPr>
                <w:noProof/>
              </w:rPr>
              <w:t>Apraksts par katru atskaites punktu un mērķrādītāju</w:t>
            </w:r>
          </w:p>
        </w:tc>
      </w:tr>
      <w:tr w:rsidR="00CB0FCB" w14:paraId="49B53957" w14:textId="77777777">
        <w:trPr>
          <w:trHeight w:val="6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331788D1" w14:textId="77777777" w:rsidR="00CB0FCB" w:rsidRDefault="00CB0FCB">
            <w:pPr>
              <w:spacing w:after="0" w:line="240" w:lineRule="auto"/>
              <w:rPr>
                <w:rFonts w:ascii="Times New Roman" w:eastAsia="Times New Roman" w:hAnsi="Times New Roman" w:cs="Times New Roman"/>
                <w:b/>
                <w:bCs/>
                <w:noProof/>
                <w:sz w:val="18"/>
                <w:szCs w:val="18"/>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8E87B8F" w14:textId="77777777" w:rsidR="00CB0FCB" w:rsidRDefault="00CB0FCB">
            <w:pPr>
              <w:spacing w:after="0" w:line="240" w:lineRule="auto"/>
              <w:rPr>
                <w:rFonts w:ascii="Times New Roman" w:eastAsia="Times New Roman" w:hAnsi="Times New Roman" w:cs="Times New Roman"/>
                <w:b/>
                <w:bCs/>
                <w:noProof/>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9D8F3A3" w14:textId="77777777" w:rsidR="00CB0FCB" w:rsidRDefault="00CB0FCB">
            <w:pPr>
              <w:spacing w:after="0" w:line="240" w:lineRule="auto"/>
              <w:rPr>
                <w:rFonts w:ascii="Times New Roman" w:eastAsia="Times New Roman" w:hAnsi="Times New Roman" w:cs="Times New Roman"/>
                <w:b/>
                <w:bCs/>
                <w:noProof/>
                <w:sz w:val="18"/>
                <w:szCs w:val="18"/>
              </w:rPr>
            </w:pPr>
          </w:p>
        </w:tc>
        <w:tc>
          <w:tcPr>
            <w:tcW w:w="1755" w:type="dxa"/>
            <w:vMerge/>
            <w:tcBorders>
              <w:top w:val="single" w:sz="4" w:space="0" w:color="auto"/>
              <w:left w:val="nil"/>
              <w:bottom w:val="single" w:sz="4" w:space="0" w:color="auto"/>
              <w:right w:val="single" w:sz="4" w:space="0" w:color="auto"/>
            </w:tcBorders>
            <w:vAlign w:val="center"/>
            <w:hideMark/>
          </w:tcPr>
          <w:p w14:paraId="1307BA7D" w14:textId="77777777" w:rsidR="00CB0FCB" w:rsidRDefault="00CB0FCB">
            <w:pPr>
              <w:spacing w:after="0" w:line="240" w:lineRule="auto"/>
              <w:rPr>
                <w:rFonts w:ascii="Times New Roman" w:eastAsia="Times New Roman" w:hAnsi="Times New Roman" w:cs="Times New Roman"/>
                <w:b/>
                <w:bCs/>
                <w:noProof/>
                <w:sz w:val="18"/>
                <w:szCs w:val="18"/>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2A8A1412" w14:textId="77777777" w:rsidR="00CB0FCB" w:rsidRDefault="00CB0FCB">
            <w:pPr>
              <w:spacing w:after="0" w:line="240" w:lineRule="auto"/>
              <w:rPr>
                <w:rFonts w:ascii="Times New Roman" w:eastAsia="Times New Roman" w:hAnsi="Times New Roman" w:cs="Times New Roman"/>
                <w:b/>
                <w:bCs/>
                <w:noProof/>
                <w:sz w:val="18"/>
                <w:szCs w:val="18"/>
              </w:rPr>
            </w:pPr>
          </w:p>
        </w:tc>
        <w:tc>
          <w:tcPr>
            <w:tcW w:w="865" w:type="dxa"/>
            <w:tcBorders>
              <w:top w:val="single" w:sz="4" w:space="0" w:color="auto"/>
              <w:left w:val="nil"/>
              <w:bottom w:val="single" w:sz="4" w:space="0" w:color="auto"/>
              <w:right w:val="single" w:sz="4" w:space="0" w:color="auto"/>
            </w:tcBorders>
            <w:shd w:val="clear" w:color="auto" w:fill="BDD7EE"/>
            <w:vAlign w:val="center"/>
            <w:hideMark/>
          </w:tcPr>
          <w:p w14:paraId="0E30B508" w14:textId="77777777" w:rsidR="00CB0FCB" w:rsidRDefault="009D2B11">
            <w:pPr>
              <w:pStyle w:val="P68B1DB1-Normal7"/>
              <w:spacing w:after="0" w:line="240" w:lineRule="auto"/>
              <w:jc w:val="center"/>
              <w:rPr>
                <w:rFonts w:eastAsia="Times New Roman" w:cs="Times New Roman"/>
                <w:noProof/>
                <w:szCs w:val="18"/>
              </w:rPr>
            </w:pPr>
            <w:r>
              <w:rPr>
                <w:noProof/>
              </w:rPr>
              <w:t>Mēra vienība</w:t>
            </w:r>
          </w:p>
        </w:tc>
        <w:tc>
          <w:tcPr>
            <w:tcW w:w="1042" w:type="dxa"/>
            <w:tcBorders>
              <w:top w:val="single" w:sz="4" w:space="0" w:color="auto"/>
              <w:left w:val="nil"/>
              <w:bottom w:val="single" w:sz="4" w:space="0" w:color="auto"/>
              <w:right w:val="single" w:sz="4" w:space="0" w:color="auto"/>
            </w:tcBorders>
            <w:shd w:val="clear" w:color="auto" w:fill="BDD7EE"/>
            <w:vAlign w:val="center"/>
            <w:hideMark/>
          </w:tcPr>
          <w:p w14:paraId="7D9DBA1C" w14:textId="77777777" w:rsidR="00CB0FCB" w:rsidRDefault="009D2B11">
            <w:pPr>
              <w:pStyle w:val="P68B1DB1-Normal7"/>
              <w:spacing w:after="0" w:line="240" w:lineRule="auto"/>
              <w:jc w:val="center"/>
              <w:rPr>
                <w:rFonts w:eastAsia="Times New Roman" w:cs="Times New Roman"/>
                <w:noProof/>
                <w:szCs w:val="18"/>
              </w:rPr>
            </w:pPr>
            <w:r>
              <w:rPr>
                <w:noProof/>
              </w:rPr>
              <w:t xml:space="preserve">Pamatscenārijs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14:paraId="26F9CBF2" w14:textId="77777777" w:rsidR="00CB0FCB" w:rsidRDefault="009D2B11">
            <w:pPr>
              <w:pStyle w:val="P68B1DB1-Normal7"/>
              <w:spacing w:after="0" w:line="240" w:lineRule="auto"/>
              <w:jc w:val="center"/>
              <w:rPr>
                <w:rFonts w:eastAsia="Times New Roman" w:cs="Times New Roman"/>
                <w:noProof/>
                <w:szCs w:val="18"/>
              </w:rPr>
            </w:pPr>
            <w:r>
              <w:rPr>
                <w:noProof/>
              </w:rPr>
              <w:t xml:space="preserve">Mērķis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14:paraId="5811BB7C" w14:textId="77777777" w:rsidR="00CB0FCB" w:rsidRDefault="009D2B11">
            <w:pPr>
              <w:pStyle w:val="P68B1DB1-Normal7"/>
              <w:spacing w:after="0" w:line="240" w:lineRule="auto"/>
              <w:jc w:val="center"/>
              <w:rPr>
                <w:rFonts w:eastAsia="Times New Roman" w:cs="Times New Roman"/>
                <w:noProof/>
                <w:szCs w:val="18"/>
              </w:rPr>
            </w:pPr>
            <w:r>
              <w:rPr>
                <w:noProof/>
              </w:rPr>
              <w:t>Ceturkšņa laikā</w:t>
            </w:r>
          </w:p>
        </w:tc>
        <w:tc>
          <w:tcPr>
            <w:tcW w:w="769" w:type="dxa"/>
            <w:tcBorders>
              <w:top w:val="single" w:sz="4" w:space="0" w:color="auto"/>
              <w:left w:val="nil"/>
              <w:bottom w:val="single" w:sz="4" w:space="0" w:color="auto"/>
              <w:right w:val="single" w:sz="4" w:space="0" w:color="auto"/>
            </w:tcBorders>
            <w:shd w:val="clear" w:color="auto" w:fill="BDD7EE"/>
            <w:vAlign w:val="center"/>
            <w:hideMark/>
          </w:tcPr>
          <w:p w14:paraId="3B526335" w14:textId="77777777" w:rsidR="00CB0FCB" w:rsidRDefault="009D2B11">
            <w:pPr>
              <w:pStyle w:val="P68B1DB1-Normal7"/>
              <w:spacing w:after="0" w:line="240" w:lineRule="auto"/>
              <w:jc w:val="center"/>
              <w:rPr>
                <w:rFonts w:eastAsia="Times New Roman" w:cs="Times New Roman"/>
                <w:noProof/>
                <w:szCs w:val="18"/>
              </w:rPr>
            </w:pPr>
            <w:r>
              <w:rPr>
                <w:noProof/>
              </w:rPr>
              <w:t>Gadu</w:t>
            </w:r>
          </w:p>
        </w:tc>
        <w:tc>
          <w:tcPr>
            <w:tcW w:w="4302" w:type="dxa"/>
            <w:vMerge/>
            <w:tcBorders>
              <w:top w:val="single" w:sz="4" w:space="0" w:color="auto"/>
              <w:left w:val="single" w:sz="4" w:space="0" w:color="auto"/>
              <w:bottom w:val="single" w:sz="4" w:space="0" w:color="auto"/>
              <w:right w:val="single" w:sz="4" w:space="0" w:color="auto"/>
            </w:tcBorders>
            <w:vAlign w:val="center"/>
            <w:hideMark/>
          </w:tcPr>
          <w:p w14:paraId="62B4B5F4"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6C7D0A15" w14:textId="77777777">
        <w:trPr>
          <w:trHeight w:val="309"/>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14:paraId="4865A76E" w14:textId="77777777" w:rsidR="00CB0FCB" w:rsidRDefault="009D2B11">
            <w:pPr>
              <w:pStyle w:val="P68B1DB1-Normal9"/>
              <w:spacing w:after="0" w:line="240" w:lineRule="auto"/>
              <w:rPr>
                <w:rFonts w:eastAsia="Times New Roman" w:cs="Calibri"/>
                <w:noProof/>
                <w:szCs w:val="18"/>
              </w:rPr>
            </w:pPr>
            <w:r>
              <w:rPr>
                <w:noProof/>
              </w:rPr>
              <w:t>331</w:t>
            </w:r>
          </w:p>
        </w:tc>
        <w:tc>
          <w:tcPr>
            <w:tcW w:w="1455" w:type="dxa"/>
            <w:tcBorders>
              <w:top w:val="single" w:sz="4" w:space="0" w:color="auto"/>
              <w:left w:val="nil"/>
              <w:bottom w:val="single" w:sz="4" w:space="0" w:color="auto"/>
              <w:right w:val="single" w:sz="4" w:space="0" w:color="auto"/>
            </w:tcBorders>
            <w:shd w:val="clear" w:color="auto" w:fill="C6EFCE"/>
            <w:noWrap/>
          </w:tcPr>
          <w:p w14:paraId="7ED50538" w14:textId="77777777" w:rsidR="00CB0FCB" w:rsidRDefault="009D2B11">
            <w:pPr>
              <w:pStyle w:val="P68B1DB1-Normal9"/>
              <w:spacing w:after="0" w:line="240" w:lineRule="auto"/>
              <w:rPr>
                <w:rFonts w:eastAsia="Times New Roman"/>
                <w:noProof/>
                <w:szCs w:val="18"/>
              </w:rPr>
            </w:pPr>
            <w:r>
              <w:rPr>
                <w:noProof/>
              </w:rPr>
              <w:t>19–16968_Tehniskā palīdzība</w:t>
            </w:r>
          </w:p>
        </w:tc>
        <w:tc>
          <w:tcPr>
            <w:tcW w:w="965" w:type="dxa"/>
            <w:tcBorders>
              <w:top w:val="single" w:sz="4" w:space="0" w:color="auto"/>
              <w:left w:val="nil"/>
              <w:bottom w:val="single" w:sz="4" w:space="0" w:color="auto"/>
              <w:right w:val="single" w:sz="4" w:space="0" w:color="auto"/>
            </w:tcBorders>
            <w:shd w:val="clear" w:color="auto" w:fill="C6EFCE"/>
            <w:noWrap/>
          </w:tcPr>
          <w:p w14:paraId="4D362284" w14:textId="77777777" w:rsidR="00CB0FCB" w:rsidRDefault="009D2B11">
            <w:pPr>
              <w:pStyle w:val="P68B1DB1-Normal9"/>
              <w:spacing w:after="0" w:line="240" w:lineRule="auto"/>
              <w:rPr>
                <w:rFonts w:eastAsia="Times New Roman"/>
                <w:noProof/>
                <w:szCs w:val="18"/>
              </w:rPr>
            </w:pPr>
            <w:r>
              <w:rPr>
                <w:noProof/>
              </w:rPr>
              <w:t>Atskaites punkts</w:t>
            </w:r>
          </w:p>
        </w:tc>
        <w:tc>
          <w:tcPr>
            <w:tcW w:w="1755" w:type="dxa"/>
            <w:tcBorders>
              <w:top w:val="single" w:sz="4" w:space="0" w:color="auto"/>
              <w:left w:val="nil"/>
              <w:bottom w:val="single" w:sz="4" w:space="0" w:color="auto"/>
              <w:right w:val="single" w:sz="4" w:space="0" w:color="auto"/>
            </w:tcBorders>
            <w:shd w:val="clear" w:color="auto" w:fill="C6EFCE"/>
            <w:noWrap/>
          </w:tcPr>
          <w:p w14:paraId="30D6EE75" w14:textId="77777777" w:rsidR="00CB0FCB" w:rsidRDefault="009D2B11">
            <w:pPr>
              <w:pStyle w:val="P68B1DB1-Normal9"/>
              <w:spacing w:after="0" w:line="240" w:lineRule="auto"/>
              <w:rPr>
                <w:rFonts w:eastAsia="Times New Roman"/>
                <w:noProof/>
                <w:szCs w:val="18"/>
              </w:rPr>
            </w:pPr>
            <w:r>
              <w:rPr>
                <w:noProof/>
              </w:rPr>
              <w:t xml:space="preserve">EDEL juridiskās pilnvaras un pārvaldības, kontroles un revīzijas sistēmu izveide </w:t>
            </w:r>
          </w:p>
        </w:tc>
        <w:tc>
          <w:tcPr>
            <w:tcW w:w="1633" w:type="dxa"/>
            <w:tcBorders>
              <w:top w:val="single" w:sz="4" w:space="0" w:color="auto"/>
              <w:left w:val="nil"/>
              <w:bottom w:val="single" w:sz="4" w:space="0" w:color="auto"/>
              <w:right w:val="single" w:sz="4" w:space="0" w:color="auto"/>
            </w:tcBorders>
            <w:shd w:val="clear" w:color="auto" w:fill="C6EFCE"/>
            <w:noWrap/>
          </w:tcPr>
          <w:p w14:paraId="4086C370" w14:textId="77777777" w:rsidR="00CB0FCB" w:rsidRDefault="009D2B11">
            <w:pPr>
              <w:pStyle w:val="P68B1DB1-Normal9"/>
              <w:spacing w:after="0" w:line="240" w:lineRule="auto"/>
              <w:rPr>
                <w:rFonts w:eastAsia="Times New Roman"/>
                <w:noProof/>
                <w:szCs w:val="18"/>
              </w:rPr>
            </w:pPr>
            <w:r>
              <w:rPr>
                <w:noProof/>
              </w:rPr>
              <w:t xml:space="preserve">Spēkā esošās EDEL juridiskās pilnvaras un izveidotās pārvaldības, kontroles un revīzijas sistēmas </w:t>
            </w:r>
          </w:p>
        </w:tc>
        <w:tc>
          <w:tcPr>
            <w:tcW w:w="865" w:type="dxa"/>
            <w:tcBorders>
              <w:top w:val="single" w:sz="4" w:space="0" w:color="auto"/>
              <w:left w:val="nil"/>
              <w:bottom w:val="single" w:sz="4" w:space="0" w:color="auto"/>
              <w:right w:val="single" w:sz="4" w:space="0" w:color="auto"/>
            </w:tcBorders>
            <w:shd w:val="clear" w:color="auto" w:fill="C6EFCE"/>
            <w:noWrap/>
          </w:tcPr>
          <w:p w14:paraId="0D047DBA" w14:textId="77777777" w:rsidR="00CB0FCB" w:rsidRDefault="00CB0FCB">
            <w:pPr>
              <w:spacing w:after="0" w:line="240" w:lineRule="auto"/>
              <w:rPr>
                <w:rFonts w:eastAsia="Times New Roman" w:cs="Calibri"/>
                <w:noProof/>
                <w:color w:val="006100"/>
                <w:sz w:val="18"/>
                <w:szCs w:val="18"/>
              </w:rPr>
            </w:pPr>
          </w:p>
        </w:tc>
        <w:tc>
          <w:tcPr>
            <w:tcW w:w="1042" w:type="dxa"/>
            <w:tcBorders>
              <w:top w:val="single" w:sz="4" w:space="0" w:color="auto"/>
              <w:left w:val="nil"/>
              <w:bottom w:val="single" w:sz="4" w:space="0" w:color="auto"/>
              <w:right w:val="single" w:sz="4" w:space="0" w:color="auto"/>
            </w:tcBorders>
            <w:shd w:val="clear" w:color="auto" w:fill="C6EFCE"/>
            <w:noWrap/>
          </w:tcPr>
          <w:p w14:paraId="0057FA7A" w14:textId="77777777" w:rsidR="00CB0FCB" w:rsidRDefault="00CB0FCB">
            <w:pPr>
              <w:spacing w:after="0" w:line="240" w:lineRule="auto"/>
              <w:rPr>
                <w:rFonts w:eastAsia="Times New Roman" w:cs="Calibri"/>
                <w:noProof/>
                <w:color w:val="006100"/>
                <w:sz w:val="18"/>
                <w:szCs w:val="18"/>
              </w:rPr>
            </w:pPr>
          </w:p>
        </w:tc>
        <w:tc>
          <w:tcPr>
            <w:tcW w:w="845" w:type="dxa"/>
            <w:tcBorders>
              <w:top w:val="single" w:sz="4" w:space="0" w:color="auto"/>
              <w:left w:val="nil"/>
              <w:bottom w:val="single" w:sz="4" w:space="0" w:color="auto"/>
              <w:right w:val="single" w:sz="4" w:space="0" w:color="auto"/>
            </w:tcBorders>
            <w:shd w:val="clear" w:color="auto" w:fill="C6EFCE"/>
            <w:noWrap/>
          </w:tcPr>
          <w:p w14:paraId="4A30CCBF" w14:textId="77777777" w:rsidR="00CB0FCB" w:rsidRDefault="00CB0FCB">
            <w:pPr>
              <w:spacing w:after="0" w:line="240" w:lineRule="auto"/>
              <w:rPr>
                <w:rFonts w:eastAsia="Times New Roman" w:cs="Calibri"/>
                <w:noProof/>
                <w:color w:val="006100"/>
                <w:sz w:val="18"/>
                <w:szCs w:val="18"/>
              </w:rPr>
            </w:pPr>
          </w:p>
        </w:tc>
        <w:tc>
          <w:tcPr>
            <w:tcW w:w="845" w:type="dxa"/>
            <w:tcBorders>
              <w:top w:val="single" w:sz="4" w:space="0" w:color="auto"/>
              <w:left w:val="nil"/>
              <w:bottom w:val="single" w:sz="4" w:space="0" w:color="auto"/>
              <w:right w:val="single" w:sz="4" w:space="0" w:color="auto"/>
            </w:tcBorders>
            <w:shd w:val="clear" w:color="auto" w:fill="C6EFCE"/>
            <w:noWrap/>
          </w:tcPr>
          <w:p w14:paraId="4D2B9E98" w14:textId="77777777" w:rsidR="00CB0FCB" w:rsidRDefault="009D2B11">
            <w:pPr>
              <w:pStyle w:val="P68B1DB1-Normal9"/>
              <w:spacing w:after="0" w:line="240" w:lineRule="auto"/>
              <w:rPr>
                <w:rFonts w:eastAsia="Times New Roman"/>
                <w:noProof/>
                <w:szCs w:val="18"/>
              </w:rPr>
            </w:pPr>
            <w:r>
              <w:rPr>
                <w:noProof/>
              </w:rPr>
              <w:t>CET.</w:t>
            </w:r>
          </w:p>
        </w:tc>
        <w:tc>
          <w:tcPr>
            <w:tcW w:w="769" w:type="dxa"/>
            <w:tcBorders>
              <w:top w:val="single" w:sz="4" w:space="0" w:color="auto"/>
              <w:left w:val="nil"/>
              <w:bottom w:val="single" w:sz="4" w:space="0" w:color="auto"/>
              <w:right w:val="single" w:sz="4" w:space="0" w:color="auto"/>
            </w:tcBorders>
            <w:shd w:val="clear" w:color="auto" w:fill="C6EFCE"/>
            <w:noWrap/>
          </w:tcPr>
          <w:p w14:paraId="1D7001F7" w14:textId="77777777" w:rsidR="00CB0FCB" w:rsidRDefault="009D2B11">
            <w:pPr>
              <w:pStyle w:val="P68B1DB1-Normal9"/>
              <w:spacing w:after="0" w:line="240" w:lineRule="auto"/>
              <w:rPr>
                <w:rFonts w:eastAsia="Times New Roman"/>
                <w:noProof/>
                <w:szCs w:val="18"/>
              </w:rPr>
            </w:pPr>
            <w:r>
              <w:rPr>
                <w:noProof/>
              </w:rPr>
              <w:t>2021</w:t>
            </w:r>
          </w:p>
        </w:tc>
        <w:tc>
          <w:tcPr>
            <w:tcW w:w="4302" w:type="dxa"/>
            <w:tcBorders>
              <w:top w:val="single" w:sz="4" w:space="0" w:color="auto"/>
              <w:left w:val="nil"/>
              <w:bottom w:val="single" w:sz="4" w:space="0" w:color="auto"/>
              <w:right w:val="single" w:sz="4" w:space="0" w:color="auto"/>
            </w:tcBorders>
            <w:shd w:val="clear" w:color="auto" w:fill="C6EFCE"/>
            <w:noWrap/>
          </w:tcPr>
          <w:p w14:paraId="6D0824EA" w14:textId="77777777" w:rsidR="00CB0FCB" w:rsidRDefault="009D2B11">
            <w:pPr>
              <w:pStyle w:val="P68B1DB1-Normal9"/>
              <w:spacing w:after="0" w:line="240" w:lineRule="auto"/>
              <w:rPr>
                <w:rFonts w:eastAsia="Times New Roman" w:cs="Calibri"/>
                <w:noProof/>
                <w:szCs w:val="18"/>
              </w:rPr>
            </w:pPr>
            <w:r>
              <w:rPr>
                <w:noProof/>
              </w:rPr>
              <w:t>EDEL juridisko pilnvaru stāšanās spēkā un revīzijas un kontroles sistēmas izveide, kas a) nodrošina datu vākšanu un atskaites punktu un mērķrādītāju sasniegšanas uzraudzību; b) ļauj sagatavot pārvaldības deklarācijas un revīzijas kopsavilkumu, kā arī maksājuma pieprasījumus un c) nosaka nepieciešamās procedūras, lai vāktu un glabātu datus par saņēmējiem, darbuzņēmējiem, apakšuzņēmējiem un faktiskajiem īpašniekiem saskaņā ar Regulas (ES) 2021/241 22. pantu pirms pirmā maksājuma pieprasījuma iesniegšanas. Par izveidoto sistēmu sagatavo īpašu revīzijas ziņojumu. Ja ziņojumā ir konstatētas nepilnības, revīzijas ziņojumā iesaka koriģējošus pasākumus.</w:t>
            </w:r>
          </w:p>
        </w:tc>
      </w:tr>
    </w:tbl>
    <w:p w14:paraId="13F8C92F" w14:textId="77777777" w:rsidR="00CB0FCB" w:rsidRDefault="00CB0FCB">
      <w:pPr>
        <w:spacing w:before="120" w:after="120" w:line="240" w:lineRule="auto"/>
        <w:ind w:left="709"/>
        <w:jc w:val="both"/>
        <w:rPr>
          <w:rFonts w:ascii="Times New Roman" w:hAnsi="Times New Roman" w:cs="Times New Roman"/>
          <w:noProof/>
          <w:sz w:val="24"/>
          <w:szCs w:val="24"/>
        </w:rPr>
      </w:pPr>
    </w:p>
    <w:p w14:paraId="33CD4E67" w14:textId="77777777" w:rsidR="00CB0FCB" w:rsidRDefault="00CB0FCB">
      <w:pPr>
        <w:spacing w:before="120" w:after="120" w:line="240" w:lineRule="auto"/>
        <w:jc w:val="both"/>
        <w:rPr>
          <w:rFonts w:ascii="Times New Roman" w:hAnsi="Times New Roman" w:cs="Times New Roman"/>
          <w:noProof/>
          <w:sz w:val="24"/>
        </w:rPr>
        <w:sectPr w:rsidR="00CB0FCB" w:rsidSect="00271D33">
          <w:headerReference w:type="default" r:id="rId337"/>
          <w:footerReference w:type="default" r:id="rId338"/>
          <w:pgSz w:w="16839" w:h="11907" w:orient="landscape"/>
          <w:pgMar w:top="720" w:right="720" w:bottom="720" w:left="720" w:header="709" w:footer="217" w:gutter="0"/>
          <w:cols w:space="720"/>
          <w:docGrid w:linePitch="360"/>
        </w:sectPr>
      </w:pPr>
    </w:p>
    <w:p w14:paraId="16CDA63B" w14:textId="22EE001C" w:rsidR="00CB0FCB" w:rsidRDefault="009D2B11">
      <w:pPr>
        <w:pStyle w:val="P68B1DB1-Normal4"/>
        <w:keepNext/>
        <w:spacing w:before="40" w:after="0" w:line="259" w:lineRule="auto"/>
        <w:jc w:val="both"/>
        <w:outlineLvl w:val="1"/>
        <w:rPr>
          <w:noProof/>
        </w:rPr>
      </w:pPr>
      <w:r>
        <w:rPr>
          <w:noProof/>
        </w:rPr>
        <w:t xml:space="preserve"> </w:t>
      </w:r>
    </w:p>
    <w:p w14:paraId="6A6EE32C" w14:textId="77777777" w:rsidR="00CB0FCB" w:rsidRDefault="009D2B11">
      <w:pPr>
        <w:pStyle w:val="Heading4"/>
        <w:ind w:left="0" w:firstLine="0"/>
        <w:rPr>
          <w:noProof/>
        </w:rPr>
      </w:pPr>
      <w:r>
        <w:rPr>
          <w:noProof/>
        </w:rPr>
        <w:t>2. IEDAĻA. REFORMAS UN INVESTĪCIJAS SASKAŅĀ AR REPOWEREU NODAĻU</w:t>
      </w:r>
    </w:p>
    <w:p w14:paraId="3B0E0299" w14:textId="77777777" w:rsidR="00CB0FCB" w:rsidRDefault="009D2B11">
      <w:pPr>
        <w:pStyle w:val="P68B1DB1-Normal4"/>
        <w:spacing w:before="120" w:after="120" w:line="240" w:lineRule="auto"/>
        <w:jc w:val="both"/>
        <w:rPr>
          <w:rFonts w:cs="Times New Roman"/>
          <w:noProof/>
          <w:szCs w:val="24"/>
        </w:rPr>
      </w:pPr>
      <w:r>
        <w:rPr>
          <w:noProof/>
        </w:rPr>
        <w:t xml:space="preserve">REPowerEU nodaļas mērķis ir atbalstīt Grieķijas vērienīgos mērķus attiecībā uz enerģētisko neatkarību un zaļo pārkārtošanos jaunās ģeopolitiskās un enerģijas tirgus situācijas kontekstā. REPowerEU reformu un investīciju mērķis ir stiprināt Grieķijas enerģētisko suverenitāti un paātrināt tās ekonomikas dekarbonizāciju. </w:t>
      </w:r>
    </w:p>
    <w:p w14:paraId="23868BD7" w14:textId="77777777" w:rsidR="00CB0FCB" w:rsidRDefault="009D2B11">
      <w:pPr>
        <w:pStyle w:val="P68B1DB1-Normal4"/>
        <w:spacing w:before="120" w:after="120" w:line="240" w:lineRule="auto"/>
        <w:jc w:val="both"/>
        <w:rPr>
          <w:rFonts w:eastAsia="Times New Roman" w:cs="Times New Roman"/>
          <w:noProof/>
          <w:color w:val="000000" w:themeColor="text1"/>
          <w:szCs w:val="24"/>
        </w:rPr>
      </w:pPr>
      <w:r>
        <w:rPr>
          <w:noProof/>
        </w:rPr>
        <w:t xml:space="preserve">Visas REPowerEU nodaļā iekļautās investīcijas ietver pārrobežu dimensiju, kas aptver investīcijas enerģijas uzkrāšanā, rūpniecības dekarbonizācijā un energoefektivitātē. </w:t>
      </w:r>
      <w:r>
        <w:rPr>
          <w:noProof/>
          <w:color w:val="000000" w:themeColor="text1"/>
        </w:rPr>
        <w:t>REPowerEU nodaļā ir ieviesti jauni pasākumi, kas palīdz samazināt atkarību no fosilajām degvielām, kā noteikts 2023. un 2023. gadā pieņemtajos konkrētām valstīm adresētajos ieteikumos (KVAI) (2023. gada 4. KVAI un 2022. gada 4. KVAI).</w:t>
      </w:r>
    </w:p>
    <w:p w14:paraId="7BAF6BED" w14:textId="77777777" w:rsidR="00CB0FCB" w:rsidRDefault="009D2B11">
      <w:pPr>
        <w:pStyle w:val="P68B1DB1-Normal32"/>
        <w:spacing w:before="120" w:after="120" w:line="240" w:lineRule="auto"/>
        <w:jc w:val="both"/>
        <w:rPr>
          <w:rFonts w:eastAsia="Times New Roman" w:cs="Times New Roman"/>
          <w:noProof/>
          <w:szCs w:val="24"/>
        </w:rPr>
      </w:pPr>
      <w:r>
        <w:rPr>
          <w:noProof/>
        </w:rPr>
        <w:t>Jaunu reformu pasākumu mērķis ir vēl vairāk paplašināt atjaunīgās enerģijas izvēršanu, pabeidzot atkrastes vējparku tiesisko regulējumu, veicinot investīcijas enerģijas uzkrāšanā, viedtīklā un ieviešot jaunu tiesisko regulējumu atjaunīgā ūdeņraža un biometāna ražošanai. Jaunas reformas mērķis ir veicināt enerģijas koplietošanu un decentralizētus atjaunīgās enerģijas ražošanas veidus (piemēram, pašpatēriņu un energokopienas). Jauni investīciju pasākumi atbalsta uzglabāšanas jaudas palielināšanu un decentralizētu atjaunīgās enerģijas ražošanu. Turklāt papildu atbalsts ir piešķirts mājsaimniecību energoefektivitātes uzlabošanai, ieskaitot mērķtiecīgu atbalstu enerģētiski nabadzīgām mājsaimniecībām un privātajam sektoram.</w:t>
      </w:r>
    </w:p>
    <w:p w14:paraId="13CC657A" w14:textId="77777777" w:rsidR="00CB0FCB" w:rsidRDefault="009D2B11">
      <w:pPr>
        <w:pStyle w:val="P68B1DB1-Normal4"/>
        <w:spacing w:before="120" w:after="120" w:line="240" w:lineRule="auto"/>
        <w:jc w:val="both"/>
        <w:rPr>
          <w:rFonts w:eastAsia="Times New Roman" w:cs="Times New Roman"/>
          <w:noProof/>
          <w:szCs w:val="24"/>
        </w:rPr>
      </w:pPr>
      <w:r>
        <w:rPr>
          <w:noProof/>
        </w:rPr>
        <w:t>Paredzams, ka neviens REPowerEU nodaļas pasākums nenodarīs būtisku kaitējumu vides mērķiem Regulas (ES) 2020/852 17. panta nozīmē, ņemot vērā atveseļošanas un noturības plānā izklāstīto pasākumu un mazināšanas pasākumu aprakstu saskaņā ar Tehniskajiem norādījumiem par principa “nenodarīt būtisku kaitējumu” piemērošanu (2021/C58/01).</w:t>
      </w:r>
    </w:p>
    <w:p w14:paraId="235DAEE5" w14:textId="77777777" w:rsidR="00CB0FCB" w:rsidRDefault="00CB0FCB">
      <w:pPr>
        <w:spacing w:after="0" w:line="240" w:lineRule="auto"/>
        <w:ind w:firstLine="6"/>
        <w:jc w:val="both"/>
        <w:outlineLvl w:val="3"/>
        <w:rPr>
          <w:rFonts w:ascii="Times New Roman" w:hAnsi="Times New Roman" w:cs="Times New Roman"/>
          <w:b/>
          <w:bCs/>
          <w:noProof/>
          <w:sz w:val="24"/>
        </w:rPr>
      </w:pPr>
    </w:p>
    <w:p w14:paraId="5C0B5C29" w14:textId="77777777" w:rsidR="00CB0FCB" w:rsidRDefault="009D2B11">
      <w:pPr>
        <w:pStyle w:val="P68B1DB1-Normal2"/>
        <w:spacing w:before="120" w:after="120" w:line="240" w:lineRule="auto"/>
        <w:ind w:firstLine="6"/>
        <w:jc w:val="both"/>
        <w:outlineLvl w:val="3"/>
        <w:rPr>
          <w:rFonts w:cs="Times New Roman"/>
          <w:noProof/>
          <w:szCs w:val="24"/>
        </w:rPr>
      </w:pPr>
      <w:r>
        <w:rPr>
          <w:noProof/>
        </w:rPr>
        <w:t>T. SASTĀVDAĻA NR. 5.1: REPowerEU REFORMĀCIJA</w:t>
      </w:r>
    </w:p>
    <w:p w14:paraId="3ADB69FC" w14:textId="77777777" w:rsidR="00CB0FCB" w:rsidRDefault="009D2B11">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T.1. </w:t>
      </w:r>
      <w:r>
        <w:rPr>
          <w:noProof/>
        </w:rPr>
        <w:t xml:space="preserve"> </w:t>
      </w:r>
      <w:r>
        <w:rPr>
          <w:rFonts w:ascii="Times New Roman" w:hAnsi="Times New Roman"/>
          <w:b/>
          <w:noProof/>
          <w:sz w:val="24"/>
          <w:u w:val="single"/>
        </w:rPr>
        <w:t>Reformu un investīciju apraksts neatmaksājamam finansiālajam atbalstam</w:t>
      </w:r>
    </w:p>
    <w:p w14:paraId="0E7DC144" w14:textId="77777777" w:rsidR="00CB0FCB" w:rsidRDefault="009D2B11">
      <w:pPr>
        <w:pStyle w:val="P68B1DB1-Normal4"/>
        <w:spacing w:before="120" w:after="120" w:line="240" w:lineRule="auto"/>
        <w:jc w:val="both"/>
        <w:rPr>
          <w:rFonts w:cs="Times New Roman"/>
          <w:noProof/>
          <w:szCs w:val="24"/>
        </w:rPr>
      </w:pPr>
      <w:r>
        <w:rPr>
          <w:noProof/>
        </w:rPr>
        <w:t>Nodaļā ir ietverts reformu kopums dekarbonizācijas, atjaunīgās enerģijas un atjaunīgo gāzu veicināšanai, tostarp: 1) reforma attiecībā uz tiesiskā regulējuma ieviešanu, lai atļautu un atvieglotu atjaunīgā ūdeņraža un biometāna ražošanu, uzglabāšanu, transportēšanu un izmantošanu, 2) reforma attiecībā uz tiesiskā regulējuma un tirgus darbības satvara izveidi oglekļa uztveršanas, izmantošanas un uzglabāšanas tehnoloģijām, lai veicinātu rūpniecības dekarbonizāciju Grieķijā, 3) reforma attiecībā uz zemes un jūras telpas izmantošanas optimizāciju nolūkā attīstīt atjaunīgo enerģiju, papildus turpmākai tiesiskā regulējuma attīstībai atkrastes vējparku ierīkošanai, reforma, kuras mērķis ir palielināt tīkla un uzkrāšanas jaudu, novēršot tīkla stabilitāti un vājās vietas, 5) viedo tīklu tiesiskā regulējuma reforma, lai paātrinātu viedo un digitālo tehnoloģiju ieviešanu sadales tīklā un veicinātu pieprasījumreakciju galapatērētājam, 6) reforma, kuras mērķis ir veicināt enerģijas koplietošanu, tādējādi veicinot atjaunīgo energoresursu izmantošanu, atļaujot decentralizētu ražošanu un koplietošanu starp vairākām maza mēroga atjaunīgās enerģijas sistēmām, un 7) reforma, ar ko ievieš ceļvedi inovatīvām energoefektivitātes intervencēm, tostarp jaunu uz dotācijām nesaistītu finanšu instrumentu apzināšanu un ieviešanu.</w:t>
      </w:r>
    </w:p>
    <w:p w14:paraId="4DCE73B9" w14:textId="77777777" w:rsidR="00CB0FCB" w:rsidRDefault="00CB0FCB">
      <w:pPr>
        <w:spacing w:before="120" w:after="120" w:line="240" w:lineRule="auto"/>
        <w:jc w:val="both"/>
        <w:rPr>
          <w:rFonts w:ascii="Times New Roman" w:hAnsi="Times New Roman"/>
          <w:b/>
          <w:noProof/>
          <w:sz w:val="24"/>
        </w:rPr>
        <w:sectPr w:rsidR="00CB0FCB" w:rsidSect="00271D33">
          <w:headerReference w:type="even" r:id="rId339"/>
          <w:headerReference w:type="default" r:id="rId340"/>
          <w:footerReference w:type="even" r:id="rId341"/>
          <w:footerReference w:type="default" r:id="rId342"/>
          <w:headerReference w:type="first" r:id="rId343"/>
          <w:footerReference w:type="first" r:id="rId344"/>
          <w:pgSz w:w="11907" w:h="16839"/>
          <w:pgMar w:top="1134" w:right="1417" w:bottom="1134" w:left="1417" w:header="709" w:footer="327" w:gutter="0"/>
          <w:cols w:space="720"/>
          <w:docGrid w:linePitch="360"/>
        </w:sectPr>
      </w:pPr>
    </w:p>
    <w:p w14:paraId="043A4D50" w14:textId="77777777" w:rsidR="00CB0FCB" w:rsidRDefault="009D2B11">
      <w:pPr>
        <w:pStyle w:val="P68B1DB1-Normal4"/>
        <w:spacing w:before="120" w:after="120" w:line="240" w:lineRule="auto"/>
        <w:jc w:val="both"/>
        <w:rPr>
          <w:rFonts w:cs="Times New Roman"/>
          <w:noProof/>
          <w:szCs w:val="24"/>
        </w:rPr>
      </w:pPr>
      <w:r>
        <w:rPr>
          <w:b/>
          <w:noProof/>
        </w:rPr>
        <w:t xml:space="preserve">Reforma: </w:t>
      </w:r>
      <w:r>
        <w:rPr>
          <w:noProof/>
        </w:rPr>
        <w:t>Atjaunīgā ūdeņraža un ilgtspējīga biometāna licencēšanas sistēma (pasākuma ID: 16987)</w:t>
      </w:r>
    </w:p>
    <w:p w14:paraId="4BB4A604" w14:textId="77777777" w:rsidR="00CB0FCB" w:rsidRDefault="009D2B11">
      <w:pPr>
        <w:pStyle w:val="P68B1DB1-Normal4"/>
        <w:spacing w:before="120" w:after="120" w:line="240" w:lineRule="auto"/>
        <w:jc w:val="both"/>
        <w:rPr>
          <w:rFonts w:cs="Times New Roman"/>
          <w:noProof/>
          <w:szCs w:val="24"/>
        </w:rPr>
      </w:pPr>
      <w:r>
        <w:rPr>
          <w:noProof/>
        </w:rPr>
        <w:t>Reformas mērķis ir ieviest nepieciešamos tiesību aktus atjaunīgā ūdeņraža un ilgtspējīga biometāna efektīvai ieviešanai Grieķijā, likvidējot iespējamos šķēršļus un izveidojot procesus atjaunīgo gāzu nozares un tirgu attīstībai. Reforma paredz pieņemt tiesisko regulējumu, kura mērķis ir veicināt atjaunīgā ūdeņraža un ilgtspējīga biometāna ražošanu un patēriņu. Tas attiecas uz licencēšanas un atļauju piešķiršanas procedūru specifikāciju, tostarp noteikumiem par telpisko plānošanu, pārvades, uzglabāšanas un ievadīšanas tīklā tehnisko specifikāciju noteikšanu, dažādu ieinteresēto personu, tostarp iesaistīto publisko iestāžu, lomu precizēšanu, vienlaikus nodrošinot mehānismu, ar ko apliecina, ka saražotais ūdeņradis būtu atjaunīgs un biometāns būtu ilgtspējīgs saskaņā ar jaunākajiem AED II deleģēto aktu noteikumiem.</w:t>
      </w:r>
    </w:p>
    <w:p w14:paraId="6C51CAE1" w14:textId="77777777" w:rsidR="00CB0FCB" w:rsidRDefault="009D2B11">
      <w:pPr>
        <w:pStyle w:val="P68B1DB1-Normal4"/>
        <w:spacing w:before="120" w:after="120" w:line="240" w:lineRule="auto"/>
        <w:jc w:val="both"/>
        <w:rPr>
          <w:rFonts w:cs="Times New Roman"/>
          <w:noProof/>
          <w:szCs w:val="24"/>
        </w:rPr>
      </w:pPr>
      <w:r>
        <w:rPr>
          <w:noProof/>
        </w:rPr>
        <w:t>Reformas īstenošanu pabeidz līdz 2024. gada 30. jūnijam.</w:t>
      </w:r>
    </w:p>
    <w:p w14:paraId="0EE3A1EB" w14:textId="77777777" w:rsidR="00CB0FCB" w:rsidRDefault="009D2B11">
      <w:pPr>
        <w:pStyle w:val="P68B1DB1-Normal4"/>
        <w:spacing w:before="120" w:after="120" w:line="240" w:lineRule="auto"/>
        <w:jc w:val="both"/>
        <w:rPr>
          <w:rFonts w:cs="Times New Roman"/>
          <w:noProof/>
        </w:rPr>
      </w:pPr>
      <w:r>
        <w:rPr>
          <w:b/>
          <w:noProof/>
        </w:rPr>
        <w:t xml:space="preserve">Reforma: </w:t>
      </w:r>
      <w:r>
        <w:rPr>
          <w:noProof/>
        </w:rPr>
        <w:t>Oglekļa uztveršanas, izmantošanas un uzglabāšanas tehnoloģiju regulatīvais un tirgus darbības satvars, lai veicinātu rūpniecības dekarbonizāciju (pasākums ID: 16988)</w:t>
      </w:r>
    </w:p>
    <w:p w14:paraId="4DC773C3" w14:textId="77777777" w:rsidR="00CB0FCB" w:rsidRDefault="009D2B11">
      <w:pPr>
        <w:pStyle w:val="P68B1DB1-Normal4"/>
        <w:spacing w:before="120" w:after="120" w:line="240" w:lineRule="auto"/>
        <w:jc w:val="both"/>
        <w:rPr>
          <w:rFonts w:cs="Times New Roman"/>
          <w:noProof/>
          <w:szCs w:val="24"/>
        </w:rPr>
      </w:pPr>
      <w:r>
        <w:rPr>
          <w:noProof/>
        </w:rPr>
        <w:t>Šīs reformas mērķis ir izveidot tiesisko regulējumu, licencēšanu un tiesisko regulējumu oglekļa uztveršanas, izmantošanas un uzglabāšanas tehnoloģijām. Sistēma ietver visa vajadzīgā tiesiskā un normatīvā regulējuma izstrādi un pieņemšanu attiecībā uz oglekļa uztveršanas, izmantošanas un uzglabāšanas tehnoloģijām un integrē apspriešanās procesu ar attiecīgajām ieinteresētajām personām. Konkrēti nosaka šādus procesus:</w:t>
      </w:r>
    </w:p>
    <w:p w14:paraId="77B0CCF0" w14:textId="77777777" w:rsidR="00CB0FCB" w:rsidRDefault="009D2B11">
      <w:pPr>
        <w:pStyle w:val="P68B1DB1-ListParagraph19"/>
        <w:numPr>
          <w:ilvl w:val="0"/>
          <w:numId w:val="76"/>
        </w:numPr>
        <w:spacing w:before="120" w:after="120" w:line="240" w:lineRule="auto"/>
        <w:jc w:val="both"/>
        <w:rPr>
          <w:rFonts w:cs="Times New Roman"/>
          <w:noProof/>
        </w:rPr>
      </w:pPr>
      <w:r>
        <w:rPr>
          <w:noProof/>
        </w:rPr>
        <w:t>Izstrādāt licencēšanas sistēmu oglekļa uztveršanas, izmantošanas un uzglabāšanas tehnoloģiju uzstādīšanai un ekspluatācijai, tostarp izdot vides atļaujas apstiprinājumu.</w:t>
      </w:r>
    </w:p>
    <w:p w14:paraId="54B30FDE" w14:textId="77777777" w:rsidR="00CB0FCB" w:rsidRDefault="009D2B11">
      <w:pPr>
        <w:pStyle w:val="P68B1DB1-ListParagraph19"/>
        <w:numPr>
          <w:ilvl w:val="0"/>
          <w:numId w:val="76"/>
        </w:numPr>
        <w:spacing w:before="120" w:after="120" w:line="240" w:lineRule="auto"/>
        <w:jc w:val="both"/>
        <w:rPr>
          <w:rFonts w:cs="Times New Roman"/>
          <w:noProof/>
        </w:rPr>
      </w:pPr>
      <w:r>
        <w:rPr>
          <w:noProof/>
        </w:rPr>
        <w:t>Izveidot attiecīgu standartizācijas un sertifikācijas procesu attiecībā uz uztvertajām un uzglabātajām CO</w:t>
      </w:r>
      <w:r>
        <w:rPr>
          <w:noProof/>
          <w:vertAlign w:val="subscript"/>
        </w:rPr>
        <w:t>2</w:t>
      </w:r>
      <w:r>
        <w:rPr>
          <w:noProof/>
        </w:rPr>
        <w:t xml:space="preserve"> emisijām.</w:t>
      </w:r>
    </w:p>
    <w:p w14:paraId="74749B13" w14:textId="77777777" w:rsidR="00CB0FCB" w:rsidRDefault="009D2B11">
      <w:pPr>
        <w:pStyle w:val="P68B1DB1-ListParagraph19"/>
        <w:numPr>
          <w:ilvl w:val="0"/>
          <w:numId w:val="76"/>
        </w:numPr>
        <w:spacing w:before="120" w:after="120" w:line="240" w:lineRule="auto"/>
        <w:jc w:val="both"/>
        <w:rPr>
          <w:rFonts w:cs="Times New Roman"/>
          <w:noProof/>
        </w:rPr>
      </w:pPr>
      <w:r>
        <w:rPr>
          <w:noProof/>
        </w:rPr>
        <w:t>Tiesiskā regulējuma izstrāde CCS vērtības ķēdei attiecībā uz uzglabāšanas un transporta maksām. Satvars ietver veicinošus noteikumus attiecībā uz cenu starpības līgumiem, kā arī reglamentētus tarifus. Sistēmas izveide uztvertā CO2 izmantošanai/izmantošanai</w:t>
      </w:r>
    </w:p>
    <w:p w14:paraId="386E2987" w14:textId="77777777" w:rsidR="00CB0FCB" w:rsidRDefault="009D2B11">
      <w:pPr>
        <w:pStyle w:val="P68B1DB1-ListParagraph19"/>
        <w:numPr>
          <w:ilvl w:val="0"/>
          <w:numId w:val="76"/>
        </w:numPr>
        <w:spacing w:before="120" w:after="120" w:line="240" w:lineRule="auto"/>
        <w:jc w:val="both"/>
        <w:rPr>
          <w:rFonts w:cs="Times New Roman"/>
          <w:noProof/>
        </w:rPr>
      </w:pPr>
      <w:r>
        <w:rPr>
          <w:noProof/>
        </w:rPr>
        <w:t>Trešo personu piekļuves sistēmas pieņemšana tīkla/transporta infrastruktūrā un uzglabāšanas iekārtā.</w:t>
      </w:r>
    </w:p>
    <w:p w14:paraId="753C032C" w14:textId="77777777" w:rsidR="00CB0FCB" w:rsidRDefault="009D2B11">
      <w:pPr>
        <w:pStyle w:val="P68B1DB1-ListParagraph19"/>
        <w:numPr>
          <w:ilvl w:val="0"/>
          <w:numId w:val="76"/>
        </w:numPr>
        <w:spacing w:before="120" w:after="120" w:line="240" w:lineRule="auto"/>
        <w:jc w:val="both"/>
        <w:rPr>
          <w:rFonts w:cs="Times New Roman"/>
          <w:noProof/>
        </w:rPr>
      </w:pPr>
      <w:r>
        <w:rPr>
          <w:noProof/>
        </w:rPr>
        <w:t>Dažādu ieinteresēto personu atsevišķu pienākumu noteikšana attiecībā uz oglekļa uztveršanas, izmantošanas un uzglabāšanas tehnoloģiju darbību un attiecīgā tirgus uzraudzību.</w:t>
      </w:r>
    </w:p>
    <w:p w14:paraId="1A5294BD" w14:textId="77777777" w:rsidR="00CB0FCB" w:rsidRDefault="009D2B11">
      <w:pPr>
        <w:pStyle w:val="P68B1DB1-Normal4"/>
        <w:rPr>
          <w:rFonts w:eastAsiaTheme="minorHAnsi" w:cs="Calibri"/>
          <w:noProof/>
        </w:rPr>
      </w:pPr>
      <w:r>
        <w:rPr>
          <w:noProof/>
        </w:rPr>
        <w:t>Pasākums atbilst tehniskajiem norādījumiem “Nenodari būtisku kaitējumu” (2021/C58/01).</w:t>
      </w:r>
    </w:p>
    <w:p w14:paraId="21D445E7" w14:textId="77777777" w:rsidR="00CB0FCB" w:rsidRDefault="009D2B11">
      <w:pPr>
        <w:pStyle w:val="P68B1DB1-Normal4"/>
        <w:spacing w:before="120" w:after="120" w:line="240" w:lineRule="auto"/>
        <w:jc w:val="both"/>
        <w:rPr>
          <w:rFonts w:cs="Times New Roman"/>
          <w:noProof/>
        </w:rPr>
      </w:pPr>
      <w:r>
        <w:rPr>
          <w:noProof/>
        </w:rPr>
        <w:t xml:space="preserve">Reformas īstenošanu pabeidz līdz 2024. gada 30. jūnijam. </w:t>
      </w:r>
    </w:p>
    <w:p w14:paraId="43270BC7" w14:textId="77777777" w:rsidR="00CB0FCB" w:rsidRDefault="009D2B11">
      <w:pPr>
        <w:pStyle w:val="P68B1DB1-Normal4"/>
        <w:spacing w:before="120" w:after="120" w:line="240" w:lineRule="auto"/>
        <w:jc w:val="both"/>
        <w:rPr>
          <w:rFonts w:cs="Times New Roman"/>
          <w:noProof/>
        </w:rPr>
      </w:pPr>
      <w:r>
        <w:rPr>
          <w:b/>
          <w:noProof/>
        </w:rPr>
        <w:t xml:space="preserve">Reforma: Zemes un jūras telpas izmantošanas </w:t>
      </w:r>
      <w:r>
        <w:rPr>
          <w:noProof/>
        </w:rPr>
        <w:t>optimizācija AER un atkrastes vēja enerģijas attīstīšanai (pasākums ID: 16989)</w:t>
      </w:r>
    </w:p>
    <w:p w14:paraId="4BFBA4FD" w14:textId="77777777" w:rsidR="00CB0FCB" w:rsidRDefault="009D2B11">
      <w:pPr>
        <w:pStyle w:val="P68B1DB1-Normal4"/>
        <w:spacing w:before="120" w:after="120" w:line="240" w:lineRule="auto"/>
        <w:jc w:val="both"/>
        <w:rPr>
          <w:rFonts w:cs="Times New Roman"/>
          <w:noProof/>
          <w:szCs w:val="24"/>
        </w:rPr>
      </w:pPr>
      <w:r>
        <w:rPr>
          <w:noProof/>
        </w:rPr>
        <w:t>Šīs reformas mērķis ir veicināt atjaunojamo enerģijas avotu (turpmāk “AER”) turpmāku attīstību Grieķijā. Reforma sastāv no diviem pīlāriem:</w:t>
      </w:r>
    </w:p>
    <w:p w14:paraId="0FF553A2" w14:textId="77777777" w:rsidR="00CB0FCB" w:rsidRDefault="009D2B11">
      <w:pPr>
        <w:pStyle w:val="P68B1DB1-ListParagraph19"/>
        <w:numPr>
          <w:ilvl w:val="0"/>
          <w:numId w:val="73"/>
        </w:numPr>
        <w:spacing w:before="120" w:after="120" w:line="240" w:lineRule="auto"/>
        <w:jc w:val="both"/>
        <w:rPr>
          <w:rFonts w:cs="Times New Roman"/>
          <w:noProof/>
          <w:szCs w:val="24"/>
        </w:rPr>
      </w:pPr>
      <w:r>
        <w:rPr>
          <w:noProof/>
        </w:rPr>
        <w:t>Pīlārs — Stiprināt tiesisko regulējumu attiecībā uz atkrastes vējparkiem (kā izklāstīts Likumā Nr. 4964/2022 “Noteikumi vides licencēšanas vienkāršošanai, satvara izveide atkrastes vēja enerģijas parku attīstībai, enerģētikas krīzes pārvarēšanai, vides aizsardzība un citi noteikumi”, OV A 150/30.07.2022.), nosakot pirmās atkrastes vēja enerģijas projektu izstrādes teritorijas; un</w:t>
      </w:r>
    </w:p>
    <w:p w14:paraId="51961989" w14:textId="77777777" w:rsidR="00CB0FCB" w:rsidRDefault="009D2B11">
      <w:pPr>
        <w:pStyle w:val="ListParagraph"/>
        <w:numPr>
          <w:ilvl w:val="0"/>
          <w:numId w:val="7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Pīlārs: Pārskatīt (pētījuma veidā) pašreizējo AER projektu attīstības telpisko izkliedi un optimizēt zemes izmantošanu jaunam AER potenciālam Grieķijā. Papildus stratēģiskajam vides novērtējumam, kas attiecas uz šīm teritorijām, pētījumā nosaka optimālās teritorijas, kurās varētu veikt AER projektus Grieķijā. Turklāt stājas spēkā holistisks politikas satvars zemes divējādai izmantošanai lauksaimniecībā un saules fotoelementu ražošanai, lai veicinātu agrofotoelementu uzstādīšanu.</w:t>
      </w:r>
    </w:p>
    <w:p w14:paraId="065E72A4" w14:textId="77777777" w:rsidR="00CB0FCB" w:rsidRDefault="009D2B11">
      <w:pPr>
        <w:pStyle w:val="P68B1DB1-Normal4"/>
        <w:spacing w:before="120" w:after="120" w:line="240" w:lineRule="auto"/>
        <w:jc w:val="both"/>
        <w:rPr>
          <w:rFonts w:cs="Times New Roman"/>
          <w:noProof/>
        </w:rPr>
      </w:pPr>
      <w:r>
        <w:rPr>
          <w:noProof/>
        </w:rPr>
        <w:t xml:space="preserve">Reformas īstenošanu pabeidz līdz 2025. gada 30. jūnijam. </w:t>
      </w:r>
    </w:p>
    <w:p w14:paraId="4960ED27" w14:textId="77777777" w:rsidR="00CB0FCB" w:rsidRDefault="009D2B11">
      <w:pPr>
        <w:pStyle w:val="P68B1DB1-Normal4"/>
        <w:spacing w:before="120" w:after="120" w:line="240" w:lineRule="auto"/>
        <w:jc w:val="both"/>
        <w:rPr>
          <w:rFonts w:cs="Times New Roman"/>
          <w:noProof/>
        </w:rPr>
      </w:pPr>
      <w:r>
        <w:rPr>
          <w:b/>
          <w:noProof/>
        </w:rPr>
        <w:t xml:space="preserve">Reforma: </w:t>
      </w:r>
      <w:r>
        <w:rPr>
          <w:noProof/>
        </w:rPr>
        <w:t>Tīkla un uzglabāšanas jauda — ieguldījumu akumulēšanā veicināšana (pasākuma ID: 16990)</w:t>
      </w:r>
    </w:p>
    <w:p w14:paraId="2676D1E7" w14:textId="77777777" w:rsidR="00CB0FCB" w:rsidRDefault="009D2B11">
      <w:pPr>
        <w:pStyle w:val="P68B1DB1-Normal4"/>
        <w:spacing w:before="120" w:after="120" w:line="240" w:lineRule="auto"/>
        <w:jc w:val="both"/>
        <w:rPr>
          <w:rFonts w:cs="Times New Roman"/>
          <w:noProof/>
          <w:szCs w:val="24"/>
        </w:rPr>
      </w:pPr>
      <w:r>
        <w:rPr>
          <w:noProof/>
        </w:rPr>
        <w:t xml:space="preserve">Šīs reformas mērķis ir veicināt investīcijas enerģijas uzkrāšanas risinājumos gan kā atsevišķas vienības, gan kā uzkrāšanu apvienojumā ar atjaunojamiem energoresursiem. Programmas mērķis ir izveidot satvaru, kas galu galā atbalstīs vismaz 900 MW atsevišķu akumulatoru uzkrāšanas projektu, apvienojot ieguldījumu atbalstu. Reforma sasniedz savus mērķus, veicot šādus pasākumus: </w:t>
      </w:r>
    </w:p>
    <w:p w14:paraId="375F5180" w14:textId="77777777" w:rsidR="00CB0FCB" w:rsidRDefault="009D2B11">
      <w:pPr>
        <w:pStyle w:val="P68B1DB1-ListParagraph19"/>
        <w:numPr>
          <w:ilvl w:val="0"/>
          <w:numId w:val="79"/>
        </w:numPr>
        <w:spacing w:before="120" w:after="120" w:line="240" w:lineRule="auto"/>
        <w:jc w:val="both"/>
        <w:rPr>
          <w:rFonts w:cs="Times New Roman"/>
          <w:noProof/>
          <w:szCs w:val="24"/>
        </w:rPr>
      </w:pPr>
      <w:r>
        <w:rPr>
          <w:noProof/>
        </w:rPr>
        <w:t xml:space="preserve">Tāda tiesiskā un normatīvā regulējuma pieņemšanu, kas atvieglo uzkrāšanas bloku uzstādīšanu esošajās vai jaunajās atjaunojamo energoresursu elektrostacijās. Tas uzlabo un papildina tiesisko un normatīvo regulējumu, lai ļautu integrēt uzglabāšanu atjaunojamo energoresursu elektrostacijās un veicinātu jaunus projektus, piešķirot tiem prioritāti licencēšanas procedūrās un piekļuvē tīklam; un </w:t>
      </w:r>
    </w:p>
    <w:p w14:paraId="5EC67962" w14:textId="77777777" w:rsidR="00CB0FCB" w:rsidRDefault="009D2B11">
      <w:pPr>
        <w:pStyle w:val="P68B1DB1-ListParagraph19"/>
        <w:numPr>
          <w:ilvl w:val="0"/>
          <w:numId w:val="79"/>
        </w:numPr>
        <w:spacing w:before="120" w:after="120" w:line="240" w:lineRule="auto"/>
        <w:jc w:val="both"/>
        <w:rPr>
          <w:rFonts w:cs="Times New Roman"/>
          <w:noProof/>
          <w:szCs w:val="24"/>
        </w:rPr>
      </w:pPr>
      <w:r>
        <w:rPr>
          <w:noProof/>
        </w:rPr>
        <w:t xml:space="preserve">Īstenot mērķtiecīgus stimulus apvienotām atjaunīgo energoresursu un uzkrāšanas vienībām, kas ietver stimulu izstrādi un pieņemšanu, lai veicinātu investīcijas kombinētā atjaunojamo energoresursu ražošanā un enerģijas uzkrāšanā. </w:t>
      </w:r>
    </w:p>
    <w:p w14:paraId="7F2B954A" w14:textId="77777777" w:rsidR="00CB0FCB" w:rsidRDefault="009D2B11">
      <w:pPr>
        <w:pStyle w:val="P68B1DB1-Normal4"/>
        <w:spacing w:before="120" w:after="120" w:line="240" w:lineRule="auto"/>
        <w:jc w:val="both"/>
        <w:rPr>
          <w:rFonts w:cs="Times New Roman"/>
          <w:noProof/>
          <w:szCs w:val="24"/>
        </w:rPr>
      </w:pPr>
      <w:r>
        <w:rPr>
          <w:noProof/>
        </w:rPr>
        <w:t xml:space="preserve">Reformas īstenošanu pabeidz līdz 2025. gada 30. jūnijam. </w:t>
      </w:r>
    </w:p>
    <w:p w14:paraId="38876953" w14:textId="77777777" w:rsidR="00CB0FCB" w:rsidRDefault="009D2B11">
      <w:pPr>
        <w:pStyle w:val="P68B1DB1-Normal4"/>
        <w:spacing w:before="120" w:after="120" w:line="240" w:lineRule="auto"/>
        <w:jc w:val="both"/>
        <w:rPr>
          <w:rFonts w:cs="Times New Roman"/>
          <w:noProof/>
          <w:szCs w:val="24"/>
        </w:rPr>
      </w:pPr>
      <w:r>
        <w:rPr>
          <w:b/>
          <w:noProof/>
        </w:rPr>
        <w:t>Reforma:</w:t>
      </w:r>
      <w:r>
        <w:rPr>
          <w:noProof/>
        </w:rPr>
        <w:t xml:space="preserve"> Tiesiskais regulējums virzībā uz viedo tīklu (pasākuma ID: 16991)</w:t>
      </w:r>
    </w:p>
    <w:p w14:paraId="3DE06986" w14:textId="77777777" w:rsidR="00CB0FCB" w:rsidRDefault="009D2B11">
      <w:pPr>
        <w:pStyle w:val="P68B1DB1-Normal4"/>
        <w:spacing w:before="120" w:after="120" w:line="240" w:lineRule="auto"/>
        <w:jc w:val="both"/>
        <w:rPr>
          <w:rFonts w:cs="Times New Roman"/>
          <w:noProof/>
          <w:szCs w:val="24"/>
        </w:rPr>
      </w:pPr>
      <w:r>
        <w:rPr>
          <w:noProof/>
        </w:rPr>
        <w:t xml:space="preserve">Šīs reformas mērķis ir veicināt viedo tīklu tehnoloģijas un praksi Grieķijas elektroenerģijas tirgū. Viedtīklu redzējuma pamatā attiecībā uz valsti ir spēja uzraudzīt un kontrolēt slodzes un plūsmas sadales tīklā; kontroles tehnoloģiju integrācija telekomunikāciju tīklos, lai veicinātu aktīvu un patērētāju, kā arī tirgus dalībnieku iesaisti reāllaikā; un labvēlīga tiesiskā un regulatīvā satvara pieņemšana, lai veicinātu ātru tehnoloģiju ieviešanu un klientu iesaistīšanu. Reformas politikas mērķi ir paātrināt viedo un digitālo tehnoloģiju ieviešanu sadales tīklā un censties efektīvāk pārvaldīt enerģijas patēriņu galapatērētājam. </w:t>
      </w:r>
    </w:p>
    <w:p w14:paraId="653D0162" w14:textId="77777777" w:rsidR="00CB0FCB" w:rsidRDefault="009D2B11">
      <w:pPr>
        <w:pStyle w:val="P68B1DB1-Normal4"/>
        <w:spacing w:before="120" w:after="120" w:line="240" w:lineRule="auto"/>
        <w:jc w:val="both"/>
        <w:rPr>
          <w:rFonts w:cs="Times New Roman"/>
          <w:noProof/>
        </w:rPr>
      </w:pPr>
      <w:r>
        <w:rPr>
          <w:noProof/>
        </w:rPr>
        <w:t>Ierosināto reformu īstenošana ir plānota trīs atsevišķās tematiskajās jomās:</w:t>
      </w:r>
    </w:p>
    <w:p w14:paraId="706B0648" w14:textId="77777777" w:rsidR="00CB0FCB" w:rsidRDefault="009D2B11">
      <w:pPr>
        <w:pStyle w:val="P68B1DB1-Normal4"/>
        <w:numPr>
          <w:ilvl w:val="0"/>
          <w:numId w:val="72"/>
        </w:numPr>
        <w:spacing w:before="120" w:after="120" w:line="240" w:lineRule="auto"/>
        <w:jc w:val="both"/>
        <w:rPr>
          <w:rFonts w:cs="Times New Roman"/>
          <w:noProof/>
          <w:szCs w:val="24"/>
        </w:rPr>
      </w:pPr>
      <w:r>
        <w:rPr>
          <w:noProof/>
        </w:rPr>
        <w:t>Pīlārs — Viedo skaitītāju ieviešanas un izmantošanas stimulu sistēmas attīstība. Reforma jo īpaši ietver sodu un/vai atlīdzības sistēmas izstrādi sadales sistēmas operatoram, izmantojot tarifu mehānismu, ar nosacījumu, ka tiek sasniegti konkrēti galvenie darbības rādītāji, kas saistīti ar viedo tīklu ieviešanu un uzraudzību.</w:t>
      </w:r>
    </w:p>
    <w:p w14:paraId="54DCF7C2" w14:textId="77777777" w:rsidR="00CB0FCB" w:rsidRDefault="009D2B11">
      <w:pPr>
        <w:pStyle w:val="P68B1DB1-Normal4"/>
        <w:numPr>
          <w:ilvl w:val="0"/>
          <w:numId w:val="72"/>
        </w:numPr>
        <w:spacing w:before="120" w:after="120" w:line="240" w:lineRule="auto"/>
        <w:jc w:val="both"/>
        <w:rPr>
          <w:rFonts w:cs="Times New Roman"/>
          <w:noProof/>
          <w:szCs w:val="24"/>
        </w:rPr>
      </w:pPr>
      <w:r>
        <w:rPr>
          <w:noProof/>
        </w:rPr>
        <w:t>Pīlārs: Attiecībā uz sadales tīkla pārvaldības digitalizāciju sadales tīkla digitalizāciju panāk, Grieķijas sadales sistēmas operatoram izveidojot aktīvu kontroles centru. Projekta darbības joma attiecas uz atlikušo triju Grieķijas sadales sistēmas operatora reģionu sadales tīkla kontroles centru modernizāciju, uzstādot jaunu uzraudzības kontroles un datu ieguves un datu pārvaldības sistēmu (SCADA-DMS) un sazinoties ar tālvadības raidītājiem (RTU) augstsprieguma/vidējā sprieguma (HV/MT) apakšstacijās, kā arī izveidojot nepieciešamo atbalsta infrastruktūru trim integrētajiem centriem. Projekta mērķis ir uzlabot tīkla uzticamību, kvalitātes rādītājus, kā arī tīkla vājos punktus, ietaupīt resursus, efektīvāk pārvaldīt cilvēkresursus atvienojumu laikā un labāk un ātrāk novērst kļūmes, pārvaldīt iekārtu energoslodzi lielāka pieprasījuma periodos un ierobežot jaudas un enerģijas zudumus Tīklā, kā arī uzlabot tīkla pārvaldības spējas.</w:t>
      </w:r>
    </w:p>
    <w:p w14:paraId="3C19B434" w14:textId="77777777" w:rsidR="00CB0FCB" w:rsidRDefault="009D2B11">
      <w:pPr>
        <w:pStyle w:val="P68B1DB1-Normal37"/>
        <w:numPr>
          <w:ilvl w:val="0"/>
          <w:numId w:val="72"/>
        </w:numPr>
        <w:spacing w:before="120" w:after="120" w:line="240" w:lineRule="auto"/>
        <w:jc w:val="both"/>
        <w:rPr>
          <w:rFonts w:cs="Times New Roman"/>
          <w:noProof/>
          <w:sz w:val="24"/>
          <w:szCs w:val="24"/>
        </w:rPr>
      </w:pPr>
      <w:r>
        <w:rPr>
          <w:noProof/>
          <w:sz w:val="24"/>
        </w:rPr>
        <w:t>Pīlārs. Dinamisko cenu noteikšanas sistēma attiecas uz Direktīvas 2019/944 11. panta prasībām, kas jau ir transponētas valsts tiesību aktos. Reforma ir sekundāro tiesību aktu un satvara pieņemšana, lai ieviestu dinamisku cenu noteikšanu visiem galapatērētājiem, tiklīdz viedais skaitītājs ir uzstādīts to pakalpojumu savienojumā. Dinamisko cenu noteikšanas līgumu īstenošanu izstrādā Vides un enerģētikas ministrija, pieņemot kopīgu ministru lēmumu, kurā izklāstīti projektēšanas jautājumi, dinamisko līgumu galvenie noteikumi. Ar kopīgo ministru lēmumu nosaka operatoru, slodzes pārstāvju un klientu tiesības un pienākumus saistībā ar dinamiskas cenu noteikšanas īstenošanu. Turklāt reforma ietver grozījumus attiecīgajos valstu tīkla kodeksos (pārvade un sadale), lai nodrošinātu to pienācīgu īstenošanu.</w:t>
      </w:r>
      <w:r>
        <w:rPr>
          <w:noProof/>
        </w:rPr>
        <w:t xml:space="preserve"> </w:t>
      </w:r>
    </w:p>
    <w:p w14:paraId="412309DB" w14:textId="77777777" w:rsidR="00CB0FCB" w:rsidRDefault="009D2B11">
      <w:pPr>
        <w:pStyle w:val="P68B1DB1-Normal4"/>
        <w:spacing w:before="120" w:after="120" w:line="240" w:lineRule="auto"/>
        <w:jc w:val="both"/>
        <w:rPr>
          <w:rFonts w:cs="Times New Roman"/>
          <w:noProof/>
          <w:szCs w:val="24"/>
        </w:rPr>
      </w:pPr>
      <w:r>
        <w:rPr>
          <w:noProof/>
        </w:rPr>
        <w:t xml:space="preserve">Reformas īstenošanu pabeidz līdz 2025. gada 31. decembrim. </w:t>
      </w:r>
    </w:p>
    <w:p w14:paraId="783DDDAA" w14:textId="77777777" w:rsidR="00CB0FCB" w:rsidRDefault="00CB0FCB">
      <w:pPr>
        <w:spacing w:before="120" w:after="120" w:line="240" w:lineRule="auto"/>
        <w:jc w:val="both"/>
        <w:rPr>
          <w:rFonts w:ascii="Times New Roman" w:hAnsi="Times New Roman" w:cs="Times New Roman"/>
          <w:noProof/>
          <w:sz w:val="24"/>
        </w:rPr>
      </w:pPr>
    </w:p>
    <w:p w14:paraId="786DAB0E" w14:textId="77777777" w:rsidR="00CB0FCB" w:rsidRDefault="009D2B11">
      <w:pPr>
        <w:pStyle w:val="P68B1DB1-Normal4"/>
        <w:spacing w:before="120" w:after="120" w:line="240" w:lineRule="auto"/>
        <w:jc w:val="both"/>
        <w:rPr>
          <w:rFonts w:cs="Times New Roman"/>
          <w:noProof/>
          <w:szCs w:val="24"/>
        </w:rPr>
      </w:pPr>
      <w:r>
        <w:rPr>
          <w:b/>
          <w:noProof/>
        </w:rPr>
        <w:t xml:space="preserve">Reforma: </w:t>
      </w:r>
      <w:r>
        <w:rPr>
          <w:noProof/>
        </w:rPr>
        <w:t>Instrumentu kopums enerģijas koplietošanas, pašpatēriņa un atjaunojamās enerģijas kopienu veicināšanai (pasākuma ID: 16992)</w:t>
      </w:r>
    </w:p>
    <w:p w14:paraId="2248324C" w14:textId="77777777" w:rsidR="00CB0FCB" w:rsidRDefault="009D2B11">
      <w:pPr>
        <w:pStyle w:val="P68B1DB1-Normal4"/>
        <w:spacing w:before="120" w:after="120" w:line="240" w:lineRule="auto"/>
        <w:jc w:val="both"/>
        <w:rPr>
          <w:rFonts w:cs="Times New Roman"/>
          <w:noProof/>
          <w:szCs w:val="24"/>
        </w:rPr>
      </w:pPr>
      <w:r>
        <w:rPr>
          <w:noProof/>
        </w:rPr>
        <w:t>Šīs reformas mērķis ir ieviest holistisku politikas iniciatīvu un instrumentu kopumu, lai veicinātu enerģijas koplietošanu. Reforma paredz šādas darbības:</w:t>
      </w:r>
    </w:p>
    <w:p w14:paraId="46BE4AFA" w14:textId="77777777" w:rsidR="00CB0FCB" w:rsidRDefault="009D2B11">
      <w:pPr>
        <w:pStyle w:val="P68B1DB1-ListParagraph19"/>
        <w:numPr>
          <w:ilvl w:val="0"/>
          <w:numId w:val="75"/>
        </w:numPr>
        <w:spacing w:before="120" w:after="120" w:line="240" w:lineRule="auto"/>
        <w:jc w:val="both"/>
        <w:rPr>
          <w:rFonts w:cs="Times New Roman"/>
          <w:noProof/>
          <w:szCs w:val="24"/>
        </w:rPr>
      </w:pPr>
      <w:r>
        <w:rPr>
          <w:noProof/>
        </w:rPr>
        <w:t>AER staciju uzstādīšanas veicināšana un paātrināšana ēkās;</w:t>
      </w:r>
    </w:p>
    <w:p w14:paraId="0D4F2999" w14:textId="4E5647EF" w:rsidR="00CB0FCB" w:rsidRDefault="009D2B11">
      <w:pPr>
        <w:pStyle w:val="P68B1DB1-ListParagraph19"/>
        <w:numPr>
          <w:ilvl w:val="0"/>
          <w:numId w:val="75"/>
        </w:numPr>
        <w:spacing w:before="120" w:after="120" w:line="240" w:lineRule="auto"/>
        <w:jc w:val="both"/>
        <w:rPr>
          <w:noProof/>
        </w:rPr>
      </w:pPr>
      <w:r>
        <w:rPr>
          <w:noProof/>
        </w:rPr>
        <w:t>Ieviest nepieciešamo tiesisko regulējumu, lai īstenotu pašpatēriņu, kolektīvo pašpatēriņu un pašpatēriņu ar virtuāliem neto rēķiniem saskaņā ar Likumu 5037/2023;</w:t>
      </w:r>
    </w:p>
    <w:p w14:paraId="5F12725D" w14:textId="77777777" w:rsidR="00CB0FCB" w:rsidRDefault="009D2B11">
      <w:pPr>
        <w:pStyle w:val="P68B1DB1-Normal4"/>
        <w:rPr>
          <w:noProof/>
        </w:rPr>
      </w:pPr>
      <w:r>
        <w:rPr>
          <w:noProof/>
        </w:rPr>
        <w:br w:type="page"/>
      </w:r>
    </w:p>
    <w:p w14:paraId="30FB7EB7" w14:textId="77777777" w:rsidR="00CB0FCB" w:rsidRDefault="009D2B11">
      <w:pPr>
        <w:pStyle w:val="P68B1DB1-ListParagraph19"/>
        <w:numPr>
          <w:ilvl w:val="0"/>
          <w:numId w:val="75"/>
        </w:numPr>
        <w:jc w:val="both"/>
        <w:rPr>
          <w:rFonts w:cs="Times New Roman"/>
          <w:noProof/>
          <w:szCs w:val="24"/>
        </w:rPr>
      </w:pPr>
      <w:r>
        <w:rPr>
          <w:noProof/>
        </w:rPr>
        <w:t xml:space="preserve">Pašpatērētāju reģistra izveide un tehniskās palīdzības pasākumu izstrāde un īstenošana atjaunojamās enerģijas kopienām un pilsoņu energokopienām, kas sniedz tehnisku un konsultatīvu atbalstu Kopienām, juridisko palīdzību un piedāvā risinājumus konstatētajiem šķēršļiem, sniedz informāciju par to, kā izveidot projektus, procesus un kā piekļūt finansējumam. Papildus sniegtajai tehniskajai palīdzībai pasākumi arī palīdz izstrādāt spēju veidošanas materiālus, komunikācijas un izpratnes veidošanas kampaņas, informatīvas iniciatīvas un pasākumus (piemēram, darbseminārus). </w:t>
      </w:r>
    </w:p>
    <w:p w14:paraId="3B390BCC" w14:textId="77777777" w:rsidR="00CB0FCB" w:rsidRDefault="009D2B11">
      <w:pPr>
        <w:pStyle w:val="P68B1DB1-Normal4"/>
        <w:spacing w:before="120" w:after="120" w:line="240" w:lineRule="auto"/>
        <w:jc w:val="both"/>
        <w:rPr>
          <w:rFonts w:cs="Times New Roman"/>
          <w:noProof/>
          <w:szCs w:val="24"/>
        </w:rPr>
      </w:pPr>
      <w:r>
        <w:rPr>
          <w:noProof/>
        </w:rPr>
        <w:t>Reformas īstenošanu pabeidz līdz 2025. gada 31. martam.</w:t>
      </w:r>
    </w:p>
    <w:p w14:paraId="1686585E" w14:textId="77777777" w:rsidR="00CB0FCB" w:rsidRDefault="00CB0FCB">
      <w:pPr>
        <w:spacing w:before="120" w:after="120" w:line="240" w:lineRule="auto"/>
        <w:jc w:val="both"/>
        <w:rPr>
          <w:rFonts w:ascii="Times New Roman" w:hAnsi="Times New Roman" w:cs="Times New Roman"/>
          <w:noProof/>
          <w:sz w:val="24"/>
        </w:rPr>
      </w:pPr>
    </w:p>
    <w:p w14:paraId="3AF8DE06" w14:textId="77777777" w:rsidR="00CB0FCB" w:rsidRDefault="009D2B11">
      <w:pPr>
        <w:pStyle w:val="P68B1DB1-Normal4"/>
        <w:spacing w:before="120" w:after="120" w:line="240" w:lineRule="auto"/>
        <w:jc w:val="both"/>
        <w:rPr>
          <w:rFonts w:cs="Times New Roman"/>
          <w:noProof/>
        </w:rPr>
      </w:pPr>
      <w:r>
        <w:rPr>
          <w:b/>
          <w:noProof/>
        </w:rPr>
        <w:t xml:space="preserve">Reforma: </w:t>
      </w:r>
      <w:r>
        <w:rPr>
          <w:noProof/>
        </w:rPr>
        <w:t>Ceļvedis inovatīvām energoefektivitātes intervencēm un jaunu finanšu instrumentu apzināšanai (pasākuma ID: 16993)</w:t>
      </w:r>
    </w:p>
    <w:p w14:paraId="786A57C7" w14:textId="77777777" w:rsidR="00CB0FCB" w:rsidRDefault="009D2B11">
      <w:pPr>
        <w:pStyle w:val="P68B1DB1-Normal4"/>
        <w:spacing w:before="120" w:after="120" w:line="240" w:lineRule="auto"/>
        <w:jc w:val="both"/>
        <w:rPr>
          <w:rFonts w:cs="Times New Roman"/>
          <w:noProof/>
        </w:rPr>
      </w:pPr>
      <w:r>
        <w:rPr>
          <w:noProof/>
        </w:rPr>
        <w:t xml:space="preserve">Šīs reformas mērķis ir izveidot ceļvedi inovatīvām energoefektivitātes intervencēm, tostarp ar dotācijām nesaistītu finanšu instrumentu ieviešanai, lai vēl vairāk veicinātu īpašumā esošu vai izīrētu mājokļu pamatīgu renovāciju, kā arī rūpniecisko ēku pamatīgu renovāciju. Jaunais ar dotācijām nesaistītais finanšu instruments paredz vai nu fiskālus stimulus, subsidētus vai garantētus aizdevumus un citus finanšu instrumentus, lai atbalstītu investīcijas ēku energoefektivitātē. Šī reforma iezīmē pāreju no finanšu instrumentiem, kuru pamatā ir dotācijas, un paredzams, ka tie palielinās atbalstāmo ēku skaitu. Reforma i) pabeidz ceļvedi, kurā noteiktas inovatīvas energoefektivitātes intervences; un ii) ieviest energoefektivitātes finanšu instrumentu, kā izklāstīts ceļvedī un balstīts uz finanšu avotiem, kas nav dotācijas. </w:t>
      </w:r>
    </w:p>
    <w:p w14:paraId="22B67810" w14:textId="77777777" w:rsidR="00CB0FCB" w:rsidRDefault="009D2B11">
      <w:pPr>
        <w:pStyle w:val="P68B1DB1-Normal4"/>
        <w:spacing w:before="120" w:after="120" w:line="240" w:lineRule="auto"/>
        <w:jc w:val="both"/>
        <w:rPr>
          <w:rFonts w:cs="Times New Roman"/>
          <w:noProof/>
        </w:rPr>
      </w:pPr>
      <w:r>
        <w:rPr>
          <w:noProof/>
        </w:rPr>
        <w:t>Reformas īstenošanu pabeidz līdz 2025. gada 30. septembrim.</w:t>
      </w:r>
    </w:p>
    <w:p w14:paraId="4D28C093" w14:textId="77777777" w:rsidR="00CB0FCB" w:rsidRDefault="00CB0FCB">
      <w:pPr>
        <w:spacing w:before="120" w:after="120" w:line="240" w:lineRule="auto"/>
        <w:jc w:val="both"/>
        <w:rPr>
          <w:rFonts w:ascii="Times New Roman" w:hAnsi="Times New Roman" w:cs="Times New Roman"/>
          <w:noProof/>
          <w:sz w:val="24"/>
        </w:rPr>
      </w:pPr>
    </w:p>
    <w:p w14:paraId="2F709B2C" w14:textId="77777777" w:rsidR="00CB0FCB" w:rsidRDefault="00CB0FCB">
      <w:pPr>
        <w:spacing w:before="120" w:after="120" w:line="240" w:lineRule="auto"/>
        <w:jc w:val="both"/>
        <w:rPr>
          <w:rFonts w:ascii="Times New Roman" w:hAnsi="Times New Roman" w:cs="Times New Roman"/>
          <w:noProof/>
          <w:sz w:val="24"/>
        </w:rPr>
        <w:sectPr w:rsidR="00CB0FCB" w:rsidSect="00271D33">
          <w:headerReference w:type="even" r:id="rId345"/>
          <w:headerReference w:type="default" r:id="rId346"/>
          <w:footerReference w:type="even" r:id="rId347"/>
          <w:footerReference w:type="default" r:id="rId348"/>
          <w:headerReference w:type="first" r:id="rId349"/>
          <w:footerReference w:type="first" r:id="rId350"/>
          <w:pgSz w:w="11907" w:h="16839"/>
          <w:pgMar w:top="1134" w:right="1417" w:bottom="1134" w:left="1417" w:header="709" w:footer="709" w:gutter="0"/>
          <w:cols w:space="720"/>
          <w:docGrid w:linePitch="360"/>
        </w:sectPr>
      </w:pPr>
    </w:p>
    <w:p w14:paraId="0DFDC3AD" w14:textId="09BE712E" w:rsidR="00CB0FCB" w:rsidRDefault="009D2B11">
      <w:pPr>
        <w:pStyle w:val="P68B1DB1-Normal25"/>
        <w:keepNext/>
        <w:keepLines/>
        <w:spacing w:before="240" w:after="0" w:line="240" w:lineRule="auto"/>
        <w:jc w:val="both"/>
        <w:outlineLvl w:val="4"/>
        <w:rPr>
          <w:rFonts w:ascii="Cambria" w:eastAsia="Times New Roman" w:hAnsi="Cambria"/>
          <w:noProof/>
          <w:color w:val="365F91"/>
        </w:rPr>
      </w:pPr>
      <w:r>
        <w:rPr>
          <w:noProof/>
        </w:rPr>
        <w:t>T.2. Starpposma mērķi, mērķrādītāji, rādītāji un neatmaksājama finansiālā atbalsta uzraudzības un īstenošanas grafiks</w:t>
      </w:r>
    </w:p>
    <w:p w14:paraId="5B486B69" w14:textId="77777777" w:rsidR="00CB0FCB" w:rsidRDefault="009D2B11">
      <w:pPr>
        <w:pStyle w:val="P68B1DB1-Normal6"/>
        <w:keepNext/>
        <w:keepLines/>
        <w:spacing w:before="240" w:after="240" w:line="240" w:lineRule="auto"/>
        <w:jc w:val="both"/>
        <w:outlineLvl w:val="4"/>
        <w:rPr>
          <w:rFonts w:eastAsia="Times New Roman"/>
          <w:noProof/>
          <w:szCs w:val="24"/>
        </w:rPr>
      </w:pPr>
      <w:r>
        <w:rPr>
          <w:noProof/>
        </w:rPr>
        <w:t xml:space="preserve">Reforma: Atjaunīgā ūdeņraža un ilgtspējīga biometāna licencēšanas sistēma (pasākuma ID: 16987)  </w:t>
      </w:r>
    </w:p>
    <w:tbl>
      <w:tblPr>
        <w:tblpPr w:leftFromText="180" w:rightFromText="180" w:vertAnchor="text" w:tblpX="113" w:tblpY="1"/>
        <w:tblOverlap w:val="never"/>
        <w:tblW w:w="14312" w:type="dxa"/>
        <w:tblLook w:val="04A0" w:firstRow="1" w:lastRow="0" w:firstColumn="1" w:lastColumn="0" w:noHBand="0" w:noVBand="1"/>
      </w:tblPr>
      <w:tblGrid>
        <w:gridCol w:w="988"/>
        <w:gridCol w:w="1552"/>
        <w:gridCol w:w="1702"/>
        <w:gridCol w:w="1205"/>
        <w:gridCol w:w="1073"/>
        <w:gridCol w:w="942"/>
        <w:gridCol w:w="1318"/>
        <w:gridCol w:w="808"/>
        <w:gridCol w:w="973"/>
        <w:gridCol w:w="808"/>
        <w:gridCol w:w="3192"/>
      </w:tblGrid>
      <w:tr w:rsidR="00CB0FCB" w14:paraId="6C03BCE7" w14:textId="77777777">
        <w:trPr>
          <w:trHeight w:val="540"/>
          <w:tblHeader/>
        </w:trPr>
        <w:tc>
          <w:tcPr>
            <w:tcW w:w="1043"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044D7164" w14:textId="77777777" w:rsidR="00CB0FCB" w:rsidRDefault="009D2B11">
            <w:pPr>
              <w:pStyle w:val="P68B1DB1-Normal7"/>
              <w:spacing w:before="120" w:after="120" w:line="240" w:lineRule="auto"/>
              <w:jc w:val="center"/>
              <w:rPr>
                <w:rFonts w:eastAsia="Times New Roman" w:cs="Times New Roman"/>
                <w:bCs/>
                <w:noProof/>
                <w:szCs w:val="18"/>
              </w:rPr>
            </w:pPr>
            <w:r>
              <w:rPr>
                <w:noProof/>
              </w:rPr>
              <w:t>Kārtas numurs</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2A03BF6E" w14:textId="77777777" w:rsidR="00CB0FCB" w:rsidRDefault="009D2B11">
            <w:pPr>
              <w:pStyle w:val="P68B1DB1-Normal7"/>
              <w:spacing w:before="120" w:after="120" w:line="240" w:lineRule="auto"/>
              <w:jc w:val="center"/>
              <w:rPr>
                <w:rFonts w:eastAsia="Times New Roman" w:cs="Times New Roman"/>
                <w:bCs/>
                <w:noProof/>
                <w:szCs w:val="18"/>
              </w:rPr>
            </w:pPr>
            <w:r>
              <w:rPr>
                <w:noProof/>
              </w:rPr>
              <w:t>Saistītais pasākums (reforma vai ieguldījums)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6CD397FB" w14:textId="77777777" w:rsidR="00CB0FCB" w:rsidRDefault="009D2B11">
            <w:pPr>
              <w:pStyle w:val="P68B1DB1-Normal7"/>
              <w:spacing w:before="120" w:after="120" w:line="240" w:lineRule="auto"/>
              <w:jc w:val="center"/>
              <w:rPr>
                <w:rFonts w:eastAsia="Times New Roman" w:cs="Times New Roman"/>
                <w:bCs/>
                <w:noProof/>
                <w:szCs w:val="18"/>
              </w:rPr>
            </w:pPr>
            <w:r>
              <w:rPr>
                <w:noProof/>
              </w:rPr>
              <w:t>Atskaites punkts/mērķrādītājs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0C7A5ACB" w14:textId="77777777" w:rsidR="00CB0FCB" w:rsidRDefault="009D2B11">
            <w:pPr>
              <w:pStyle w:val="P68B1DB1-Normal7"/>
              <w:spacing w:before="120" w:after="120" w:line="240" w:lineRule="auto"/>
              <w:jc w:val="center"/>
              <w:rPr>
                <w:rFonts w:eastAsia="Times New Roman" w:cs="Times New Roman"/>
                <w:bCs/>
                <w:noProof/>
                <w:szCs w:val="18"/>
              </w:rPr>
            </w:pPr>
            <w:r>
              <w:rPr>
                <w:noProof/>
              </w:rPr>
              <w:t>Nosaukums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4CF9D2B8" w14:textId="77777777" w:rsidR="00CB0FCB" w:rsidRDefault="009D2B11">
            <w:pPr>
              <w:pStyle w:val="P68B1DB1-Normal7"/>
              <w:spacing w:before="120" w:after="120" w:line="240" w:lineRule="auto"/>
              <w:jc w:val="center"/>
              <w:rPr>
                <w:rFonts w:eastAsia="Times New Roman" w:cs="Times New Roman"/>
                <w:bCs/>
                <w:noProof/>
                <w:szCs w:val="18"/>
              </w:rPr>
            </w:pPr>
            <w:r>
              <w:rPr>
                <w:noProof/>
              </w:rPr>
              <w:t>Kvalitatīvie rādītāji (atskaites punktiem)</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DD7EE"/>
            <w:noWrap/>
            <w:vAlign w:val="center"/>
          </w:tcPr>
          <w:p w14:paraId="2715C6CB" w14:textId="77777777" w:rsidR="00CB0FCB" w:rsidRDefault="009D2B11">
            <w:pPr>
              <w:pStyle w:val="P68B1DB1-Normal7"/>
              <w:spacing w:before="120" w:after="120" w:line="240" w:lineRule="auto"/>
              <w:jc w:val="center"/>
              <w:rPr>
                <w:rFonts w:eastAsia="Times New Roman" w:cs="Times New Roman"/>
                <w:bCs/>
                <w:noProof/>
                <w:szCs w:val="18"/>
              </w:rPr>
            </w:pPr>
            <w:r>
              <w:rPr>
                <w:noProof/>
              </w:rPr>
              <w:t>Kvantitatīvie rādītāji (mērķrādītājiem)</w:t>
            </w:r>
          </w:p>
        </w:tc>
        <w:tc>
          <w:tcPr>
            <w:tcW w:w="1701" w:type="dxa"/>
            <w:gridSpan w:val="2"/>
            <w:tcBorders>
              <w:top w:val="single" w:sz="4" w:space="0" w:color="auto"/>
              <w:left w:val="nil"/>
              <w:bottom w:val="single" w:sz="4" w:space="0" w:color="auto"/>
              <w:right w:val="single" w:sz="4" w:space="0" w:color="auto"/>
            </w:tcBorders>
            <w:shd w:val="clear" w:color="auto" w:fill="BDD7EE"/>
            <w:noWrap/>
          </w:tcPr>
          <w:p w14:paraId="09782D72" w14:textId="77777777" w:rsidR="00CB0FCB" w:rsidRDefault="009D2B11">
            <w:pPr>
              <w:pStyle w:val="P68B1DB1-Normal7"/>
              <w:spacing w:before="120" w:after="120" w:line="240" w:lineRule="auto"/>
              <w:jc w:val="center"/>
              <w:rPr>
                <w:rFonts w:eastAsia="Times New Roman" w:cs="Times New Roman"/>
                <w:bCs/>
                <w:noProof/>
                <w:szCs w:val="18"/>
              </w:rPr>
            </w:pPr>
            <w:r>
              <w:rPr>
                <w:noProof/>
              </w:rPr>
              <w:t>Orientējošs pabeigšanas termiņš</w:t>
            </w:r>
          </w:p>
        </w:tc>
        <w:tc>
          <w:tcPr>
            <w:tcW w:w="3402" w:type="dxa"/>
            <w:vMerge w:val="restart"/>
            <w:tcBorders>
              <w:top w:val="single" w:sz="4" w:space="0" w:color="auto"/>
              <w:left w:val="nil"/>
              <w:bottom w:val="single" w:sz="4" w:space="0" w:color="auto"/>
              <w:right w:val="single" w:sz="4" w:space="0" w:color="auto"/>
            </w:tcBorders>
            <w:shd w:val="clear" w:color="auto" w:fill="BDD7EE"/>
            <w:noWrap/>
          </w:tcPr>
          <w:p w14:paraId="62741DC4"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p w14:paraId="1BA6E09E" w14:textId="77777777" w:rsidR="00CB0FCB" w:rsidRDefault="009D2B11">
            <w:pPr>
              <w:pStyle w:val="P68B1DB1-Normal7"/>
              <w:spacing w:before="120" w:after="120" w:line="240" w:lineRule="auto"/>
              <w:jc w:val="center"/>
              <w:rPr>
                <w:rFonts w:eastAsia="Times New Roman" w:cs="Times New Roman"/>
                <w:bCs/>
                <w:noProof/>
                <w:szCs w:val="18"/>
              </w:rPr>
            </w:pPr>
            <w:r>
              <w:rPr>
                <w:noProof/>
              </w:rPr>
              <w:t>Apraksts par katru atskaites punktu un mērķrādītāju</w:t>
            </w:r>
          </w:p>
        </w:tc>
      </w:tr>
      <w:tr w:rsidR="00CB0FCB" w14:paraId="7099E622" w14:textId="77777777">
        <w:trPr>
          <w:trHeight w:val="557"/>
        </w:trPr>
        <w:tc>
          <w:tcPr>
            <w:tcW w:w="1043" w:type="dxa"/>
            <w:vMerge/>
            <w:tcBorders>
              <w:top w:val="single" w:sz="4" w:space="0" w:color="auto"/>
              <w:left w:val="single" w:sz="4" w:space="0" w:color="auto"/>
              <w:bottom w:val="single" w:sz="4" w:space="0" w:color="auto"/>
              <w:right w:val="single" w:sz="4" w:space="0" w:color="auto"/>
            </w:tcBorders>
            <w:noWrap/>
            <w:vAlign w:val="center"/>
          </w:tcPr>
          <w:p w14:paraId="6672C9E6" w14:textId="77777777" w:rsidR="00CB0FCB" w:rsidRDefault="00CB0FCB">
            <w:pPr>
              <w:spacing w:after="0" w:line="240" w:lineRule="auto"/>
              <w:rPr>
                <w:rFonts w:ascii="Times New Roman" w:eastAsia="Times New Roman" w:hAnsi="Times New Roman" w:cs="Times New Roman"/>
                <w:b/>
                <w:bCs/>
                <w:noProof/>
                <w:sz w:val="18"/>
                <w:szCs w:val="18"/>
              </w:rPr>
            </w:pPr>
          </w:p>
        </w:tc>
        <w:tc>
          <w:tcPr>
            <w:tcW w:w="1646" w:type="dxa"/>
            <w:vMerge/>
            <w:tcBorders>
              <w:top w:val="single" w:sz="4" w:space="0" w:color="auto"/>
              <w:left w:val="single" w:sz="4" w:space="0" w:color="auto"/>
              <w:bottom w:val="single" w:sz="4" w:space="0" w:color="auto"/>
              <w:right w:val="single" w:sz="4" w:space="0" w:color="auto"/>
            </w:tcBorders>
            <w:noWrap/>
            <w:vAlign w:val="center"/>
          </w:tcPr>
          <w:p w14:paraId="5CB8709E"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14:paraId="2AC5451A" w14:textId="77777777" w:rsidR="00CB0FCB" w:rsidRDefault="00CB0FCB">
            <w:pPr>
              <w:spacing w:after="0" w:line="240" w:lineRule="auto"/>
              <w:rPr>
                <w:rFonts w:ascii="Times New Roman" w:eastAsia="Times New Roman" w:hAnsi="Times New Roman" w:cs="Times New Roman"/>
                <w:b/>
                <w:bCs/>
                <w:noProof/>
                <w:sz w:val="18"/>
                <w:szCs w:val="18"/>
              </w:rPr>
            </w:pPr>
          </w:p>
        </w:tc>
        <w:tc>
          <w:tcPr>
            <w:tcW w:w="1275" w:type="dxa"/>
            <w:vMerge/>
            <w:tcBorders>
              <w:top w:val="single" w:sz="4" w:space="0" w:color="auto"/>
              <w:left w:val="single" w:sz="4" w:space="0" w:color="auto"/>
              <w:bottom w:val="single" w:sz="4" w:space="0" w:color="auto"/>
              <w:right w:val="single" w:sz="4" w:space="0" w:color="auto"/>
            </w:tcBorders>
            <w:noWrap/>
            <w:vAlign w:val="center"/>
          </w:tcPr>
          <w:p w14:paraId="6CF8B8E7" w14:textId="77777777" w:rsidR="00CB0FCB" w:rsidRDefault="00CB0FCB">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14:paraId="1CDA7A8B" w14:textId="77777777" w:rsidR="00CB0FCB" w:rsidRDefault="00CB0FCB">
            <w:pPr>
              <w:spacing w:after="0" w:line="240" w:lineRule="auto"/>
              <w:rPr>
                <w:rFonts w:ascii="Times New Roman" w:eastAsia="Times New Roman" w:hAnsi="Times New Roman" w:cs="Times New Roman"/>
                <w:b/>
                <w:bCs/>
                <w:noProof/>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49BED75" w14:textId="77777777" w:rsidR="00CB0FCB" w:rsidRDefault="009D2B11">
            <w:pPr>
              <w:pStyle w:val="P68B1DB1-Normal7"/>
              <w:spacing w:before="120" w:after="120" w:line="240" w:lineRule="auto"/>
              <w:jc w:val="center"/>
              <w:rPr>
                <w:rFonts w:eastAsia="Times New Roman" w:cs="Times New Roman"/>
                <w:bCs/>
                <w:noProof/>
                <w:szCs w:val="18"/>
              </w:rPr>
            </w:pPr>
            <w:r>
              <w:rPr>
                <w:noProof/>
              </w:rPr>
              <w:t>Mēra vienība</w:t>
            </w:r>
          </w:p>
        </w:tc>
        <w:tc>
          <w:tcPr>
            <w:tcW w:w="1134" w:type="dxa"/>
            <w:tcBorders>
              <w:top w:val="single" w:sz="4" w:space="0" w:color="auto"/>
              <w:left w:val="nil"/>
              <w:bottom w:val="single" w:sz="4" w:space="0" w:color="auto"/>
              <w:right w:val="single" w:sz="4" w:space="0" w:color="auto"/>
            </w:tcBorders>
            <w:shd w:val="clear" w:color="auto" w:fill="BDD7EE"/>
            <w:vAlign w:val="center"/>
          </w:tcPr>
          <w:p w14:paraId="6CF15580" w14:textId="77777777" w:rsidR="00CB0FCB" w:rsidRDefault="009D2B11">
            <w:pPr>
              <w:pStyle w:val="P68B1DB1-Normal7"/>
              <w:spacing w:before="120" w:after="120" w:line="240" w:lineRule="auto"/>
              <w:jc w:val="center"/>
              <w:rPr>
                <w:rFonts w:eastAsia="Times New Roman" w:cs="Times New Roman"/>
                <w:bCs/>
                <w:noProof/>
                <w:szCs w:val="18"/>
              </w:rPr>
            </w:pPr>
            <w:r>
              <w:rPr>
                <w:noProof/>
              </w:rPr>
              <w:t>Pamatscenārijs</w:t>
            </w:r>
          </w:p>
        </w:tc>
        <w:tc>
          <w:tcPr>
            <w:tcW w:w="850" w:type="dxa"/>
            <w:tcBorders>
              <w:top w:val="single" w:sz="4" w:space="0" w:color="auto"/>
              <w:left w:val="nil"/>
              <w:bottom w:val="single" w:sz="4" w:space="0" w:color="auto"/>
              <w:right w:val="single" w:sz="4" w:space="0" w:color="auto"/>
            </w:tcBorders>
            <w:shd w:val="clear" w:color="auto" w:fill="BDD7EE"/>
            <w:vAlign w:val="center"/>
          </w:tcPr>
          <w:p w14:paraId="016A11F4" w14:textId="77777777" w:rsidR="00CB0FCB" w:rsidRDefault="009D2B11">
            <w:pPr>
              <w:pStyle w:val="P68B1DB1-Normal7"/>
              <w:spacing w:before="120" w:after="120" w:line="240" w:lineRule="auto"/>
              <w:jc w:val="center"/>
              <w:rPr>
                <w:rFonts w:eastAsia="Times New Roman" w:cs="Times New Roman"/>
                <w:bCs/>
                <w:noProof/>
                <w:szCs w:val="18"/>
              </w:rPr>
            </w:pPr>
            <w:r>
              <w:rPr>
                <w:noProof/>
              </w:rPr>
              <w:t>Mērķis</w:t>
            </w:r>
          </w:p>
        </w:tc>
        <w:tc>
          <w:tcPr>
            <w:tcW w:w="851" w:type="dxa"/>
            <w:tcBorders>
              <w:top w:val="single" w:sz="4" w:space="0" w:color="auto"/>
              <w:left w:val="nil"/>
              <w:bottom w:val="single" w:sz="4" w:space="0" w:color="auto"/>
              <w:right w:val="single" w:sz="4" w:space="0" w:color="auto"/>
            </w:tcBorders>
            <w:shd w:val="clear" w:color="auto" w:fill="BDD7EE"/>
            <w:noWrap/>
          </w:tcPr>
          <w:p w14:paraId="5D3F7A42" w14:textId="77777777" w:rsidR="00CB0FCB" w:rsidRDefault="009D2B11">
            <w:pPr>
              <w:pStyle w:val="P68B1DB1-Normal7"/>
              <w:spacing w:before="120" w:after="120" w:line="240" w:lineRule="auto"/>
              <w:jc w:val="center"/>
              <w:rPr>
                <w:rFonts w:eastAsia="Times New Roman" w:cs="Times New Roman"/>
                <w:bCs/>
                <w:noProof/>
                <w:szCs w:val="18"/>
              </w:rPr>
            </w:pPr>
            <w:r>
              <w:rPr>
                <w:noProof/>
              </w:rPr>
              <w:t>Ceturkšņa laikā</w:t>
            </w:r>
          </w:p>
        </w:tc>
        <w:tc>
          <w:tcPr>
            <w:tcW w:w="850" w:type="dxa"/>
            <w:tcBorders>
              <w:top w:val="single" w:sz="4" w:space="0" w:color="auto"/>
              <w:left w:val="nil"/>
              <w:bottom w:val="single" w:sz="4" w:space="0" w:color="auto"/>
              <w:right w:val="single" w:sz="4" w:space="0" w:color="auto"/>
            </w:tcBorders>
            <w:shd w:val="clear" w:color="auto" w:fill="BDD7EE"/>
          </w:tcPr>
          <w:p w14:paraId="67420DCB" w14:textId="77777777" w:rsidR="00CB0FCB" w:rsidRDefault="009D2B11">
            <w:pPr>
              <w:pStyle w:val="P68B1DB1-Normal7"/>
              <w:spacing w:before="120" w:after="120" w:line="240" w:lineRule="auto"/>
              <w:jc w:val="center"/>
              <w:rPr>
                <w:rFonts w:eastAsia="Times New Roman" w:cs="Times New Roman"/>
                <w:bCs/>
                <w:noProof/>
                <w:szCs w:val="18"/>
              </w:rPr>
            </w:pPr>
            <w:r>
              <w:rPr>
                <w:noProof/>
              </w:rPr>
              <w:t>Gadu</w:t>
            </w:r>
          </w:p>
        </w:tc>
        <w:tc>
          <w:tcPr>
            <w:tcW w:w="3402" w:type="dxa"/>
            <w:vMerge/>
            <w:tcBorders>
              <w:bottom w:val="single" w:sz="4" w:space="0" w:color="auto"/>
              <w:right w:val="single" w:sz="4" w:space="0" w:color="auto"/>
            </w:tcBorders>
            <w:noWrap/>
          </w:tcPr>
          <w:p w14:paraId="6C18058D"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00714AAE" w14:textId="77777777">
        <w:tc>
          <w:tcPr>
            <w:tcW w:w="1043" w:type="dxa"/>
            <w:tcBorders>
              <w:top w:val="single" w:sz="4" w:space="0" w:color="auto"/>
              <w:left w:val="single" w:sz="4" w:space="0" w:color="auto"/>
              <w:bottom w:val="single" w:sz="4" w:space="0" w:color="auto"/>
              <w:right w:val="single" w:sz="4" w:space="0" w:color="auto"/>
            </w:tcBorders>
            <w:shd w:val="clear" w:color="auto" w:fill="C6EFCE"/>
            <w:noWrap/>
          </w:tcPr>
          <w:p w14:paraId="5B1EA68D" w14:textId="77777777" w:rsidR="00CB0FCB" w:rsidRDefault="009D2B11">
            <w:pPr>
              <w:pStyle w:val="P68B1DB1-Normal9"/>
              <w:spacing w:after="0" w:line="240" w:lineRule="auto"/>
              <w:rPr>
                <w:rFonts w:eastAsia="Times New Roman" w:cs="Calibri"/>
                <w:noProof/>
                <w:szCs w:val="18"/>
              </w:rPr>
            </w:pPr>
            <w:r>
              <w:rPr>
                <w:noProof/>
              </w:rPr>
              <w:t>351</w:t>
            </w:r>
          </w:p>
        </w:tc>
        <w:tc>
          <w:tcPr>
            <w:tcW w:w="1646" w:type="dxa"/>
            <w:tcBorders>
              <w:top w:val="single" w:sz="4" w:space="0" w:color="auto"/>
              <w:left w:val="nil"/>
              <w:bottom w:val="single" w:sz="4" w:space="0" w:color="auto"/>
              <w:right w:val="single" w:sz="4" w:space="0" w:color="auto"/>
            </w:tcBorders>
            <w:shd w:val="clear" w:color="auto" w:fill="C6EFCE"/>
            <w:noWrap/>
          </w:tcPr>
          <w:p w14:paraId="41E86755" w14:textId="77777777" w:rsidR="00CB0FCB" w:rsidRDefault="009D2B11">
            <w:pPr>
              <w:pStyle w:val="P68B1DB1-Normal9"/>
              <w:spacing w:after="0" w:line="240" w:lineRule="auto"/>
              <w:rPr>
                <w:rFonts w:eastAsia="Times New Roman" w:cs="Calibri"/>
                <w:noProof/>
                <w:szCs w:val="18"/>
              </w:rPr>
            </w:pPr>
            <w:r>
              <w:rPr>
                <w:noProof/>
              </w:rPr>
              <w:t>20–5.1. REPowerEU reformas — 16987_Atjaunīgā ūdeņraža un ilgtspējīga biometāna licencēšanas satvars</w:t>
            </w:r>
          </w:p>
        </w:tc>
        <w:tc>
          <w:tcPr>
            <w:tcW w:w="1134" w:type="dxa"/>
            <w:tcBorders>
              <w:top w:val="single" w:sz="4" w:space="0" w:color="auto"/>
              <w:left w:val="nil"/>
              <w:bottom w:val="single" w:sz="4" w:space="0" w:color="auto"/>
              <w:right w:val="single" w:sz="4" w:space="0" w:color="auto"/>
            </w:tcBorders>
            <w:shd w:val="clear" w:color="auto" w:fill="C6EFCE"/>
            <w:noWrap/>
          </w:tcPr>
          <w:p w14:paraId="0BD1083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5" w:type="dxa"/>
            <w:tcBorders>
              <w:top w:val="single" w:sz="4" w:space="0" w:color="auto"/>
              <w:left w:val="nil"/>
              <w:bottom w:val="single" w:sz="4" w:space="0" w:color="auto"/>
              <w:right w:val="single" w:sz="4" w:space="0" w:color="auto"/>
            </w:tcBorders>
            <w:shd w:val="clear" w:color="auto" w:fill="C6EFCE"/>
            <w:noWrap/>
          </w:tcPr>
          <w:p w14:paraId="6D35D643" w14:textId="77777777" w:rsidR="00CB0FCB" w:rsidRDefault="009D2B11">
            <w:pPr>
              <w:pStyle w:val="P68B1DB1-Normal9"/>
              <w:spacing w:after="0" w:line="240" w:lineRule="auto"/>
              <w:rPr>
                <w:rFonts w:eastAsia="Times New Roman" w:cs="Calibri"/>
                <w:noProof/>
                <w:szCs w:val="18"/>
              </w:rPr>
            </w:pPr>
            <w:r>
              <w:rPr>
                <w:noProof/>
              </w:rPr>
              <w:t>Tiesiskais regulējums attiecībā uz atjaunīgo ūdeņradi un ilgtspējīgu biometānu</w:t>
            </w:r>
          </w:p>
        </w:tc>
        <w:tc>
          <w:tcPr>
            <w:tcW w:w="1134" w:type="dxa"/>
            <w:tcBorders>
              <w:top w:val="single" w:sz="4" w:space="0" w:color="auto"/>
              <w:left w:val="nil"/>
              <w:bottom w:val="single" w:sz="4" w:space="0" w:color="auto"/>
              <w:right w:val="single" w:sz="4" w:space="0" w:color="auto"/>
            </w:tcBorders>
            <w:shd w:val="clear" w:color="auto" w:fill="C6EFCE"/>
            <w:noWrap/>
          </w:tcPr>
          <w:p w14:paraId="4569BAD5" w14:textId="77777777" w:rsidR="00CB0FCB" w:rsidRDefault="009D2B11">
            <w:pPr>
              <w:pStyle w:val="P68B1DB1-Normal9"/>
              <w:spacing w:after="0" w:line="240" w:lineRule="auto"/>
              <w:rPr>
                <w:rFonts w:eastAsia="Times New Roman" w:cs="Calibri"/>
                <w:noProof/>
                <w:szCs w:val="18"/>
              </w:rPr>
            </w:pPr>
            <w:r>
              <w:rPr>
                <w:noProof/>
              </w:rPr>
              <w:t xml:space="preserve">Stāšanās </w:t>
            </w:r>
          </w:p>
          <w:p w14:paraId="043145D7" w14:textId="77777777" w:rsidR="00CB0FCB" w:rsidRDefault="009D2B11">
            <w:pPr>
              <w:pStyle w:val="P68B1DB1-Normal9"/>
              <w:spacing w:after="0" w:line="240" w:lineRule="auto"/>
              <w:rPr>
                <w:rFonts w:eastAsia="Times New Roman" w:cs="Calibri"/>
                <w:noProof/>
                <w:szCs w:val="18"/>
              </w:rPr>
            </w:pPr>
            <w:r>
              <w:rPr>
                <w:noProof/>
              </w:rPr>
              <w:t xml:space="preserve">spēks </w:t>
            </w:r>
          </w:p>
          <w:p w14:paraId="7150EF04" w14:textId="77777777" w:rsidR="00CB0FCB" w:rsidRDefault="009D2B11">
            <w:pPr>
              <w:pStyle w:val="P68B1DB1-Normal9"/>
              <w:spacing w:after="0" w:line="240" w:lineRule="auto"/>
              <w:rPr>
                <w:rFonts w:eastAsia="Times New Roman" w:cs="Calibri"/>
                <w:noProof/>
                <w:szCs w:val="18"/>
              </w:rPr>
            </w:pPr>
            <w:r>
              <w:rPr>
                <w:noProof/>
              </w:rPr>
              <w:t xml:space="preserve">tiesību akti, </w:t>
            </w:r>
          </w:p>
          <w:p w14:paraId="48EE6935" w14:textId="77777777" w:rsidR="00CB0FCB" w:rsidRDefault="00CB0FCB">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7D4700B9" w14:textId="77777777" w:rsidR="00CB0FCB" w:rsidRDefault="00CB0FCB">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27F3BDAF" w14:textId="77777777" w:rsidR="00CB0FCB" w:rsidRDefault="00CB0FCB">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4CC09B72" w14:textId="77777777" w:rsidR="00CB0FCB" w:rsidRDefault="00CB0FCB">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14183916" w14:textId="77777777" w:rsidR="00CB0FCB" w:rsidRDefault="009D2B11">
            <w:pPr>
              <w:pStyle w:val="P68B1DB1-Normal9"/>
              <w:spacing w:after="0" w:line="240" w:lineRule="auto"/>
              <w:rPr>
                <w:rFonts w:eastAsia="Times New Roman" w:cs="Calibri"/>
                <w:noProof/>
                <w:szCs w:val="18"/>
              </w:rPr>
            </w:pPr>
            <w:r>
              <w:rPr>
                <w:noProof/>
              </w:rPr>
              <w:t>2. CET.</w:t>
            </w:r>
          </w:p>
        </w:tc>
        <w:tc>
          <w:tcPr>
            <w:tcW w:w="850" w:type="dxa"/>
            <w:tcBorders>
              <w:top w:val="single" w:sz="4" w:space="0" w:color="auto"/>
              <w:left w:val="nil"/>
              <w:bottom w:val="single" w:sz="4" w:space="0" w:color="auto"/>
              <w:right w:val="single" w:sz="4" w:space="0" w:color="auto"/>
            </w:tcBorders>
            <w:shd w:val="clear" w:color="auto" w:fill="C6EFCE"/>
            <w:noWrap/>
          </w:tcPr>
          <w:p w14:paraId="0052BE36" w14:textId="77777777" w:rsidR="00CB0FCB" w:rsidRDefault="009D2B11">
            <w:pPr>
              <w:pStyle w:val="P68B1DB1-Normal9"/>
              <w:spacing w:after="0" w:line="240" w:lineRule="auto"/>
              <w:rPr>
                <w:rFonts w:eastAsia="Times New Roman" w:cs="Calibri"/>
                <w:noProof/>
                <w:szCs w:val="18"/>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tcPr>
          <w:p w14:paraId="0157E075" w14:textId="77777777" w:rsidR="00CB0FCB" w:rsidRDefault="009D2B11">
            <w:pPr>
              <w:pStyle w:val="P68B1DB1-Normal9"/>
              <w:spacing w:after="0" w:line="240" w:lineRule="auto"/>
              <w:rPr>
                <w:rFonts w:eastAsia="Times New Roman" w:cs="Calibri"/>
                <w:noProof/>
                <w:szCs w:val="18"/>
                <w:highlight w:val="yellow"/>
              </w:rPr>
            </w:pPr>
            <w:r>
              <w:rPr>
                <w:noProof/>
              </w:rPr>
              <w:t xml:space="preserve">Stājas spēkā tiesību akti (primārie un sekundārie) atjaunīgā ūdeņraža un ilgtspējīga biometāna atbalstam. </w:t>
            </w:r>
          </w:p>
          <w:p w14:paraId="234A9CE2" w14:textId="77777777" w:rsidR="00CB0FCB" w:rsidRDefault="009D2B11">
            <w:pPr>
              <w:pStyle w:val="P68B1DB1-Normal9"/>
              <w:spacing w:after="0" w:line="240" w:lineRule="auto"/>
              <w:rPr>
                <w:rFonts w:eastAsia="Times New Roman" w:cs="Calibri"/>
                <w:noProof/>
                <w:szCs w:val="18"/>
              </w:rPr>
            </w:pPr>
            <w:r>
              <w:rPr>
                <w:noProof/>
              </w:rPr>
              <w:t>Tiesību akti ietver: atjaunīgā ūdeņraža un ilgtspējīga biometāna ražošanas un patēriņa veicināšana, tostarp licencēšanas un atļauju piešķiršanas procedūru specifikācija, noteikumi par telpisko plānošanu, tehnisko specifikāciju noteikšana pārvadei, uzglabāšanai un ievadīšanai tīklā, dažādu ieinteresēto personu, kā arī iesaistīto publisko iestāžu lomas precizēšana, vienlaikus nodrošinot mehānismu, ar ko apliecina, ka saražotais ūdeņradis būtu atjaunīgs un biometāns būtu ilgtspējīgs saskaņā ar jaunākajiem AED II deleģēto aktu noteikumiem.</w:t>
            </w:r>
          </w:p>
        </w:tc>
      </w:tr>
    </w:tbl>
    <w:p w14:paraId="154AB354" w14:textId="77777777" w:rsidR="00CB0FCB" w:rsidRDefault="00CB0FCB">
      <w:pPr>
        <w:rPr>
          <w:noProof/>
        </w:rPr>
      </w:pPr>
    </w:p>
    <w:p w14:paraId="6DCE673E" w14:textId="77777777" w:rsidR="00CB0FCB" w:rsidRDefault="009D2B11">
      <w:pPr>
        <w:pStyle w:val="P68B1DB1-Normal6"/>
        <w:keepNext/>
        <w:keepLines/>
        <w:spacing w:before="240" w:after="0" w:line="240" w:lineRule="auto"/>
        <w:jc w:val="both"/>
        <w:outlineLvl w:val="4"/>
        <w:rPr>
          <w:noProof/>
          <w:color w:val="365F91" w:themeColor="accent1" w:themeShade="BF"/>
        </w:rPr>
      </w:pPr>
      <w:r>
        <w:rPr>
          <w:noProof/>
        </w:rPr>
        <w:t>Reforma. Zemes un jūras telpas izmantošanas optimizācija AER un atkrastes vēja enerģijas attīstīšanai (pasākums ID: 16989)</w:t>
      </w:r>
    </w:p>
    <w:p w14:paraId="225BB70A" w14:textId="77777777" w:rsidR="00CB0FCB" w:rsidRDefault="00CB0FCB">
      <w:pPr>
        <w:keepNext/>
        <w:keepLines/>
        <w:spacing w:before="240" w:after="0" w:line="240" w:lineRule="auto"/>
        <w:jc w:val="both"/>
        <w:outlineLvl w:val="4"/>
        <w:rPr>
          <w:rFonts w:ascii="Cambria" w:eastAsia="Times New Roman" w:hAnsi="Cambria"/>
          <w:noProof/>
          <w:color w:val="365F91"/>
          <w:sz w:val="24"/>
          <w:szCs w:val="24"/>
        </w:rPr>
      </w:pPr>
    </w:p>
    <w:tbl>
      <w:tblPr>
        <w:tblW w:w="14454" w:type="dxa"/>
        <w:jc w:val="center"/>
        <w:tblLayout w:type="fixed"/>
        <w:tblLook w:val="04A0" w:firstRow="1" w:lastRow="0" w:firstColumn="1" w:lastColumn="0" w:noHBand="0" w:noVBand="1"/>
      </w:tblPr>
      <w:tblGrid>
        <w:gridCol w:w="1134"/>
        <w:gridCol w:w="1861"/>
        <w:gridCol w:w="1080"/>
        <w:gridCol w:w="1278"/>
        <w:gridCol w:w="1305"/>
        <w:gridCol w:w="1137"/>
        <w:gridCol w:w="960"/>
        <w:gridCol w:w="720"/>
        <w:gridCol w:w="960"/>
        <w:gridCol w:w="773"/>
        <w:gridCol w:w="3246"/>
      </w:tblGrid>
      <w:tr w:rsidR="00CB0FCB" w14:paraId="455C6A84" w14:textId="77777777">
        <w:trPr>
          <w:trHeight w:val="844"/>
          <w:tblHeader/>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389C018" w14:textId="77777777" w:rsidR="00CB0FCB" w:rsidRDefault="009D2B11">
            <w:pPr>
              <w:pStyle w:val="P68B1DB1-Normal7"/>
              <w:spacing w:before="120" w:after="120" w:line="240" w:lineRule="auto"/>
              <w:jc w:val="center"/>
              <w:rPr>
                <w:rFonts w:cs="Times New Roman"/>
                <w:noProof/>
                <w:sz w:val="24"/>
              </w:rPr>
            </w:pPr>
            <w:r>
              <w:rPr>
                <w:noProof/>
              </w:rPr>
              <w:t>Kārtas numurs</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9B1ACE" w14:textId="77777777" w:rsidR="00CB0FCB" w:rsidRDefault="009D2B11">
            <w:pPr>
              <w:pStyle w:val="P68B1DB1-Normal7"/>
              <w:spacing w:before="120" w:after="120" w:line="240" w:lineRule="auto"/>
              <w:jc w:val="center"/>
              <w:rPr>
                <w:rFonts w:cs="Times New Roman"/>
                <w:noProof/>
                <w:sz w:val="24"/>
              </w:rPr>
            </w:pPr>
            <w:r>
              <w:rPr>
                <w:noProof/>
              </w:rPr>
              <w:t>Saistītais pasākums (reforma vai ieguldījums)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60329E" w14:textId="77777777" w:rsidR="00CB0FCB" w:rsidRDefault="009D2B11">
            <w:pPr>
              <w:pStyle w:val="P68B1DB1-Normal7"/>
              <w:spacing w:before="120" w:after="120" w:line="240" w:lineRule="auto"/>
              <w:jc w:val="center"/>
              <w:rPr>
                <w:rFonts w:cs="Times New Roman"/>
                <w:noProof/>
                <w:sz w:val="24"/>
              </w:rPr>
            </w:pPr>
            <w:r>
              <w:rPr>
                <w:noProof/>
              </w:rPr>
              <w:t>Atskaites punkts/mērķrādītājs</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82B2CF" w14:textId="77777777" w:rsidR="00CB0FCB" w:rsidRDefault="009D2B11">
            <w:pPr>
              <w:pStyle w:val="P68B1DB1-Normal7"/>
              <w:spacing w:before="120" w:after="120" w:line="240" w:lineRule="auto"/>
              <w:jc w:val="center"/>
              <w:rPr>
                <w:rFonts w:cs="Times New Roman"/>
                <w:noProof/>
                <w:sz w:val="24"/>
              </w:rPr>
            </w:pPr>
            <w:r>
              <w:rPr>
                <w:noProof/>
              </w:rPr>
              <w:t>Nosaukums</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12A01E" w14:textId="77777777" w:rsidR="00CB0FCB" w:rsidRDefault="009D2B11">
            <w:pPr>
              <w:pStyle w:val="P68B1DB1-Normal7"/>
              <w:spacing w:before="120" w:after="120" w:line="240" w:lineRule="auto"/>
              <w:jc w:val="center"/>
              <w:rPr>
                <w:rFonts w:cs="Times New Roman"/>
                <w:noProof/>
                <w:sz w:val="24"/>
                <w:szCs w:val="24"/>
              </w:rPr>
            </w:pPr>
            <w:r>
              <w:rPr>
                <w:noProof/>
              </w:rPr>
              <w:t>Kvalitatīvie rādītāji (atskaites punktiem)</w:t>
            </w:r>
          </w:p>
        </w:tc>
        <w:tc>
          <w:tcPr>
            <w:tcW w:w="281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2956E7A" w14:textId="77777777" w:rsidR="00CB0FCB" w:rsidRDefault="009D2B11">
            <w:pPr>
              <w:pStyle w:val="P68B1DB1-Normal7"/>
              <w:spacing w:before="120" w:after="120" w:line="240" w:lineRule="auto"/>
              <w:jc w:val="center"/>
              <w:rPr>
                <w:rFonts w:cs="Times New Roman"/>
                <w:noProof/>
                <w:sz w:val="24"/>
                <w:szCs w:val="24"/>
              </w:rPr>
            </w:pPr>
            <w:r>
              <w:rPr>
                <w:noProof/>
              </w:rPr>
              <w:t>Kvantitatīvie rādītāji (mērķrādītājiem)</w:t>
            </w:r>
          </w:p>
        </w:tc>
        <w:tc>
          <w:tcPr>
            <w:tcW w:w="1733"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39BBEE0D" w14:textId="77777777" w:rsidR="00CB0FCB" w:rsidRDefault="009D2B11">
            <w:pPr>
              <w:pStyle w:val="P68B1DB1-Normal7"/>
              <w:spacing w:before="120" w:after="120" w:line="240" w:lineRule="auto"/>
              <w:jc w:val="center"/>
              <w:rPr>
                <w:rFonts w:cs="Times New Roman"/>
                <w:noProof/>
                <w:sz w:val="24"/>
              </w:rPr>
            </w:pPr>
            <w:r>
              <w:rPr>
                <w:noProof/>
              </w:rPr>
              <w:t>Orientējošs pabeigšanas termiņš</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A8373F" w14:textId="77777777" w:rsidR="00CB0FCB" w:rsidRDefault="009D2B11">
            <w:pPr>
              <w:pStyle w:val="P68B1DB1-Normal7"/>
              <w:spacing w:before="120" w:after="120" w:line="240" w:lineRule="auto"/>
              <w:jc w:val="center"/>
              <w:rPr>
                <w:rFonts w:cs="Times New Roman"/>
                <w:noProof/>
                <w:sz w:val="24"/>
              </w:rPr>
            </w:pPr>
            <w:r>
              <w:rPr>
                <w:noProof/>
              </w:rPr>
              <w:t>Apraksts par katru atskaites punktu un mērķrādītāju</w:t>
            </w:r>
          </w:p>
        </w:tc>
      </w:tr>
      <w:tr w:rsidR="00CB0FCB" w14:paraId="075A73C2" w14:textId="77777777">
        <w:trPr>
          <w:trHeight w:val="277"/>
          <w:tblHeader/>
          <w:jc w:val="center"/>
        </w:trPr>
        <w:tc>
          <w:tcPr>
            <w:tcW w:w="1134" w:type="dxa"/>
            <w:vMerge/>
            <w:tcBorders>
              <w:top w:val="single" w:sz="4" w:space="0" w:color="auto"/>
              <w:left w:val="single" w:sz="4" w:space="0" w:color="auto"/>
              <w:bottom w:val="single" w:sz="4" w:space="0" w:color="auto"/>
              <w:right w:val="single" w:sz="4" w:space="0" w:color="auto"/>
            </w:tcBorders>
            <w:vAlign w:val="center"/>
          </w:tcPr>
          <w:p w14:paraId="056F22E6"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861" w:type="dxa"/>
            <w:vMerge/>
            <w:tcBorders>
              <w:top w:val="single" w:sz="4" w:space="0" w:color="auto"/>
              <w:left w:val="single" w:sz="4" w:space="0" w:color="auto"/>
              <w:bottom w:val="single" w:sz="4" w:space="0" w:color="auto"/>
              <w:right w:val="single" w:sz="4" w:space="0" w:color="auto"/>
            </w:tcBorders>
            <w:vAlign w:val="center"/>
          </w:tcPr>
          <w:p w14:paraId="139A75F9"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7AC8F93"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tcPr>
          <w:p w14:paraId="220CC422"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5ECD1C00"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BDD7EE"/>
            <w:vAlign w:val="center"/>
          </w:tcPr>
          <w:p w14:paraId="7DB8090F" w14:textId="77777777" w:rsidR="00CB0FCB" w:rsidRDefault="009D2B11">
            <w:pPr>
              <w:pStyle w:val="P68B1DB1-Normal7"/>
              <w:spacing w:before="120" w:after="120" w:line="240" w:lineRule="auto"/>
              <w:jc w:val="center"/>
              <w:rPr>
                <w:rFonts w:eastAsia="Times New Roman" w:cs="Times New Roman"/>
                <w:bCs/>
                <w:noProof/>
                <w:szCs w:val="18"/>
              </w:rPr>
            </w:pPr>
            <w:r>
              <w:rPr>
                <w:noProof/>
              </w:rPr>
              <w:t>Mēra vienība</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tcPr>
          <w:p w14:paraId="18407538" w14:textId="77777777" w:rsidR="00CB0FCB" w:rsidRDefault="009D2B11">
            <w:pPr>
              <w:pStyle w:val="P68B1DB1-Normal7"/>
              <w:spacing w:before="120" w:after="120" w:line="240" w:lineRule="auto"/>
              <w:jc w:val="center"/>
              <w:rPr>
                <w:rFonts w:eastAsia="Times New Roman" w:cs="Times New Roman"/>
                <w:bCs/>
                <w:noProof/>
                <w:szCs w:val="18"/>
              </w:rPr>
            </w:pPr>
            <w:r>
              <w:rPr>
                <w:noProof/>
              </w:rPr>
              <w:t>Pamatscenārijs</w:t>
            </w:r>
          </w:p>
        </w:tc>
        <w:tc>
          <w:tcPr>
            <w:tcW w:w="720" w:type="dxa"/>
            <w:tcBorders>
              <w:top w:val="single" w:sz="4" w:space="0" w:color="auto"/>
              <w:left w:val="nil"/>
              <w:bottom w:val="single" w:sz="4" w:space="0" w:color="auto"/>
              <w:right w:val="single" w:sz="4" w:space="0" w:color="auto"/>
            </w:tcBorders>
            <w:shd w:val="clear" w:color="auto" w:fill="BDD7EE"/>
            <w:vAlign w:val="center"/>
          </w:tcPr>
          <w:p w14:paraId="7BDDA70D" w14:textId="77777777" w:rsidR="00CB0FCB" w:rsidRDefault="009D2B11">
            <w:pPr>
              <w:pStyle w:val="P68B1DB1-Normal7"/>
              <w:spacing w:before="120" w:after="120" w:line="240" w:lineRule="auto"/>
              <w:jc w:val="center"/>
              <w:rPr>
                <w:rFonts w:eastAsia="Times New Roman" w:cs="Times New Roman"/>
                <w:bCs/>
                <w:noProof/>
                <w:szCs w:val="18"/>
              </w:rPr>
            </w:pPr>
            <w:r>
              <w:rPr>
                <w:noProof/>
              </w:rPr>
              <w:t>Mērķis</w:t>
            </w:r>
          </w:p>
        </w:tc>
        <w:tc>
          <w:tcPr>
            <w:tcW w:w="960" w:type="dxa"/>
            <w:tcBorders>
              <w:top w:val="single" w:sz="4" w:space="0" w:color="auto"/>
              <w:left w:val="nil"/>
              <w:bottom w:val="single" w:sz="4" w:space="0" w:color="auto"/>
              <w:right w:val="single" w:sz="4" w:space="0" w:color="auto"/>
            </w:tcBorders>
            <w:shd w:val="clear" w:color="auto" w:fill="BDD7EE"/>
            <w:vAlign w:val="center"/>
          </w:tcPr>
          <w:p w14:paraId="015EA965" w14:textId="77777777" w:rsidR="00CB0FCB" w:rsidRDefault="009D2B11">
            <w:pPr>
              <w:pStyle w:val="P68B1DB1-Normal7"/>
              <w:spacing w:before="120" w:after="120" w:line="240" w:lineRule="auto"/>
              <w:jc w:val="center"/>
              <w:rPr>
                <w:rFonts w:eastAsia="Times New Roman" w:cs="Times New Roman"/>
                <w:bCs/>
                <w:noProof/>
                <w:szCs w:val="18"/>
              </w:rPr>
            </w:pPr>
            <w:r>
              <w:rPr>
                <w:noProof/>
              </w:rPr>
              <w:t>Ceturkšņa laikā</w:t>
            </w:r>
          </w:p>
        </w:tc>
        <w:tc>
          <w:tcPr>
            <w:tcW w:w="773" w:type="dxa"/>
            <w:tcBorders>
              <w:top w:val="single" w:sz="4" w:space="0" w:color="auto"/>
              <w:left w:val="nil"/>
              <w:bottom w:val="single" w:sz="4" w:space="0" w:color="auto"/>
              <w:right w:val="single" w:sz="4" w:space="0" w:color="auto"/>
            </w:tcBorders>
            <w:shd w:val="clear" w:color="auto" w:fill="BDD7EE"/>
            <w:vAlign w:val="center"/>
          </w:tcPr>
          <w:p w14:paraId="27952AFC" w14:textId="77777777" w:rsidR="00CB0FCB" w:rsidRDefault="009D2B11">
            <w:pPr>
              <w:pStyle w:val="P68B1DB1-Normal7"/>
              <w:spacing w:before="120" w:after="120" w:line="240" w:lineRule="auto"/>
              <w:jc w:val="center"/>
              <w:rPr>
                <w:rFonts w:eastAsia="Times New Roman" w:cs="Times New Roman"/>
                <w:bCs/>
                <w:noProof/>
                <w:szCs w:val="18"/>
              </w:rPr>
            </w:pPr>
            <w:r>
              <w:rPr>
                <w:noProof/>
              </w:rPr>
              <w:t>Gadu</w:t>
            </w:r>
          </w:p>
        </w:tc>
        <w:tc>
          <w:tcPr>
            <w:tcW w:w="3246" w:type="dxa"/>
            <w:vMerge/>
            <w:tcBorders>
              <w:top w:val="single" w:sz="4" w:space="0" w:color="auto"/>
              <w:bottom w:val="single" w:sz="4" w:space="0" w:color="auto"/>
              <w:right w:val="single" w:sz="4" w:space="0" w:color="auto"/>
            </w:tcBorders>
            <w:vAlign w:val="center"/>
          </w:tcPr>
          <w:p w14:paraId="209ECE3B"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r>
      <w:tr w:rsidR="00CB0FCB" w14:paraId="1B49255A" w14:textId="77777777">
        <w:trPr>
          <w:trHeight w:val="225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34178BCB"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352</w:t>
            </w:r>
          </w:p>
        </w:tc>
        <w:tc>
          <w:tcPr>
            <w:tcW w:w="1861" w:type="dxa"/>
            <w:tcBorders>
              <w:top w:val="single" w:sz="4" w:space="0" w:color="auto"/>
              <w:left w:val="nil"/>
              <w:bottom w:val="single" w:sz="4" w:space="0" w:color="auto"/>
              <w:right w:val="single" w:sz="4" w:space="0" w:color="auto"/>
            </w:tcBorders>
            <w:shd w:val="clear" w:color="auto" w:fill="C6EFCE"/>
            <w:noWrap/>
          </w:tcPr>
          <w:p w14:paraId="065AB052" w14:textId="77777777" w:rsidR="00CB0FCB" w:rsidRDefault="009D2B11">
            <w:pPr>
              <w:pStyle w:val="P68B1DB1-Normal9"/>
              <w:spacing w:after="0" w:line="240" w:lineRule="auto"/>
              <w:rPr>
                <w:rFonts w:eastAsia="Times New Roman" w:cs="Calibri"/>
                <w:noProof/>
                <w:szCs w:val="18"/>
              </w:rPr>
            </w:pPr>
            <w:r>
              <w:rPr>
                <w:noProof/>
              </w:rPr>
              <w:t>20–5.1. REPowerEU reformas — 16989_Sauszemes un jūras telpas izmantošanas optimizācija AER un atkrastes vēja enerģijas attīstībai</w:t>
            </w:r>
          </w:p>
        </w:tc>
        <w:tc>
          <w:tcPr>
            <w:tcW w:w="1080" w:type="dxa"/>
            <w:tcBorders>
              <w:top w:val="single" w:sz="4" w:space="0" w:color="auto"/>
              <w:left w:val="nil"/>
              <w:bottom w:val="single" w:sz="4" w:space="0" w:color="auto"/>
              <w:right w:val="single" w:sz="4" w:space="0" w:color="auto"/>
            </w:tcBorders>
            <w:shd w:val="clear" w:color="auto" w:fill="C6EFCE"/>
            <w:noWrap/>
          </w:tcPr>
          <w:p w14:paraId="602AF325"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78" w:type="dxa"/>
            <w:tcBorders>
              <w:top w:val="single" w:sz="4" w:space="0" w:color="auto"/>
              <w:left w:val="nil"/>
              <w:bottom w:val="single" w:sz="4" w:space="0" w:color="auto"/>
              <w:right w:val="single" w:sz="4" w:space="0" w:color="auto"/>
            </w:tcBorders>
            <w:shd w:val="clear" w:color="auto" w:fill="C6EFCE"/>
            <w:noWrap/>
          </w:tcPr>
          <w:p w14:paraId="6ABEC138" w14:textId="77777777" w:rsidR="00CB0FCB" w:rsidRDefault="009D2B11">
            <w:pPr>
              <w:pStyle w:val="P68B1DB1-Normal9"/>
              <w:spacing w:after="0" w:line="240" w:lineRule="auto"/>
              <w:rPr>
                <w:rFonts w:eastAsia="Times New Roman" w:cs="Calibri"/>
                <w:noProof/>
                <w:szCs w:val="18"/>
              </w:rPr>
            </w:pPr>
            <w:r>
              <w:rPr>
                <w:noProof/>
              </w:rPr>
              <w:t>Atkrastes vējparku attīstības stratēģijas pieņemšana</w:t>
            </w:r>
          </w:p>
        </w:tc>
        <w:tc>
          <w:tcPr>
            <w:tcW w:w="1305" w:type="dxa"/>
            <w:tcBorders>
              <w:top w:val="single" w:sz="4" w:space="0" w:color="auto"/>
              <w:left w:val="nil"/>
              <w:bottom w:val="single" w:sz="4" w:space="0" w:color="auto"/>
              <w:right w:val="single" w:sz="4" w:space="0" w:color="auto"/>
            </w:tcBorders>
            <w:shd w:val="clear" w:color="auto" w:fill="C6EFCE"/>
            <w:noWrap/>
          </w:tcPr>
          <w:p w14:paraId="330783B8" w14:textId="77777777" w:rsidR="00CB0FCB" w:rsidRDefault="009D2B11">
            <w:pPr>
              <w:pStyle w:val="P68B1DB1-Normal9"/>
              <w:spacing w:after="120" w:line="240" w:lineRule="auto"/>
              <w:rPr>
                <w:rFonts w:eastAsia="Times New Roman" w:cs="Calibri"/>
                <w:noProof/>
                <w:szCs w:val="18"/>
              </w:rPr>
            </w:pPr>
            <w:r>
              <w:rPr>
                <w:noProof/>
              </w:rPr>
              <w:t>Sekundāro tiesību aktu stāšanās spēkā</w:t>
            </w:r>
          </w:p>
        </w:tc>
        <w:tc>
          <w:tcPr>
            <w:tcW w:w="1137" w:type="dxa"/>
            <w:tcBorders>
              <w:top w:val="single" w:sz="4" w:space="0" w:color="auto"/>
              <w:left w:val="nil"/>
              <w:bottom w:val="single" w:sz="4" w:space="0" w:color="auto"/>
              <w:right w:val="single" w:sz="4" w:space="0" w:color="auto"/>
            </w:tcBorders>
            <w:shd w:val="clear" w:color="auto" w:fill="C6EFCE"/>
            <w:noWrap/>
          </w:tcPr>
          <w:p w14:paraId="425505C8" w14:textId="77777777" w:rsidR="00CB0FCB" w:rsidRDefault="00CB0FCB">
            <w:pPr>
              <w:spacing w:after="0" w:line="240" w:lineRule="auto"/>
              <w:rPr>
                <w:rFonts w:ascii="Times New Roman" w:eastAsia="Times New Roman" w:hAnsi="Times New Roman" w:cs="Times New Roman"/>
                <w:noProof/>
                <w:sz w:val="18"/>
                <w:szCs w:val="18"/>
              </w:rPr>
            </w:pPr>
          </w:p>
        </w:tc>
        <w:tc>
          <w:tcPr>
            <w:tcW w:w="960" w:type="dxa"/>
            <w:tcBorders>
              <w:top w:val="nil"/>
              <w:left w:val="nil"/>
              <w:bottom w:val="single" w:sz="4" w:space="0" w:color="auto"/>
              <w:right w:val="single" w:sz="4" w:space="0" w:color="auto"/>
            </w:tcBorders>
            <w:shd w:val="clear" w:color="auto" w:fill="C6EFCE"/>
            <w:noWrap/>
          </w:tcPr>
          <w:p w14:paraId="52CB9EA0" w14:textId="77777777" w:rsidR="00CB0FCB" w:rsidRDefault="00CB0FCB">
            <w:pPr>
              <w:spacing w:after="0" w:line="240" w:lineRule="auto"/>
              <w:rPr>
                <w:rFonts w:ascii="Times New Roman" w:eastAsia="Times New Roman" w:hAnsi="Times New Roman" w:cs="Times New Roman"/>
                <w:noProof/>
                <w:sz w:val="18"/>
                <w:szCs w:val="18"/>
              </w:rPr>
            </w:pPr>
          </w:p>
        </w:tc>
        <w:tc>
          <w:tcPr>
            <w:tcW w:w="720" w:type="dxa"/>
            <w:tcBorders>
              <w:top w:val="nil"/>
              <w:left w:val="nil"/>
              <w:bottom w:val="single" w:sz="4" w:space="0" w:color="auto"/>
              <w:right w:val="single" w:sz="4" w:space="0" w:color="auto"/>
            </w:tcBorders>
            <w:shd w:val="clear" w:color="auto" w:fill="C6EFCE"/>
            <w:noWrap/>
          </w:tcPr>
          <w:p w14:paraId="68913936" w14:textId="77777777" w:rsidR="00CB0FCB" w:rsidRDefault="00CB0FCB">
            <w:pPr>
              <w:spacing w:after="0" w:line="240" w:lineRule="auto"/>
              <w:rPr>
                <w:rFonts w:ascii="Times New Roman" w:eastAsia="Times New Roman" w:hAnsi="Times New Roman" w:cs="Times New Roman"/>
                <w:noProof/>
                <w:sz w:val="18"/>
                <w:szCs w:val="18"/>
              </w:rPr>
            </w:pPr>
          </w:p>
        </w:tc>
        <w:tc>
          <w:tcPr>
            <w:tcW w:w="960" w:type="dxa"/>
            <w:tcBorders>
              <w:top w:val="nil"/>
              <w:left w:val="nil"/>
              <w:bottom w:val="single" w:sz="4" w:space="0" w:color="auto"/>
              <w:right w:val="single" w:sz="4" w:space="0" w:color="auto"/>
            </w:tcBorders>
            <w:shd w:val="clear" w:color="auto" w:fill="C6EFCE"/>
            <w:noWrap/>
          </w:tcPr>
          <w:p w14:paraId="264CCBB3" w14:textId="77777777" w:rsidR="00CB0FCB" w:rsidRDefault="009D2B11">
            <w:pPr>
              <w:pStyle w:val="P68B1DB1-Normal9"/>
              <w:spacing w:after="120" w:line="240" w:lineRule="auto"/>
              <w:rPr>
                <w:rFonts w:eastAsia="Times New Roman"/>
                <w:noProof/>
                <w:szCs w:val="18"/>
              </w:rPr>
            </w:pPr>
            <w:r>
              <w:rPr>
                <w:noProof/>
              </w:rPr>
              <w:t>2. CET.</w:t>
            </w:r>
          </w:p>
        </w:tc>
        <w:tc>
          <w:tcPr>
            <w:tcW w:w="773" w:type="dxa"/>
            <w:tcBorders>
              <w:top w:val="nil"/>
              <w:left w:val="nil"/>
              <w:bottom w:val="single" w:sz="4" w:space="0" w:color="auto"/>
              <w:right w:val="single" w:sz="4" w:space="0" w:color="auto"/>
            </w:tcBorders>
            <w:shd w:val="clear" w:color="auto" w:fill="C6EFCE"/>
            <w:noWrap/>
          </w:tcPr>
          <w:p w14:paraId="6B2F47E6" w14:textId="13FF4A87" w:rsidR="00CB0FCB" w:rsidRDefault="009D2B11">
            <w:pPr>
              <w:pStyle w:val="P68B1DB1-Normal10"/>
              <w:spacing w:after="120" w:line="240" w:lineRule="auto"/>
              <w:rPr>
                <w:rFonts w:eastAsia="Times New Roman"/>
                <w:noProof/>
              </w:rPr>
            </w:pPr>
            <w:r>
              <w:rPr>
                <w:noProof/>
              </w:rPr>
              <w:t>2025</w:t>
            </w:r>
          </w:p>
        </w:tc>
        <w:tc>
          <w:tcPr>
            <w:tcW w:w="3246" w:type="dxa"/>
            <w:tcBorders>
              <w:top w:val="single" w:sz="4" w:space="0" w:color="auto"/>
              <w:left w:val="nil"/>
              <w:bottom w:val="single" w:sz="4" w:space="0" w:color="auto"/>
              <w:right w:val="single" w:sz="4" w:space="0" w:color="auto"/>
            </w:tcBorders>
            <w:shd w:val="clear" w:color="auto" w:fill="C6EFCE"/>
            <w:noWrap/>
          </w:tcPr>
          <w:p w14:paraId="0FE63366" w14:textId="77777777" w:rsidR="00CB0FCB" w:rsidRDefault="009D2B11">
            <w:pPr>
              <w:pStyle w:val="P68B1DB1-Normal9"/>
              <w:spacing w:after="0" w:line="240" w:lineRule="auto"/>
              <w:rPr>
                <w:rFonts w:eastAsia="Times New Roman" w:cs="Calibri"/>
                <w:noProof/>
                <w:szCs w:val="18"/>
              </w:rPr>
            </w:pPr>
            <w:r>
              <w:rPr>
                <w:noProof/>
              </w:rPr>
              <w:t>Stājas spēkā sekundārie tiesību akti, kas izklāstīti Likumā Nr. 4964/2022 attiecībā uz atkrastes vējparkiem. Konkrēti:</w:t>
            </w:r>
          </w:p>
          <w:p w14:paraId="0D4E98D0" w14:textId="77777777" w:rsidR="00CB0FCB" w:rsidRDefault="009D2B11">
            <w:pPr>
              <w:pStyle w:val="P68B1DB1-ListParagraph20"/>
              <w:numPr>
                <w:ilvl w:val="0"/>
                <w:numId w:val="74"/>
              </w:numPr>
              <w:rPr>
                <w:rFonts w:eastAsia="Times New Roman" w:cs="Calibri"/>
                <w:noProof/>
                <w:szCs w:val="18"/>
              </w:rPr>
            </w:pPr>
            <w:r>
              <w:rPr>
                <w:noProof/>
              </w:rPr>
              <w:t>Stājas spēkā kopīgais ministru lēmums, ar ko pieņem Valsts atkrastes vēja parka attīstības programmu, kurā nosaka jūras teritorijas Grieķijas teritoriālajos ūdeņos, kas ir piemērotas atkrastes vēja enerģijas ražošanas darbībām, un kam pievieno stratēģisko ietekmes uz vidi novērtējumu noteiktajām teritorijām.</w:t>
            </w:r>
          </w:p>
        </w:tc>
      </w:tr>
      <w:tr w:rsidR="00CB0FCB" w14:paraId="0AEE00AE" w14:textId="77777777">
        <w:trPr>
          <w:jc w:val="center"/>
        </w:trPr>
        <w:tc>
          <w:tcPr>
            <w:tcW w:w="1134" w:type="dxa"/>
            <w:tcBorders>
              <w:top w:val="nil"/>
              <w:left w:val="single" w:sz="4" w:space="0" w:color="auto"/>
              <w:bottom w:val="single" w:sz="4" w:space="0" w:color="auto"/>
              <w:right w:val="single" w:sz="4" w:space="0" w:color="auto"/>
            </w:tcBorders>
            <w:shd w:val="clear" w:color="auto" w:fill="C6EFCE"/>
            <w:noWrap/>
          </w:tcPr>
          <w:p w14:paraId="602AB39A" w14:textId="77777777" w:rsidR="00CB0FCB" w:rsidRDefault="009D2B11">
            <w:pPr>
              <w:pStyle w:val="P68B1DB1-Normal9"/>
              <w:spacing w:after="0" w:line="240" w:lineRule="auto"/>
              <w:rPr>
                <w:rFonts w:eastAsia="Times New Roman" w:cs="Calibri"/>
                <w:noProof/>
                <w:szCs w:val="18"/>
              </w:rPr>
            </w:pPr>
            <w:r>
              <w:rPr>
                <w:noProof/>
              </w:rPr>
              <w:t>353</w:t>
            </w:r>
          </w:p>
        </w:tc>
        <w:tc>
          <w:tcPr>
            <w:tcW w:w="1861" w:type="dxa"/>
            <w:tcBorders>
              <w:top w:val="nil"/>
              <w:left w:val="nil"/>
              <w:bottom w:val="single" w:sz="4" w:space="0" w:color="auto"/>
              <w:right w:val="single" w:sz="4" w:space="0" w:color="auto"/>
            </w:tcBorders>
            <w:shd w:val="clear" w:color="auto" w:fill="C6EFCE"/>
            <w:noWrap/>
          </w:tcPr>
          <w:p w14:paraId="613906D7" w14:textId="77777777" w:rsidR="00CB0FCB" w:rsidRDefault="009D2B11">
            <w:pPr>
              <w:pStyle w:val="P68B1DB1-Normal9"/>
              <w:spacing w:after="120" w:line="240" w:lineRule="auto"/>
              <w:rPr>
                <w:rFonts w:ascii="Times New Roman" w:hAnsi="Times New Roman" w:cs="Times New Roman"/>
                <w:noProof/>
                <w:sz w:val="24"/>
                <w:szCs w:val="24"/>
              </w:rPr>
            </w:pPr>
            <w:r>
              <w:rPr>
                <w:noProof/>
              </w:rPr>
              <w:t>20–5.1. REPowerEU reformas — 16989_Sauszemes un jūras telpas izmantošanas optimizācija AER un atkrastes vēja enerģijas attīstībai</w:t>
            </w:r>
          </w:p>
        </w:tc>
        <w:tc>
          <w:tcPr>
            <w:tcW w:w="1080" w:type="dxa"/>
            <w:tcBorders>
              <w:top w:val="nil"/>
              <w:left w:val="nil"/>
              <w:bottom w:val="single" w:sz="4" w:space="0" w:color="auto"/>
              <w:right w:val="single" w:sz="4" w:space="0" w:color="auto"/>
            </w:tcBorders>
            <w:shd w:val="clear" w:color="auto" w:fill="C6EFCE"/>
            <w:noWrap/>
          </w:tcPr>
          <w:p w14:paraId="63C85586" w14:textId="77777777" w:rsidR="00CB0FCB" w:rsidRDefault="009D2B11">
            <w:pPr>
              <w:pStyle w:val="P68B1DB1-Normal9"/>
              <w:spacing w:after="120" w:line="240" w:lineRule="auto"/>
              <w:rPr>
                <w:rFonts w:ascii="Times New Roman" w:hAnsi="Times New Roman" w:cs="Times New Roman"/>
                <w:noProof/>
                <w:sz w:val="24"/>
              </w:rPr>
            </w:pPr>
            <w:r>
              <w:rPr>
                <w:noProof/>
              </w:rPr>
              <w:t>Atskaites punkts</w:t>
            </w:r>
          </w:p>
        </w:tc>
        <w:tc>
          <w:tcPr>
            <w:tcW w:w="1278" w:type="dxa"/>
            <w:tcBorders>
              <w:top w:val="nil"/>
              <w:left w:val="nil"/>
              <w:bottom w:val="single" w:sz="4" w:space="0" w:color="auto"/>
              <w:right w:val="single" w:sz="4" w:space="0" w:color="auto"/>
            </w:tcBorders>
            <w:shd w:val="clear" w:color="auto" w:fill="C6EFCE"/>
            <w:noWrap/>
          </w:tcPr>
          <w:p w14:paraId="1785D358" w14:textId="77777777" w:rsidR="00CB0FCB" w:rsidRDefault="009D2B11">
            <w:pPr>
              <w:pStyle w:val="P68B1DB1-Normal9"/>
              <w:spacing w:after="0" w:line="240" w:lineRule="auto"/>
              <w:rPr>
                <w:rFonts w:eastAsia="Times New Roman"/>
                <w:noProof/>
                <w:szCs w:val="18"/>
              </w:rPr>
            </w:pPr>
            <w:r>
              <w:rPr>
                <w:noProof/>
              </w:rPr>
              <w:t>Pētījums, lai noteiktu optimālās teritorijas AER attīstībai un</w:t>
            </w:r>
          </w:p>
          <w:p w14:paraId="04098C66" w14:textId="77777777" w:rsidR="00CB0FCB" w:rsidRDefault="009D2B11">
            <w:pPr>
              <w:pStyle w:val="P68B1DB1-Normal9"/>
              <w:spacing w:after="0" w:line="240" w:lineRule="auto"/>
              <w:rPr>
                <w:rFonts w:eastAsia="Times New Roman"/>
                <w:noProof/>
                <w:szCs w:val="18"/>
              </w:rPr>
            </w:pPr>
            <w:r>
              <w:rPr>
                <w:noProof/>
              </w:rPr>
              <w:t>Politikas satvara stāšanās spēkā attiecībā uz zemes divējādu izmantošanu lauksaimniecībā un saules fotoelementu ražošanā</w:t>
            </w:r>
          </w:p>
        </w:tc>
        <w:tc>
          <w:tcPr>
            <w:tcW w:w="1305" w:type="dxa"/>
            <w:tcBorders>
              <w:top w:val="nil"/>
              <w:left w:val="nil"/>
              <w:bottom w:val="single" w:sz="4" w:space="0" w:color="auto"/>
              <w:right w:val="single" w:sz="4" w:space="0" w:color="auto"/>
            </w:tcBorders>
            <w:shd w:val="clear" w:color="auto" w:fill="C6EFCE"/>
            <w:noWrap/>
          </w:tcPr>
          <w:p w14:paraId="7D5BC5B8" w14:textId="77777777" w:rsidR="00CB0FCB" w:rsidRDefault="009D2B11">
            <w:pPr>
              <w:pStyle w:val="P68B1DB1-Normal9"/>
              <w:spacing w:after="120" w:line="240" w:lineRule="auto"/>
              <w:rPr>
                <w:rFonts w:eastAsia="Times New Roman" w:cs="Calibri"/>
                <w:noProof/>
                <w:szCs w:val="18"/>
              </w:rPr>
            </w:pPr>
            <w:r>
              <w:rPr>
                <w:noProof/>
              </w:rPr>
              <w:t>Tiesību aktu stāšanās spēkā</w:t>
            </w:r>
          </w:p>
          <w:p w14:paraId="44BD2B8A" w14:textId="77777777" w:rsidR="00CB0FCB" w:rsidRDefault="00CB0FCB">
            <w:pPr>
              <w:spacing w:after="120" w:line="240" w:lineRule="auto"/>
              <w:rPr>
                <w:rFonts w:eastAsia="Times New Roman"/>
                <w:noProof/>
                <w:color w:val="006100"/>
                <w:sz w:val="18"/>
                <w:szCs w:val="18"/>
                <w:highlight w:val="yellow"/>
              </w:rPr>
            </w:pPr>
          </w:p>
        </w:tc>
        <w:tc>
          <w:tcPr>
            <w:tcW w:w="1137" w:type="dxa"/>
            <w:tcBorders>
              <w:top w:val="nil"/>
              <w:left w:val="nil"/>
              <w:bottom w:val="single" w:sz="4" w:space="0" w:color="auto"/>
              <w:right w:val="single" w:sz="4" w:space="0" w:color="auto"/>
            </w:tcBorders>
            <w:shd w:val="clear" w:color="auto" w:fill="C6EFCE"/>
            <w:noWrap/>
          </w:tcPr>
          <w:p w14:paraId="283C252D"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266AF33C" w14:textId="77777777" w:rsidR="00CB0FCB" w:rsidRDefault="00CB0FCB">
            <w:pPr>
              <w:spacing w:after="0" w:line="240" w:lineRule="auto"/>
              <w:rPr>
                <w:rFonts w:eastAsia="Times New Roman" w:cs="Calibri"/>
                <w:noProof/>
                <w:color w:val="006100"/>
                <w:sz w:val="18"/>
                <w:szCs w:val="18"/>
              </w:rPr>
            </w:pPr>
          </w:p>
        </w:tc>
        <w:tc>
          <w:tcPr>
            <w:tcW w:w="720" w:type="dxa"/>
            <w:tcBorders>
              <w:top w:val="nil"/>
              <w:left w:val="nil"/>
              <w:bottom w:val="single" w:sz="4" w:space="0" w:color="auto"/>
              <w:right w:val="single" w:sz="4" w:space="0" w:color="auto"/>
            </w:tcBorders>
            <w:shd w:val="clear" w:color="auto" w:fill="C6EFCE"/>
            <w:noWrap/>
          </w:tcPr>
          <w:p w14:paraId="70020E00" w14:textId="77777777" w:rsidR="00CB0FCB" w:rsidRDefault="00CB0FCB">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19E0019A" w14:textId="77777777" w:rsidR="00CB0FCB" w:rsidRDefault="009D2B11">
            <w:pPr>
              <w:pStyle w:val="P68B1DB1-Normal9"/>
              <w:spacing w:after="120" w:line="240" w:lineRule="auto"/>
              <w:rPr>
                <w:rFonts w:eastAsia="Times New Roman"/>
                <w:noProof/>
                <w:szCs w:val="18"/>
              </w:rPr>
            </w:pPr>
            <w:r>
              <w:rPr>
                <w:noProof/>
              </w:rPr>
              <w:t>4. CET.</w:t>
            </w:r>
          </w:p>
        </w:tc>
        <w:tc>
          <w:tcPr>
            <w:tcW w:w="773" w:type="dxa"/>
            <w:tcBorders>
              <w:top w:val="nil"/>
              <w:left w:val="nil"/>
              <w:bottom w:val="single" w:sz="4" w:space="0" w:color="auto"/>
              <w:right w:val="single" w:sz="4" w:space="0" w:color="auto"/>
            </w:tcBorders>
            <w:shd w:val="clear" w:color="auto" w:fill="C6EFCE"/>
            <w:noWrap/>
          </w:tcPr>
          <w:p w14:paraId="41AA1E21" w14:textId="77777777" w:rsidR="00CB0FCB" w:rsidRDefault="009D2B11">
            <w:pPr>
              <w:pStyle w:val="P68B1DB1-Normal9"/>
              <w:spacing w:after="120" w:line="240" w:lineRule="auto"/>
              <w:rPr>
                <w:rFonts w:eastAsia="Times New Roman"/>
                <w:noProof/>
                <w:szCs w:val="18"/>
              </w:rPr>
            </w:pPr>
            <w:r>
              <w:rPr>
                <w:noProof/>
              </w:rPr>
              <w:t>2024</w:t>
            </w:r>
          </w:p>
        </w:tc>
        <w:tc>
          <w:tcPr>
            <w:tcW w:w="3246" w:type="dxa"/>
            <w:tcBorders>
              <w:top w:val="nil"/>
              <w:left w:val="nil"/>
              <w:bottom w:val="single" w:sz="4" w:space="0" w:color="auto"/>
              <w:right w:val="single" w:sz="4" w:space="0" w:color="auto"/>
            </w:tcBorders>
            <w:shd w:val="clear" w:color="auto" w:fill="C6EFCE"/>
            <w:noWrap/>
          </w:tcPr>
          <w:p w14:paraId="36529FC5" w14:textId="77777777" w:rsidR="00CB0FCB" w:rsidRDefault="009D2B11">
            <w:pPr>
              <w:pStyle w:val="P68B1DB1-Normal9"/>
              <w:spacing w:after="120" w:line="240" w:lineRule="auto"/>
              <w:rPr>
                <w:rFonts w:eastAsia="Times New Roman" w:cs="Calibri"/>
                <w:noProof/>
                <w:szCs w:val="18"/>
              </w:rPr>
            </w:pPr>
            <w:r>
              <w:rPr>
                <w:noProof/>
              </w:rPr>
              <w:t xml:space="preserve">Stājas spēkā sekundārie tiesību akti, lai apstiprinātu pētījumu, kurā ņemts vērā esošais AER potenciāls, esošo AER vienību ģeogrāfiskais sadalījums, kā arī turpmāko iekārtu licences, telpiskie ierobežojumi, tīkla un sistēmas pieejamība un citi faktori, kas saistīti gan ar enerģijas, gan ar kosmosu saistītiem kritērijiem. Pētījuma mērķis ir noteikt optimālās teritorijas, kurās būtu jāatrodas AER iekārtām, lai gūtu maksimālu labumu gan enerģētikas nozarei, gan sabiedrībai, tostarp ieteikumus par to, kā stimulēt politikas satvaru šajā jomā. Pētījumā nosaka pirmo teritoriju kopumu, kas jāizmanto, lai vēlāk noteiktu AER paātrinātas apguves zonas Grieķijā. Šajās teritorijās veic arī stratēģisko vides novērtējumu. </w:t>
            </w:r>
          </w:p>
          <w:p w14:paraId="1AC822DC" w14:textId="77777777" w:rsidR="00CB0FCB" w:rsidRDefault="009D2B11">
            <w:pPr>
              <w:pStyle w:val="P68B1DB1-Normal9"/>
              <w:spacing w:after="120" w:line="240" w:lineRule="auto"/>
              <w:rPr>
                <w:rFonts w:eastAsia="Times New Roman" w:cs="Calibri"/>
                <w:noProof/>
                <w:szCs w:val="18"/>
              </w:rPr>
            </w:pPr>
            <w:r>
              <w:rPr>
                <w:noProof/>
              </w:rPr>
              <w:t>Stājas spēkā tiesību akti, lai izveidotu politikas satvaru zemes divējādai izmantošanai lauksaimniecībā un saules fotoelementu ražošanai. Politikas satvarā apzina piemērotas vietas agrofotoelementu īstenošanai, konkrētas darbības agroPV veicināšanai un noteikumus par zemes dubultu izmantošanu un Agri-PV projektu īstenošanu.</w:t>
            </w:r>
          </w:p>
        </w:tc>
      </w:tr>
      <w:tr w:rsidR="00CB0FCB" w14:paraId="4919A233" w14:textId="77777777">
        <w:trPr>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79CD3DF" w14:textId="77777777" w:rsidR="00CB0FCB" w:rsidRDefault="009D2B11">
            <w:pPr>
              <w:pStyle w:val="P68B1DB1-Normal9"/>
              <w:spacing w:after="0" w:line="240" w:lineRule="auto"/>
              <w:rPr>
                <w:rFonts w:ascii="Times New Roman" w:hAnsi="Times New Roman" w:cs="Times New Roman"/>
                <w:noProof/>
                <w:sz w:val="24"/>
              </w:rPr>
            </w:pPr>
            <w:r>
              <w:rPr>
                <w:noProof/>
              </w:rPr>
              <w:t>354</w:t>
            </w:r>
          </w:p>
        </w:tc>
        <w:tc>
          <w:tcPr>
            <w:tcW w:w="1861" w:type="dxa"/>
            <w:tcBorders>
              <w:top w:val="single" w:sz="4" w:space="0" w:color="auto"/>
              <w:left w:val="nil"/>
              <w:bottom w:val="single" w:sz="4" w:space="0" w:color="auto"/>
              <w:right w:val="single" w:sz="4" w:space="0" w:color="auto"/>
            </w:tcBorders>
            <w:shd w:val="clear" w:color="auto" w:fill="C6EFCE"/>
            <w:noWrap/>
          </w:tcPr>
          <w:p w14:paraId="067908DA" w14:textId="77777777" w:rsidR="00CB0FCB" w:rsidRDefault="009D2B11">
            <w:pPr>
              <w:pStyle w:val="P68B1DB1-Normal9"/>
              <w:spacing w:after="120" w:line="240" w:lineRule="auto"/>
              <w:rPr>
                <w:rFonts w:ascii="Times New Roman" w:hAnsi="Times New Roman" w:cs="Times New Roman"/>
                <w:noProof/>
                <w:sz w:val="24"/>
                <w:szCs w:val="24"/>
              </w:rPr>
            </w:pPr>
            <w:r>
              <w:rPr>
                <w:noProof/>
              </w:rPr>
              <w:t>20–5.1. REPowerEU reformas — 16989_Sauszemes un jūras telpas izmantošanas optimizācija AER un atkrastes vēja enerģijas attīstībai</w:t>
            </w:r>
          </w:p>
        </w:tc>
        <w:tc>
          <w:tcPr>
            <w:tcW w:w="1080" w:type="dxa"/>
            <w:tcBorders>
              <w:top w:val="single" w:sz="4" w:space="0" w:color="auto"/>
              <w:left w:val="nil"/>
              <w:bottom w:val="single" w:sz="4" w:space="0" w:color="auto"/>
              <w:right w:val="single" w:sz="4" w:space="0" w:color="auto"/>
            </w:tcBorders>
            <w:shd w:val="clear" w:color="auto" w:fill="C6EFCE"/>
            <w:noWrap/>
          </w:tcPr>
          <w:p w14:paraId="6C5549D1" w14:textId="77777777" w:rsidR="00CB0FCB" w:rsidRDefault="009D2B11">
            <w:pPr>
              <w:pStyle w:val="P68B1DB1-Normal9"/>
              <w:spacing w:after="120" w:line="240" w:lineRule="auto"/>
              <w:rPr>
                <w:rFonts w:ascii="Times New Roman" w:hAnsi="Times New Roman" w:cs="Times New Roman"/>
                <w:noProof/>
                <w:sz w:val="24"/>
              </w:rPr>
            </w:pPr>
            <w:r>
              <w:rPr>
                <w:noProof/>
              </w:rPr>
              <w:t>Atskaites punkts</w:t>
            </w:r>
          </w:p>
        </w:tc>
        <w:tc>
          <w:tcPr>
            <w:tcW w:w="1278" w:type="dxa"/>
            <w:tcBorders>
              <w:top w:val="single" w:sz="4" w:space="0" w:color="auto"/>
              <w:left w:val="nil"/>
              <w:bottom w:val="single" w:sz="4" w:space="0" w:color="auto"/>
              <w:right w:val="single" w:sz="4" w:space="0" w:color="auto"/>
            </w:tcBorders>
            <w:shd w:val="clear" w:color="auto" w:fill="C6EFCE"/>
            <w:noWrap/>
          </w:tcPr>
          <w:p w14:paraId="1EFDC0BA" w14:textId="77777777" w:rsidR="00CB0FCB" w:rsidRDefault="009D2B11">
            <w:pPr>
              <w:pStyle w:val="P68B1DB1-Normal9"/>
              <w:spacing w:after="120" w:line="240" w:lineRule="auto"/>
              <w:rPr>
                <w:rFonts w:eastAsia="Times New Roman" w:cs="Calibri"/>
                <w:noProof/>
                <w:szCs w:val="18"/>
              </w:rPr>
            </w:pPr>
            <w:r>
              <w:rPr>
                <w:noProof/>
              </w:rPr>
              <w:t>Stājas spēkā prezidenta dekrēts, ar ko nosaka pirmo teritoriju grupu atkrastes vēja enerģijas projektiem</w:t>
            </w:r>
          </w:p>
        </w:tc>
        <w:tc>
          <w:tcPr>
            <w:tcW w:w="1305" w:type="dxa"/>
            <w:tcBorders>
              <w:top w:val="single" w:sz="4" w:space="0" w:color="auto"/>
              <w:left w:val="nil"/>
              <w:bottom w:val="single" w:sz="4" w:space="0" w:color="auto"/>
              <w:right w:val="single" w:sz="4" w:space="0" w:color="auto"/>
            </w:tcBorders>
            <w:shd w:val="clear" w:color="auto" w:fill="C6EFCE"/>
            <w:noWrap/>
          </w:tcPr>
          <w:p w14:paraId="07D76555" w14:textId="77777777" w:rsidR="00CB0FCB" w:rsidRDefault="009D2B11">
            <w:pPr>
              <w:pStyle w:val="P68B1DB1-Normal9"/>
              <w:spacing w:after="120" w:line="240" w:lineRule="auto"/>
              <w:rPr>
                <w:rFonts w:ascii="Times New Roman" w:hAnsi="Times New Roman" w:cs="Times New Roman"/>
                <w:noProof/>
                <w:sz w:val="24"/>
              </w:rPr>
            </w:pPr>
            <w:r>
              <w:rPr>
                <w:noProof/>
              </w:rPr>
              <w:t>Prezidenta dekrēta pieņemšana un stāšanās spēkā</w:t>
            </w:r>
          </w:p>
        </w:tc>
        <w:tc>
          <w:tcPr>
            <w:tcW w:w="1137" w:type="dxa"/>
            <w:tcBorders>
              <w:top w:val="single" w:sz="4" w:space="0" w:color="auto"/>
              <w:left w:val="nil"/>
              <w:bottom w:val="single" w:sz="4" w:space="0" w:color="auto"/>
              <w:right w:val="single" w:sz="4" w:space="0" w:color="auto"/>
            </w:tcBorders>
            <w:shd w:val="clear" w:color="auto" w:fill="C6EFCE"/>
            <w:noWrap/>
          </w:tcPr>
          <w:p w14:paraId="6D572579" w14:textId="77777777" w:rsidR="00CB0FCB" w:rsidRDefault="00CB0FCB">
            <w:pPr>
              <w:spacing w:after="120" w:line="240" w:lineRule="auto"/>
              <w:rPr>
                <w:rFonts w:ascii="Times New Roman" w:hAnsi="Times New Roman" w:cs="Times New Roman"/>
                <w:noProof/>
                <w:sz w:val="24"/>
              </w:rPr>
            </w:pPr>
          </w:p>
        </w:tc>
        <w:tc>
          <w:tcPr>
            <w:tcW w:w="960" w:type="dxa"/>
            <w:tcBorders>
              <w:top w:val="single" w:sz="4" w:space="0" w:color="auto"/>
              <w:left w:val="nil"/>
              <w:bottom w:val="single" w:sz="4" w:space="0" w:color="auto"/>
              <w:right w:val="single" w:sz="4" w:space="0" w:color="auto"/>
            </w:tcBorders>
            <w:shd w:val="clear" w:color="auto" w:fill="C6EFCE"/>
            <w:noWrap/>
          </w:tcPr>
          <w:p w14:paraId="43458A9E" w14:textId="77777777" w:rsidR="00CB0FCB" w:rsidRDefault="00CB0FCB">
            <w:pPr>
              <w:spacing w:after="120" w:line="240" w:lineRule="auto"/>
              <w:rPr>
                <w:rFonts w:ascii="Times New Roman" w:hAnsi="Times New Roman" w:cs="Times New Roman"/>
                <w:noProof/>
                <w:sz w:val="24"/>
              </w:rPr>
            </w:pPr>
          </w:p>
        </w:tc>
        <w:tc>
          <w:tcPr>
            <w:tcW w:w="720" w:type="dxa"/>
            <w:tcBorders>
              <w:top w:val="single" w:sz="4" w:space="0" w:color="auto"/>
              <w:left w:val="nil"/>
              <w:bottom w:val="single" w:sz="4" w:space="0" w:color="auto"/>
              <w:right w:val="single" w:sz="4" w:space="0" w:color="auto"/>
            </w:tcBorders>
            <w:shd w:val="clear" w:color="auto" w:fill="C6EFCE"/>
            <w:noWrap/>
          </w:tcPr>
          <w:p w14:paraId="5DE3AC62" w14:textId="77777777" w:rsidR="00CB0FCB" w:rsidRDefault="00CB0FCB">
            <w:pPr>
              <w:spacing w:after="120" w:line="240" w:lineRule="auto"/>
              <w:rPr>
                <w:rFonts w:ascii="Times New Roman" w:hAnsi="Times New Roman" w:cs="Times New Roman"/>
                <w:noProof/>
                <w:sz w:val="24"/>
              </w:rPr>
            </w:pPr>
          </w:p>
        </w:tc>
        <w:tc>
          <w:tcPr>
            <w:tcW w:w="960" w:type="dxa"/>
            <w:tcBorders>
              <w:top w:val="single" w:sz="4" w:space="0" w:color="auto"/>
              <w:left w:val="nil"/>
              <w:bottom w:val="single" w:sz="4" w:space="0" w:color="auto"/>
              <w:right w:val="single" w:sz="4" w:space="0" w:color="auto"/>
            </w:tcBorders>
            <w:shd w:val="clear" w:color="auto" w:fill="C6EFCE"/>
            <w:noWrap/>
          </w:tcPr>
          <w:p w14:paraId="02591568" w14:textId="77777777" w:rsidR="00CB0FCB" w:rsidRDefault="009D2B11">
            <w:pPr>
              <w:pStyle w:val="P68B1DB1-Normal9"/>
              <w:spacing w:after="120" w:line="240" w:lineRule="auto"/>
              <w:rPr>
                <w:rFonts w:eastAsia="Times New Roman"/>
                <w:noProof/>
                <w:szCs w:val="18"/>
              </w:rPr>
            </w:pPr>
            <w:r>
              <w:rPr>
                <w:noProof/>
              </w:rPr>
              <w:t>2. CET.</w:t>
            </w:r>
          </w:p>
        </w:tc>
        <w:tc>
          <w:tcPr>
            <w:tcW w:w="773" w:type="dxa"/>
            <w:tcBorders>
              <w:top w:val="single" w:sz="4" w:space="0" w:color="auto"/>
              <w:left w:val="nil"/>
              <w:bottom w:val="single" w:sz="4" w:space="0" w:color="auto"/>
              <w:right w:val="single" w:sz="4" w:space="0" w:color="auto"/>
            </w:tcBorders>
            <w:shd w:val="clear" w:color="auto" w:fill="C6EFCE"/>
            <w:noWrap/>
          </w:tcPr>
          <w:p w14:paraId="2E96D62D" w14:textId="77777777" w:rsidR="00CB0FCB" w:rsidRDefault="009D2B11">
            <w:pPr>
              <w:pStyle w:val="P68B1DB1-Normal9"/>
              <w:spacing w:after="120" w:line="240" w:lineRule="auto"/>
              <w:rPr>
                <w:rFonts w:eastAsia="Times New Roman"/>
                <w:noProof/>
                <w:szCs w:val="18"/>
              </w:rPr>
            </w:pPr>
            <w:r>
              <w:rPr>
                <w:noProof/>
              </w:rPr>
              <w:t>2025</w:t>
            </w:r>
          </w:p>
        </w:tc>
        <w:tc>
          <w:tcPr>
            <w:tcW w:w="3246" w:type="dxa"/>
            <w:tcBorders>
              <w:top w:val="single" w:sz="4" w:space="0" w:color="auto"/>
              <w:left w:val="nil"/>
              <w:bottom w:val="single" w:sz="4" w:space="0" w:color="auto"/>
              <w:right w:val="single" w:sz="4" w:space="0" w:color="auto"/>
            </w:tcBorders>
            <w:shd w:val="clear" w:color="auto" w:fill="C6EFCE"/>
            <w:noWrap/>
          </w:tcPr>
          <w:p w14:paraId="74CC70FF" w14:textId="03FCC783" w:rsidR="00CB0FCB" w:rsidRDefault="009D2B11">
            <w:pPr>
              <w:pStyle w:val="P68B1DB1-Normal9"/>
              <w:spacing w:after="0" w:line="240" w:lineRule="auto"/>
              <w:rPr>
                <w:rFonts w:eastAsia="Times New Roman" w:cs="Calibri"/>
                <w:noProof/>
                <w:szCs w:val="18"/>
              </w:rPr>
            </w:pPr>
            <w:r>
              <w:rPr>
                <w:noProof/>
              </w:rPr>
              <w:t>Stājas spēkā Prezidenta dekrēts, ar ko nosaka pirmo teritoriju grupu atkrastes vēja enerģijas projektiem, kā noteikts Likumā Nr. 4964/2022 “Noteikumi vides licencēšanas vienkāršošanai, ar ko izveido satvaru atkrastes vēja enerģijas parku attīstībai, risinot enerģētikas krīzi, vides aizsardzību un citus noteikumus” (OV A 150, 30.7.2022.).</w:t>
            </w:r>
          </w:p>
          <w:p w14:paraId="6217E0D8" w14:textId="77777777" w:rsidR="00CB0FCB" w:rsidRDefault="00CB0FCB">
            <w:pPr>
              <w:spacing w:after="120" w:line="240" w:lineRule="auto"/>
              <w:rPr>
                <w:rFonts w:eastAsia="Times New Roman" w:cs="Calibri"/>
                <w:noProof/>
                <w:color w:val="006100"/>
                <w:sz w:val="18"/>
                <w:szCs w:val="18"/>
              </w:rPr>
            </w:pPr>
          </w:p>
        </w:tc>
      </w:tr>
    </w:tbl>
    <w:p w14:paraId="77704F4C" w14:textId="77777777" w:rsidR="00CB0FCB" w:rsidRDefault="00CB0FCB">
      <w:pPr>
        <w:keepNext/>
        <w:keepLines/>
        <w:spacing w:before="240" w:after="0" w:line="240" w:lineRule="auto"/>
        <w:jc w:val="both"/>
        <w:outlineLvl w:val="4"/>
        <w:rPr>
          <w:rFonts w:ascii="Cambria" w:eastAsia="Times New Roman" w:hAnsi="Cambria"/>
          <w:noProof/>
          <w:color w:val="365F91"/>
          <w:sz w:val="24"/>
        </w:rPr>
      </w:pPr>
    </w:p>
    <w:p w14:paraId="2A9F0F78" w14:textId="77777777" w:rsidR="00CB0FCB" w:rsidRDefault="009D2B11">
      <w:pPr>
        <w:pStyle w:val="P68B1DB1-Normal6"/>
        <w:keepNext/>
        <w:keepLines/>
        <w:spacing w:before="240" w:after="0" w:line="240" w:lineRule="auto"/>
        <w:jc w:val="both"/>
        <w:outlineLvl w:val="4"/>
        <w:rPr>
          <w:noProof/>
          <w:color w:val="365F91" w:themeColor="accent1" w:themeShade="BF"/>
        </w:rPr>
      </w:pPr>
      <w:r>
        <w:rPr>
          <w:noProof/>
        </w:rPr>
        <w:t>Reforma. Oglekļa uztveršanas, izmantošanas un uzglabāšanas tehnoloģiju regulatīvais un tirgus darbības satvars, lai veicinātu rūpniecības dekarbonizāciju (pasākums ID: 16988)</w:t>
      </w:r>
    </w:p>
    <w:p w14:paraId="332147FC" w14:textId="77777777" w:rsidR="00CB0FCB" w:rsidRDefault="00CB0FCB">
      <w:pPr>
        <w:keepNext/>
        <w:keepLines/>
        <w:spacing w:before="240" w:after="0" w:line="240" w:lineRule="auto"/>
        <w:jc w:val="both"/>
        <w:outlineLvl w:val="4"/>
        <w:rPr>
          <w:rFonts w:ascii="Cambria" w:eastAsia="Times New Roman" w:hAnsi="Cambria"/>
          <w:noProof/>
          <w:color w:val="365F91" w:themeColor="accent1" w:themeShade="BF"/>
          <w:sz w:val="24"/>
          <w:szCs w:val="24"/>
        </w:rPr>
      </w:pPr>
    </w:p>
    <w:tbl>
      <w:tblPr>
        <w:tblpPr w:leftFromText="181" w:rightFromText="181" w:vertAnchor="text" w:tblpY="1"/>
        <w:tblOverlap w:val="never"/>
        <w:tblW w:w="14737" w:type="dxa"/>
        <w:tblLayout w:type="fixed"/>
        <w:tblLook w:val="04A0" w:firstRow="1" w:lastRow="0" w:firstColumn="1" w:lastColumn="0" w:noHBand="0" w:noVBand="1"/>
      </w:tblPr>
      <w:tblGrid>
        <w:gridCol w:w="1134"/>
        <w:gridCol w:w="2078"/>
        <w:gridCol w:w="1007"/>
        <w:gridCol w:w="1134"/>
        <w:gridCol w:w="1744"/>
        <w:gridCol w:w="920"/>
        <w:gridCol w:w="24"/>
        <w:gridCol w:w="659"/>
        <w:gridCol w:w="666"/>
        <w:gridCol w:w="921"/>
        <w:gridCol w:w="10"/>
        <w:gridCol w:w="911"/>
        <w:gridCol w:w="3529"/>
      </w:tblGrid>
      <w:tr w:rsidR="00CB0FCB" w14:paraId="5CBF4753" w14:textId="77777777">
        <w:trPr>
          <w:trHeight w:val="694"/>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D35CC6" w14:textId="77777777" w:rsidR="00CB0FCB" w:rsidRDefault="009D2B11">
            <w:pPr>
              <w:pStyle w:val="P68B1DB1-Normal7"/>
              <w:spacing w:before="120" w:after="120" w:line="240" w:lineRule="auto"/>
              <w:jc w:val="center"/>
              <w:rPr>
                <w:noProof/>
              </w:rPr>
            </w:pPr>
            <w:r>
              <w:rPr>
                <w:noProof/>
              </w:rPr>
              <w:t>N pēctece</w:t>
            </w:r>
          </w:p>
          <w:p w14:paraId="2D9AE3AF" w14:textId="77777777" w:rsidR="00CB0FCB" w:rsidRDefault="009D2B11">
            <w:pPr>
              <w:pStyle w:val="P68B1DB1-Normal7"/>
              <w:spacing w:before="120" w:after="120" w:line="240" w:lineRule="auto"/>
              <w:jc w:val="center"/>
              <w:rPr>
                <w:rFonts w:cs="Times New Roman"/>
                <w:noProof/>
                <w:sz w:val="24"/>
              </w:rPr>
            </w:pPr>
            <w:r>
              <w:rPr>
                <w:noProof/>
              </w:rPr>
              <w:t>ķīļtapis</w:t>
            </w:r>
          </w:p>
        </w:tc>
        <w:tc>
          <w:tcPr>
            <w:tcW w:w="2078" w:type="dxa"/>
            <w:vMerge w:val="restart"/>
            <w:tcBorders>
              <w:top w:val="single" w:sz="4" w:space="0" w:color="auto"/>
              <w:left w:val="single" w:sz="4" w:space="0" w:color="auto"/>
              <w:right w:val="single" w:sz="4" w:space="0" w:color="auto"/>
            </w:tcBorders>
            <w:shd w:val="clear" w:color="auto" w:fill="BDD7EE"/>
            <w:vAlign w:val="center"/>
            <w:hideMark/>
          </w:tcPr>
          <w:p w14:paraId="2A1D7C8E" w14:textId="77777777" w:rsidR="00CB0FCB" w:rsidRDefault="009D2B11">
            <w:pPr>
              <w:pStyle w:val="P68B1DB1-Normal7"/>
              <w:spacing w:before="120" w:after="120" w:line="240" w:lineRule="auto"/>
              <w:jc w:val="center"/>
              <w:rPr>
                <w:rFonts w:cs="Times New Roman"/>
                <w:noProof/>
                <w:sz w:val="24"/>
              </w:rPr>
            </w:pPr>
            <w:r>
              <w:rPr>
                <w:noProof/>
              </w:rPr>
              <w:t>Saistītais pasākums (reforma vai ieguldījums)</w:t>
            </w:r>
          </w:p>
        </w:tc>
        <w:tc>
          <w:tcPr>
            <w:tcW w:w="1007" w:type="dxa"/>
            <w:vMerge w:val="restart"/>
            <w:tcBorders>
              <w:top w:val="single" w:sz="4" w:space="0" w:color="auto"/>
              <w:left w:val="single" w:sz="4" w:space="0" w:color="auto"/>
              <w:right w:val="single" w:sz="4" w:space="0" w:color="auto"/>
            </w:tcBorders>
            <w:shd w:val="clear" w:color="auto" w:fill="BDD7EE"/>
            <w:vAlign w:val="center"/>
            <w:hideMark/>
          </w:tcPr>
          <w:p w14:paraId="48400E1B" w14:textId="77777777" w:rsidR="00CB0FCB" w:rsidRDefault="009D2B11">
            <w:pPr>
              <w:pStyle w:val="P68B1DB1-Normal7"/>
              <w:spacing w:before="120" w:after="120" w:line="240" w:lineRule="auto"/>
              <w:jc w:val="center"/>
              <w:rPr>
                <w:rFonts w:cs="Times New Roman"/>
                <w:noProof/>
                <w:sz w:val="24"/>
              </w:rPr>
            </w:pPr>
            <w:r>
              <w:rPr>
                <w:noProof/>
              </w:rPr>
              <w:t>Atskaites punkts/mērķrādītājs</w:t>
            </w:r>
          </w:p>
        </w:tc>
        <w:tc>
          <w:tcPr>
            <w:tcW w:w="1134" w:type="dxa"/>
            <w:vMerge w:val="restart"/>
            <w:tcBorders>
              <w:top w:val="single" w:sz="4" w:space="0" w:color="auto"/>
              <w:left w:val="nil"/>
              <w:right w:val="single" w:sz="4" w:space="0" w:color="auto"/>
            </w:tcBorders>
            <w:shd w:val="clear" w:color="auto" w:fill="BDD7EE"/>
            <w:vAlign w:val="center"/>
            <w:hideMark/>
          </w:tcPr>
          <w:p w14:paraId="5C69F654" w14:textId="77777777" w:rsidR="00CB0FCB" w:rsidRDefault="009D2B11">
            <w:pPr>
              <w:pStyle w:val="P68B1DB1-Normal7"/>
              <w:spacing w:before="120" w:after="120" w:line="240" w:lineRule="auto"/>
              <w:jc w:val="center"/>
              <w:rPr>
                <w:rFonts w:cs="Times New Roman"/>
                <w:noProof/>
                <w:sz w:val="24"/>
              </w:rPr>
            </w:pPr>
            <w:r>
              <w:rPr>
                <w:noProof/>
              </w:rPr>
              <w:t>Nosaukums</w:t>
            </w:r>
          </w:p>
        </w:tc>
        <w:tc>
          <w:tcPr>
            <w:tcW w:w="1744" w:type="dxa"/>
            <w:vMerge w:val="restart"/>
            <w:tcBorders>
              <w:top w:val="single" w:sz="4" w:space="0" w:color="auto"/>
              <w:left w:val="single" w:sz="4" w:space="0" w:color="auto"/>
              <w:right w:val="single" w:sz="4" w:space="0" w:color="auto"/>
            </w:tcBorders>
            <w:shd w:val="clear" w:color="auto" w:fill="BDD7EE"/>
            <w:vAlign w:val="center"/>
            <w:hideMark/>
          </w:tcPr>
          <w:p w14:paraId="681BCA28" w14:textId="77777777" w:rsidR="00CB0FCB" w:rsidRDefault="009D2B11">
            <w:pPr>
              <w:pStyle w:val="P68B1DB1-Normal7"/>
              <w:spacing w:before="120" w:after="120" w:line="240" w:lineRule="auto"/>
              <w:jc w:val="center"/>
              <w:rPr>
                <w:rFonts w:cs="Times New Roman"/>
                <w:noProof/>
                <w:sz w:val="24"/>
              </w:rPr>
            </w:pPr>
            <w:r>
              <w:rPr>
                <w:noProof/>
              </w:rPr>
              <w:t>Kvalitatīvie rādītāji (atskaites punktiem)</w:t>
            </w:r>
          </w:p>
        </w:tc>
        <w:tc>
          <w:tcPr>
            <w:tcW w:w="2269" w:type="dxa"/>
            <w:gridSpan w:val="4"/>
            <w:tcBorders>
              <w:top w:val="single" w:sz="4" w:space="0" w:color="auto"/>
              <w:left w:val="nil"/>
              <w:bottom w:val="single" w:sz="4" w:space="0" w:color="auto"/>
              <w:right w:val="single" w:sz="4" w:space="0" w:color="auto"/>
            </w:tcBorders>
            <w:shd w:val="clear" w:color="auto" w:fill="BDD7EE"/>
            <w:vAlign w:val="center"/>
            <w:hideMark/>
          </w:tcPr>
          <w:p w14:paraId="0D2751FA" w14:textId="77777777" w:rsidR="00CB0FCB" w:rsidRDefault="009D2B11">
            <w:pPr>
              <w:pStyle w:val="P68B1DB1-Normal7"/>
              <w:spacing w:before="120" w:after="120" w:line="240" w:lineRule="auto"/>
              <w:jc w:val="center"/>
              <w:rPr>
                <w:rFonts w:cs="Times New Roman"/>
                <w:noProof/>
                <w:sz w:val="24"/>
              </w:rPr>
            </w:pPr>
            <w:r>
              <w:rPr>
                <w:noProof/>
              </w:rPr>
              <w:t>Kvantitatīvie rādītāji (mērķrādītājiem)</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38809772" w14:textId="77777777" w:rsidR="00CB0FCB" w:rsidRDefault="009D2B11">
            <w:pPr>
              <w:pStyle w:val="P68B1DB1-Normal7"/>
              <w:spacing w:before="120" w:after="120" w:line="240" w:lineRule="auto"/>
              <w:jc w:val="center"/>
              <w:rPr>
                <w:rFonts w:cs="Times New Roman"/>
                <w:noProof/>
                <w:sz w:val="24"/>
              </w:rPr>
            </w:pPr>
            <w:r>
              <w:rPr>
                <w:noProof/>
              </w:rPr>
              <w:t>Orientējošs pabeigšanas termiņš</w:t>
            </w:r>
          </w:p>
        </w:tc>
        <w:tc>
          <w:tcPr>
            <w:tcW w:w="3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83ED006" w14:textId="77777777" w:rsidR="00CB0FCB" w:rsidRDefault="009D2B11">
            <w:pPr>
              <w:pStyle w:val="P68B1DB1-Normal7"/>
              <w:spacing w:before="120" w:after="120" w:line="240" w:lineRule="auto"/>
              <w:jc w:val="center"/>
              <w:rPr>
                <w:rFonts w:cs="Times New Roman"/>
                <w:noProof/>
                <w:sz w:val="24"/>
              </w:rPr>
            </w:pPr>
            <w:r>
              <w:rPr>
                <w:noProof/>
              </w:rPr>
              <w:t>Apraksts par katru atskaites punktu un mērķrādītāju</w:t>
            </w:r>
          </w:p>
        </w:tc>
      </w:tr>
      <w:tr w:rsidR="00CB0FCB" w14:paraId="679C297F" w14:textId="77777777">
        <w:trPr>
          <w:trHeight w:val="413"/>
          <w:tblHeader/>
        </w:trPr>
        <w:tc>
          <w:tcPr>
            <w:tcW w:w="1134" w:type="dxa"/>
            <w:vMerge/>
            <w:tcBorders>
              <w:top w:val="single" w:sz="4" w:space="0" w:color="auto"/>
              <w:left w:val="single" w:sz="4" w:space="0" w:color="auto"/>
              <w:bottom w:val="single" w:sz="4" w:space="0" w:color="auto"/>
            </w:tcBorders>
            <w:vAlign w:val="center"/>
          </w:tcPr>
          <w:p w14:paraId="3120307E"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2078" w:type="dxa"/>
            <w:vMerge/>
            <w:tcBorders>
              <w:left w:val="single" w:sz="4" w:space="0" w:color="auto"/>
              <w:bottom w:val="single" w:sz="4" w:space="0" w:color="auto"/>
              <w:right w:val="single" w:sz="4" w:space="0" w:color="auto"/>
            </w:tcBorders>
            <w:shd w:val="clear" w:color="auto" w:fill="BDD7EE"/>
            <w:vAlign w:val="center"/>
          </w:tcPr>
          <w:p w14:paraId="3AF1167C"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07" w:type="dxa"/>
            <w:vMerge/>
            <w:tcBorders>
              <w:left w:val="single" w:sz="4" w:space="0" w:color="auto"/>
              <w:bottom w:val="single" w:sz="4" w:space="0" w:color="auto"/>
              <w:right w:val="single" w:sz="4" w:space="0" w:color="auto"/>
            </w:tcBorders>
            <w:shd w:val="clear" w:color="auto" w:fill="BDD7EE"/>
            <w:vAlign w:val="center"/>
          </w:tcPr>
          <w:p w14:paraId="4DF85C2D"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134" w:type="dxa"/>
            <w:vMerge/>
            <w:tcBorders>
              <w:left w:val="nil"/>
              <w:bottom w:val="single" w:sz="4" w:space="0" w:color="auto"/>
              <w:right w:val="single" w:sz="4" w:space="0" w:color="auto"/>
            </w:tcBorders>
            <w:shd w:val="clear" w:color="auto" w:fill="BDD7EE"/>
            <w:vAlign w:val="center"/>
          </w:tcPr>
          <w:p w14:paraId="4BF50EFA"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744" w:type="dxa"/>
            <w:vMerge/>
            <w:tcBorders>
              <w:left w:val="single" w:sz="4" w:space="0" w:color="auto"/>
              <w:bottom w:val="single" w:sz="4" w:space="0" w:color="auto"/>
              <w:right w:val="single" w:sz="4" w:space="0" w:color="auto"/>
            </w:tcBorders>
            <w:shd w:val="clear" w:color="auto" w:fill="BDD7EE"/>
            <w:vAlign w:val="center"/>
          </w:tcPr>
          <w:p w14:paraId="134C647D"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944" w:type="dxa"/>
            <w:gridSpan w:val="2"/>
            <w:tcBorders>
              <w:top w:val="single" w:sz="4" w:space="0" w:color="auto"/>
              <w:left w:val="nil"/>
              <w:bottom w:val="single" w:sz="4" w:space="0" w:color="auto"/>
              <w:right w:val="single" w:sz="4" w:space="0" w:color="auto"/>
            </w:tcBorders>
            <w:shd w:val="clear" w:color="auto" w:fill="BDD7EE"/>
            <w:vAlign w:val="center"/>
          </w:tcPr>
          <w:p w14:paraId="74B7D6D0" w14:textId="77777777" w:rsidR="00CB0FCB" w:rsidRDefault="009D2B11">
            <w:pPr>
              <w:pStyle w:val="P68B1DB1-Normal7"/>
              <w:spacing w:before="120" w:after="120" w:line="240" w:lineRule="auto"/>
              <w:jc w:val="center"/>
              <w:rPr>
                <w:rFonts w:eastAsia="Times New Roman" w:cs="Times New Roman"/>
                <w:bCs/>
                <w:noProof/>
                <w:szCs w:val="18"/>
              </w:rPr>
            </w:pPr>
            <w:r>
              <w:rPr>
                <w:noProof/>
              </w:rPr>
              <w:t>Mēra vienība</w:t>
            </w:r>
          </w:p>
        </w:tc>
        <w:tc>
          <w:tcPr>
            <w:tcW w:w="659" w:type="dxa"/>
            <w:tcBorders>
              <w:top w:val="single" w:sz="4" w:space="0" w:color="auto"/>
              <w:left w:val="nil"/>
              <w:bottom w:val="single" w:sz="4" w:space="0" w:color="auto"/>
              <w:right w:val="single" w:sz="4" w:space="0" w:color="auto"/>
            </w:tcBorders>
            <w:shd w:val="clear" w:color="auto" w:fill="BDD7EE"/>
            <w:vAlign w:val="center"/>
          </w:tcPr>
          <w:p w14:paraId="4BB8EDBC" w14:textId="77777777" w:rsidR="00CB0FCB" w:rsidRDefault="009D2B11">
            <w:pPr>
              <w:pStyle w:val="P68B1DB1-Normal7"/>
              <w:spacing w:before="120" w:after="120" w:line="240" w:lineRule="auto"/>
              <w:jc w:val="center"/>
              <w:rPr>
                <w:rFonts w:eastAsia="Times New Roman" w:cs="Times New Roman"/>
                <w:bCs/>
                <w:noProof/>
                <w:szCs w:val="18"/>
              </w:rPr>
            </w:pPr>
            <w:r>
              <w:rPr>
                <w:noProof/>
              </w:rPr>
              <w:t>Pamatscenārijs</w:t>
            </w:r>
          </w:p>
        </w:tc>
        <w:tc>
          <w:tcPr>
            <w:tcW w:w="666" w:type="dxa"/>
            <w:tcBorders>
              <w:top w:val="single" w:sz="4" w:space="0" w:color="auto"/>
              <w:left w:val="nil"/>
              <w:bottom w:val="single" w:sz="4" w:space="0" w:color="auto"/>
              <w:right w:val="single" w:sz="4" w:space="0" w:color="auto"/>
            </w:tcBorders>
            <w:shd w:val="clear" w:color="auto" w:fill="BDD7EE"/>
            <w:vAlign w:val="center"/>
          </w:tcPr>
          <w:p w14:paraId="10852F06" w14:textId="77777777" w:rsidR="00CB0FCB" w:rsidRDefault="009D2B11">
            <w:pPr>
              <w:pStyle w:val="P68B1DB1-Normal7"/>
              <w:spacing w:before="120" w:after="120" w:line="240" w:lineRule="auto"/>
              <w:jc w:val="center"/>
              <w:rPr>
                <w:rFonts w:eastAsia="Times New Roman" w:cs="Times New Roman"/>
                <w:bCs/>
                <w:noProof/>
                <w:szCs w:val="18"/>
              </w:rPr>
            </w:pPr>
            <w:r>
              <w:rPr>
                <w:noProof/>
              </w:rPr>
              <w:t>Mērķis</w:t>
            </w:r>
          </w:p>
        </w:tc>
        <w:tc>
          <w:tcPr>
            <w:tcW w:w="921" w:type="dxa"/>
            <w:tcBorders>
              <w:top w:val="single" w:sz="4" w:space="0" w:color="auto"/>
              <w:left w:val="nil"/>
              <w:bottom w:val="single" w:sz="4" w:space="0" w:color="auto"/>
              <w:right w:val="single" w:sz="4" w:space="0" w:color="auto"/>
            </w:tcBorders>
            <w:shd w:val="clear" w:color="auto" w:fill="BDD7EE"/>
            <w:vAlign w:val="center"/>
          </w:tcPr>
          <w:p w14:paraId="6069B7F8" w14:textId="77777777" w:rsidR="00CB0FCB" w:rsidRDefault="009D2B11">
            <w:pPr>
              <w:pStyle w:val="P68B1DB1-Normal7"/>
              <w:spacing w:before="120" w:after="120" w:line="240" w:lineRule="auto"/>
              <w:jc w:val="center"/>
              <w:rPr>
                <w:rFonts w:eastAsia="Times New Roman" w:cs="Times New Roman"/>
                <w:bCs/>
                <w:noProof/>
                <w:szCs w:val="18"/>
              </w:rPr>
            </w:pPr>
            <w:r>
              <w:rPr>
                <w:noProof/>
              </w:rPr>
              <w:t>Ceturkšņa laikā</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52C3872D" w14:textId="77777777" w:rsidR="00CB0FCB" w:rsidRDefault="009D2B11">
            <w:pPr>
              <w:pStyle w:val="P68B1DB1-Normal7"/>
              <w:spacing w:before="120" w:after="120" w:line="240" w:lineRule="auto"/>
              <w:jc w:val="center"/>
              <w:rPr>
                <w:rFonts w:eastAsia="Times New Roman" w:cs="Times New Roman"/>
                <w:bCs/>
                <w:noProof/>
                <w:szCs w:val="18"/>
              </w:rPr>
            </w:pPr>
            <w:r>
              <w:rPr>
                <w:noProof/>
              </w:rPr>
              <w:t>Gadu</w:t>
            </w:r>
          </w:p>
        </w:tc>
        <w:tc>
          <w:tcPr>
            <w:tcW w:w="3529" w:type="dxa"/>
            <w:vMerge/>
            <w:tcBorders>
              <w:bottom w:val="single" w:sz="4" w:space="0" w:color="auto"/>
              <w:right w:val="single" w:sz="4" w:space="0" w:color="auto"/>
            </w:tcBorders>
            <w:vAlign w:val="center"/>
          </w:tcPr>
          <w:p w14:paraId="32259A45"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r>
      <w:tr w:rsidR="00CB0FCB" w14:paraId="26E63EB9"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CF0E492"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355</w:t>
            </w:r>
          </w:p>
        </w:tc>
        <w:tc>
          <w:tcPr>
            <w:tcW w:w="2078" w:type="dxa"/>
            <w:tcBorders>
              <w:top w:val="single" w:sz="4" w:space="0" w:color="auto"/>
              <w:left w:val="nil"/>
              <w:bottom w:val="single" w:sz="4" w:space="0" w:color="auto"/>
              <w:right w:val="single" w:sz="4" w:space="0" w:color="auto"/>
            </w:tcBorders>
            <w:shd w:val="clear" w:color="auto" w:fill="C6EFCE"/>
            <w:noWrap/>
          </w:tcPr>
          <w:p w14:paraId="707DA368" w14:textId="77777777" w:rsidR="00CB0FCB" w:rsidRDefault="009D2B11">
            <w:pPr>
              <w:pStyle w:val="P68B1DB1-Normal9"/>
              <w:spacing w:after="0" w:line="240" w:lineRule="auto"/>
              <w:rPr>
                <w:rFonts w:eastAsia="Times New Roman" w:cs="Calibri"/>
                <w:noProof/>
                <w:szCs w:val="18"/>
              </w:rPr>
            </w:pPr>
            <w:r>
              <w:rPr>
                <w:noProof/>
              </w:rPr>
              <w:t xml:space="preserve">20–5.1. REPowerEU reformas — 16988_Oglekļa uztveršanas, izmantošanas un uzglabāšanas tehnoloģiju regulatīvais un tirgus darbības satvars rūpniecības dekarbonizācijas veicināšanai </w:t>
            </w:r>
          </w:p>
        </w:tc>
        <w:tc>
          <w:tcPr>
            <w:tcW w:w="1007" w:type="dxa"/>
            <w:tcBorders>
              <w:top w:val="single" w:sz="4" w:space="0" w:color="auto"/>
              <w:left w:val="nil"/>
              <w:bottom w:val="single" w:sz="4" w:space="0" w:color="auto"/>
              <w:right w:val="single" w:sz="4" w:space="0" w:color="auto"/>
            </w:tcBorders>
            <w:shd w:val="clear" w:color="auto" w:fill="C6EFCE"/>
            <w:noWrap/>
          </w:tcPr>
          <w:p w14:paraId="1EF2BC0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4" w:type="dxa"/>
            <w:tcBorders>
              <w:top w:val="single" w:sz="4" w:space="0" w:color="auto"/>
              <w:left w:val="nil"/>
              <w:bottom w:val="single" w:sz="4" w:space="0" w:color="auto"/>
              <w:right w:val="single" w:sz="4" w:space="0" w:color="auto"/>
            </w:tcBorders>
            <w:shd w:val="clear" w:color="auto" w:fill="C6EFCE"/>
            <w:noWrap/>
          </w:tcPr>
          <w:p w14:paraId="61250E85" w14:textId="00D3F362" w:rsidR="00CB0FCB" w:rsidRDefault="009D2B11">
            <w:pPr>
              <w:pStyle w:val="P68B1DB1-Normal9"/>
              <w:spacing w:after="0" w:line="240" w:lineRule="auto"/>
              <w:rPr>
                <w:rFonts w:eastAsia="Times New Roman" w:cs="Calibri"/>
                <w:noProof/>
                <w:szCs w:val="18"/>
              </w:rPr>
            </w:pPr>
            <w:r>
              <w:rPr>
                <w:noProof/>
              </w:rPr>
              <w:t>Tiesiskā regulējuma izveide oglekļa uztveršanai, izmantošanai un uzglabāšanai.</w:t>
            </w:r>
          </w:p>
        </w:tc>
        <w:tc>
          <w:tcPr>
            <w:tcW w:w="1744" w:type="dxa"/>
            <w:tcBorders>
              <w:top w:val="single" w:sz="4" w:space="0" w:color="auto"/>
              <w:left w:val="nil"/>
              <w:bottom w:val="single" w:sz="4" w:space="0" w:color="auto"/>
              <w:right w:val="single" w:sz="4" w:space="0" w:color="auto"/>
            </w:tcBorders>
            <w:shd w:val="clear" w:color="auto" w:fill="C6EFCE"/>
            <w:noWrap/>
          </w:tcPr>
          <w:p w14:paraId="65AAEF50" w14:textId="77777777" w:rsidR="00CB0FCB" w:rsidRDefault="009D2B11">
            <w:pPr>
              <w:pStyle w:val="P68B1DB1-Normal9"/>
              <w:spacing w:after="0" w:line="240" w:lineRule="auto"/>
              <w:rPr>
                <w:rFonts w:eastAsia="Times New Roman" w:cs="Calibri"/>
                <w:noProof/>
                <w:szCs w:val="18"/>
              </w:rPr>
            </w:pPr>
            <w:r>
              <w:rPr>
                <w:noProof/>
              </w:rPr>
              <w:t xml:space="preserve">Tiesību aktu stāšanās spēkā </w:t>
            </w:r>
          </w:p>
        </w:tc>
        <w:tc>
          <w:tcPr>
            <w:tcW w:w="920" w:type="dxa"/>
            <w:tcBorders>
              <w:top w:val="nil"/>
              <w:left w:val="nil"/>
              <w:bottom w:val="single" w:sz="4" w:space="0" w:color="auto"/>
              <w:right w:val="single" w:sz="4" w:space="0" w:color="auto"/>
            </w:tcBorders>
            <w:shd w:val="clear" w:color="auto" w:fill="C6EFCE"/>
            <w:noWrap/>
          </w:tcPr>
          <w:p w14:paraId="69ABB896" w14:textId="77777777" w:rsidR="00CB0FCB" w:rsidRDefault="00CB0FCB">
            <w:pPr>
              <w:spacing w:after="0" w:line="240" w:lineRule="auto"/>
              <w:rPr>
                <w:rFonts w:ascii="Times New Roman" w:eastAsia="Times New Roman" w:hAnsi="Times New Roman" w:cs="Times New Roman"/>
                <w:noProof/>
                <w:sz w:val="18"/>
                <w:szCs w:val="18"/>
              </w:rPr>
            </w:pPr>
          </w:p>
        </w:tc>
        <w:tc>
          <w:tcPr>
            <w:tcW w:w="683" w:type="dxa"/>
            <w:gridSpan w:val="2"/>
            <w:tcBorders>
              <w:top w:val="nil"/>
              <w:left w:val="nil"/>
              <w:bottom w:val="single" w:sz="4" w:space="0" w:color="auto"/>
              <w:right w:val="single" w:sz="4" w:space="0" w:color="auto"/>
            </w:tcBorders>
            <w:shd w:val="clear" w:color="auto" w:fill="C6EFCE"/>
            <w:noWrap/>
          </w:tcPr>
          <w:p w14:paraId="7BD53B3D" w14:textId="77777777" w:rsidR="00CB0FCB" w:rsidRDefault="00CB0FCB">
            <w:pPr>
              <w:spacing w:after="0" w:line="240" w:lineRule="auto"/>
              <w:rPr>
                <w:rFonts w:ascii="Times New Roman" w:eastAsia="Times New Roman" w:hAnsi="Times New Roman" w:cs="Times New Roman"/>
                <w:noProof/>
                <w:sz w:val="18"/>
                <w:szCs w:val="18"/>
              </w:rPr>
            </w:pPr>
          </w:p>
        </w:tc>
        <w:tc>
          <w:tcPr>
            <w:tcW w:w="666" w:type="dxa"/>
            <w:tcBorders>
              <w:top w:val="nil"/>
              <w:left w:val="nil"/>
              <w:bottom w:val="single" w:sz="4" w:space="0" w:color="auto"/>
              <w:right w:val="single" w:sz="4" w:space="0" w:color="auto"/>
            </w:tcBorders>
            <w:shd w:val="clear" w:color="auto" w:fill="C6EFCE"/>
            <w:noWrap/>
          </w:tcPr>
          <w:p w14:paraId="3E4E90D1" w14:textId="77777777" w:rsidR="00CB0FCB" w:rsidRDefault="00CB0FCB">
            <w:pPr>
              <w:spacing w:after="0" w:line="240" w:lineRule="auto"/>
              <w:rPr>
                <w:rFonts w:ascii="Times New Roman" w:eastAsia="Times New Roman" w:hAnsi="Times New Roman" w:cs="Times New Roman"/>
                <w:noProof/>
                <w:sz w:val="18"/>
                <w:szCs w:val="18"/>
              </w:rPr>
            </w:pPr>
          </w:p>
        </w:tc>
        <w:tc>
          <w:tcPr>
            <w:tcW w:w="931" w:type="dxa"/>
            <w:gridSpan w:val="2"/>
            <w:tcBorders>
              <w:top w:val="nil"/>
              <w:left w:val="nil"/>
              <w:bottom w:val="single" w:sz="4" w:space="0" w:color="auto"/>
              <w:right w:val="single" w:sz="4" w:space="0" w:color="auto"/>
            </w:tcBorders>
            <w:shd w:val="clear" w:color="auto" w:fill="C6EFCE"/>
            <w:noWrap/>
          </w:tcPr>
          <w:p w14:paraId="67166CED" w14:textId="43DADFF4" w:rsidR="00CB0FCB" w:rsidRDefault="009D2B11">
            <w:pPr>
              <w:pStyle w:val="P68B1DB1-Normal9"/>
              <w:spacing w:after="120" w:line="240" w:lineRule="auto"/>
              <w:rPr>
                <w:rFonts w:eastAsia="Times New Roman"/>
                <w:noProof/>
                <w:szCs w:val="18"/>
              </w:rPr>
            </w:pPr>
            <w:r>
              <w:rPr>
                <w:noProof/>
              </w:rPr>
              <w:t>CET.</w:t>
            </w:r>
          </w:p>
        </w:tc>
        <w:tc>
          <w:tcPr>
            <w:tcW w:w="911" w:type="dxa"/>
            <w:tcBorders>
              <w:top w:val="nil"/>
              <w:left w:val="nil"/>
              <w:bottom w:val="single" w:sz="4" w:space="0" w:color="auto"/>
              <w:right w:val="single" w:sz="4" w:space="0" w:color="auto"/>
            </w:tcBorders>
            <w:shd w:val="clear" w:color="auto" w:fill="C6EFCE"/>
            <w:noWrap/>
          </w:tcPr>
          <w:p w14:paraId="625DB97B" w14:textId="77777777" w:rsidR="00CB0FCB" w:rsidRDefault="009D2B11">
            <w:pPr>
              <w:pStyle w:val="P68B1DB1-Normal9"/>
              <w:spacing w:after="120" w:line="240" w:lineRule="auto"/>
              <w:rPr>
                <w:rFonts w:eastAsia="Times New Roman"/>
                <w:noProof/>
                <w:szCs w:val="18"/>
              </w:rPr>
            </w:pPr>
            <w:r>
              <w:rPr>
                <w:noProof/>
              </w:rPr>
              <w:t>2024</w:t>
            </w:r>
          </w:p>
        </w:tc>
        <w:tc>
          <w:tcPr>
            <w:tcW w:w="3529" w:type="dxa"/>
            <w:tcBorders>
              <w:top w:val="single" w:sz="4" w:space="0" w:color="auto"/>
              <w:left w:val="nil"/>
              <w:bottom w:val="single" w:sz="4" w:space="0" w:color="auto"/>
              <w:right w:val="single" w:sz="4" w:space="0" w:color="auto"/>
            </w:tcBorders>
            <w:shd w:val="clear" w:color="auto" w:fill="C6EFCE"/>
            <w:noWrap/>
          </w:tcPr>
          <w:p w14:paraId="40A1876A" w14:textId="77777777" w:rsidR="00CB0FCB" w:rsidRDefault="009D2B11">
            <w:pPr>
              <w:pStyle w:val="P68B1DB1-Normal9"/>
              <w:spacing w:after="0" w:line="240" w:lineRule="auto"/>
              <w:rPr>
                <w:rFonts w:eastAsia="Times New Roman" w:cs="Calibri"/>
                <w:noProof/>
                <w:szCs w:val="18"/>
              </w:rPr>
            </w:pPr>
            <w:r>
              <w:rPr>
                <w:noProof/>
              </w:rPr>
              <w:t>Stājas spēkā oglekļa uztveršanas, izmantošanas un uzglabāšanas tiesiskais regulējums, kurā noteikts:</w:t>
            </w:r>
          </w:p>
          <w:p w14:paraId="0FD4BE49" w14:textId="77777777" w:rsidR="00CB0FCB" w:rsidRDefault="009D2B11">
            <w:pPr>
              <w:pStyle w:val="P68B1DB1-ListParagraph20"/>
              <w:numPr>
                <w:ilvl w:val="0"/>
                <w:numId w:val="80"/>
              </w:numPr>
              <w:spacing w:after="0" w:line="240" w:lineRule="auto"/>
              <w:rPr>
                <w:rFonts w:eastAsia="Times New Roman" w:cs="Calibri"/>
                <w:noProof/>
                <w:szCs w:val="18"/>
              </w:rPr>
            </w:pPr>
            <w:r>
              <w:rPr>
                <w:noProof/>
              </w:rPr>
              <w:t>Izstrādāt licencēšanas sistēmu oglekļa uztveršanas, izmantošanas un uzglabāšanas tehnoloģiju uzstādīšanai un ekspluatācijai, tostarp izdot vides atļaujas apstiprinājumu.</w:t>
            </w:r>
          </w:p>
          <w:p w14:paraId="6F94A2A6" w14:textId="77777777" w:rsidR="00CB0FCB" w:rsidRDefault="009D2B11">
            <w:pPr>
              <w:pStyle w:val="P68B1DB1-ListParagraph20"/>
              <w:numPr>
                <w:ilvl w:val="0"/>
                <w:numId w:val="80"/>
              </w:numPr>
              <w:spacing w:after="0" w:line="240" w:lineRule="auto"/>
              <w:rPr>
                <w:rFonts w:eastAsia="Times New Roman" w:cs="Calibri"/>
                <w:noProof/>
                <w:szCs w:val="18"/>
              </w:rPr>
            </w:pPr>
            <w:r>
              <w:rPr>
                <w:noProof/>
              </w:rPr>
              <w:t>Izveidot attiecīgu standartizācijas un sertifikācijas procesu attiecībā uz uztverto un uzglabāto CO2 emisiju izcelsmi.</w:t>
            </w:r>
          </w:p>
          <w:p w14:paraId="3430B9FC" w14:textId="77777777" w:rsidR="00CB0FCB" w:rsidRDefault="009D2B11">
            <w:pPr>
              <w:pStyle w:val="P68B1DB1-ListParagraph20"/>
              <w:numPr>
                <w:ilvl w:val="0"/>
                <w:numId w:val="80"/>
              </w:numPr>
              <w:spacing w:after="0" w:line="240" w:lineRule="auto"/>
              <w:rPr>
                <w:rFonts w:eastAsia="Times New Roman" w:cs="Calibri"/>
                <w:noProof/>
                <w:szCs w:val="18"/>
              </w:rPr>
            </w:pPr>
            <w:r>
              <w:rPr>
                <w:noProof/>
              </w:rPr>
              <w:t>Tiesiskā regulējuma izstrāde CCS vērtības ķēdei attiecībā uz uzglabāšanas un transporta maksām. Satvars ietver veicinošus noteikumus attiecībā uz cenu starpības līgumiem, kā arī reglamentētus tarifus. Sistēmas izveide uztvertā CO2 izmantošanai/izmantošanai</w:t>
            </w:r>
          </w:p>
          <w:p w14:paraId="4C5BBFCE" w14:textId="77777777" w:rsidR="00CB0FCB" w:rsidRDefault="009D2B11">
            <w:pPr>
              <w:pStyle w:val="P68B1DB1-ListParagraph20"/>
              <w:numPr>
                <w:ilvl w:val="0"/>
                <w:numId w:val="80"/>
              </w:numPr>
              <w:spacing w:after="0" w:line="240" w:lineRule="auto"/>
              <w:rPr>
                <w:rFonts w:eastAsia="Times New Roman" w:cs="Calibri"/>
                <w:noProof/>
                <w:szCs w:val="18"/>
              </w:rPr>
            </w:pPr>
            <w:r>
              <w:rPr>
                <w:noProof/>
              </w:rPr>
              <w:t>Trešo personu piekļuves sistēmas pieņemšana tīkla/transporta infrastruktūrā un uzglabāšanas iekārtā.</w:t>
            </w:r>
          </w:p>
          <w:p w14:paraId="76DA11B5" w14:textId="77777777" w:rsidR="00CB0FCB" w:rsidRDefault="009D2B11">
            <w:pPr>
              <w:pStyle w:val="P68B1DB1-ListParagraph20"/>
              <w:numPr>
                <w:ilvl w:val="0"/>
                <w:numId w:val="80"/>
              </w:numPr>
              <w:spacing w:after="0" w:line="240" w:lineRule="auto"/>
              <w:rPr>
                <w:rFonts w:eastAsia="Times New Roman" w:cs="Calibri"/>
                <w:noProof/>
                <w:szCs w:val="18"/>
              </w:rPr>
            </w:pPr>
            <w:r>
              <w:rPr>
                <w:noProof/>
              </w:rPr>
              <w:t>Dažādu ieinteresēto personu pienākumu noteikšana attiecībā uz oglekļa uztveršanas, izmantošanas un uzglabāšanas tehnoloģiju darbību un attiecīgā tirgus uzraudzību.</w:t>
            </w:r>
          </w:p>
        </w:tc>
      </w:tr>
    </w:tbl>
    <w:p w14:paraId="6A00FD52" w14:textId="77777777" w:rsidR="00CB0FCB" w:rsidRDefault="00CB0FCB">
      <w:pPr>
        <w:keepNext/>
        <w:keepLines/>
        <w:spacing w:before="240" w:after="0" w:line="240" w:lineRule="auto"/>
        <w:jc w:val="both"/>
        <w:outlineLvl w:val="4"/>
        <w:rPr>
          <w:rFonts w:ascii="Cambria" w:eastAsia="Times New Roman" w:hAnsi="Cambria"/>
          <w:noProof/>
          <w:color w:val="365F91"/>
          <w:sz w:val="24"/>
          <w:szCs w:val="24"/>
        </w:rPr>
      </w:pPr>
    </w:p>
    <w:p w14:paraId="430322E2" w14:textId="77777777" w:rsidR="00CB0FCB" w:rsidRDefault="009D2B11">
      <w:pPr>
        <w:pStyle w:val="P68B1DB1-Normal6"/>
        <w:keepNext/>
        <w:keepLines/>
        <w:spacing w:before="240" w:after="0" w:line="240" w:lineRule="auto"/>
        <w:jc w:val="both"/>
        <w:outlineLvl w:val="4"/>
        <w:rPr>
          <w:noProof/>
        </w:rPr>
      </w:pPr>
      <w:r>
        <w:rPr>
          <w:noProof/>
        </w:rPr>
        <w:t>Reforma. Tīkla un uzkrāšanas jaudas palielināšana — ieguldījumu akumulēšanā veicināšana (pasākuma ID: 16990)</w:t>
      </w:r>
    </w:p>
    <w:p w14:paraId="6A5E07C0" w14:textId="77777777" w:rsidR="00CB0FCB" w:rsidRDefault="00CB0FCB">
      <w:pPr>
        <w:keepNext/>
        <w:keepLines/>
        <w:spacing w:before="240" w:after="0" w:line="240" w:lineRule="auto"/>
        <w:jc w:val="both"/>
        <w:outlineLvl w:val="4"/>
        <w:rPr>
          <w:rFonts w:ascii="Cambria" w:eastAsia="Times New Roman" w:hAnsi="Cambria"/>
          <w:noProof/>
          <w:color w:val="365F91"/>
          <w:sz w:val="24"/>
        </w:rPr>
      </w:pPr>
    </w:p>
    <w:tbl>
      <w:tblPr>
        <w:tblpPr w:leftFromText="181" w:rightFromText="181" w:vertAnchor="text" w:tblpY="1"/>
        <w:tblOverlap w:val="never"/>
        <w:tblW w:w="14737" w:type="dxa"/>
        <w:tblLayout w:type="fixed"/>
        <w:tblLook w:val="04A0" w:firstRow="1" w:lastRow="0" w:firstColumn="1" w:lastColumn="0" w:noHBand="0" w:noVBand="1"/>
      </w:tblPr>
      <w:tblGrid>
        <w:gridCol w:w="1134"/>
        <w:gridCol w:w="2078"/>
        <w:gridCol w:w="1007"/>
        <w:gridCol w:w="1134"/>
        <w:gridCol w:w="1163"/>
        <w:gridCol w:w="992"/>
        <w:gridCol w:w="1192"/>
        <w:gridCol w:w="666"/>
        <w:gridCol w:w="921"/>
        <w:gridCol w:w="10"/>
        <w:gridCol w:w="911"/>
        <w:gridCol w:w="3529"/>
      </w:tblGrid>
      <w:tr w:rsidR="00CB0FCB" w14:paraId="4F0A8EB2" w14:textId="77777777">
        <w:trPr>
          <w:trHeight w:val="1125"/>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5C2DD0" w14:textId="77777777" w:rsidR="00CB0FCB" w:rsidRDefault="009D2B11">
            <w:pPr>
              <w:pStyle w:val="P68B1DB1-Normal7"/>
              <w:spacing w:before="120" w:after="120" w:line="240" w:lineRule="auto"/>
              <w:jc w:val="center"/>
              <w:rPr>
                <w:rFonts w:cs="Times New Roman"/>
                <w:noProof/>
                <w:sz w:val="24"/>
              </w:rPr>
            </w:pPr>
            <w:r>
              <w:rPr>
                <w:noProof/>
              </w:rPr>
              <w:t>Kārtas numurs</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564EF7" w14:textId="77777777" w:rsidR="00CB0FCB" w:rsidRDefault="009D2B11">
            <w:pPr>
              <w:pStyle w:val="P68B1DB1-Normal7"/>
              <w:spacing w:before="120" w:after="120" w:line="240" w:lineRule="auto"/>
              <w:jc w:val="center"/>
              <w:rPr>
                <w:rFonts w:cs="Times New Roman"/>
                <w:noProof/>
                <w:sz w:val="24"/>
              </w:rPr>
            </w:pPr>
            <w:r>
              <w:rPr>
                <w:noProof/>
              </w:rPr>
              <w:t>Saistītais pasākums (reforma vai ieguldījums)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2041BB" w14:textId="77777777" w:rsidR="00CB0FCB" w:rsidRDefault="009D2B11">
            <w:pPr>
              <w:pStyle w:val="P68B1DB1-Normal7"/>
              <w:spacing w:before="120" w:after="120" w:line="240" w:lineRule="auto"/>
              <w:jc w:val="center"/>
              <w:rPr>
                <w:rFonts w:cs="Times New Roman"/>
                <w:noProof/>
                <w:sz w:val="24"/>
              </w:rPr>
            </w:pPr>
            <w:r>
              <w:rPr>
                <w:noProof/>
              </w:rPr>
              <w:t>Atskaites punkts/mērķrādītājs</w:t>
            </w:r>
          </w:p>
        </w:tc>
        <w:tc>
          <w:tcPr>
            <w:tcW w:w="1134" w:type="dxa"/>
            <w:vMerge w:val="restart"/>
            <w:tcBorders>
              <w:top w:val="single" w:sz="4" w:space="0" w:color="auto"/>
              <w:left w:val="nil"/>
              <w:bottom w:val="single" w:sz="4" w:space="0" w:color="auto"/>
              <w:right w:val="single" w:sz="4" w:space="0" w:color="auto"/>
            </w:tcBorders>
            <w:shd w:val="clear" w:color="auto" w:fill="BDD7EE"/>
            <w:vAlign w:val="center"/>
            <w:hideMark/>
          </w:tcPr>
          <w:p w14:paraId="19868145" w14:textId="77777777" w:rsidR="00CB0FCB" w:rsidRDefault="009D2B11">
            <w:pPr>
              <w:pStyle w:val="P68B1DB1-Normal7"/>
              <w:spacing w:before="120" w:after="120" w:line="240" w:lineRule="auto"/>
              <w:jc w:val="center"/>
              <w:rPr>
                <w:rFonts w:cs="Times New Roman"/>
                <w:noProof/>
                <w:sz w:val="24"/>
              </w:rPr>
            </w:pPr>
            <w:r>
              <w:rPr>
                <w:noProof/>
              </w:rPr>
              <w:t>Nosaukums</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1A01D7" w14:textId="77777777" w:rsidR="00CB0FCB" w:rsidRDefault="009D2B11">
            <w:pPr>
              <w:pStyle w:val="P68B1DB1-Normal7"/>
              <w:spacing w:before="120" w:after="120" w:line="240" w:lineRule="auto"/>
              <w:jc w:val="center"/>
              <w:rPr>
                <w:rFonts w:cs="Times New Roman"/>
                <w:noProof/>
                <w:sz w:val="24"/>
              </w:rPr>
            </w:pPr>
            <w:r>
              <w:rPr>
                <w:noProof/>
              </w:rPr>
              <w:t>Kvalitatīvie rādītāji (atskaites punktiem)</w:t>
            </w:r>
          </w:p>
        </w:tc>
        <w:tc>
          <w:tcPr>
            <w:tcW w:w="2850" w:type="dxa"/>
            <w:gridSpan w:val="3"/>
            <w:tcBorders>
              <w:top w:val="single" w:sz="4" w:space="0" w:color="auto"/>
              <w:left w:val="nil"/>
              <w:bottom w:val="single" w:sz="4" w:space="0" w:color="auto"/>
              <w:right w:val="single" w:sz="4" w:space="0" w:color="auto"/>
            </w:tcBorders>
            <w:shd w:val="clear" w:color="auto" w:fill="BDD7EE"/>
            <w:vAlign w:val="center"/>
            <w:hideMark/>
          </w:tcPr>
          <w:p w14:paraId="78C583C5" w14:textId="77777777" w:rsidR="00CB0FCB" w:rsidRDefault="009D2B11">
            <w:pPr>
              <w:pStyle w:val="P68B1DB1-Normal7"/>
              <w:spacing w:before="120" w:after="120" w:line="240" w:lineRule="auto"/>
              <w:jc w:val="center"/>
              <w:rPr>
                <w:rFonts w:cs="Times New Roman"/>
                <w:noProof/>
                <w:sz w:val="24"/>
              </w:rPr>
            </w:pPr>
            <w:r>
              <w:rPr>
                <w:noProof/>
              </w:rPr>
              <w:t>Kvantitatīvie rādītāji (mērķrādītājiem)</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4C5D27A2" w14:textId="77777777" w:rsidR="00CB0FCB" w:rsidRDefault="009D2B11">
            <w:pPr>
              <w:pStyle w:val="P68B1DB1-Normal7"/>
              <w:spacing w:before="120" w:after="120" w:line="240" w:lineRule="auto"/>
              <w:jc w:val="center"/>
              <w:rPr>
                <w:rFonts w:cs="Times New Roman"/>
                <w:noProof/>
                <w:sz w:val="24"/>
              </w:rPr>
            </w:pPr>
            <w:r>
              <w:rPr>
                <w:noProof/>
              </w:rPr>
              <w:t>Orientējošs pabeigšanas termiņš</w:t>
            </w:r>
          </w:p>
        </w:tc>
        <w:tc>
          <w:tcPr>
            <w:tcW w:w="3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C6507D" w14:textId="77777777" w:rsidR="00CB0FCB" w:rsidRDefault="009D2B11">
            <w:pPr>
              <w:pStyle w:val="P68B1DB1-Normal7"/>
              <w:spacing w:before="120" w:after="120" w:line="240" w:lineRule="auto"/>
              <w:jc w:val="center"/>
              <w:rPr>
                <w:rFonts w:cs="Times New Roman"/>
                <w:noProof/>
                <w:sz w:val="24"/>
              </w:rPr>
            </w:pPr>
            <w:r>
              <w:rPr>
                <w:noProof/>
              </w:rPr>
              <w:t>Apraksts par katru atskaites punktu un mērķrādītāju</w:t>
            </w:r>
          </w:p>
        </w:tc>
      </w:tr>
      <w:tr w:rsidR="00CB0FCB" w14:paraId="4143218D" w14:textId="77777777">
        <w:trPr>
          <w:trHeight w:val="687"/>
          <w:tblHeader/>
        </w:trPr>
        <w:tc>
          <w:tcPr>
            <w:tcW w:w="1134" w:type="dxa"/>
            <w:vMerge/>
            <w:tcBorders>
              <w:top w:val="single" w:sz="4" w:space="0" w:color="auto"/>
              <w:left w:val="single" w:sz="4" w:space="0" w:color="auto"/>
              <w:bottom w:val="single" w:sz="4" w:space="0" w:color="auto"/>
              <w:right w:val="single" w:sz="4" w:space="0" w:color="auto"/>
            </w:tcBorders>
            <w:vAlign w:val="center"/>
          </w:tcPr>
          <w:p w14:paraId="631120D9"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2078" w:type="dxa"/>
            <w:vMerge/>
            <w:tcBorders>
              <w:top w:val="single" w:sz="4" w:space="0" w:color="auto"/>
              <w:left w:val="single" w:sz="4" w:space="0" w:color="auto"/>
              <w:bottom w:val="single" w:sz="4" w:space="0" w:color="auto"/>
              <w:right w:val="single" w:sz="4" w:space="0" w:color="auto"/>
            </w:tcBorders>
            <w:vAlign w:val="center"/>
          </w:tcPr>
          <w:p w14:paraId="23260B09"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tcPr>
          <w:p w14:paraId="058228D2"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64BDE1" w14:textId="77777777" w:rsidR="00CB0FCB" w:rsidRDefault="00CB0FCB">
            <w:pPr>
              <w:spacing w:after="0" w:line="240" w:lineRule="auto"/>
              <w:rPr>
                <w:rFonts w:eastAsia="Times New Roman" w:cs="Calibri"/>
                <w:noProof/>
                <w:color w:val="006100"/>
                <w:sz w:val="18"/>
                <w:szCs w:val="18"/>
              </w:rPr>
            </w:pPr>
          </w:p>
        </w:tc>
        <w:tc>
          <w:tcPr>
            <w:tcW w:w="1163" w:type="dxa"/>
            <w:vMerge/>
            <w:tcBorders>
              <w:top w:val="single" w:sz="4" w:space="0" w:color="auto"/>
              <w:left w:val="single" w:sz="4" w:space="0" w:color="auto"/>
              <w:bottom w:val="single" w:sz="4" w:space="0" w:color="auto"/>
              <w:right w:val="single" w:sz="4" w:space="0" w:color="auto"/>
            </w:tcBorders>
            <w:vAlign w:val="center"/>
          </w:tcPr>
          <w:p w14:paraId="4CD5466A"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tcPr>
          <w:p w14:paraId="2CFB3D15" w14:textId="77777777" w:rsidR="00CB0FCB" w:rsidRDefault="009D2B11">
            <w:pPr>
              <w:pStyle w:val="P68B1DB1-Normal7"/>
              <w:spacing w:before="120" w:after="120" w:line="240" w:lineRule="auto"/>
              <w:jc w:val="center"/>
              <w:rPr>
                <w:rFonts w:eastAsia="Times New Roman" w:cs="Times New Roman"/>
                <w:bCs/>
                <w:noProof/>
                <w:szCs w:val="18"/>
              </w:rPr>
            </w:pPr>
            <w:r>
              <w:rPr>
                <w:noProof/>
              </w:rPr>
              <w:t>Mēra vienība</w:t>
            </w:r>
          </w:p>
        </w:tc>
        <w:tc>
          <w:tcPr>
            <w:tcW w:w="1192" w:type="dxa"/>
            <w:tcBorders>
              <w:top w:val="single" w:sz="4" w:space="0" w:color="auto"/>
              <w:left w:val="nil"/>
              <w:bottom w:val="single" w:sz="4" w:space="0" w:color="auto"/>
              <w:right w:val="single" w:sz="4" w:space="0" w:color="auto"/>
            </w:tcBorders>
            <w:shd w:val="clear" w:color="auto" w:fill="BDD7EE"/>
            <w:vAlign w:val="center"/>
          </w:tcPr>
          <w:p w14:paraId="3D6309AC" w14:textId="77777777" w:rsidR="00CB0FCB" w:rsidRDefault="009D2B11">
            <w:pPr>
              <w:pStyle w:val="P68B1DB1-Normal7"/>
              <w:spacing w:before="120" w:after="120" w:line="240" w:lineRule="auto"/>
              <w:jc w:val="center"/>
              <w:rPr>
                <w:rFonts w:eastAsia="Times New Roman" w:cs="Times New Roman"/>
                <w:bCs/>
                <w:noProof/>
                <w:szCs w:val="18"/>
              </w:rPr>
            </w:pPr>
            <w:r>
              <w:rPr>
                <w:noProof/>
              </w:rPr>
              <w:t>Pamatscenārijs</w:t>
            </w:r>
          </w:p>
        </w:tc>
        <w:tc>
          <w:tcPr>
            <w:tcW w:w="666" w:type="dxa"/>
            <w:tcBorders>
              <w:top w:val="single" w:sz="4" w:space="0" w:color="auto"/>
              <w:left w:val="nil"/>
              <w:bottom w:val="single" w:sz="4" w:space="0" w:color="auto"/>
              <w:right w:val="single" w:sz="4" w:space="0" w:color="auto"/>
            </w:tcBorders>
            <w:shd w:val="clear" w:color="auto" w:fill="BDD7EE"/>
            <w:vAlign w:val="center"/>
          </w:tcPr>
          <w:p w14:paraId="1B76EA6C" w14:textId="77777777" w:rsidR="00CB0FCB" w:rsidRDefault="009D2B11">
            <w:pPr>
              <w:pStyle w:val="P68B1DB1-Normal7"/>
              <w:spacing w:before="120" w:after="120" w:line="240" w:lineRule="auto"/>
              <w:jc w:val="center"/>
              <w:rPr>
                <w:rFonts w:eastAsia="Times New Roman" w:cs="Times New Roman"/>
                <w:bCs/>
                <w:noProof/>
                <w:szCs w:val="18"/>
              </w:rPr>
            </w:pPr>
            <w:r>
              <w:rPr>
                <w:noProof/>
              </w:rPr>
              <w:t>Mērķis</w:t>
            </w:r>
          </w:p>
        </w:tc>
        <w:tc>
          <w:tcPr>
            <w:tcW w:w="921" w:type="dxa"/>
            <w:tcBorders>
              <w:top w:val="single" w:sz="4" w:space="0" w:color="auto"/>
              <w:left w:val="nil"/>
              <w:bottom w:val="single" w:sz="4" w:space="0" w:color="auto"/>
              <w:right w:val="single" w:sz="4" w:space="0" w:color="auto"/>
            </w:tcBorders>
            <w:shd w:val="clear" w:color="auto" w:fill="BDD7EE"/>
            <w:vAlign w:val="center"/>
          </w:tcPr>
          <w:p w14:paraId="3C0BEA08" w14:textId="77777777" w:rsidR="00CB0FCB" w:rsidRDefault="009D2B11">
            <w:pPr>
              <w:pStyle w:val="P68B1DB1-Normal7"/>
              <w:spacing w:before="120" w:after="120" w:line="240" w:lineRule="auto"/>
              <w:jc w:val="center"/>
              <w:rPr>
                <w:rFonts w:eastAsia="Times New Roman" w:cs="Times New Roman"/>
                <w:bCs/>
                <w:noProof/>
                <w:szCs w:val="18"/>
              </w:rPr>
            </w:pPr>
            <w:r>
              <w:rPr>
                <w:noProof/>
              </w:rPr>
              <w:t>Ceturkšņa laikā</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301E029C" w14:textId="77777777" w:rsidR="00CB0FCB" w:rsidRDefault="009D2B11">
            <w:pPr>
              <w:pStyle w:val="P68B1DB1-Normal7"/>
              <w:spacing w:before="120" w:after="120" w:line="240" w:lineRule="auto"/>
              <w:jc w:val="center"/>
              <w:rPr>
                <w:rFonts w:eastAsia="Times New Roman" w:cs="Times New Roman"/>
                <w:bCs/>
                <w:noProof/>
                <w:szCs w:val="18"/>
              </w:rPr>
            </w:pPr>
            <w:r>
              <w:rPr>
                <w:noProof/>
              </w:rPr>
              <w:t>Gadu</w:t>
            </w:r>
          </w:p>
        </w:tc>
        <w:tc>
          <w:tcPr>
            <w:tcW w:w="3529" w:type="dxa"/>
            <w:vMerge/>
            <w:tcBorders>
              <w:top w:val="single" w:sz="4" w:space="0" w:color="auto"/>
              <w:bottom w:val="single" w:sz="4" w:space="0" w:color="auto"/>
              <w:right w:val="single" w:sz="4" w:space="0" w:color="auto"/>
            </w:tcBorders>
            <w:vAlign w:val="center"/>
          </w:tcPr>
          <w:p w14:paraId="0A56DC03"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r>
      <w:tr w:rsidR="00CB0FCB" w14:paraId="55095B62"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476AFC7B"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356</w:t>
            </w:r>
          </w:p>
        </w:tc>
        <w:tc>
          <w:tcPr>
            <w:tcW w:w="2078" w:type="dxa"/>
            <w:tcBorders>
              <w:top w:val="single" w:sz="4" w:space="0" w:color="auto"/>
              <w:left w:val="nil"/>
              <w:bottom w:val="single" w:sz="4" w:space="0" w:color="auto"/>
              <w:right w:val="single" w:sz="4" w:space="0" w:color="auto"/>
            </w:tcBorders>
            <w:shd w:val="clear" w:color="auto" w:fill="C6EFCE"/>
            <w:noWrap/>
          </w:tcPr>
          <w:p w14:paraId="6E64E7DA" w14:textId="77777777" w:rsidR="00CB0FCB" w:rsidRDefault="009D2B11">
            <w:pPr>
              <w:pStyle w:val="P68B1DB1-Normal9"/>
              <w:spacing w:after="0" w:line="240" w:lineRule="auto"/>
              <w:rPr>
                <w:rFonts w:eastAsia="Times New Roman" w:cs="Calibri"/>
                <w:noProof/>
                <w:szCs w:val="18"/>
              </w:rPr>
            </w:pPr>
            <w:r>
              <w:rPr>
                <w:noProof/>
              </w:rPr>
              <w:t>20–5.1. REPowerEU reformas — 16990_tīkla un uzkrāšanas jaudas palielināšana — investīciju akumulēšanā veicināšana </w:t>
            </w:r>
          </w:p>
        </w:tc>
        <w:tc>
          <w:tcPr>
            <w:tcW w:w="1007" w:type="dxa"/>
            <w:tcBorders>
              <w:top w:val="single" w:sz="4" w:space="0" w:color="auto"/>
              <w:left w:val="nil"/>
              <w:bottom w:val="single" w:sz="4" w:space="0" w:color="auto"/>
              <w:right w:val="single" w:sz="4" w:space="0" w:color="auto"/>
            </w:tcBorders>
            <w:shd w:val="clear" w:color="auto" w:fill="C6EFCE"/>
            <w:noWrap/>
          </w:tcPr>
          <w:p w14:paraId="301F88F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4" w:type="dxa"/>
            <w:tcBorders>
              <w:top w:val="single" w:sz="4" w:space="0" w:color="auto"/>
              <w:left w:val="nil"/>
              <w:bottom w:val="single" w:sz="4" w:space="0" w:color="auto"/>
              <w:right w:val="single" w:sz="4" w:space="0" w:color="auto"/>
            </w:tcBorders>
            <w:shd w:val="clear" w:color="auto" w:fill="C6EFCE"/>
            <w:noWrap/>
          </w:tcPr>
          <w:p w14:paraId="44D70FE0" w14:textId="77777777" w:rsidR="00CB0FCB" w:rsidRDefault="009D2B11">
            <w:pPr>
              <w:pStyle w:val="P68B1DB1-Normal9"/>
              <w:spacing w:after="0" w:line="240" w:lineRule="auto"/>
              <w:rPr>
                <w:rFonts w:eastAsia="Times New Roman" w:cs="Calibri"/>
                <w:noProof/>
                <w:szCs w:val="18"/>
              </w:rPr>
            </w:pPr>
            <w:r>
              <w:rPr>
                <w:noProof/>
              </w:rPr>
              <w:t>Tiesiskā regulējuma stāšanās spēkā.</w:t>
            </w:r>
          </w:p>
        </w:tc>
        <w:tc>
          <w:tcPr>
            <w:tcW w:w="1163" w:type="dxa"/>
            <w:tcBorders>
              <w:top w:val="single" w:sz="4" w:space="0" w:color="auto"/>
              <w:left w:val="nil"/>
              <w:bottom w:val="single" w:sz="4" w:space="0" w:color="auto"/>
              <w:right w:val="single" w:sz="4" w:space="0" w:color="auto"/>
            </w:tcBorders>
            <w:shd w:val="clear" w:color="auto" w:fill="C6EFCE"/>
            <w:noWrap/>
          </w:tcPr>
          <w:p w14:paraId="0988E689" w14:textId="3ECE7559" w:rsidR="00CB0FCB" w:rsidRDefault="009D2B11">
            <w:pPr>
              <w:pStyle w:val="P68B1DB1-Normal35"/>
              <w:spacing w:after="0" w:line="240" w:lineRule="auto"/>
              <w:rPr>
                <w:rFonts w:ascii="Times New Roman" w:eastAsia="Times New Roman" w:hAnsi="Times New Roman" w:cs="Times New Roman"/>
                <w:noProof/>
                <w:szCs w:val="18"/>
              </w:rPr>
            </w:pPr>
            <w:r>
              <w:rPr>
                <w:noProof/>
                <w:color w:val="006100"/>
              </w:rPr>
              <w:t xml:space="preserve">Primārie un sekundārie tiesību akti </w:t>
            </w:r>
            <w:r>
              <w:rPr>
                <w:rFonts w:ascii="Times New Roman" w:hAnsi="Times New Roman"/>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400C74C" w14:textId="77777777" w:rsidR="00CB0FCB" w:rsidRDefault="00CB0FCB">
            <w:pPr>
              <w:spacing w:after="0" w:line="240" w:lineRule="auto"/>
              <w:rPr>
                <w:rFonts w:ascii="Times New Roman" w:eastAsia="Times New Roman" w:hAnsi="Times New Roman" w:cs="Times New Roman"/>
                <w:noProof/>
                <w:sz w:val="18"/>
                <w:szCs w:val="18"/>
              </w:rPr>
            </w:pPr>
          </w:p>
        </w:tc>
        <w:tc>
          <w:tcPr>
            <w:tcW w:w="1192" w:type="dxa"/>
            <w:tcBorders>
              <w:top w:val="nil"/>
              <w:left w:val="nil"/>
              <w:bottom w:val="single" w:sz="4" w:space="0" w:color="auto"/>
              <w:right w:val="single" w:sz="4" w:space="0" w:color="auto"/>
            </w:tcBorders>
            <w:shd w:val="clear" w:color="auto" w:fill="C6EFCE"/>
            <w:noWrap/>
          </w:tcPr>
          <w:p w14:paraId="0CEA8AED" w14:textId="77777777" w:rsidR="00CB0FCB" w:rsidRDefault="00CB0FCB">
            <w:pPr>
              <w:spacing w:after="0" w:line="240" w:lineRule="auto"/>
              <w:rPr>
                <w:rFonts w:ascii="Times New Roman" w:eastAsia="Times New Roman" w:hAnsi="Times New Roman" w:cs="Times New Roman"/>
                <w:noProof/>
                <w:sz w:val="18"/>
                <w:szCs w:val="18"/>
              </w:rPr>
            </w:pPr>
          </w:p>
        </w:tc>
        <w:tc>
          <w:tcPr>
            <w:tcW w:w="666" w:type="dxa"/>
            <w:tcBorders>
              <w:top w:val="nil"/>
              <w:left w:val="nil"/>
              <w:bottom w:val="single" w:sz="4" w:space="0" w:color="auto"/>
              <w:right w:val="single" w:sz="4" w:space="0" w:color="auto"/>
            </w:tcBorders>
            <w:shd w:val="clear" w:color="auto" w:fill="C6EFCE"/>
            <w:noWrap/>
          </w:tcPr>
          <w:p w14:paraId="1CE0512F" w14:textId="77777777" w:rsidR="00CB0FCB" w:rsidRDefault="00CB0FCB">
            <w:pPr>
              <w:spacing w:after="0" w:line="240" w:lineRule="auto"/>
              <w:rPr>
                <w:rFonts w:ascii="Times New Roman" w:eastAsia="Times New Roman" w:hAnsi="Times New Roman" w:cs="Times New Roman"/>
                <w:noProof/>
                <w:sz w:val="18"/>
                <w:szCs w:val="18"/>
              </w:rPr>
            </w:pPr>
          </w:p>
        </w:tc>
        <w:tc>
          <w:tcPr>
            <w:tcW w:w="931" w:type="dxa"/>
            <w:gridSpan w:val="2"/>
            <w:tcBorders>
              <w:top w:val="nil"/>
              <w:left w:val="nil"/>
              <w:bottom w:val="single" w:sz="4" w:space="0" w:color="auto"/>
              <w:right w:val="single" w:sz="4" w:space="0" w:color="auto"/>
            </w:tcBorders>
            <w:shd w:val="clear" w:color="auto" w:fill="C6EFCE"/>
            <w:noWrap/>
          </w:tcPr>
          <w:p w14:paraId="64973C8F" w14:textId="77777777" w:rsidR="00CB0FCB" w:rsidRDefault="009D2B11">
            <w:pPr>
              <w:pStyle w:val="P68B1DB1-Normal9"/>
              <w:spacing w:after="120" w:line="240" w:lineRule="auto"/>
              <w:rPr>
                <w:rFonts w:eastAsia="Times New Roman"/>
                <w:noProof/>
                <w:szCs w:val="18"/>
              </w:rPr>
            </w:pPr>
            <w:r>
              <w:rPr>
                <w:noProof/>
              </w:rPr>
              <w:t>2. CET.</w:t>
            </w:r>
          </w:p>
        </w:tc>
        <w:tc>
          <w:tcPr>
            <w:tcW w:w="911" w:type="dxa"/>
            <w:tcBorders>
              <w:top w:val="nil"/>
              <w:left w:val="nil"/>
              <w:bottom w:val="single" w:sz="4" w:space="0" w:color="auto"/>
              <w:right w:val="single" w:sz="4" w:space="0" w:color="auto"/>
            </w:tcBorders>
            <w:shd w:val="clear" w:color="auto" w:fill="C6EFCE"/>
            <w:noWrap/>
          </w:tcPr>
          <w:p w14:paraId="18FB148A" w14:textId="77777777" w:rsidR="00CB0FCB" w:rsidRDefault="009D2B11">
            <w:pPr>
              <w:pStyle w:val="P68B1DB1-Normal9"/>
              <w:spacing w:after="120" w:line="240" w:lineRule="auto"/>
              <w:rPr>
                <w:rFonts w:eastAsia="Times New Roman"/>
                <w:noProof/>
                <w:szCs w:val="18"/>
              </w:rPr>
            </w:pPr>
            <w:r>
              <w:rPr>
                <w:noProof/>
              </w:rPr>
              <w:t>2024</w:t>
            </w:r>
          </w:p>
        </w:tc>
        <w:tc>
          <w:tcPr>
            <w:tcW w:w="3529" w:type="dxa"/>
            <w:tcBorders>
              <w:top w:val="single" w:sz="4" w:space="0" w:color="auto"/>
              <w:left w:val="nil"/>
              <w:bottom w:val="single" w:sz="4" w:space="0" w:color="auto"/>
              <w:right w:val="single" w:sz="4" w:space="0" w:color="auto"/>
            </w:tcBorders>
            <w:shd w:val="clear" w:color="auto" w:fill="C6EFCE"/>
            <w:noWrap/>
          </w:tcPr>
          <w:p w14:paraId="734FBCC2" w14:textId="1178ABC8" w:rsidR="00CB0FCB" w:rsidRDefault="009D2B11">
            <w:pPr>
              <w:pStyle w:val="P68B1DB1-Normal10"/>
              <w:spacing w:after="0" w:line="240" w:lineRule="auto"/>
              <w:rPr>
                <w:rFonts w:ascii="Times New Roman" w:eastAsia="Times New Roman" w:hAnsi="Times New Roman" w:cs="Times New Roman"/>
                <w:noProof/>
              </w:rPr>
            </w:pPr>
            <w:r>
              <w:rPr>
                <w:noProof/>
              </w:rPr>
              <w:t xml:space="preserve">Stājas spēkā primārie un sekundārie tiesību akti, kas nosaka veicinošu satvaru uzglabāšanas bloku uzstādīšanai esošās vai jaunās AER spēkstacijās un kas paredz prioritāti licencēšanas procedūrās un tīkla piekļuvē šīm stacijām. </w:t>
            </w:r>
          </w:p>
        </w:tc>
      </w:tr>
      <w:tr w:rsidR="00CB0FCB" w14:paraId="0C6D6EF6"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30390A5"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357</w:t>
            </w:r>
          </w:p>
        </w:tc>
        <w:tc>
          <w:tcPr>
            <w:tcW w:w="2078" w:type="dxa"/>
            <w:tcBorders>
              <w:top w:val="single" w:sz="4" w:space="0" w:color="auto"/>
              <w:left w:val="nil"/>
              <w:bottom w:val="single" w:sz="4" w:space="0" w:color="auto"/>
              <w:right w:val="single" w:sz="4" w:space="0" w:color="auto"/>
            </w:tcBorders>
            <w:shd w:val="clear" w:color="auto" w:fill="C6EFCE"/>
            <w:noWrap/>
          </w:tcPr>
          <w:p w14:paraId="1AD1062D" w14:textId="77777777" w:rsidR="00CB0FCB" w:rsidRDefault="009D2B11">
            <w:pPr>
              <w:pStyle w:val="P68B1DB1-Normal9"/>
              <w:spacing w:after="0" w:line="240" w:lineRule="auto"/>
              <w:rPr>
                <w:rFonts w:eastAsia="Times New Roman" w:cs="Calibri"/>
                <w:noProof/>
                <w:szCs w:val="18"/>
              </w:rPr>
            </w:pPr>
            <w:r>
              <w:rPr>
                <w:noProof/>
              </w:rPr>
              <w:t>20–5.1. REPowerEU reformas — 16990_Tīkla un uzglabāšanas jauda — investīciju veicināšana uzglabāšanā</w:t>
            </w:r>
          </w:p>
        </w:tc>
        <w:tc>
          <w:tcPr>
            <w:tcW w:w="1007" w:type="dxa"/>
            <w:tcBorders>
              <w:top w:val="single" w:sz="4" w:space="0" w:color="auto"/>
              <w:left w:val="nil"/>
              <w:bottom w:val="single" w:sz="4" w:space="0" w:color="auto"/>
              <w:right w:val="single" w:sz="4" w:space="0" w:color="auto"/>
            </w:tcBorders>
            <w:shd w:val="clear" w:color="auto" w:fill="C6EFCE"/>
            <w:noWrap/>
          </w:tcPr>
          <w:p w14:paraId="5FE6A5F7" w14:textId="77777777" w:rsidR="00CB0FCB" w:rsidRDefault="009D2B11">
            <w:pPr>
              <w:pStyle w:val="P68B1DB1-Normal9"/>
              <w:spacing w:after="0" w:line="240" w:lineRule="auto"/>
              <w:rPr>
                <w:rFonts w:eastAsia="Times New Roman" w:cs="Calibri"/>
                <w:noProof/>
                <w:szCs w:val="18"/>
              </w:rPr>
            </w:pPr>
            <w:r>
              <w:rPr>
                <w:noProof/>
              </w:rPr>
              <w:t xml:space="preserve">Atskaites punkts </w:t>
            </w:r>
          </w:p>
        </w:tc>
        <w:tc>
          <w:tcPr>
            <w:tcW w:w="1134" w:type="dxa"/>
            <w:tcBorders>
              <w:top w:val="single" w:sz="4" w:space="0" w:color="auto"/>
              <w:left w:val="nil"/>
              <w:bottom w:val="single" w:sz="4" w:space="0" w:color="auto"/>
              <w:right w:val="single" w:sz="4" w:space="0" w:color="auto"/>
            </w:tcBorders>
            <w:shd w:val="clear" w:color="auto" w:fill="C6EFCE"/>
            <w:noWrap/>
          </w:tcPr>
          <w:p w14:paraId="2E79E8B9" w14:textId="77777777" w:rsidR="00CB0FCB" w:rsidRDefault="009D2B11">
            <w:pPr>
              <w:pStyle w:val="P68B1DB1-Normal9"/>
              <w:spacing w:after="0" w:line="240" w:lineRule="auto"/>
              <w:rPr>
                <w:rFonts w:eastAsia="Times New Roman" w:cs="Calibri"/>
                <w:noProof/>
                <w:szCs w:val="18"/>
              </w:rPr>
            </w:pPr>
            <w:r>
              <w:rPr>
                <w:noProof/>
              </w:rPr>
              <w:t xml:space="preserve">Atbalsta shēmas stāšanās spēkā. </w:t>
            </w:r>
          </w:p>
        </w:tc>
        <w:tc>
          <w:tcPr>
            <w:tcW w:w="1163" w:type="dxa"/>
            <w:tcBorders>
              <w:top w:val="single" w:sz="4" w:space="0" w:color="auto"/>
              <w:left w:val="nil"/>
              <w:bottom w:val="single" w:sz="4" w:space="0" w:color="auto"/>
              <w:right w:val="single" w:sz="4" w:space="0" w:color="auto"/>
            </w:tcBorders>
            <w:shd w:val="clear" w:color="auto" w:fill="C6EFCE"/>
            <w:noWrap/>
          </w:tcPr>
          <w:p w14:paraId="15E1BB94" w14:textId="77777777" w:rsidR="00CB0FCB" w:rsidRDefault="009D2B11">
            <w:pPr>
              <w:pStyle w:val="P68B1DB1-Normal9"/>
              <w:spacing w:after="0" w:line="240" w:lineRule="auto"/>
              <w:rPr>
                <w:rFonts w:eastAsia="Times New Roman" w:cs="Calibri"/>
                <w:noProof/>
                <w:szCs w:val="18"/>
              </w:rPr>
            </w:pPr>
            <w:r>
              <w:rPr>
                <w:noProof/>
              </w:rPr>
              <w:t>Likums un/vai ministrijas lēmums</w:t>
            </w:r>
          </w:p>
        </w:tc>
        <w:tc>
          <w:tcPr>
            <w:tcW w:w="992" w:type="dxa"/>
            <w:tcBorders>
              <w:top w:val="single" w:sz="4" w:space="0" w:color="auto"/>
              <w:left w:val="nil"/>
              <w:bottom w:val="single" w:sz="4" w:space="0" w:color="auto"/>
              <w:right w:val="single" w:sz="4" w:space="0" w:color="auto"/>
            </w:tcBorders>
            <w:shd w:val="clear" w:color="auto" w:fill="C6EFCE"/>
            <w:noWrap/>
          </w:tcPr>
          <w:p w14:paraId="0FE5E35A" w14:textId="77777777" w:rsidR="00CB0FCB" w:rsidRDefault="00CB0FCB">
            <w:pPr>
              <w:spacing w:after="0" w:line="240" w:lineRule="auto"/>
              <w:rPr>
                <w:rFonts w:ascii="Times New Roman" w:eastAsia="Times New Roman" w:hAnsi="Times New Roman" w:cs="Times New Roman"/>
                <w:noProof/>
                <w:sz w:val="18"/>
                <w:szCs w:val="18"/>
              </w:rPr>
            </w:pPr>
          </w:p>
        </w:tc>
        <w:tc>
          <w:tcPr>
            <w:tcW w:w="1192" w:type="dxa"/>
            <w:tcBorders>
              <w:top w:val="single" w:sz="4" w:space="0" w:color="auto"/>
              <w:left w:val="nil"/>
              <w:bottom w:val="single" w:sz="4" w:space="0" w:color="auto"/>
              <w:right w:val="single" w:sz="4" w:space="0" w:color="auto"/>
            </w:tcBorders>
            <w:shd w:val="clear" w:color="auto" w:fill="C6EFCE"/>
            <w:noWrap/>
          </w:tcPr>
          <w:p w14:paraId="014FAB39" w14:textId="77777777" w:rsidR="00CB0FCB" w:rsidRDefault="00CB0FCB">
            <w:pPr>
              <w:spacing w:after="0" w:line="240" w:lineRule="auto"/>
              <w:rPr>
                <w:rFonts w:ascii="Times New Roman" w:eastAsia="Times New Roman" w:hAnsi="Times New Roman" w:cs="Times New Roman"/>
                <w:noProof/>
                <w:sz w:val="18"/>
                <w:szCs w:val="18"/>
              </w:rPr>
            </w:pPr>
          </w:p>
        </w:tc>
        <w:tc>
          <w:tcPr>
            <w:tcW w:w="666" w:type="dxa"/>
            <w:tcBorders>
              <w:top w:val="single" w:sz="4" w:space="0" w:color="auto"/>
              <w:left w:val="nil"/>
              <w:bottom w:val="single" w:sz="4" w:space="0" w:color="auto"/>
              <w:right w:val="single" w:sz="4" w:space="0" w:color="auto"/>
            </w:tcBorders>
            <w:shd w:val="clear" w:color="auto" w:fill="C6EFCE"/>
            <w:noWrap/>
          </w:tcPr>
          <w:p w14:paraId="68684DAC" w14:textId="77777777" w:rsidR="00CB0FCB" w:rsidRDefault="00CB0FCB">
            <w:pPr>
              <w:spacing w:after="0" w:line="240" w:lineRule="auto"/>
              <w:rPr>
                <w:rFonts w:ascii="Times New Roman" w:eastAsia="Times New Roman" w:hAnsi="Times New Roman" w:cs="Times New Roman"/>
                <w:noProof/>
                <w:sz w:val="18"/>
                <w:szCs w:val="18"/>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0478A086" w14:textId="77777777" w:rsidR="00CB0FCB" w:rsidRDefault="009D2B11">
            <w:pPr>
              <w:pStyle w:val="P68B1DB1-Normal9"/>
              <w:spacing w:after="120" w:line="240" w:lineRule="auto"/>
              <w:rPr>
                <w:rFonts w:eastAsia="Times New Roman"/>
                <w:noProof/>
                <w:szCs w:val="18"/>
              </w:rPr>
            </w:pPr>
            <w:r>
              <w:rPr>
                <w:noProof/>
              </w:rPr>
              <w:t>2. CET.</w:t>
            </w:r>
          </w:p>
        </w:tc>
        <w:tc>
          <w:tcPr>
            <w:tcW w:w="911" w:type="dxa"/>
            <w:tcBorders>
              <w:top w:val="single" w:sz="4" w:space="0" w:color="auto"/>
              <w:left w:val="nil"/>
              <w:bottom w:val="single" w:sz="4" w:space="0" w:color="auto"/>
              <w:right w:val="single" w:sz="4" w:space="0" w:color="auto"/>
            </w:tcBorders>
            <w:shd w:val="clear" w:color="auto" w:fill="C6EFCE"/>
            <w:noWrap/>
          </w:tcPr>
          <w:p w14:paraId="22B2D5E0" w14:textId="77777777" w:rsidR="00CB0FCB" w:rsidRDefault="009D2B11">
            <w:pPr>
              <w:pStyle w:val="P68B1DB1-Normal9"/>
              <w:spacing w:after="120" w:line="240" w:lineRule="auto"/>
              <w:rPr>
                <w:rFonts w:eastAsia="Times New Roman"/>
                <w:noProof/>
                <w:szCs w:val="18"/>
              </w:rPr>
            </w:pPr>
            <w:r>
              <w:rPr>
                <w:noProof/>
              </w:rPr>
              <w:t>2025</w:t>
            </w:r>
          </w:p>
        </w:tc>
        <w:tc>
          <w:tcPr>
            <w:tcW w:w="3529" w:type="dxa"/>
            <w:tcBorders>
              <w:top w:val="single" w:sz="4" w:space="0" w:color="auto"/>
              <w:left w:val="nil"/>
              <w:bottom w:val="single" w:sz="4" w:space="0" w:color="auto"/>
              <w:right w:val="single" w:sz="4" w:space="0" w:color="auto"/>
            </w:tcBorders>
            <w:shd w:val="clear" w:color="auto" w:fill="C6EFCE"/>
            <w:noWrap/>
          </w:tcPr>
          <w:p w14:paraId="41C3B7C2" w14:textId="77777777" w:rsidR="00CB0FCB" w:rsidRDefault="009D2B11">
            <w:pPr>
              <w:pStyle w:val="P68B1DB1-Normal9"/>
              <w:spacing w:after="0" w:line="240" w:lineRule="auto"/>
              <w:rPr>
                <w:rFonts w:eastAsia="Times New Roman" w:cs="Calibri"/>
                <w:noProof/>
                <w:szCs w:val="18"/>
              </w:rPr>
            </w:pPr>
            <w:r>
              <w:rPr>
                <w:noProof/>
              </w:rPr>
              <w:t xml:space="preserve">Atbalsta shēmas stāšanās spēkā izsolēs kombinētiem AER uzkrāšanas blokiem ar fotoelementu un akumulatoru uzkrāšanas tehnoloģijām. </w:t>
            </w:r>
          </w:p>
        </w:tc>
      </w:tr>
    </w:tbl>
    <w:p w14:paraId="777EA951" w14:textId="77777777" w:rsidR="00CB0FCB" w:rsidRDefault="009D2B11">
      <w:pPr>
        <w:pStyle w:val="P68B1DB1-Normal6"/>
        <w:keepNext/>
        <w:keepLines/>
        <w:spacing w:before="240" w:after="0" w:line="240" w:lineRule="auto"/>
        <w:jc w:val="both"/>
        <w:outlineLvl w:val="4"/>
        <w:rPr>
          <w:rFonts w:eastAsia="Times New Roman"/>
          <w:noProof/>
          <w:szCs w:val="24"/>
        </w:rPr>
      </w:pPr>
      <w:r>
        <w:rPr>
          <w:noProof/>
        </w:rPr>
        <w:t>Reforma. Tiesiskais regulējums virzībā uz viedo tīklu (pasākuma ID: 16991)</w:t>
      </w:r>
    </w:p>
    <w:tbl>
      <w:tblPr>
        <w:tblW w:w="14596" w:type="dxa"/>
        <w:tblLayout w:type="fixed"/>
        <w:tblLook w:val="04A0" w:firstRow="1" w:lastRow="0" w:firstColumn="1" w:lastColumn="0" w:noHBand="0" w:noVBand="1"/>
      </w:tblPr>
      <w:tblGrid>
        <w:gridCol w:w="1106"/>
        <w:gridCol w:w="2020"/>
        <w:gridCol w:w="982"/>
        <w:gridCol w:w="1105"/>
        <w:gridCol w:w="1696"/>
        <w:gridCol w:w="954"/>
        <w:gridCol w:w="996"/>
        <w:gridCol w:w="652"/>
        <w:gridCol w:w="899"/>
        <w:gridCol w:w="10"/>
        <w:gridCol w:w="889"/>
        <w:gridCol w:w="3287"/>
      </w:tblGrid>
      <w:tr w:rsidR="00CB0FCB" w14:paraId="4639F544" w14:textId="77777777">
        <w:trPr>
          <w:trHeight w:val="1125"/>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327CDD" w14:textId="77777777" w:rsidR="00CB0FCB" w:rsidRDefault="009D2B11">
            <w:pPr>
              <w:pStyle w:val="P68B1DB1-Normal7"/>
              <w:spacing w:before="120" w:after="120" w:line="240" w:lineRule="auto"/>
              <w:jc w:val="center"/>
              <w:rPr>
                <w:rFonts w:cs="Times New Roman"/>
                <w:noProof/>
                <w:sz w:val="24"/>
              </w:rPr>
            </w:pPr>
            <w:r>
              <w:rPr>
                <w:noProof/>
              </w:rPr>
              <w:t>Kārtas numurs</w:t>
            </w:r>
          </w:p>
        </w:tc>
        <w:tc>
          <w:tcPr>
            <w:tcW w:w="2078" w:type="dxa"/>
            <w:vMerge w:val="restart"/>
            <w:tcBorders>
              <w:top w:val="single" w:sz="4" w:space="0" w:color="auto"/>
              <w:left w:val="single" w:sz="4" w:space="0" w:color="auto"/>
              <w:right w:val="single" w:sz="4" w:space="0" w:color="auto"/>
            </w:tcBorders>
            <w:shd w:val="clear" w:color="auto" w:fill="BDD7EE"/>
            <w:vAlign w:val="center"/>
            <w:hideMark/>
          </w:tcPr>
          <w:p w14:paraId="18ED0E9E" w14:textId="77777777" w:rsidR="00CB0FCB" w:rsidRDefault="009D2B11">
            <w:pPr>
              <w:pStyle w:val="P68B1DB1-Normal7"/>
              <w:spacing w:before="120" w:after="120" w:line="240" w:lineRule="auto"/>
              <w:jc w:val="center"/>
              <w:rPr>
                <w:rFonts w:cs="Times New Roman"/>
                <w:noProof/>
                <w:sz w:val="24"/>
              </w:rPr>
            </w:pPr>
            <w:r>
              <w:rPr>
                <w:noProof/>
              </w:rPr>
              <w:t>Saistītais pasākums (reforma vai ieguldījums)</w:t>
            </w:r>
          </w:p>
        </w:tc>
        <w:tc>
          <w:tcPr>
            <w:tcW w:w="1007" w:type="dxa"/>
            <w:vMerge w:val="restart"/>
            <w:tcBorders>
              <w:top w:val="single" w:sz="4" w:space="0" w:color="auto"/>
              <w:left w:val="single" w:sz="4" w:space="0" w:color="auto"/>
              <w:right w:val="single" w:sz="4" w:space="0" w:color="auto"/>
            </w:tcBorders>
            <w:shd w:val="clear" w:color="auto" w:fill="BDD7EE"/>
            <w:vAlign w:val="center"/>
            <w:hideMark/>
          </w:tcPr>
          <w:p w14:paraId="59567F31" w14:textId="77777777" w:rsidR="00CB0FCB" w:rsidRDefault="009D2B11">
            <w:pPr>
              <w:pStyle w:val="P68B1DB1-Normal7"/>
              <w:spacing w:before="120" w:after="120" w:line="240" w:lineRule="auto"/>
              <w:jc w:val="center"/>
              <w:rPr>
                <w:rFonts w:cs="Times New Roman"/>
                <w:noProof/>
                <w:sz w:val="24"/>
              </w:rPr>
            </w:pPr>
            <w:r>
              <w:rPr>
                <w:noProof/>
              </w:rPr>
              <w:t>Atskaites punkts/mērķrādītājs</w:t>
            </w:r>
          </w:p>
        </w:tc>
        <w:tc>
          <w:tcPr>
            <w:tcW w:w="1134" w:type="dxa"/>
            <w:vMerge w:val="restart"/>
            <w:tcBorders>
              <w:top w:val="single" w:sz="4" w:space="0" w:color="auto"/>
              <w:left w:val="single" w:sz="4" w:space="0" w:color="auto"/>
              <w:right w:val="single" w:sz="4" w:space="0" w:color="auto"/>
            </w:tcBorders>
            <w:shd w:val="clear" w:color="auto" w:fill="BDD7EE"/>
            <w:vAlign w:val="center"/>
            <w:hideMark/>
          </w:tcPr>
          <w:p w14:paraId="665A52B1" w14:textId="77777777" w:rsidR="00CB0FCB" w:rsidRDefault="009D2B11">
            <w:pPr>
              <w:pStyle w:val="P68B1DB1-Normal7"/>
              <w:spacing w:before="120" w:after="120" w:line="240" w:lineRule="auto"/>
              <w:jc w:val="center"/>
              <w:rPr>
                <w:rFonts w:cs="Times New Roman"/>
                <w:noProof/>
                <w:sz w:val="24"/>
              </w:rPr>
            </w:pPr>
            <w:r>
              <w:rPr>
                <w:noProof/>
              </w:rPr>
              <w:t>Nosaukums</w:t>
            </w:r>
          </w:p>
        </w:tc>
        <w:tc>
          <w:tcPr>
            <w:tcW w:w="1744" w:type="dxa"/>
            <w:vMerge w:val="restart"/>
            <w:tcBorders>
              <w:top w:val="single" w:sz="4" w:space="0" w:color="auto"/>
              <w:left w:val="single" w:sz="4" w:space="0" w:color="auto"/>
              <w:right w:val="single" w:sz="4" w:space="0" w:color="auto"/>
            </w:tcBorders>
            <w:shd w:val="clear" w:color="auto" w:fill="BDD7EE"/>
            <w:vAlign w:val="center"/>
            <w:hideMark/>
          </w:tcPr>
          <w:p w14:paraId="32232C9D" w14:textId="77777777" w:rsidR="00CB0FCB" w:rsidRDefault="009D2B11">
            <w:pPr>
              <w:pStyle w:val="P68B1DB1-Normal7"/>
              <w:spacing w:before="120" w:after="120" w:line="240" w:lineRule="auto"/>
              <w:jc w:val="center"/>
              <w:rPr>
                <w:rFonts w:cs="Times New Roman"/>
                <w:noProof/>
                <w:sz w:val="24"/>
              </w:rPr>
            </w:pPr>
            <w:r>
              <w:rPr>
                <w:noProof/>
              </w:rPr>
              <w:t>Kvalitatīvie rādītāji (atskaites punktiem)</w:t>
            </w:r>
          </w:p>
        </w:tc>
        <w:tc>
          <w:tcPr>
            <w:tcW w:w="226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A73547C" w14:textId="77777777" w:rsidR="00CB0FCB" w:rsidRDefault="009D2B11">
            <w:pPr>
              <w:pStyle w:val="P68B1DB1-Normal7"/>
              <w:spacing w:before="120" w:after="120" w:line="240" w:lineRule="auto"/>
              <w:jc w:val="center"/>
              <w:rPr>
                <w:rFonts w:cs="Times New Roman"/>
                <w:noProof/>
                <w:sz w:val="24"/>
              </w:rPr>
            </w:pPr>
            <w:r>
              <w:rPr>
                <w:noProof/>
              </w:rPr>
              <w:t>Kvantitatīvie rādītāji (mērķrādītājiem)</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057CDD89" w14:textId="77777777" w:rsidR="00CB0FCB" w:rsidRDefault="009D2B11">
            <w:pPr>
              <w:pStyle w:val="P68B1DB1-Normal7"/>
              <w:spacing w:before="120" w:after="120" w:line="240" w:lineRule="auto"/>
              <w:jc w:val="center"/>
              <w:rPr>
                <w:rFonts w:cs="Times New Roman"/>
                <w:noProof/>
                <w:sz w:val="24"/>
              </w:rPr>
            </w:pPr>
            <w:r>
              <w:rPr>
                <w:noProof/>
              </w:rPr>
              <w:t>Orientējošs pabeigšanas termiņš</w:t>
            </w:r>
          </w:p>
        </w:tc>
        <w:tc>
          <w:tcPr>
            <w:tcW w:w="33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4B84FF" w14:textId="77777777" w:rsidR="00CB0FCB" w:rsidRDefault="009D2B11">
            <w:pPr>
              <w:pStyle w:val="P68B1DB1-Normal7"/>
              <w:spacing w:before="120" w:after="120" w:line="240" w:lineRule="auto"/>
              <w:jc w:val="center"/>
              <w:rPr>
                <w:rFonts w:cs="Times New Roman"/>
                <w:noProof/>
                <w:sz w:val="24"/>
              </w:rPr>
            </w:pPr>
            <w:r>
              <w:rPr>
                <w:noProof/>
              </w:rPr>
              <w:t>Apraksts par katru atskaites punktu un mērķrādītāju</w:t>
            </w:r>
          </w:p>
        </w:tc>
      </w:tr>
      <w:tr w:rsidR="00CB0FCB" w14:paraId="261F257C" w14:textId="77777777">
        <w:trPr>
          <w:trHeight w:val="848"/>
          <w:tblHeader/>
        </w:trPr>
        <w:tc>
          <w:tcPr>
            <w:tcW w:w="1134" w:type="dxa"/>
            <w:vMerge/>
            <w:tcBorders>
              <w:top w:val="single" w:sz="4" w:space="0" w:color="auto"/>
              <w:left w:val="single" w:sz="4" w:space="0" w:color="auto"/>
              <w:bottom w:val="single" w:sz="4" w:space="0" w:color="auto"/>
            </w:tcBorders>
            <w:vAlign w:val="center"/>
          </w:tcPr>
          <w:p w14:paraId="3883083F"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2078" w:type="dxa"/>
            <w:vMerge/>
            <w:tcBorders>
              <w:left w:val="single" w:sz="4" w:space="0" w:color="auto"/>
              <w:bottom w:val="single" w:sz="4" w:space="0" w:color="auto"/>
              <w:right w:val="single" w:sz="4" w:space="0" w:color="auto"/>
            </w:tcBorders>
            <w:shd w:val="clear" w:color="auto" w:fill="BDD7EE"/>
            <w:vAlign w:val="center"/>
          </w:tcPr>
          <w:p w14:paraId="15E02ADC"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07" w:type="dxa"/>
            <w:vMerge/>
            <w:tcBorders>
              <w:left w:val="single" w:sz="4" w:space="0" w:color="auto"/>
              <w:bottom w:val="single" w:sz="4" w:space="0" w:color="auto"/>
              <w:right w:val="single" w:sz="4" w:space="0" w:color="auto"/>
            </w:tcBorders>
            <w:shd w:val="clear" w:color="auto" w:fill="BDD7EE"/>
            <w:vAlign w:val="center"/>
          </w:tcPr>
          <w:p w14:paraId="53D908D2"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134" w:type="dxa"/>
            <w:vMerge/>
            <w:tcBorders>
              <w:left w:val="single" w:sz="4" w:space="0" w:color="auto"/>
              <w:bottom w:val="single" w:sz="4" w:space="0" w:color="auto"/>
              <w:right w:val="single" w:sz="4" w:space="0" w:color="auto"/>
            </w:tcBorders>
            <w:shd w:val="clear" w:color="auto" w:fill="BDD7EE"/>
            <w:vAlign w:val="center"/>
          </w:tcPr>
          <w:p w14:paraId="48344465" w14:textId="77777777" w:rsidR="00CB0FCB" w:rsidRDefault="00CB0FCB">
            <w:pPr>
              <w:spacing w:after="0" w:line="240" w:lineRule="auto"/>
              <w:rPr>
                <w:rFonts w:eastAsia="Times New Roman" w:cs="Calibri"/>
                <w:noProof/>
                <w:color w:val="006100"/>
                <w:sz w:val="18"/>
                <w:szCs w:val="18"/>
              </w:rPr>
            </w:pPr>
          </w:p>
        </w:tc>
        <w:tc>
          <w:tcPr>
            <w:tcW w:w="1744" w:type="dxa"/>
            <w:vMerge/>
            <w:tcBorders>
              <w:left w:val="single" w:sz="4" w:space="0" w:color="auto"/>
              <w:bottom w:val="single" w:sz="4" w:space="0" w:color="auto"/>
              <w:right w:val="single" w:sz="4" w:space="0" w:color="auto"/>
            </w:tcBorders>
            <w:shd w:val="clear" w:color="auto" w:fill="BDD7EE"/>
            <w:vAlign w:val="center"/>
          </w:tcPr>
          <w:p w14:paraId="1830A3F2"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BDD7EE"/>
            <w:vAlign w:val="center"/>
          </w:tcPr>
          <w:p w14:paraId="1D0E38CF" w14:textId="77777777" w:rsidR="00CB0FCB" w:rsidRDefault="009D2B11">
            <w:pPr>
              <w:pStyle w:val="P68B1DB1-Normal7"/>
              <w:spacing w:before="120" w:after="120" w:line="240" w:lineRule="auto"/>
              <w:jc w:val="center"/>
              <w:rPr>
                <w:rFonts w:eastAsia="Times New Roman" w:cs="Times New Roman"/>
                <w:bCs/>
                <w:noProof/>
                <w:szCs w:val="18"/>
              </w:rPr>
            </w:pPr>
            <w:r>
              <w:rPr>
                <w:noProof/>
              </w:rPr>
              <w:t>Mēra vienība</w:t>
            </w:r>
          </w:p>
        </w:tc>
        <w:tc>
          <w:tcPr>
            <w:tcW w:w="1021" w:type="dxa"/>
            <w:tcBorders>
              <w:top w:val="single" w:sz="4" w:space="0" w:color="auto"/>
              <w:left w:val="nil"/>
              <w:bottom w:val="single" w:sz="4" w:space="0" w:color="auto"/>
              <w:right w:val="single" w:sz="4" w:space="0" w:color="auto"/>
            </w:tcBorders>
            <w:shd w:val="clear" w:color="auto" w:fill="BDD7EE"/>
            <w:vAlign w:val="center"/>
          </w:tcPr>
          <w:p w14:paraId="45A61206" w14:textId="77777777" w:rsidR="00CB0FCB" w:rsidRDefault="009D2B11">
            <w:pPr>
              <w:pStyle w:val="P68B1DB1-Normal7"/>
              <w:spacing w:before="120" w:after="120" w:line="240" w:lineRule="auto"/>
              <w:jc w:val="center"/>
              <w:rPr>
                <w:rFonts w:eastAsia="Times New Roman" w:cs="Times New Roman"/>
                <w:bCs/>
                <w:noProof/>
                <w:szCs w:val="18"/>
              </w:rPr>
            </w:pPr>
            <w:r>
              <w:rPr>
                <w:noProof/>
              </w:rPr>
              <w:t>Pamatscenārijs</w:t>
            </w:r>
          </w:p>
        </w:tc>
        <w:tc>
          <w:tcPr>
            <w:tcW w:w="666" w:type="dxa"/>
            <w:tcBorders>
              <w:top w:val="single" w:sz="4" w:space="0" w:color="auto"/>
              <w:left w:val="nil"/>
              <w:bottom w:val="single" w:sz="4" w:space="0" w:color="auto"/>
              <w:right w:val="single" w:sz="4" w:space="0" w:color="auto"/>
            </w:tcBorders>
            <w:shd w:val="clear" w:color="auto" w:fill="BDD7EE"/>
            <w:vAlign w:val="center"/>
          </w:tcPr>
          <w:p w14:paraId="0F0E4C32" w14:textId="77777777" w:rsidR="00CB0FCB" w:rsidRDefault="009D2B11">
            <w:pPr>
              <w:pStyle w:val="P68B1DB1-Normal7"/>
              <w:spacing w:before="120" w:after="120" w:line="240" w:lineRule="auto"/>
              <w:jc w:val="center"/>
              <w:rPr>
                <w:rFonts w:eastAsia="Times New Roman" w:cs="Times New Roman"/>
                <w:bCs/>
                <w:noProof/>
                <w:szCs w:val="18"/>
              </w:rPr>
            </w:pPr>
            <w:r>
              <w:rPr>
                <w:noProof/>
              </w:rPr>
              <w:t>Mērķis</w:t>
            </w:r>
          </w:p>
        </w:tc>
        <w:tc>
          <w:tcPr>
            <w:tcW w:w="921" w:type="dxa"/>
            <w:tcBorders>
              <w:top w:val="single" w:sz="4" w:space="0" w:color="auto"/>
              <w:left w:val="nil"/>
              <w:bottom w:val="single" w:sz="4" w:space="0" w:color="auto"/>
              <w:right w:val="single" w:sz="4" w:space="0" w:color="auto"/>
            </w:tcBorders>
            <w:shd w:val="clear" w:color="auto" w:fill="BDD7EE"/>
            <w:vAlign w:val="center"/>
          </w:tcPr>
          <w:p w14:paraId="328DCFBD" w14:textId="77777777" w:rsidR="00CB0FCB" w:rsidRDefault="009D2B11">
            <w:pPr>
              <w:pStyle w:val="P68B1DB1-Normal7"/>
              <w:spacing w:before="120" w:after="120" w:line="240" w:lineRule="auto"/>
              <w:jc w:val="center"/>
              <w:rPr>
                <w:rFonts w:eastAsia="Times New Roman" w:cs="Times New Roman"/>
                <w:bCs/>
                <w:noProof/>
                <w:szCs w:val="18"/>
              </w:rPr>
            </w:pPr>
            <w:r>
              <w:rPr>
                <w:noProof/>
              </w:rPr>
              <w:t>Ceturkšņa laikā</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05675AA2" w14:textId="77777777" w:rsidR="00CB0FCB" w:rsidRDefault="009D2B11">
            <w:pPr>
              <w:pStyle w:val="P68B1DB1-Normal7"/>
              <w:spacing w:before="120" w:after="120" w:line="240" w:lineRule="auto"/>
              <w:jc w:val="center"/>
              <w:rPr>
                <w:rFonts w:eastAsia="Times New Roman" w:cs="Times New Roman"/>
                <w:bCs/>
                <w:noProof/>
                <w:szCs w:val="18"/>
              </w:rPr>
            </w:pPr>
            <w:r>
              <w:rPr>
                <w:noProof/>
              </w:rPr>
              <w:t>Gadu</w:t>
            </w:r>
          </w:p>
        </w:tc>
        <w:tc>
          <w:tcPr>
            <w:tcW w:w="3388" w:type="dxa"/>
            <w:vMerge/>
            <w:tcBorders>
              <w:bottom w:val="single" w:sz="4" w:space="0" w:color="auto"/>
              <w:right w:val="single" w:sz="4" w:space="0" w:color="auto"/>
            </w:tcBorders>
            <w:vAlign w:val="center"/>
          </w:tcPr>
          <w:p w14:paraId="690CAB93"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r>
      <w:tr w:rsidR="00CB0FCB" w14:paraId="6C79D180"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13EDBBEC"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358</w:t>
            </w:r>
          </w:p>
        </w:tc>
        <w:tc>
          <w:tcPr>
            <w:tcW w:w="2078" w:type="dxa"/>
            <w:tcBorders>
              <w:top w:val="single" w:sz="4" w:space="0" w:color="auto"/>
              <w:left w:val="nil"/>
              <w:bottom w:val="single" w:sz="4" w:space="0" w:color="auto"/>
              <w:right w:val="single" w:sz="4" w:space="0" w:color="auto"/>
            </w:tcBorders>
            <w:shd w:val="clear" w:color="auto" w:fill="C6EFCE"/>
            <w:noWrap/>
          </w:tcPr>
          <w:p w14:paraId="224F1737" w14:textId="77777777" w:rsidR="00CB0FCB" w:rsidRDefault="009D2B11">
            <w:pPr>
              <w:pStyle w:val="P68B1DB1-Normal9"/>
              <w:spacing w:after="0" w:line="240" w:lineRule="auto"/>
              <w:rPr>
                <w:rFonts w:eastAsia="Times New Roman" w:cs="Calibri"/>
                <w:noProof/>
                <w:szCs w:val="18"/>
              </w:rPr>
            </w:pPr>
            <w:r>
              <w:rPr>
                <w:noProof/>
              </w:rPr>
              <w:t>20–5.1. REPowerEU reformas — 16991_Normatīvais satvars virzībā uz viedu tīklu</w:t>
            </w:r>
          </w:p>
        </w:tc>
        <w:tc>
          <w:tcPr>
            <w:tcW w:w="1007" w:type="dxa"/>
            <w:tcBorders>
              <w:top w:val="single" w:sz="4" w:space="0" w:color="auto"/>
              <w:left w:val="nil"/>
              <w:bottom w:val="single" w:sz="4" w:space="0" w:color="auto"/>
              <w:right w:val="single" w:sz="4" w:space="0" w:color="auto"/>
            </w:tcBorders>
            <w:shd w:val="clear" w:color="auto" w:fill="C6EFCE"/>
            <w:noWrap/>
          </w:tcPr>
          <w:p w14:paraId="4F3A6196"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4" w:type="dxa"/>
            <w:tcBorders>
              <w:top w:val="single" w:sz="4" w:space="0" w:color="auto"/>
              <w:left w:val="nil"/>
              <w:bottom w:val="single" w:sz="4" w:space="0" w:color="auto"/>
              <w:right w:val="single" w:sz="4" w:space="0" w:color="auto"/>
            </w:tcBorders>
            <w:shd w:val="clear" w:color="auto" w:fill="C6EFCE"/>
            <w:noWrap/>
          </w:tcPr>
          <w:p w14:paraId="0DBE91B6" w14:textId="159986D3" w:rsidR="00CB0FCB" w:rsidRDefault="009D2B11">
            <w:pPr>
              <w:pStyle w:val="P68B1DB1-Normal9"/>
              <w:spacing w:after="0" w:line="240" w:lineRule="auto"/>
              <w:rPr>
                <w:rFonts w:eastAsia="Times New Roman" w:cs="Calibri"/>
                <w:noProof/>
                <w:szCs w:val="18"/>
              </w:rPr>
            </w:pPr>
            <w:r>
              <w:rPr>
                <w:noProof/>
              </w:rPr>
              <w:t>Izstrādāt uz stimuliem balstītu sistēmu sadales sistēmas operatoram un patērētājiem, lai palielinātu viedo skaitītāju ieviešanu un izmantošanu.</w:t>
            </w:r>
          </w:p>
        </w:tc>
        <w:tc>
          <w:tcPr>
            <w:tcW w:w="1744" w:type="dxa"/>
            <w:tcBorders>
              <w:top w:val="single" w:sz="4" w:space="0" w:color="auto"/>
              <w:left w:val="nil"/>
              <w:bottom w:val="single" w:sz="4" w:space="0" w:color="auto"/>
              <w:right w:val="single" w:sz="4" w:space="0" w:color="auto"/>
            </w:tcBorders>
            <w:shd w:val="clear" w:color="auto" w:fill="C6EFCE"/>
            <w:noWrap/>
          </w:tcPr>
          <w:p w14:paraId="62E89AE7" w14:textId="77777777" w:rsidR="00CB0FCB" w:rsidRDefault="00CB0FCB">
            <w:pPr>
              <w:spacing w:after="0" w:line="240" w:lineRule="auto"/>
              <w:rPr>
                <w:rFonts w:eastAsia="Times New Roman" w:cs="Calibri"/>
                <w:noProof/>
                <w:color w:val="006100"/>
                <w:sz w:val="18"/>
                <w:szCs w:val="18"/>
              </w:rPr>
            </w:pPr>
          </w:p>
          <w:p w14:paraId="108B7B12"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Kopīgs ministru lēmums/regulatora lēmums</w:t>
            </w:r>
          </w:p>
        </w:tc>
        <w:tc>
          <w:tcPr>
            <w:tcW w:w="978" w:type="dxa"/>
            <w:tcBorders>
              <w:top w:val="nil"/>
              <w:left w:val="nil"/>
              <w:bottom w:val="single" w:sz="4" w:space="0" w:color="auto"/>
              <w:right w:val="single" w:sz="4" w:space="0" w:color="auto"/>
            </w:tcBorders>
            <w:shd w:val="clear" w:color="auto" w:fill="C6EFCE"/>
            <w:noWrap/>
          </w:tcPr>
          <w:p w14:paraId="51FD0B46" w14:textId="77777777" w:rsidR="00CB0FCB" w:rsidRDefault="00CB0FCB">
            <w:pPr>
              <w:spacing w:after="0" w:line="240" w:lineRule="auto"/>
              <w:rPr>
                <w:rFonts w:ascii="Times New Roman" w:eastAsia="Times New Roman" w:hAnsi="Times New Roman" w:cs="Times New Roman"/>
                <w:noProof/>
                <w:sz w:val="18"/>
                <w:szCs w:val="18"/>
              </w:rPr>
            </w:pPr>
          </w:p>
        </w:tc>
        <w:tc>
          <w:tcPr>
            <w:tcW w:w="1021" w:type="dxa"/>
            <w:tcBorders>
              <w:top w:val="nil"/>
              <w:left w:val="nil"/>
              <w:bottom w:val="single" w:sz="4" w:space="0" w:color="auto"/>
              <w:right w:val="single" w:sz="4" w:space="0" w:color="auto"/>
            </w:tcBorders>
            <w:shd w:val="clear" w:color="auto" w:fill="C6EFCE"/>
            <w:noWrap/>
          </w:tcPr>
          <w:p w14:paraId="73A65CEF" w14:textId="77777777" w:rsidR="00CB0FCB" w:rsidRDefault="00CB0FCB">
            <w:pPr>
              <w:spacing w:after="0" w:line="240" w:lineRule="auto"/>
              <w:rPr>
                <w:rFonts w:ascii="Times New Roman" w:eastAsia="Times New Roman" w:hAnsi="Times New Roman" w:cs="Times New Roman"/>
                <w:noProof/>
                <w:sz w:val="18"/>
                <w:szCs w:val="18"/>
              </w:rPr>
            </w:pPr>
          </w:p>
        </w:tc>
        <w:tc>
          <w:tcPr>
            <w:tcW w:w="666" w:type="dxa"/>
            <w:tcBorders>
              <w:top w:val="nil"/>
              <w:left w:val="nil"/>
              <w:bottom w:val="single" w:sz="4" w:space="0" w:color="auto"/>
              <w:right w:val="single" w:sz="4" w:space="0" w:color="auto"/>
            </w:tcBorders>
            <w:shd w:val="clear" w:color="auto" w:fill="C6EFCE"/>
            <w:noWrap/>
          </w:tcPr>
          <w:p w14:paraId="50483B3A" w14:textId="77777777" w:rsidR="00CB0FCB" w:rsidRDefault="00CB0FCB">
            <w:pPr>
              <w:spacing w:after="0" w:line="240" w:lineRule="auto"/>
              <w:rPr>
                <w:rFonts w:ascii="Times New Roman" w:eastAsia="Times New Roman" w:hAnsi="Times New Roman" w:cs="Times New Roman"/>
                <w:noProof/>
                <w:sz w:val="18"/>
                <w:szCs w:val="18"/>
              </w:rPr>
            </w:pPr>
          </w:p>
        </w:tc>
        <w:tc>
          <w:tcPr>
            <w:tcW w:w="931" w:type="dxa"/>
            <w:gridSpan w:val="2"/>
            <w:tcBorders>
              <w:top w:val="nil"/>
              <w:left w:val="nil"/>
              <w:bottom w:val="single" w:sz="4" w:space="0" w:color="auto"/>
              <w:right w:val="single" w:sz="4" w:space="0" w:color="auto"/>
            </w:tcBorders>
            <w:shd w:val="clear" w:color="auto" w:fill="C6EFCE"/>
            <w:noWrap/>
          </w:tcPr>
          <w:p w14:paraId="7E150A64" w14:textId="77777777" w:rsidR="00CB0FCB" w:rsidRDefault="009D2B11">
            <w:pPr>
              <w:pStyle w:val="P68B1DB1-Normal9"/>
              <w:spacing w:after="120" w:line="240" w:lineRule="auto"/>
              <w:rPr>
                <w:rFonts w:eastAsia="Times New Roman"/>
                <w:noProof/>
                <w:szCs w:val="18"/>
              </w:rPr>
            </w:pPr>
            <w:r>
              <w:rPr>
                <w:noProof/>
              </w:rPr>
              <w:t>2. CET.</w:t>
            </w:r>
          </w:p>
        </w:tc>
        <w:tc>
          <w:tcPr>
            <w:tcW w:w="911" w:type="dxa"/>
            <w:tcBorders>
              <w:top w:val="nil"/>
              <w:left w:val="nil"/>
              <w:bottom w:val="single" w:sz="4" w:space="0" w:color="auto"/>
              <w:right w:val="single" w:sz="4" w:space="0" w:color="auto"/>
            </w:tcBorders>
            <w:shd w:val="clear" w:color="auto" w:fill="C6EFCE"/>
            <w:noWrap/>
          </w:tcPr>
          <w:p w14:paraId="083C94DE" w14:textId="77777777" w:rsidR="00CB0FCB" w:rsidRDefault="009D2B11">
            <w:pPr>
              <w:pStyle w:val="P68B1DB1-Normal9"/>
              <w:spacing w:after="120" w:line="240" w:lineRule="auto"/>
              <w:rPr>
                <w:rFonts w:eastAsia="Times New Roman"/>
                <w:noProof/>
                <w:szCs w:val="18"/>
              </w:rPr>
            </w:pPr>
            <w:r>
              <w:rPr>
                <w:noProof/>
              </w:rPr>
              <w:t>2024</w:t>
            </w:r>
          </w:p>
        </w:tc>
        <w:tc>
          <w:tcPr>
            <w:tcW w:w="3388" w:type="dxa"/>
            <w:tcBorders>
              <w:top w:val="single" w:sz="4" w:space="0" w:color="auto"/>
              <w:left w:val="nil"/>
              <w:bottom w:val="single" w:sz="4" w:space="0" w:color="auto"/>
              <w:right w:val="single" w:sz="4" w:space="0" w:color="auto"/>
            </w:tcBorders>
            <w:shd w:val="clear" w:color="auto" w:fill="C6EFCE"/>
            <w:noWrap/>
          </w:tcPr>
          <w:p w14:paraId="1727C9EA"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Stājas spēkā kopīgs ministru lēmums/regulatora lēmums par stimulējošas sistēmas izstrādi sadales sistēmas operatoram un patērētājiem, lai palielinātu viedo skaitītāju ieviešanu un izmantošanu.</w:t>
            </w:r>
          </w:p>
        </w:tc>
      </w:tr>
      <w:tr w:rsidR="00CB0FCB" w14:paraId="6DB8DF87" w14:textId="77777777">
        <w:trPr>
          <w:trHeight w:val="1526"/>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1866FDE2" w14:textId="77777777" w:rsidR="00CB0FCB" w:rsidRDefault="009D2B11">
            <w:pPr>
              <w:pStyle w:val="P68B1DB1-Normal9"/>
              <w:spacing w:after="0" w:line="240" w:lineRule="auto"/>
              <w:rPr>
                <w:rFonts w:asciiTheme="minorHAnsi" w:eastAsia="Times New Roman" w:hAnsiTheme="minorHAnsi" w:cs="Times New Roman"/>
                <w:noProof/>
                <w:szCs w:val="18"/>
              </w:rPr>
            </w:pPr>
            <w:r>
              <w:rPr>
                <w:noProof/>
              </w:rPr>
              <w:t>359</w:t>
            </w:r>
          </w:p>
        </w:tc>
        <w:tc>
          <w:tcPr>
            <w:tcW w:w="2078" w:type="dxa"/>
            <w:tcBorders>
              <w:top w:val="single" w:sz="4" w:space="0" w:color="auto"/>
              <w:left w:val="nil"/>
              <w:bottom w:val="single" w:sz="4" w:space="0" w:color="auto"/>
              <w:right w:val="single" w:sz="4" w:space="0" w:color="auto"/>
            </w:tcBorders>
            <w:shd w:val="clear" w:color="auto" w:fill="C6EFCE"/>
            <w:noWrap/>
          </w:tcPr>
          <w:p w14:paraId="42268D9C" w14:textId="77777777" w:rsidR="00CB0FCB" w:rsidRDefault="009D2B11">
            <w:pPr>
              <w:pStyle w:val="P68B1DB1-Normal9"/>
              <w:spacing w:after="0" w:line="240" w:lineRule="auto"/>
              <w:rPr>
                <w:rFonts w:eastAsia="Times New Roman" w:cs="Calibri"/>
                <w:noProof/>
                <w:szCs w:val="18"/>
              </w:rPr>
            </w:pPr>
            <w:r>
              <w:rPr>
                <w:noProof/>
              </w:rPr>
              <w:t>20–5.1. REPowerEU reformas — 16991_Normatīvais satvars virzībā uz viedu tīklu</w:t>
            </w:r>
          </w:p>
        </w:tc>
        <w:tc>
          <w:tcPr>
            <w:tcW w:w="1007" w:type="dxa"/>
            <w:tcBorders>
              <w:top w:val="single" w:sz="4" w:space="0" w:color="auto"/>
              <w:left w:val="nil"/>
              <w:bottom w:val="single" w:sz="4" w:space="0" w:color="auto"/>
              <w:right w:val="single" w:sz="4" w:space="0" w:color="auto"/>
            </w:tcBorders>
            <w:shd w:val="clear" w:color="auto" w:fill="C6EFCE"/>
            <w:noWrap/>
          </w:tcPr>
          <w:p w14:paraId="5C137096" w14:textId="77777777" w:rsidR="00CB0FCB" w:rsidRDefault="009D2B11">
            <w:pPr>
              <w:pStyle w:val="P68B1DB1-Normal9"/>
              <w:spacing w:after="0" w:line="240" w:lineRule="auto"/>
              <w:rPr>
                <w:rFonts w:eastAsia="Times New Roman" w:cs="Calibri"/>
                <w:noProof/>
                <w:szCs w:val="18"/>
              </w:rPr>
            </w:pPr>
            <w:r>
              <w:rPr>
                <w:noProof/>
              </w:rPr>
              <w:t xml:space="preserve">Atskaites punkts </w:t>
            </w:r>
          </w:p>
        </w:tc>
        <w:tc>
          <w:tcPr>
            <w:tcW w:w="1134" w:type="dxa"/>
            <w:tcBorders>
              <w:top w:val="single" w:sz="4" w:space="0" w:color="auto"/>
              <w:left w:val="nil"/>
              <w:bottom w:val="single" w:sz="4" w:space="0" w:color="auto"/>
              <w:right w:val="single" w:sz="4" w:space="0" w:color="auto"/>
            </w:tcBorders>
            <w:shd w:val="clear" w:color="auto" w:fill="C6EFCE"/>
            <w:noWrap/>
          </w:tcPr>
          <w:p w14:paraId="70D31F4E" w14:textId="77777777" w:rsidR="00CB0FCB" w:rsidRDefault="009D2B11">
            <w:pPr>
              <w:pStyle w:val="P68B1DB1-Normal9"/>
              <w:spacing w:after="0" w:line="240" w:lineRule="auto"/>
              <w:rPr>
                <w:rFonts w:eastAsia="Times New Roman" w:cs="Calibri"/>
                <w:noProof/>
                <w:szCs w:val="18"/>
              </w:rPr>
            </w:pPr>
            <w:r>
              <w:rPr>
                <w:noProof/>
              </w:rPr>
              <w:t xml:space="preserve">Dinamisko cenu noteikšanas līgumu sistēma </w:t>
            </w:r>
          </w:p>
        </w:tc>
        <w:tc>
          <w:tcPr>
            <w:tcW w:w="1744" w:type="dxa"/>
            <w:tcBorders>
              <w:top w:val="single" w:sz="4" w:space="0" w:color="auto"/>
              <w:left w:val="nil"/>
              <w:bottom w:val="single" w:sz="4" w:space="0" w:color="auto"/>
              <w:right w:val="single" w:sz="4" w:space="0" w:color="auto"/>
            </w:tcBorders>
            <w:shd w:val="clear" w:color="auto" w:fill="C6EFCE"/>
            <w:noWrap/>
          </w:tcPr>
          <w:p w14:paraId="6E64D3FE" w14:textId="77777777" w:rsidR="00CB0FCB" w:rsidRDefault="00CB0FCB">
            <w:pPr>
              <w:spacing w:after="0" w:line="240" w:lineRule="auto"/>
              <w:rPr>
                <w:rFonts w:eastAsia="Times New Roman" w:cs="Calibri"/>
                <w:noProof/>
                <w:color w:val="006100"/>
                <w:sz w:val="18"/>
                <w:szCs w:val="18"/>
              </w:rPr>
            </w:pPr>
          </w:p>
          <w:p w14:paraId="2D259D67" w14:textId="77777777" w:rsidR="00CB0FCB" w:rsidRDefault="009D2B11">
            <w:pPr>
              <w:pStyle w:val="P68B1DB1-Normal9"/>
              <w:spacing w:after="0" w:line="240" w:lineRule="auto"/>
              <w:rPr>
                <w:rFonts w:eastAsia="Times New Roman" w:cs="Calibri"/>
                <w:noProof/>
                <w:szCs w:val="18"/>
              </w:rPr>
            </w:pPr>
            <w:r>
              <w:rPr>
                <w:noProof/>
              </w:rPr>
              <w:t>Ministra lēmums</w:t>
            </w:r>
          </w:p>
        </w:tc>
        <w:tc>
          <w:tcPr>
            <w:tcW w:w="978" w:type="dxa"/>
            <w:tcBorders>
              <w:top w:val="single" w:sz="4" w:space="0" w:color="auto"/>
              <w:left w:val="nil"/>
              <w:bottom w:val="single" w:sz="4" w:space="0" w:color="auto"/>
              <w:right w:val="single" w:sz="4" w:space="0" w:color="auto"/>
            </w:tcBorders>
            <w:shd w:val="clear" w:color="auto" w:fill="C6EFCE"/>
            <w:noWrap/>
          </w:tcPr>
          <w:p w14:paraId="17144213" w14:textId="77777777" w:rsidR="00CB0FCB" w:rsidRDefault="00CB0FCB">
            <w:pPr>
              <w:spacing w:after="0" w:line="240" w:lineRule="auto"/>
              <w:rPr>
                <w:rFonts w:ascii="Times New Roman" w:eastAsia="Times New Roman" w:hAnsi="Times New Roman" w:cs="Times New Roman"/>
                <w:noProof/>
                <w:sz w:val="18"/>
                <w:szCs w:val="18"/>
              </w:rPr>
            </w:pPr>
          </w:p>
        </w:tc>
        <w:tc>
          <w:tcPr>
            <w:tcW w:w="1021" w:type="dxa"/>
            <w:tcBorders>
              <w:top w:val="single" w:sz="4" w:space="0" w:color="auto"/>
              <w:left w:val="nil"/>
              <w:bottom w:val="single" w:sz="4" w:space="0" w:color="auto"/>
              <w:right w:val="single" w:sz="4" w:space="0" w:color="auto"/>
            </w:tcBorders>
            <w:shd w:val="clear" w:color="auto" w:fill="C6EFCE"/>
            <w:noWrap/>
          </w:tcPr>
          <w:p w14:paraId="7F379B94" w14:textId="77777777" w:rsidR="00CB0FCB" w:rsidRDefault="00CB0FCB">
            <w:pPr>
              <w:spacing w:after="0" w:line="240" w:lineRule="auto"/>
              <w:rPr>
                <w:rFonts w:ascii="Times New Roman" w:eastAsia="Times New Roman" w:hAnsi="Times New Roman" w:cs="Times New Roman"/>
                <w:noProof/>
                <w:sz w:val="18"/>
                <w:szCs w:val="18"/>
              </w:rPr>
            </w:pPr>
          </w:p>
        </w:tc>
        <w:tc>
          <w:tcPr>
            <w:tcW w:w="666" w:type="dxa"/>
            <w:tcBorders>
              <w:top w:val="single" w:sz="4" w:space="0" w:color="auto"/>
              <w:left w:val="nil"/>
              <w:bottom w:val="single" w:sz="4" w:space="0" w:color="auto"/>
              <w:right w:val="single" w:sz="4" w:space="0" w:color="auto"/>
            </w:tcBorders>
            <w:shd w:val="clear" w:color="auto" w:fill="C6EFCE"/>
            <w:noWrap/>
          </w:tcPr>
          <w:p w14:paraId="13588450" w14:textId="77777777" w:rsidR="00CB0FCB" w:rsidRDefault="00CB0FCB">
            <w:pPr>
              <w:spacing w:after="0" w:line="240" w:lineRule="auto"/>
              <w:rPr>
                <w:rFonts w:ascii="Times New Roman" w:eastAsia="Times New Roman" w:hAnsi="Times New Roman" w:cs="Times New Roman"/>
                <w:noProof/>
                <w:sz w:val="18"/>
                <w:szCs w:val="18"/>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45D8BB2B" w14:textId="77777777" w:rsidR="00CB0FCB" w:rsidRDefault="009D2B11">
            <w:pPr>
              <w:pStyle w:val="P68B1DB1-Normal9"/>
              <w:spacing w:after="120" w:line="240" w:lineRule="auto"/>
              <w:rPr>
                <w:rFonts w:eastAsia="Times New Roman"/>
                <w:noProof/>
                <w:szCs w:val="18"/>
              </w:rPr>
            </w:pPr>
            <w:r>
              <w:rPr>
                <w:noProof/>
              </w:rPr>
              <w:t>4. CET.</w:t>
            </w:r>
          </w:p>
        </w:tc>
        <w:tc>
          <w:tcPr>
            <w:tcW w:w="911" w:type="dxa"/>
            <w:tcBorders>
              <w:top w:val="single" w:sz="4" w:space="0" w:color="auto"/>
              <w:left w:val="nil"/>
              <w:bottom w:val="single" w:sz="4" w:space="0" w:color="auto"/>
              <w:right w:val="single" w:sz="4" w:space="0" w:color="auto"/>
            </w:tcBorders>
            <w:shd w:val="clear" w:color="auto" w:fill="C6EFCE"/>
            <w:noWrap/>
          </w:tcPr>
          <w:p w14:paraId="26912CC0" w14:textId="77777777" w:rsidR="00CB0FCB" w:rsidRDefault="009D2B11">
            <w:pPr>
              <w:pStyle w:val="P68B1DB1-Normal9"/>
              <w:spacing w:after="120" w:line="240" w:lineRule="auto"/>
              <w:rPr>
                <w:rFonts w:eastAsia="Times New Roman"/>
                <w:noProof/>
                <w:szCs w:val="18"/>
              </w:rPr>
            </w:pPr>
            <w:r>
              <w:rPr>
                <w:noProof/>
              </w:rPr>
              <w:t>2024</w:t>
            </w:r>
          </w:p>
        </w:tc>
        <w:tc>
          <w:tcPr>
            <w:tcW w:w="3388" w:type="dxa"/>
            <w:tcBorders>
              <w:top w:val="single" w:sz="4" w:space="0" w:color="auto"/>
              <w:left w:val="nil"/>
              <w:bottom w:val="single" w:sz="4" w:space="0" w:color="auto"/>
              <w:right w:val="single" w:sz="4" w:space="0" w:color="auto"/>
            </w:tcBorders>
            <w:shd w:val="clear" w:color="auto" w:fill="C6EFCE"/>
            <w:noWrap/>
          </w:tcPr>
          <w:p w14:paraId="2A6E8A35" w14:textId="77777777" w:rsidR="00CB0FCB" w:rsidRDefault="009D2B11">
            <w:pPr>
              <w:pStyle w:val="P68B1DB1-Normal9"/>
              <w:spacing w:after="0" w:line="240" w:lineRule="auto"/>
              <w:rPr>
                <w:rFonts w:eastAsia="Times New Roman" w:cs="Calibri"/>
                <w:noProof/>
                <w:szCs w:val="18"/>
              </w:rPr>
            </w:pPr>
            <w:r>
              <w:rPr>
                <w:noProof/>
              </w:rPr>
              <w:t xml:space="preserve">Stājas spēkā dinamisko cenu noteikšanas līgumu sistēma, lai ieviestu dinamisko cenu noteikšanu visiem galapatērētājiem, tiklīdz to pakalpojumu savienojumā ir uzstādīts viedais skaitītājs. Ministru kopīgais lēmums, kurā izklāstīti projektēšanas jautājumi, galvenie dinamisko līgumu noteikumi. Ar kopīgo ministru lēmumu nosaka operatoru, slodzes pārstāvju un klientu tiesības un pienākumus saistībā ar dinamiskas cenu noteikšanas īstenošanu. </w:t>
            </w:r>
          </w:p>
        </w:tc>
      </w:tr>
      <w:tr w:rsidR="00CB0FCB" w14:paraId="1BE3CBDF"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8643ACC" w14:textId="77777777" w:rsidR="00CB0FCB" w:rsidRDefault="009D2B11">
            <w:pPr>
              <w:pStyle w:val="P68B1DB1-Normal9"/>
              <w:spacing w:after="0" w:line="240" w:lineRule="auto"/>
              <w:rPr>
                <w:rFonts w:ascii="Times New Roman" w:eastAsia="Times New Roman" w:hAnsi="Times New Roman" w:cs="Times New Roman"/>
                <w:noProof/>
                <w:szCs w:val="18"/>
              </w:rPr>
            </w:pPr>
            <w:r>
              <w:rPr>
                <w:noProof/>
              </w:rPr>
              <w:t>360</w:t>
            </w:r>
          </w:p>
        </w:tc>
        <w:tc>
          <w:tcPr>
            <w:tcW w:w="2078" w:type="dxa"/>
            <w:tcBorders>
              <w:top w:val="single" w:sz="4" w:space="0" w:color="auto"/>
              <w:left w:val="nil"/>
              <w:bottom w:val="single" w:sz="4" w:space="0" w:color="auto"/>
              <w:right w:val="single" w:sz="4" w:space="0" w:color="auto"/>
            </w:tcBorders>
            <w:shd w:val="clear" w:color="auto" w:fill="C6EFCE"/>
            <w:noWrap/>
          </w:tcPr>
          <w:p w14:paraId="68308E95" w14:textId="77777777" w:rsidR="00CB0FCB" w:rsidRDefault="009D2B11">
            <w:pPr>
              <w:pStyle w:val="P68B1DB1-Normal9"/>
              <w:spacing w:after="0" w:line="240" w:lineRule="auto"/>
              <w:rPr>
                <w:rFonts w:eastAsia="Times New Roman" w:cs="Calibri"/>
                <w:noProof/>
                <w:szCs w:val="18"/>
              </w:rPr>
            </w:pPr>
            <w:r>
              <w:rPr>
                <w:noProof/>
              </w:rPr>
              <w:t>20–5.1. REPowerEU reformas — 16991_Normatīvais satvars virzībā uz viedu tīklu</w:t>
            </w:r>
          </w:p>
        </w:tc>
        <w:tc>
          <w:tcPr>
            <w:tcW w:w="1007" w:type="dxa"/>
            <w:tcBorders>
              <w:top w:val="single" w:sz="4" w:space="0" w:color="auto"/>
              <w:left w:val="nil"/>
              <w:bottom w:val="single" w:sz="4" w:space="0" w:color="auto"/>
              <w:right w:val="single" w:sz="4" w:space="0" w:color="auto"/>
            </w:tcBorders>
            <w:shd w:val="clear" w:color="auto" w:fill="C6EFCE"/>
            <w:noWrap/>
          </w:tcPr>
          <w:p w14:paraId="29DAC83E"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134" w:type="dxa"/>
            <w:tcBorders>
              <w:top w:val="single" w:sz="4" w:space="0" w:color="auto"/>
              <w:left w:val="nil"/>
              <w:bottom w:val="single" w:sz="4" w:space="0" w:color="auto"/>
              <w:right w:val="single" w:sz="4" w:space="0" w:color="auto"/>
            </w:tcBorders>
            <w:shd w:val="clear" w:color="auto" w:fill="C6EFCE"/>
            <w:noWrap/>
          </w:tcPr>
          <w:p w14:paraId="4940AB65" w14:textId="77777777" w:rsidR="00CB0FCB" w:rsidRDefault="009D2B11">
            <w:pPr>
              <w:pStyle w:val="P68B1DB1-Normal9"/>
              <w:spacing w:after="0" w:line="240" w:lineRule="auto"/>
              <w:rPr>
                <w:rFonts w:eastAsia="Times New Roman" w:cs="Calibri"/>
                <w:noProof/>
                <w:szCs w:val="18"/>
              </w:rPr>
            </w:pPr>
            <w:r>
              <w:rPr>
                <w:noProof/>
              </w:rPr>
              <w:t>Sadales sistēmas operatora kontroles centra izveide</w:t>
            </w:r>
          </w:p>
        </w:tc>
        <w:tc>
          <w:tcPr>
            <w:tcW w:w="1744" w:type="dxa"/>
            <w:tcBorders>
              <w:top w:val="single" w:sz="4" w:space="0" w:color="auto"/>
              <w:left w:val="nil"/>
              <w:bottom w:val="single" w:sz="4" w:space="0" w:color="auto"/>
              <w:right w:val="single" w:sz="4" w:space="0" w:color="auto"/>
            </w:tcBorders>
            <w:shd w:val="clear" w:color="auto" w:fill="C6EFCE"/>
            <w:noWrap/>
          </w:tcPr>
          <w:p w14:paraId="50FC165C" w14:textId="77777777" w:rsidR="00CB0FCB" w:rsidRDefault="009D2B11">
            <w:pPr>
              <w:pStyle w:val="P68B1DB1-Normal9"/>
              <w:spacing w:after="0" w:line="240" w:lineRule="auto"/>
              <w:rPr>
                <w:rFonts w:eastAsia="Times New Roman" w:cs="Calibri"/>
                <w:noProof/>
                <w:szCs w:val="18"/>
              </w:rPr>
            </w:pPr>
            <w:r>
              <w:rPr>
                <w:noProof/>
              </w:rPr>
              <w:t xml:space="preserve">Apstiprinājums par SSO piekrišanu kontroles centra pabeigšanai </w:t>
            </w:r>
          </w:p>
        </w:tc>
        <w:tc>
          <w:tcPr>
            <w:tcW w:w="978" w:type="dxa"/>
            <w:tcBorders>
              <w:top w:val="single" w:sz="4" w:space="0" w:color="auto"/>
              <w:left w:val="nil"/>
              <w:bottom w:val="single" w:sz="4" w:space="0" w:color="auto"/>
              <w:right w:val="single" w:sz="4" w:space="0" w:color="auto"/>
            </w:tcBorders>
            <w:shd w:val="clear" w:color="auto" w:fill="C6EFCE"/>
            <w:noWrap/>
          </w:tcPr>
          <w:p w14:paraId="71F2AB00" w14:textId="77777777" w:rsidR="00CB0FCB" w:rsidRDefault="00CB0FCB">
            <w:pPr>
              <w:spacing w:after="0" w:line="240" w:lineRule="auto"/>
              <w:rPr>
                <w:rFonts w:ascii="Times New Roman" w:eastAsia="Times New Roman" w:hAnsi="Times New Roman" w:cs="Times New Roman"/>
                <w:noProof/>
                <w:sz w:val="18"/>
                <w:szCs w:val="18"/>
              </w:rPr>
            </w:pPr>
          </w:p>
        </w:tc>
        <w:tc>
          <w:tcPr>
            <w:tcW w:w="1021" w:type="dxa"/>
            <w:tcBorders>
              <w:top w:val="single" w:sz="4" w:space="0" w:color="auto"/>
              <w:left w:val="nil"/>
              <w:bottom w:val="single" w:sz="4" w:space="0" w:color="auto"/>
              <w:right w:val="single" w:sz="4" w:space="0" w:color="auto"/>
            </w:tcBorders>
            <w:shd w:val="clear" w:color="auto" w:fill="C6EFCE"/>
            <w:noWrap/>
          </w:tcPr>
          <w:p w14:paraId="05970834" w14:textId="77777777" w:rsidR="00CB0FCB" w:rsidRDefault="00CB0FCB">
            <w:pPr>
              <w:spacing w:after="0" w:line="240" w:lineRule="auto"/>
              <w:rPr>
                <w:rFonts w:ascii="Times New Roman" w:eastAsia="Times New Roman" w:hAnsi="Times New Roman" w:cs="Times New Roman"/>
                <w:noProof/>
                <w:sz w:val="18"/>
                <w:szCs w:val="18"/>
              </w:rPr>
            </w:pPr>
          </w:p>
        </w:tc>
        <w:tc>
          <w:tcPr>
            <w:tcW w:w="666" w:type="dxa"/>
            <w:tcBorders>
              <w:top w:val="single" w:sz="4" w:space="0" w:color="auto"/>
              <w:left w:val="nil"/>
              <w:bottom w:val="single" w:sz="4" w:space="0" w:color="auto"/>
              <w:right w:val="single" w:sz="4" w:space="0" w:color="auto"/>
            </w:tcBorders>
            <w:shd w:val="clear" w:color="auto" w:fill="C6EFCE"/>
            <w:noWrap/>
          </w:tcPr>
          <w:p w14:paraId="0E226745" w14:textId="77777777" w:rsidR="00CB0FCB" w:rsidRDefault="00CB0FCB">
            <w:pPr>
              <w:spacing w:after="0" w:line="240" w:lineRule="auto"/>
              <w:rPr>
                <w:rFonts w:ascii="Times New Roman" w:eastAsia="Times New Roman" w:hAnsi="Times New Roman" w:cs="Times New Roman"/>
                <w:noProof/>
                <w:sz w:val="18"/>
                <w:szCs w:val="18"/>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58E07444" w14:textId="77777777" w:rsidR="00CB0FCB" w:rsidRDefault="009D2B11">
            <w:pPr>
              <w:pStyle w:val="P68B1DB1-Normal9"/>
              <w:spacing w:after="120" w:line="240" w:lineRule="auto"/>
              <w:rPr>
                <w:rFonts w:eastAsia="Times New Roman"/>
                <w:noProof/>
                <w:szCs w:val="18"/>
              </w:rPr>
            </w:pPr>
            <w:r>
              <w:rPr>
                <w:noProof/>
              </w:rPr>
              <w:t>4. CET.</w:t>
            </w:r>
          </w:p>
        </w:tc>
        <w:tc>
          <w:tcPr>
            <w:tcW w:w="911" w:type="dxa"/>
            <w:tcBorders>
              <w:top w:val="single" w:sz="4" w:space="0" w:color="auto"/>
              <w:left w:val="nil"/>
              <w:bottom w:val="single" w:sz="4" w:space="0" w:color="auto"/>
              <w:right w:val="single" w:sz="4" w:space="0" w:color="auto"/>
            </w:tcBorders>
            <w:shd w:val="clear" w:color="auto" w:fill="C6EFCE"/>
            <w:noWrap/>
          </w:tcPr>
          <w:p w14:paraId="35D9495E" w14:textId="77777777" w:rsidR="00CB0FCB" w:rsidRDefault="009D2B11">
            <w:pPr>
              <w:pStyle w:val="P68B1DB1-Normal9"/>
              <w:spacing w:after="120" w:line="240" w:lineRule="auto"/>
              <w:rPr>
                <w:rFonts w:eastAsia="Times New Roman"/>
                <w:noProof/>
                <w:szCs w:val="18"/>
              </w:rPr>
            </w:pPr>
            <w:r>
              <w:rPr>
                <w:noProof/>
              </w:rPr>
              <w:t>2025</w:t>
            </w:r>
          </w:p>
        </w:tc>
        <w:tc>
          <w:tcPr>
            <w:tcW w:w="3388" w:type="dxa"/>
            <w:tcBorders>
              <w:top w:val="single" w:sz="4" w:space="0" w:color="auto"/>
              <w:left w:val="nil"/>
              <w:bottom w:val="single" w:sz="4" w:space="0" w:color="auto"/>
              <w:right w:val="single" w:sz="4" w:space="0" w:color="auto"/>
            </w:tcBorders>
            <w:shd w:val="clear" w:color="auto" w:fill="C6EFCE"/>
            <w:noWrap/>
          </w:tcPr>
          <w:p w14:paraId="6BE06DDE" w14:textId="77777777" w:rsidR="00CB0FCB" w:rsidRDefault="009D2B11">
            <w:pPr>
              <w:pStyle w:val="P68B1DB1-Normal9"/>
              <w:spacing w:after="0" w:line="240" w:lineRule="auto"/>
              <w:rPr>
                <w:rFonts w:eastAsia="Times New Roman" w:cs="Calibri"/>
                <w:noProof/>
                <w:szCs w:val="18"/>
              </w:rPr>
            </w:pPr>
            <w:r>
              <w:rPr>
                <w:noProof/>
              </w:rPr>
              <w:t>Sadales sistēmas operatora kontroles centrs darbojas un ietver jaunas uzraudzības kontroles un datu ieguves datu pārvaldības sistēmas (SCADA-DMS) uzstādīšanu un saziņu ar tālvadības raidītājiem (RTU) augstsprieguma/vidējā sprieguma (HV/MT) apakšstacijās, kā arī nepieciešamās atbalsta infrastruktūras izveidi trim integrētajiem centriem.</w:t>
            </w:r>
            <w:r>
              <w:rPr>
                <w:noProof/>
                <w:highlight w:val="yellow"/>
              </w:rPr>
              <w:t xml:space="preserve"> </w:t>
            </w:r>
          </w:p>
        </w:tc>
      </w:tr>
    </w:tbl>
    <w:p w14:paraId="5C2D4926" w14:textId="77777777" w:rsidR="00CB0FCB" w:rsidRDefault="009D2B11">
      <w:pPr>
        <w:pStyle w:val="P68B1DB1-Normal6"/>
        <w:keepNext/>
        <w:keepLines/>
        <w:spacing w:before="240" w:after="0" w:line="240" w:lineRule="auto"/>
        <w:jc w:val="both"/>
        <w:outlineLvl w:val="4"/>
        <w:rPr>
          <w:noProof/>
          <w:color w:val="365F91" w:themeColor="accent1" w:themeShade="BF"/>
        </w:rPr>
      </w:pPr>
      <w:r>
        <w:rPr>
          <w:noProof/>
        </w:rPr>
        <w:t>Reforma Nr. 6: Instrumentu kopums enerģijas koplietošanas, pašpatēriņa un atjaunojamās enerģijas kopienu veicināšanai (pasākuma ID: 16992)</w:t>
      </w:r>
    </w:p>
    <w:p w14:paraId="505C1A16" w14:textId="77777777" w:rsidR="00CB0FCB" w:rsidRDefault="00CB0FCB">
      <w:pPr>
        <w:keepNext/>
        <w:keepLines/>
        <w:spacing w:before="240" w:after="0" w:line="240" w:lineRule="auto"/>
        <w:jc w:val="both"/>
        <w:outlineLvl w:val="4"/>
        <w:rPr>
          <w:rFonts w:ascii="Cambria" w:eastAsia="Times New Roman" w:hAnsi="Cambria"/>
          <w:noProof/>
          <w:color w:val="365F91"/>
          <w:sz w:val="24"/>
          <w:szCs w:val="24"/>
        </w:rPr>
      </w:pPr>
    </w:p>
    <w:tbl>
      <w:tblPr>
        <w:tblpPr w:leftFromText="181" w:rightFromText="181" w:vertAnchor="text" w:tblpX="-289" w:tblpY="1"/>
        <w:tblOverlap w:val="never"/>
        <w:tblW w:w="14885" w:type="dxa"/>
        <w:tblLayout w:type="fixed"/>
        <w:tblLook w:val="04A0" w:firstRow="1" w:lastRow="0" w:firstColumn="1" w:lastColumn="0" w:noHBand="0" w:noVBand="1"/>
      </w:tblPr>
      <w:tblGrid>
        <w:gridCol w:w="846"/>
        <w:gridCol w:w="2126"/>
        <w:gridCol w:w="992"/>
        <w:gridCol w:w="1194"/>
        <w:gridCol w:w="1541"/>
        <w:gridCol w:w="1020"/>
        <w:gridCol w:w="1020"/>
        <w:gridCol w:w="608"/>
        <w:gridCol w:w="1061"/>
        <w:gridCol w:w="830"/>
        <w:gridCol w:w="3647"/>
      </w:tblGrid>
      <w:tr w:rsidR="00CB0FCB" w14:paraId="260ED14D" w14:textId="77777777">
        <w:trPr>
          <w:trHeight w:val="839"/>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18B51" w14:textId="22A73549" w:rsidR="00CB0FCB" w:rsidRDefault="009D2B11">
            <w:pPr>
              <w:pStyle w:val="P68B1DB1-Normal7"/>
              <w:spacing w:before="120" w:after="120" w:line="240" w:lineRule="auto"/>
              <w:jc w:val="center"/>
              <w:rPr>
                <w:rFonts w:cs="Times New Roman"/>
                <w:noProof/>
                <w:sz w:val="24"/>
              </w:rPr>
            </w:pPr>
            <w:r>
              <w:rPr>
                <w:noProof/>
              </w:rPr>
              <w:t>Kārtas Nē.</w:t>
            </w:r>
          </w:p>
        </w:tc>
        <w:tc>
          <w:tcPr>
            <w:tcW w:w="2126" w:type="dxa"/>
            <w:vMerge w:val="restart"/>
            <w:tcBorders>
              <w:top w:val="single" w:sz="4" w:space="0" w:color="auto"/>
              <w:left w:val="single" w:sz="4" w:space="0" w:color="auto"/>
              <w:right w:val="single" w:sz="4" w:space="0" w:color="auto"/>
            </w:tcBorders>
            <w:shd w:val="clear" w:color="auto" w:fill="BDD7EE"/>
            <w:vAlign w:val="center"/>
            <w:hideMark/>
          </w:tcPr>
          <w:p w14:paraId="512A8DA6" w14:textId="77777777" w:rsidR="00CB0FCB" w:rsidRDefault="009D2B11">
            <w:pPr>
              <w:pStyle w:val="P68B1DB1-Normal7"/>
              <w:spacing w:before="120" w:after="120" w:line="240" w:lineRule="auto"/>
              <w:jc w:val="center"/>
              <w:rPr>
                <w:rFonts w:cs="Times New Roman"/>
                <w:noProof/>
                <w:sz w:val="24"/>
              </w:rPr>
            </w:pPr>
            <w:r>
              <w:rPr>
                <w:noProof/>
              </w:rPr>
              <w:t>Saistītais pasākums (reforma vai ieguldījums)</w:t>
            </w:r>
          </w:p>
        </w:tc>
        <w:tc>
          <w:tcPr>
            <w:tcW w:w="992" w:type="dxa"/>
            <w:vMerge w:val="restart"/>
            <w:tcBorders>
              <w:top w:val="single" w:sz="4" w:space="0" w:color="auto"/>
              <w:left w:val="single" w:sz="4" w:space="0" w:color="auto"/>
              <w:right w:val="single" w:sz="4" w:space="0" w:color="auto"/>
            </w:tcBorders>
            <w:shd w:val="clear" w:color="auto" w:fill="BDD7EE"/>
            <w:vAlign w:val="center"/>
            <w:hideMark/>
          </w:tcPr>
          <w:p w14:paraId="6888F072" w14:textId="77777777" w:rsidR="00CB0FCB" w:rsidRDefault="009D2B11">
            <w:pPr>
              <w:pStyle w:val="P68B1DB1-Normal7"/>
              <w:spacing w:before="120" w:after="120" w:line="240" w:lineRule="auto"/>
              <w:jc w:val="center"/>
              <w:rPr>
                <w:rFonts w:cs="Times New Roman"/>
                <w:noProof/>
                <w:sz w:val="24"/>
              </w:rPr>
            </w:pPr>
            <w:r>
              <w:rPr>
                <w:noProof/>
              </w:rPr>
              <w:t>Atskaites punkts/mērķrādītājs</w:t>
            </w:r>
          </w:p>
        </w:tc>
        <w:tc>
          <w:tcPr>
            <w:tcW w:w="1194" w:type="dxa"/>
            <w:vMerge w:val="restart"/>
            <w:tcBorders>
              <w:top w:val="single" w:sz="4" w:space="0" w:color="auto"/>
              <w:left w:val="nil"/>
              <w:right w:val="single" w:sz="4" w:space="0" w:color="auto"/>
            </w:tcBorders>
            <w:shd w:val="clear" w:color="auto" w:fill="BDD7EE"/>
            <w:vAlign w:val="center"/>
            <w:hideMark/>
          </w:tcPr>
          <w:p w14:paraId="687D28C4" w14:textId="77777777" w:rsidR="00CB0FCB" w:rsidRDefault="009D2B11">
            <w:pPr>
              <w:pStyle w:val="P68B1DB1-Normal7"/>
              <w:spacing w:before="120" w:after="120" w:line="240" w:lineRule="auto"/>
              <w:jc w:val="center"/>
              <w:rPr>
                <w:rFonts w:cs="Times New Roman"/>
                <w:noProof/>
                <w:sz w:val="24"/>
              </w:rPr>
            </w:pPr>
            <w:r>
              <w:rPr>
                <w:noProof/>
              </w:rPr>
              <w:t>Nosaukums</w:t>
            </w:r>
          </w:p>
        </w:tc>
        <w:tc>
          <w:tcPr>
            <w:tcW w:w="1541" w:type="dxa"/>
            <w:vMerge w:val="restart"/>
            <w:tcBorders>
              <w:top w:val="single" w:sz="4" w:space="0" w:color="auto"/>
              <w:left w:val="single" w:sz="4" w:space="0" w:color="auto"/>
              <w:right w:val="single" w:sz="4" w:space="0" w:color="auto"/>
            </w:tcBorders>
            <w:shd w:val="clear" w:color="auto" w:fill="BDD7EE"/>
            <w:vAlign w:val="center"/>
            <w:hideMark/>
          </w:tcPr>
          <w:p w14:paraId="2491E1DD" w14:textId="77777777" w:rsidR="00CB0FCB" w:rsidRDefault="009D2B11">
            <w:pPr>
              <w:pStyle w:val="P68B1DB1-Normal7"/>
              <w:spacing w:before="120" w:after="120" w:line="240" w:lineRule="auto"/>
              <w:jc w:val="center"/>
              <w:rPr>
                <w:rFonts w:cs="Times New Roman"/>
                <w:noProof/>
                <w:sz w:val="24"/>
                <w:szCs w:val="24"/>
              </w:rPr>
            </w:pPr>
            <w:r>
              <w:rPr>
                <w:noProof/>
              </w:rPr>
              <w:t>Kvalitatīvie rādītāji (atskaites punktiem)</w:t>
            </w:r>
          </w:p>
        </w:tc>
        <w:tc>
          <w:tcPr>
            <w:tcW w:w="2648" w:type="dxa"/>
            <w:gridSpan w:val="3"/>
            <w:tcBorders>
              <w:top w:val="single" w:sz="4" w:space="0" w:color="auto"/>
              <w:left w:val="nil"/>
              <w:bottom w:val="single" w:sz="4" w:space="0" w:color="auto"/>
              <w:right w:val="single" w:sz="4" w:space="0" w:color="auto"/>
            </w:tcBorders>
            <w:shd w:val="clear" w:color="auto" w:fill="BDD7EE"/>
            <w:vAlign w:val="center"/>
            <w:hideMark/>
          </w:tcPr>
          <w:p w14:paraId="0B929C07" w14:textId="77777777" w:rsidR="00CB0FCB" w:rsidRDefault="009D2B11">
            <w:pPr>
              <w:pStyle w:val="P68B1DB1-Normal7"/>
              <w:spacing w:before="120" w:after="120" w:line="240" w:lineRule="auto"/>
              <w:jc w:val="center"/>
              <w:rPr>
                <w:rFonts w:cs="Times New Roman"/>
                <w:noProof/>
                <w:sz w:val="24"/>
                <w:szCs w:val="24"/>
              </w:rPr>
            </w:pPr>
            <w:r>
              <w:rPr>
                <w:noProof/>
              </w:rPr>
              <w:t>Kvantitatīvie rādītāji (mērķrādītājiem)</w:t>
            </w:r>
          </w:p>
        </w:tc>
        <w:tc>
          <w:tcPr>
            <w:tcW w:w="1891" w:type="dxa"/>
            <w:gridSpan w:val="2"/>
            <w:tcBorders>
              <w:top w:val="single" w:sz="4" w:space="0" w:color="auto"/>
              <w:left w:val="nil"/>
              <w:bottom w:val="single" w:sz="4" w:space="0" w:color="auto"/>
              <w:right w:val="single" w:sz="4" w:space="0" w:color="auto"/>
            </w:tcBorders>
            <w:shd w:val="clear" w:color="auto" w:fill="BDD7EE"/>
            <w:vAlign w:val="center"/>
            <w:hideMark/>
          </w:tcPr>
          <w:p w14:paraId="127869A0" w14:textId="77777777" w:rsidR="00CB0FCB" w:rsidRDefault="009D2B11">
            <w:pPr>
              <w:pStyle w:val="P68B1DB1-Normal7"/>
              <w:spacing w:before="120" w:after="120" w:line="240" w:lineRule="auto"/>
              <w:jc w:val="center"/>
              <w:rPr>
                <w:rFonts w:cs="Times New Roman"/>
                <w:noProof/>
                <w:sz w:val="24"/>
              </w:rPr>
            </w:pPr>
            <w:r>
              <w:rPr>
                <w:noProof/>
              </w:rPr>
              <w:t>Orientējošs pabeigšanas termiņš</w:t>
            </w:r>
          </w:p>
        </w:tc>
        <w:tc>
          <w:tcPr>
            <w:tcW w:w="36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78D1A1" w14:textId="77777777" w:rsidR="00CB0FCB" w:rsidRDefault="009D2B11">
            <w:pPr>
              <w:pStyle w:val="P68B1DB1-Normal7"/>
              <w:spacing w:before="120" w:after="120" w:line="240" w:lineRule="auto"/>
              <w:jc w:val="center"/>
              <w:rPr>
                <w:rFonts w:cs="Times New Roman"/>
                <w:noProof/>
                <w:sz w:val="24"/>
              </w:rPr>
            </w:pPr>
            <w:r>
              <w:rPr>
                <w:noProof/>
              </w:rPr>
              <w:t>Apraksts par katru atskaites punktu un mērķrādītāju</w:t>
            </w:r>
          </w:p>
        </w:tc>
      </w:tr>
      <w:tr w:rsidR="00CB0FCB" w14:paraId="72F61428" w14:textId="77777777">
        <w:trPr>
          <w:trHeight w:val="132"/>
          <w:tblHeader/>
        </w:trPr>
        <w:tc>
          <w:tcPr>
            <w:tcW w:w="846" w:type="dxa"/>
            <w:vMerge/>
            <w:tcBorders>
              <w:top w:val="single" w:sz="4" w:space="0" w:color="auto"/>
              <w:left w:val="single" w:sz="4" w:space="0" w:color="auto"/>
              <w:bottom w:val="single" w:sz="4" w:space="0" w:color="auto"/>
            </w:tcBorders>
            <w:vAlign w:val="center"/>
          </w:tcPr>
          <w:p w14:paraId="21803936"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2126" w:type="dxa"/>
            <w:vMerge/>
            <w:tcBorders>
              <w:left w:val="single" w:sz="4" w:space="0" w:color="auto"/>
              <w:bottom w:val="single" w:sz="4" w:space="0" w:color="auto"/>
              <w:right w:val="single" w:sz="4" w:space="0" w:color="auto"/>
            </w:tcBorders>
            <w:shd w:val="clear" w:color="auto" w:fill="BDD7EE"/>
            <w:vAlign w:val="center"/>
          </w:tcPr>
          <w:p w14:paraId="4F1F95F9"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992" w:type="dxa"/>
            <w:vMerge/>
            <w:tcBorders>
              <w:left w:val="single" w:sz="4" w:space="0" w:color="auto"/>
              <w:bottom w:val="single" w:sz="4" w:space="0" w:color="auto"/>
              <w:right w:val="single" w:sz="4" w:space="0" w:color="auto"/>
            </w:tcBorders>
            <w:shd w:val="clear" w:color="auto" w:fill="BDD7EE"/>
            <w:vAlign w:val="center"/>
          </w:tcPr>
          <w:p w14:paraId="09C944A2"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194" w:type="dxa"/>
            <w:vMerge/>
            <w:tcBorders>
              <w:left w:val="nil"/>
              <w:bottom w:val="single" w:sz="4" w:space="0" w:color="auto"/>
              <w:right w:val="single" w:sz="4" w:space="0" w:color="auto"/>
            </w:tcBorders>
            <w:shd w:val="clear" w:color="auto" w:fill="BDD7EE"/>
            <w:vAlign w:val="center"/>
          </w:tcPr>
          <w:p w14:paraId="095A9FCB"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541" w:type="dxa"/>
            <w:vMerge/>
            <w:tcBorders>
              <w:left w:val="single" w:sz="4" w:space="0" w:color="auto"/>
              <w:bottom w:val="single" w:sz="4" w:space="0" w:color="auto"/>
              <w:right w:val="single" w:sz="4" w:space="0" w:color="auto"/>
            </w:tcBorders>
            <w:shd w:val="clear" w:color="auto" w:fill="BDD7EE"/>
            <w:vAlign w:val="center"/>
          </w:tcPr>
          <w:p w14:paraId="74B0F746"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20" w:type="dxa"/>
            <w:tcBorders>
              <w:top w:val="single" w:sz="4" w:space="0" w:color="auto"/>
              <w:left w:val="nil"/>
              <w:bottom w:val="single" w:sz="4" w:space="0" w:color="auto"/>
              <w:right w:val="single" w:sz="4" w:space="0" w:color="auto"/>
            </w:tcBorders>
            <w:shd w:val="clear" w:color="auto" w:fill="BDD7EE"/>
            <w:vAlign w:val="center"/>
          </w:tcPr>
          <w:p w14:paraId="440B320A" w14:textId="77777777" w:rsidR="00CB0FCB" w:rsidRDefault="009D2B11">
            <w:pPr>
              <w:pStyle w:val="P68B1DB1-Normal7"/>
              <w:spacing w:before="120" w:after="120" w:line="240" w:lineRule="auto"/>
              <w:jc w:val="center"/>
              <w:rPr>
                <w:rFonts w:eastAsia="Times New Roman" w:cs="Times New Roman"/>
                <w:bCs/>
                <w:noProof/>
                <w:szCs w:val="18"/>
              </w:rPr>
            </w:pPr>
            <w:r>
              <w:rPr>
                <w:noProof/>
              </w:rPr>
              <w:t>Mēra vienība</w:t>
            </w:r>
          </w:p>
        </w:tc>
        <w:tc>
          <w:tcPr>
            <w:tcW w:w="1020" w:type="dxa"/>
            <w:tcBorders>
              <w:top w:val="single" w:sz="4" w:space="0" w:color="auto"/>
              <w:left w:val="nil"/>
              <w:bottom w:val="single" w:sz="4" w:space="0" w:color="auto"/>
              <w:right w:val="single" w:sz="4" w:space="0" w:color="auto"/>
            </w:tcBorders>
            <w:shd w:val="clear" w:color="auto" w:fill="BDD7EE"/>
            <w:vAlign w:val="center"/>
          </w:tcPr>
          <w:p w14:paraId="7C8B7BFA" w14:textId="77777777" w:rsidR="00CB0FCB" w:rsidRDefault="009D2B11">
            <w:pPr>
              <w:pStyle w:val="P68B1DB1-Normal7"/>
              <w:spacing w:before="120" w:after="120" w:line="240" w:lineRule="auto"/>
              <w:jc w:val="center"/>
              <w:rPr>
                <w:rFonts w:eastAsia="Times New Roman" w:cs="Times New Roman"/>
                <w:bCs/>
                <w:noProof/>
                <w:szCs w:val="18"/>
              </w:rPr>
            </w:pPr>
            <w:r>
              <w:rPr>
                <w:noProof/>
              </w:rPr>
              <w:t>Pamatscenārijs</w:t>
            </w:r>
          </w:p>
        </w:tc>
        <w:tc>
          <w:tcPr>
            <w:tcW w:w="608" w:type="dxa"/>
            <w:tcBorders>
              <w:top w:val="single" w:sz="4" w:space="0" w:color="auto"/>
              <w:left w:val="nil"/>
              <w:bottom w:val="single" w:sz="4" w:space="0" w:color="auto"/>
              <w:right w:val="single" w:sz="4" w:space="0" w:color="auto"/>
            </w:tcBorders>
            <w:shd w:val="clear" w:color="auto" w:fill="BDD7EE"/>
            <w:vAlign w:val="center"/>
          </w:tcPr>
          <w:p w14:paraId="0E201791" w14:textId="77777777" w:rsidR="00CB0FCB" w:rsidRDefault="009D2B11">
            <w:pPr>
              <w:pStyle w:val="P68B1DB1-Normal7"/>
              <w:spacing w:before="120" w:after="120" w:line="240" w:lineRule="auto"/>
              <w:jc w:val="center"/>
              <w:rPr>
                <w:rFonts w:eastAsia="Times New Roman" w:cs="Times New Roman"/>
                <w:bCs/>
                <w:noProof/>
                <w:szCs w:val="18"/>
              </w:rPr>
            </w:pPr>
            <w:r>
              <w:rPr>
                <w:noProof/>
              </w:rPr>
              <w:t>Mērķis</w:t>
            </w:r>
          </w:p>
        </w:tc>
        <w:tc>
          <w:tcPr>
            <w:tcW w:w="1061" w:type="dxa"/>
            <w:tcBorders>
              <w:top w:val="single" w:sz="4" w:space="0" w:color="auto"/>
              <w:left w:val="nil"/>
              <w:bottom w:val="single" w:sz="4" w:space="0" w:color="auto"/>
              <w:right w:val="single" w:sz="4" w:space="0" w:color="auto"/>
            </w:tcBorders>
            <w:shd w:val="clear" w:color="auto" w:fill="BDD7EE"/>
            <w:vAlign w:val="center"/>
          </w:tcPr>
          <w:p w14:paraId="0034BEF7" w14:textId="77777777" w:rsidR="00CB0FCB" w:rsidRDefault="009D2B11">
            <w:pPr>
              <w:pStyle w:val="P68B1DB1-Normal7"/>
              <w:spacing w:before="120" w:after="120" w:line="240" w:lineRule="auto"/>
              <w:jc w:val="center"/>
              <w:rPr>
                <w:rFonts w:eastAsia="Times New Roman" w:cs="Times New Roman"/>
                <w:bCs/>
                <w:noProof/>
                <w:szCs w:val="18"/>
              </w:rPr>
            </w:pPr>
            <w:r>
              <w:rPr>
                <w:noProof/>
              </w:rPr>
              <w:t>Ceturkšņa laikā</w:t>
            </w:r>
          </w:p>
        </w:tc>
        <w:tc>
          <w:tcPr>
            <w:tcW w:w="830" w:type="dxa"/>
            <w:tcBorders>
              <w:top w:val="single" w:sz="4" w:space="0" w:color="auto"/>
              <w:left w:val="nil"/>
              <w:bottom w:val="single" w:sz="4" w:space="0" w:color="auto"/>
              <w:right w:val="single" w:sz="4" w:space="0" w:color="auto"/>
            </w:tcBorders>
            <w:shd w:val="clear" w:color="auto" w:fill="BDD7EE"/>
            <w:vAlign w:val="center"/>
          </w:tcPr>
          <w:p w14:paraId="028EC06F" w14:textId="77777777" w:rsidR="00CB0FCB" w:rsidRDefault="009D2B11">
            <w:pPr>
              <w:pStyle w:val="P68B1DB1-Normal7"/>
              <w:spacing w:before="120" w:after="120" w:line="240" w:lineRule="auto"/>
              <w:jc w:val="center"/>
              <w:rPr>
                <w:rFonts w:eastAsia="Times New Roman" w:cs="Times New Roman"/>
                <w:bCs/>
                <w:noProof/>
                <w:szCs w:val="18"/>
              </w:rPr>
            </w:pPr>
            <w:r>
              <w:rPr>
                <w:noProof/>
              </w:rPr>
              <w:t>Gadu</w:t>
            </w:r>
          </w:p>
        </w:tc>
        <w:tc>
          <w:tcPr>
            <w:tcW w:w="3647" w:type="dxa"/>
            <w:vMerge/>
            <w:tcBorders>
              <w:bottom w:val="single" w:sz="4" w:space="0" w:color="auto"/>
              <w:right w:val="single" w:sz="4" w:space="0" w:color="auto"/>
            </w:tcBorders>
            <w:vAlign w:val="center"/>
          </w:tcPr>
          <w:p w14:paraId="3979065E"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r>
      <w:tr w:rsidR="00CB0FCB" w14:paraId="4122C926" w14:textId="77777777">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5704282" w14:textId="77777777" w:rsidR="00CB0FCB" w:rsidRDefault="009D2B11">
            <w:pPr>
              <w:pStyle w:val="P68B1DB1-Normal9"/>
              <w:spacing w:after="0" w:line="240" w:lineRule="auto"/>
              <w:rPr>
                <w:rFonts w:eastAsia="Times New Roman" w:cs="Calibri"/>
                <w:noProof/>
                <w:szCs w:val="18"/>
              </w:rPr>
            </w:pPr>
            <w:r>
              <w:rPr>
                <w:noProof/>
              </w:rPr>
              <w:t>361</w:t>
            </w:r>
          </w:p>
        </w:tc>
        <w:tc>
          <w:tcPr>
            <w:tcW w:w="2126" w:type="dxa"/>
            <w:tcBorders>
              <w:top w:val="nil"/>
              <w:left w:val="nil"/>
              <w:bottom w:val="single" w:sz="4" w:space="0" w:color="auto"/>
              <w:right w:val="single" w:sz="4" w:space="0" w:color="auto"/>
            </w:tcBorders>
            <w:shd w:val="clear" w:color="auto" w:fill="C6EFCE"/>
            <w:noWrap/>
          </w:tcPr>
          <w:p w14:paraId="1EB4585C" w14:textId="77777777" w:rsidR="00CB0FCB" w:rsidRDefault="009D2B11">
            <w:pPr>
              <w:pStyle w:val="P68B1DB1-Normal9"/>
              <w:spacing w:after="0" w:line="240" w:lineRule="auto"/>
              <w:rPr>
                <w:rFonts w:ascii="Times New Roman" w:hAnsi="Times New Roman" w:cs="Times New Roman"/>
                <w:noProof/>
                <w:sz w:val="24"/>
                <w:szCs w:val="24"/>
              </w:rPr>
            </w:pPr>
            <w:r>
              <w:rPr>
                <w:noProof/>
              </w:rPr>
              <w:t>20–5. REPowerEU reformas — 16992_Toolset enerģijas koplietošanas, pašpatēriņa un atjaunīgās enerģijas kopienu veicināšanai</w:t>
            </w:r>
          </w:p>
        </w:tc>
        <w:tc>
          <w:tcPr>
            <w:tcW w:w="992" w:type="dxa"/>
            <w:tcBorders>
              <w:top w:val="nil"/>
              <w:left w:val="nil"/>
              <w:bottom w:val="single" w:sz="4" w:space="0" w:color="auto"/>
              <w:right w:val="single" w:sz="4" w:space="0" w:color="auto"/>
            </w:tcBorders>
            <w:shd w:val="clear" w:color="auto" w:fill="C6EFCE"/>
            <w:noWrap/>
          </w:tcPr>
          <w:p w14:paraId="07AE80D1" w14:textId="77777777" w:rsidR="00CB0FCB" w:rsidRDefault="009D2B11">
            <w:pPr>
              <w:pStyle w:val="P68B1DB1-Normal9"/>
              <w:spacing w:after="120" w:line="240" w:lineRule="auto"/>
              <w:rPr>
                <w:rFonts w:ascii="Times New Roman" w:hAnsi="Times New Roman" w:cs="Times New Roman"/>
                <w:noProof/>
                <w:sz w:val="24"/>
              </w:rPr>
            </w:pPr>
            <w:r>
              <w:rPr>
                <w:noProof/>
              </w:rPr>
              <w:t>Atskaites punkts</w:t>
            </w:r>
          </w:p>
        </w:tc>
        <w:tc>
          <w:tcPr>
            <w:tcW w:w="1194" w:type="dxa"/>
            <w:tcBorders>
              <w:top w:val="nil"/>
              <w:left w:val="nil"/>
              <w:bottom w:val="single" w:sz="4" w:space="0" w:color="auto"/>
              <w:right w:val="single" w:sz="4" w:space="0" w:color="auto"/>
            </w:tcBorders>
            <w:shd w:val="clear" w:color="auto" w:fill="C6EFCE"/>
            <w:noWrap/>
          </w:tcPr>
          <w:p w14:paraId="4C9078AA" w14:textId="08F01E32" w:rsidR="00CB0FCB" w:rsidRDefault="009D2B11">
            <w:pPr>
              <w:pStyle w:val="P68B1DB1-Normal9"/>
              <w:spacing w:after="0" w:line="240" w:lineRule="auto"/>
              <w:rPr>
                <w:rFonts w:eastAsia="Times New Roman"/>
                <w:noProof/>
                <w:szCs w:val="18"/>
              </w:rPr>
            </w:pPr>
            <w:r>
              <w:rPr>
                <w:noProof/>
              </w:rPr>
              <w:t>Primāro un sekundāro tiesību aktu par pašpatēriņu stāšanās spēkā un</w:t>
            </w:r>
          </w:p>
          <w:p w14:paraId="5D71E813" w14:textId="77777777" w:rsidR="00CB0FCB" w:rsidRDefault="009D2B11">
            <w:pPr>
              <w:pStyle w:val="P68B1DB1-Normal9"/>
              <w:spacing w:after="0" w:line="240" w:lineRule="auto"/>
              <w:rPr>
                <w:rFonts w:eastAsia="Times New Roman"/>
                <w:noProof/>
                <w:szCs w:val="18"/>
              </w:rPr>
            </w:pPr>
            <w:r>
              <w:rPr>
                <w:noProof/>
              </w:rPr>
              <w:t>atļauju izsniegšanas procesu atvieglošana AER staciju uzstādīšanai daudzdzīvokļu ēkās</w:t>
            </w:r>
          </w:p>
        </w:tc>
        <w:tc>
          <w:tcPr>
            <w:tcW w:w="1541" w:type="dxa"/>
            <w:tcBorders>
              <w:top w:val="nil"/>
              <w:left w:val="nil"/>
              <w:bottom w:val="single" w:sz="4" w:space="0" w:color="auto"/>
              <w:right w:val="single" w:sz="4" w:space="0" w:color="auto"/>
            </w:tcBorders>
            <w:shd w:val="clear" w:color="auto" w:fill="C6EFCE"/>
            <w:noWrap/>
          </w:tcPr>
          <w:p w14:paraId="75E10454" w14:textId="0CA5AAD5" w:rsidR="00CB0FCB" w:rsidRDefault="009D2B11">
            <w:pPr>
              <w:pStyle w:val="P68B1DB1-Normal9"/>
              <w:spacing w:after="120" w:line="240" w:lineRule="auto"/>
              <w:rPr>
                <w:rFonts w:eastAsia="Times New Roman" w:cs="Calibri"/>
                <w:noProof/>
                <w:szCs w:val="18"/>
              </w:rPr>
            </w:pPr>
            <w:r>
              <w:rPr>
                <w:noProof/>
              </w:rPr>
              <w:t>Primāro un sekundāro tiesību aktu stāšanās spēkā</w:t>
            </w:r>
          </w:p>
          <w:p w14:paraId="54700C24"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20" w:type="dxa"/>
            <w:tcBorders>
              <w:top w:val="nil"/>
              <w:left w:val="nil"/>
              <w:bottom w:val="single" w:sz="4" w:space="0" w:color="auto"/>
              <w:right w:val="single" w:sz="4" w:space="0" w:color="auto"/>
            </w:tcBorders>
            <w:shd w:val="clear" w:color="auto" w:fill="C6EFCE"/>
            <w:noWrap/>
          </w:tcPr>
          <w:p w14:paraId="698EA435" w14:textId="77777777" w:rsidR="00CB0FCB" w:rsidRDefault="00CB0FCB">
            <w:pPr>
              <w:spacing w:after="0" w:line="240" w:lineRule="auto"/>
              <w:rPr>
                <w:rFonts w:eastAsia="Times New Roman" w:cs="Calibri"/>
                <w:noProof/>
                <w:color w:val="006100"/>
                <w:sz w:val="18"/>
                <w:szCs w:val="18"/>
              </w:rPr>
            </w:pPr>
          </w:p>
        </w:tc>
        <w:tc>
          <w:tcPr>
            <w:tcW w:w="1020" w:type="dxa"/>
            <w:tcBorders>
              <w:top w:val="nil"/>
              <w:left w:val="nil"/>
              <w:bottom w:val="single" w:sz="4" w:space="0" w:color="auto"/>
              <w:right w:val="single" w:sz="4" w:space="0" w:color="auto"/>
            </w:tcBorders>
            <w:shd w:val="clear" w:color="auto" w:fill="C6EFCE"/>
            <w:noWrap/>
          </w:tcPr>
          <w:p w14:paraId="203E6B02" w14:textId="77777777" w:rsidR="00CB0FCB" w:rsidRDefault="00CB0FCB">
            <w:pPr>
              <w:spacing w:after="0" w:line="240" w:lineRule="auto"/>
              <w:rPr>
                <w:rFonts w:eastAsia="Times New Roman" w:cs="Calibri"/>
                <w:noProof/>
                <w:color w:val="006100"/>
                <w:sz w:val="18"/>
                <w:szCs w:val="18"/>
              </w:rPr>
            </w:pPr>
          </w:p>
        </w:tc>
        <w:tc>
          <w:tcPr>
            <w:tcW w:w="608" w:type="dxa"/>
            <w:tcBorders>
              <w:top w:val="nil"/>
              <w:left w:val="nil"/>
              <w:bottom w:val="single" w:sz="4" w:space="0" w:color="auto"/>
              <w:right w:val="single" w:sz="4" w:space="0" w:color="auto"/>
            </w:tcBorders>
            <w:shd w:val="clear" w:color="auto" w:fill="C6EFCE"/>
            <w:noWrap/>
          </w:tcPr>
          <w:p w14:paraId="159BF8D5" w14:textId="77777777" w:rsidR="00CB0FCB" w:rsidRDefault="00CB0FCB">
            <w:pPr>
              <w:spacing w:after="0" w:line="240" w:lineRule="auto"/>
              <w:rPr>
                <w:rFonts w:eastAsia="Times New Roman" w:cs="Calibri"/>
                <w:noProof/>
                <w:color w:val="006100"/>
                <w:sz w:val="18"/>
                <w:szCs w:val="18"/>
              </w:rPr>
            </w:pPr>
          </w:p>
        </w:tc>
        <w:tc>
          <w:tcPr>
            <w:tcW w:w="1061" w:type="dxa"/>
            <w:tcBorders>
              <w:top w:val="nil"/>
              <w:left w:val="nil"/>
              <w:bottom w:val="single" w:sz="4" w:space="0" w:color="auto"/>
              <w:right w:val="single" w:sz="4" w:space="0" w:color="auto"/>
            </w:tcBorders>
            <w:shd w:val="clear" w:color="auto" w:fill="C6EFCE"/>
            <w:noWrap/>
          </w:tcPr>
          <w:p w14:paraId="1BA5B356" w14:textId="77777777" w:rsidR="00CB0FCB" w:rsidRDefault="009D2B11">
            <w:pPr>
              <w:pStyle w:val="P68B1DB1-Normal9"/>
              <w:spacing w:after="120" w:line="240" w:lineRule="auto"/>
              <w:rPr>
                <w:rFonts w:eastAsia="Times New Roman"/>
                <w:noProof/>
                <w:szCs w:val="18"/>
              </w:rPr>
            </w:pPr>
            <w:r>
              <w:rPr>
                <w:noProof/>
              </w:rPr>
              <w:t>Q1</w:t>
            </w:r>
          </w:p>
        </w:tc>
        <w:tc>
          <w:tcPr>
            <w:tcW w:w="830" w:type="dxa"/>
            <w:tcBorders>
              <w:top w:val="nil"/>
              <w:left w:val="nil"/>
              <w:bottom w:val="single" w:sz="4" w:space="0" w:color="auto"/>
              <w:right w:val="single" w:sz="4" w:space="0" w:color="auto"/>
            </w:tcBorders>
            <w:shd w:val="clear" w:color="auto" w:fill="C6EFCE"/>
            <w:noWrap/>
          </w:tcPr>
          <w:p w14:paraId="3EDDA74F" w14:textId="77777777" w:rsidR="00CB0FCB" w:rsidRDefault="009D2B11">
            <w:pPr>
              <w:pStyle w:val="P68B1DB1-Normal9"/>
              <w:spacing w:after="120" w:line="240" w:lineRule="auto"/>
              <w:rPr>
                <w:rFonts w:eastAsia="Times New Roman"/>
                <w:noProof/>
                <w:szCs w:val="18"/>
              </w:rPr>
            </w:pPr>
            <w:r>
              <w:rPr>
                <w:noProof/>
              </w:rPr>
              <w:t>2024</w:t>
            </w:r>
          </w:p>
        </w:tc>
        <w:tc>
          <w:tcPr>
            <w:tcW w:w="3647" w:type="dxa"/>
            <w:tcBorders>
              <w:top w:val="single" w:sz="4" w:space="0" w:color="auto"/>
              <w:left w:val="nil"/>
              <w:bottom w:val="single" w:sz="4" w:space="0" w:color="auto"/>
              <w:right w:val="single" w:sz="4" w:space="0" w:color="auto"/>
            </w:tcBorders>
            <w:shd w:val="clear" w:color="auto" w:fill="C6EFCE"/>
            <w:noWrap/>
          </w:tcPr>
          <w:p w14:paraId="58685CF6" w14:textId="1EBB071F" w:rsidR="00CB0FCB" w:rsidRDefault="009D2B11">
            <w:pPr>
              <w:pStyle w:val="P68B1DB1-Normal9"/>
              <w:spacing w:after="0" w:line="240" w:lineRule="auto"/>
              <w:rPr>
                <w:rFonts w:eastAsia="Times New Roman" w:cs="Calibri"/>
                <w:noProof/>
                <w:szCs w:val="18"/>
              </w:rPr>
            </w:pPr>
            <w:r>
              <w:rPr>
                <w:noProof/>
              </w:rPr>
              <w:t>1. Stājas spēkā sekundārie tiesību akti, kas izklāstīti Likumā 5037/2023. Konkrēti:</w:t>
            </w:r>
          </w:p>
          <w:p w14:paraId="36C32C59" w14:textId="77777777" w:rsidR="00CB0FCB" w:rsidRDefault="009D2B11">
            <w:pPr>
              <w:pStyle w:val="P68B1DB1-Normal9"/>
              <w:spacing w:after="120" w:line="240" w:lineRule="auto"/>
              <w:rPr>
                <w:rFonts w:eastAsia="Times New Roman" w:cs="Calibri"/>
                <w:noProof/>
                <w:szCs w:val="18"/>
              </w:rPr>
            </w:pPr>
            <w:r>
              <w:rPr>
                <w:noProof/>
              </w:rPr>
              <w:t>Stājas spēkā ministra lēmums(-i) par pašpatēriņa, pašpatēriņa īstenošanu, izmantojot virtuālus neto rēķinus un kolektīvu pašpatēriņu, enerģijas neto rēķinus un virtuālos neto rēķinus, kas izriet no Likuma 5037/2023 64. un 66. panta.</w:t>
            </w:r>
          </w:p>
          <w:p w14:paraId="78892A25" w14:textId="306B5C4B" w:rsidR="00CB0FCB" w:rsidRDefault="009D2B11">
            <w:pPr>
              <w:pStyle w:val="P68B1DB1-Normal9"/>
              <w:spacing w:after="120" w:line="240" w:lineRule="auto"/>
              <w:rPr>
                <w:rFonts w:eastAsia="Times New Roman" w:cs="Calibri"/>
                <w:noProof/>
                <w:szCs w:val="18"/>
              </w:rPr>
            </w:pPr>
            <w:r>
              <w:rPr>
                <w:noProof/>
              </w:rPr>
              <w:t xml:space="preserve">2. Stājas spēkā primārie tiesību akti par atļauju piešķiršanas procesu atvieglošanu AER staciju uzstādīšanai daudzdzīvokļu ēkās (vai daudzdzīvokļu ēkās), lai veicinātu arī kolektīvo pašpatēriņu. Tas ietver noteikumus, lai atvieglotu lēmumu pieņemšanu, tostarp ieviešot uz vairākumu balstītu procesu AER uzstādīšanai. </w:t>
            </w:r>
          </w:p>
        </w:tc>
      </w:tr>
      <w:tr w:rsidR="00CB0FCB" w14:paraId="140F3C6B" w14:textId="77777777">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E8B8C72" w14:textId="77777777" w:rsidR="00CB0FCB" w:rsidRDefault="009D2B11">
            <w:pPr>
              <w:pStyle w:val="P68B1DB1-Normal9"/>
              <w:spacing w:after="0" w:line="240" w:lineRule="auto"/>
              <w:rPr>
                <w:rFonts w:eastAsia="Times New Roman" w:cs="Calibri"/>
                <w:noProof/>
                <w:szCs w:val="18"/>
              </w:rPr>
            </w:pPr>
            <w:r>
              <w:rPr>
                <w:noProof/>
              </w:rPr>
              <w:t>362</w:t>
            </w:r>
          </w:p>
        </w:tc>
        <w:tc>
          <w:tcPr>
            <w:tcW w:w="2126" w:type="dxa"/>
            <w:tcBorders>
              <w:top w:val="single" w:sz="4" w:space="0" w:color="auto"/>
              <w:left w:val="nil"/>
              <w:bottom w:val="single" w:sz="4" w:space="0" w:color="auto"/>
              <w:right w:val="single" w:sz="4" w:space="0" w:color="auto"/>
            </w:tcBorders>
            <w:shd w:val="clear" w:color="auto" w:fill="C6EFCE"/>
            <w:noWrap/>
          </w:tcPr>
          <w:p w14:paraId="7A97E2DA" w14:textId="77777777" w:rsidR="00CB0FCB" w:rsidRDefault="009D2B11">
            <w:pPr>
              <w:pStyle w:val="P68B1DB1-Normal9"/>
              <w:spacing w:after="0" w:line="240" w:lineRule="auto"/>
              <w:rPr>
                <w:rFonts w:eastAsia="Times New Roman" w:cs="Calibri"/>
                <w:noProof/>
                <w:szCs w:val="18"/>
              </w:rPr>
            </w:pPr>
            <w:r>
              <w:rPr>
                <w:noProof/>
              </w:rPr>
              <w:t>20–5. REPowerEU reformas — 16992_Toolset enerģijas koplietošanas, pašpatēriņa un atjaunīgās enerģijas kopienu veicināšanai</w:t>
            </w:r>
          </w:p>
        </w:tc>
        <w:tc>
          <w:tcPr>
            <w:tcW w:w="992" w:type="dxa"/>
            <w:tcBorders>
              <w:top w:val="single" w:sz="4" w:space="0" w:color="auto"/>
              <w:left w:val="nil"/>
              <w:bottom w:val="single" w:sz="4" w:space="0" w:color="auto"/>
              <w:right w:val="single" w:sz="4" w:space="0" w:color="auto"/>
            </w:tcBorders>
            <w:shd w:val="clear" w:color="auto" w:fill="C6EFCE"/>
            <w:noWrap/>
          </w:tcPr>
          <w:p w14:paraId="2FE6C5B3" w14:textId="77777777" w:rsidR="00CB0FCB" w:rsidRDefault="009D2B11">
            <w:pPr>
              <w:pStyle w:val="P68B1DB1-Normal9"/>
              <w:spacing w:after="120" w:line="240" w:lineRule="auto"/>
              <w:rPr>
                <w:rFonts w:eastAsia="Times New Roman" w:cs="Calibri"/>
                <w:noProof/>
                <w:szCs w:val="18"/>
              </w:rPr>
            </w:pPr>
            <w:r>
              <w:rPr>
                <w:noProof/>
              </w:rPr>
              <w:t>Atskaites punkts</w:t>
            </w:r>
          </w:p>
        </w:tc>
        <w:tc>
          <w:tcPr>
            <w:tcW w:w="1194" w:type="dxa"/>
            <w:tcBorders>
              <w:top w:val="single" w:sz="4" w:space="0" w:color="auto"/>
              <w:left w:val="nil"/>
              <w:bottom w:val="single" w:sz="4" w:space="0" w:color="auto"/>
              <w:right w:val="single" w:sz="4" w:space="0" w:color="auto"/>
            </w:tcBorders>
            <w:shd w:val="clear" w:color="auto" w:fill="C6EFCE"/>
            <w:noWrap/>
          </w:tcPr>
          <w:p w14:paraId="433B2B49" w14:textId="77777777" w:rsidR="00CB0FCB" w:rsidRDefault="009D2B11">
            <w:pPr>
              <w:pStyle w:val="P68B1DB1-Normal9"/>
              <w:spacing w:after="120" w:line="240" w:lineRule="auto"/>
              <w:rPr>
                <w:rFonts w:eastAsia="Times New Roman" w:cs="Calibri"/>
                <w:noProof/>
                <w:szCs w:val="18"/>
              </w:rPr>
            </w:pPr>
            <w:r>
              <w:rPr>
                <w:noProof/>
              </w:rPr>
              <w:t>Pašpatērētāju reģistra izveide un tehniskā palīdzība energokopienām</w:t>
            </w:r>
          </w:p>
        </w:tc>
        <w:tc>
          <w:tcPr>
            <w:tcW w:w="1541" w:type="dxa"/>
            <w:tcBorders>
              <w:top w:val="single" w:sz="4" w:space="0" w:color="auto"/>
              <w:left w:val="nil"/>
              <w:bottom w:val="single" w:sz="4" w:space="0" w:color="auto"/>
              <w:right w:val="single" w:sz="4" w:space="0" w:color="auto"/>
            </w:tcBorders>
            <w:shd w:val="clear" w:color="auto" w:fill="C6EFCE"/>
            <w:noWrap/>
          </w:tcPr>
          <w:p w14:paraId="4FF85F64" w14:textId="77777777" w:rsidR="00CB0FCB" w:rsidRDefault="009D2B11">
            <w:pPr>
              <w:pStyle w:val="P68B1DB1-Normal9"/>
              <w:spacing w:after="120" w:line="240" w:lineRule="auto"/>
              <w:rPr>
                <w:rFonts w:eastAsia="Times New Roman" w:cs="Calibri"/>
                <w:noProof/>
                <w:szCs w:val="18"/>
              </w:rPr>
            </w:pPr>
            <w:r>
              <w:rPr>
                <w:noProof/>
              </w:rPr>
              <w:t>Vides un enerģētikas ministrijas tiesību aktu un īstenošanas ziņojuma, kas apliecina tehniskās palīdzības pilnīgu īstenošanu, stāšanās spēkā</w:t>
            </w:r>
          </w:p>
        </w:tc>
        <w:tc>
          <w:tcPr>
            <w:tcW w:w="1020" w:type="dxa"/>
            <w:tcBorders>
              <w:top w:val="single" w:sz="4" w:space="0" w:color="auto"/>
              <w:left w:val="nil"/>
              <w:bottom w:val="single" w:sz="4" w:space="0" w:color="auto"/>
              <w:right w:val="single" w:sz="4" w:space="0" w:color="auto"/>
            </w:tcBorders>
            <w:shd w:val="clear" w:color="auto" w:fill="C6EFCE"/>
            <w:noWrap/>
          </w:tcPr>
          <w:p w14:paraId="0670714C" w14:textId="77777777" w:rsidR="00CB0FCB" w:rsidRDefault="00CB0FCB">
            <w:pPr>
              <w:spacing w:after="120" w:line="240" w:lineRule="auto"/>
              <w:rPr>
                <w:rFonts w:ascii="Times New Roman" w:hAnsi="Times New Roman" w:cs="Times New Roman"/>
                <w:noProof/>
                <w:sz w:val="24"/>
              </w:rPr>
            </w:pPr>
          </w:p>
        </w:tc>
        <w:tc>
          <w:tcPr>
            <w:tcW w:w="1020" w:type="dxa"/>
            <w:tcBorders>
              <w:top w:val="single" w:sz="4" w:space="0" w:color="auto"/>
              <w:left w:val="nil"/>
              <w:bottom w:val="single" w:sz="4" w:space="0" w:color="auto"/>
              <w:right w:val="single" w:sz="4" w:space="0" w:color="auto"/>
            </w:tcBorders>
            <w:shd w:val="clear" w:color="auto" w:fill="C6EFCE"/>
            <w:noWrap/>
          </w:tcPr>
          <w:p w14:paraId="22B72EA7" w14:textId="77777777" w:rsidR="00CB0FCB" w:rsidRDefault="00CB0FCB">
            <w:pPr>
              <w:spacing w:after="120" w:line="240" w:lineRule="auto"/>
              <w:rPr>
                <w:rFonts w:ascii="Times New Roman" w:hAnsi="Times New Roman" w:cs="Times New Roman"/>
                <w:noProof/>
                <w:sz w:val="24"/>
              </w:rPr>
            </w:pPr>
          </w:p>
        </w:tc>
        <w:tc>
          <w:tcPr>
            <w:tcW w:w="608" w:type="dxa"/>
            <w:tcBorders>
              <w:top w:val="single" w:sz="4" w:space="0" w:color="auto"/>
              <w:left w:val="nil"/>
              <w:bottom w:val="single" w:sz="4" w:space="0" w:color="auto"/>
              <w:right w:val="single" w:sz="4" w:space="0" w:color="auto"/>
            </w:tcBorders>
            <w:shd w:val="clear" w:color="auto" w:fill="C6EFCE"/>
            <w:noWrap/>
          </w:tcPr>
          <w:p w14:paraId="68857F6D" w14:textId="77777777" w:rsidR="00CB0FCB" w:rsidRDefault="00CB0FCB">
            <w:pPr>
              <w:spacing w:after="120" w:line="240" w:lineRule="auto"/>
              <w:rPr>
                <w:rFonts w:ascii="Times New Roman" w:hAnsi="Times New Roman" w:cs="Times New Roman"/>
                <w:noProof/>
                <w:sz w:val="24"/>
              </w:rPr>
            </w:pPr>
          </w:p>
        </w:tc>
        <w:tc>
          <w:tcPr>
            <w:tcW w:w="1061" w:type="dxa"/>
            <w:tcBorders>
              <w:top w:val="single" w:sz="4" w:space="0" w:color="auto"/>
              <w:left w:val="nil"/>
              <w:bottom w:val="single" w:sz="4" w:space="0" w:color="auto"/>
              <w:right w:val="single" w:sz="4" w:space="0" w:color="auto"/>
            </w:tcBorders>
            <w:shd w:val="clear" w:color="auto" w:fill="C6EFCE"/>
            <w:noWrap/>
          </w:tcPr>
          <w:p w14:paraId="647672BB" w14:textId="77777777" w:rsidR="00CB0FCB" w:rsidRDefault="009D2B11">
            <w:pPr>
              <w:pStyle w:val="P68B1DB1-Normal9"/>
              <w:spacing w:after="120" w:line="240" w:lineRule="auto"/>
              <w:rPr>
                <w:rFonts w:eastAsia="Times New Roman"/>
                <w:noProof/>
                <w:szCs w:val="18"/>
              </w:rPr>
            </w:pPr>
            <w:r>
              <w:rPr>
                <w:noProof/>
              </w:rPr>
              <w:t>Q1</w:t>
            </w:r>
          </w:p>
        </w:tc>
        <w:tc>
          <w:tcPr>
            <w:tcW w:w="830" w:type="dxa"/>
            <w:tcBorders>
              <w:top w:val="single" w:sz="4" w:space="0" w:color="auto"/>
              <w:left w:val="nil"/>
              <w:bottom w:val="single" w:sz="4" w:space="0" w:color="auto"/>
              <w:right w:val="single" w:sz="4" w:space="0" w:color="auto"/>
            </w:tcBorders>
            <w:shd w:val="clear" w:color="auto" w:fill="C6EFCE"/>
            <w:noWrap/>
          </w:tcPr>
          <w:p w14:paraId="2F1C4C9F" w14:textId="77777777" w:rsidR="00CB0FCB" w:rsidRDefault="009D2B11">
            <w:pPr>
              <w:pStyle w:val="P68B1DB1-Normal9"/>
              <w:spacing w:after="120" w:line="240" w:lineRule="auto"/>
              <w:rPr>
                <w:rFonts w:eastAsia="Times New Roman" w:cs="Calibri"/>
                <w:noProof/>
                <w:szCs w:val="18"/>
              </w:rPr>
            </w:pPr>
            <w:r>
              <w:rPr>
                <w:noProof/>
              </w:rPr>
              <w:t>2025</w:t>
            </w:r>
          </w:p>
        </w:tc>
        <w:tc>
          <w:tcPr>
            <w:tcW w:w="3647" w:type="dxa"/>
            <w:tcBorders>
              <w:top w:val="single" w:sz="4" w:space="0" w:color="auto"/>
              <w:left w:val="nil"/>
              <w:bottom w:val="single" w:sz="4" w:space="0" w:color="auto"/>
              <w:right w:val="single" w:sz="4" w:space="0" w:color="auto"/>
            </w:tcBorders>
            <w:shd w:val="clear" w:color="auto" w:fill="C6EFCE"/>
            <w:noWrap/>
          </w:tcPr>
          <w:p w14:paraId="6BB43DAF" w14:textId="77777777" w:rsidR="00CB0FCB" w:rsidRDefault="009D2B11">
            <w:pPr>
              <w:pStyle w:val="P68B1DB1-Normal9"/>
              <w:spacing w:after="0" w:line="240" w:lineRule="auto"/>
              <w:rPr>
                <w:rFonts w:eastAsia="Times New Roman" w:cs="Calibri"/>
                <w:noProof/>
                <w:szCs w:val="18"/>
              </w:rPr>
            </w:pPr>
            <w:r>
              <w:rPr>
                <w:noProof/>
              </w:rPr>
              <w:t xml:space="preserve">Stājas spēkā tiesību akti par Pašpatērētāju reģistra izveidi un tehniskās palīdzības pasākumu īstenošanu, lai atbalstītu enerģētikas kopienu attīstību un darbību. Pašpatērētāju reģistru izmanto datu un statistikas analīzei, vienlaikus atvieglojot pašpatērētāju pāreju no viena piegādātāja uz citu.  </w:t>
            </w:r>
          </w:p>
          <w:p w14:paraId="7CAF5F2D" w14:textId="77777777" w:rsidR="00CB0FCB" w:rsidRDefault="00CB0FCB">
            <w:pPr>
              <w:spacing w:after="0" w:line="240" w:lineRule="auto"/>
              <w:rPr>
                <w:rFonts w:eastAsia="Times New Roman" w:cs="Calibri"/>
                <w:noProof/>
                <w:color w:val="006100"/>
                <w:sz w:val="18"/>
                <w:szCs w:val="18"/>
              </w:rPr>
            </w:pPr>
          </w:p>
          <w:p w14:paraId="6EE3443F" w14:textId="77777777" w:rsidR="00CB0FCB" w:rsidRDefault="009D2B11">
            <w:pPr>
              <w:pStyle w:val="P68B1DB1-Normal9"/>
              <w:spacing w:after="0" w:line="240" w:lineRule="auto"/>
              <w:rPr>
                <w:rFonts w:eastAsia="Times New Roman" w:cs="Calibri"/>
                <w:noProof/>
                <w:szCs w:val="18"/>
              </w:rPr>
            </w:pPr>
            <w:r>
              <w:rPr>
                <w:noProof/>
              </w:rPr>
              <w:t>Pašpatērētāju reģistru apstrādā kompetenta struktūra (piemēram, Grieķijas SSO), kas nodrošina, ka tiesīgajām pusēm tiek nodrošināta pārredzama un nediskriminējoša piekļuve un ka pašpatērētāju reģistrācija un visu reģistrā iekļauto datu apstrāde notiek saskaņā ar piemērojamo Savienības tiesisko regulējumu un jo īpaši datu aizsardzības un privātuma noteikumiem.</w:t>
            </w:r>
          </w:p>
          <w:p w14:paraId="1FBE0B51" w14:textId="77777777" w:rsidR="00CB0FCB" w:rsidRDefault="00CB0FCB">
            <w:pPr>
              <w:spacing w:after="0" w:line="240" w:lineRule="auto"/>
              <w:rPr>
                <w:rFonts w:eastAsia="Times New Roman" w:cs="Calibri"/>
                <w:noProof/>
                <w:color w:val="006100"/>
                <w:sz w:val="18"/>
                <w:szCs w:val="18"/>
              </w:rPr>
            </w:pPr>
          </w:p>
          <w:p w14:paraId="58C4E197" w14:textId="77777777" w:rsidR="00CB0FCB" w:rsidRDefault="009D2B11">
            <w:pPr>
              <w:pStyle w:val="P68B1DB1-Normal9"/>
              <w:spacing w:after="0" w:line="240" w:lineRule="auto"/>
              <w:rPr>
                <w:rFonts w:eastAsia="Times New Roman" w:cs="Calibri"/>
                <w:noProof/>
                <w:szCs w:val="18"/>
              </w:rPr>
            </w:pPr>
            <w:r>
              <w:rPr>
                <w:noProof/>
              </w:rPr>
              <w:t xml:space="preserve">Tehniskā palīdzība energokopienām ir pilnībā darbotiesspējīga, tostarp tiek iecelts attiecīgs interaktīvs kontaktpunkts. Pēc tiesīgās puses pieprasījuma kontaktpunkts atbalsta un atvieglo šīs puses visā administratīvajā procedūrā, kas nepieciešama enerģētikas kopienu izveidei/dalībai tajās. </w:t>
            </w:r>
          </w:p>
        </w:tc>
      </w:tr>
    </w:tbl>
    <w:p w14:paraId="278D9131" w14:textId="77777777" w:rsidR="00CB0FCB" w:rsidRDefault="009D2B11">
      <w:pPr>
        <w:pStyle w:val="P68B1DB1-Normal6"/>
        <w:keepNext/>
        <w:keepLines/>
        <w:spacing w:before="240" w:after="0" w:line="240" w:lineRule="auto"/>
        <w:jc w:val="both"/>
        <w:outlineLvl w:val="4"/>
        <w:rPr>
          <w:noProof/>
        </w:rPr>
      </w:pPr>
      <w:r>
        <w:rPr>
          <w:noProof/>
        </w:rPr>
        <w:t>Reforma. Ceļvedis inovatīvām energoefektivitātes intervencēm un jaunu finanšu instrumentu apzināšanai (pasākuma ID: 16993)</w:t>
      </w:r>
    </w:p>
    <w:p w14:paraId="7D07C0BD" w14:textId="77777777" w:rsidR="00CB0FCB" w:rsidRDefault="00CB0FCB">
      <w:pPr>
        <w:keepNext/>
        <w:keepLines/>
        <w:spacing w:before="240" w:after="0" w:line="240" w:lineRule="auto"/>
        <w:jc w:val="both"/>
        <w:outlineLvl w:val="4"/>
        <w:rPr>
          <w:rFonts w:ascii="Cambria" w:eastAsia="Times New Roman" w:hAnsi="Cambria"/>
          <w:noProof/>
          <w:color w:val="365F91"/>
          <w:sz w:val="24"/>
        </w:rPr>
      </w:pPr>
    </w:p>
    <w:tbl>
      <w:tblPr>
        <w:tblW w:w="15026" w:type="dxa"/>
        <w:tblInd w:w="-5" w:type="dxa"/>
        <w:tblLook w:val="04A0" w:firstRow="1" w:lastRow="0" w:firstColumn="1" w:lastColumn="0" w:noHBand="0" w:noVBand="1"/>
      </w:tblPr>
      <w:tblGrid>
        <w:gridCol w:w="1238"/>
        <w:gridCol w:w="1749"/>
        <w:gridCol w:w="1807"/>
        <w:gridCol w:w="1639"/>
        <w:gridCol w:w="1553"/>
        <w:gridCol w:w="1205"/>
        <w:gridCol w:w="1396"/>
        <w:gridCol w:w="766"/>
        <w:gridCol w:w="1027"/>
        <w:gridCol w:w="720"/>
        <w:gridCol w:w="3700"/>
      </w:tblGrid>
      <w:tr w:rsidR="00CB0FCB" w14:paraId="689C8D8F" w14:textId="77777777">
        <w:trPr>
          <w:trHeight w:val="927"/>
          <w:tblHeader/>
        </w:trPr>
        <w:tc>
          <w:tcPr>
            <w:tcW w:w="12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7A1EDA"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FE6557"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8293C4"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6BCC3F"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878B72"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84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2FD3FF2"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14:paraId="588B1535"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B97A7A"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4267495B" w14:textId="77777777">
        <w:trPr>
          <w:trHeight w:val="665"/>
        </w:trPr>
        <w:tc>
          <w:tcPr>
            <w:tcW w:w="1238" w:type="dxa"/>
            <w:vMerge/>
            <w:tcBorders>
              <w:top w:val="single" w:sz="4" w:space="0" w:color="auto"/>
              <w:left w:val="single" w:sz="4" w:space="0" w:color="auto"/>
              <w:bottom w:val="single" w:sz="4" w:space="0" w:color="auto"/>
              <w:right w:val="single" w:sz="4" w:space="0" w:color="auto"/>
            </w:tcBorders>
            <w:vAlign w:val="center"/>
            <w:hideMark/>
          </w:tcPr>
          <w:p w14:paraId="58EF8EB9" w14:textId="77777777" w:rsidR="00CB0FCB" w:rsidRDefault="00CB0FCB">
            <w:pPr>
              <w:spacing w:after="0" w:line="240" w:lineRule="auto"/>
              <w:rPr>
                <w:rFonts w:ascii="Times New Roman" w:eastAsia="Times New Roman" w:hAnsi="Times New Roman" w:cs="Times New Roman"/>
                <w:b/>
                <w:bCs/>
                <w:noProof/>
                <w:sz w:val="18"/>
                <w:szCs w:val="18"/>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79433EFF" w14:textId="77777777" w:rsidR="00CB0FCB" w:rsidRDefault="00CB0FCB">
            <w:pPr>
              <w:spacing w:after="0" w:line="240" w:lineRule="auto"/>
              <w:rPr>
                <w:rFonts w:ascii="Times New Roman" w:eastAsia="Times New Roman" w:hAnsi="Times New Roman" w:cs="Times New Roman"/>
                <w:b/>
                <w:bCs/>
                <w:noProof/>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3D4BD24" w14:textId="77777777" w:rsidR="00CB0FCB" w:rsidRDefault="00CB0FCB">
            <w:pPr>
              <w:spacing w:after="0" w:line="240" w:lineRule="auto"/>
              <w:rPr>
                <w:rFonts w:ascii="Times New Roman" w:eastAsia="Times New Roman" w:hAnsi="Times New Roman" w:cs="Times New Roman"/>
                <w:b/>
                <w:bCs/>
                <w:noProof/>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3368D556" w14:textId="77777777" w:rsidR="00CB0FCB" w:rsidRDefault="00CB0FCB">
            <w:pPr>
              <w:spacing w:after="0" w:line="240" w:lineRule="auto"/>
              <w:rPr>
                <w:rFonts w:ascii="Times New Roman" w:eastAsia="Times New Roman" w:hAnsi="Times New Roman" w:cs="Times New Roman"/>
                <w:b/>
                <w:bCs/>
                <w:noProof/>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57CD141D" w14:textId="77777777" w:rsidR="00CB0FCB" w:rsidRDefault="00CB0FCB">
            <w:pPr>
              <w:spacing w:after="0" w:line="240" w:lineRule="auto"/>
              <w:rPr>
                <w:rFonts w:ascii="Times New Roman" w:eastAsia="Times New Roman" w:hAnsi="Times New Roman" w:cs="Times New Roman"/>
                <w:b/>
                <w:bCs/>
                <w:noProof/>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898E80"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27" w:type="dxa"/>
            <w:tcBorders>
              <w:top w:val="nil"/>
              <w:left w:val="nil"/>
              <w:bottom w:val="single" w:sz="4" w:space="0" w:color="auto"/>
              <w:right w:val="single" w:sz="4" w:space="0" w:color="auto"/>
            </w:tcBorders>
            <w:shd w:val="clear" w:color="auto" w:fill="BDD7EE"/>
            <w:vAlign w:val="center"/>
            <w:hideMark/>
          </w:tcPr>
          <w:p w14:paraId="452CA8E7"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13" w:type="dxa"/>
            <w:tcBorders>
              <w:top w:val="nil"/>
              <w:left w:val="nil"/>
              <w:bottom w:val="single" w:sz="4" w:space="0" w:color="auto"/>
              <w:right w:val="single" w:sz="4" w:space="0" w:color="auto"/>
            </w:tcBorders>
            <w:shd w:val="clear" w:color="auto" w:fill="BDD7EE"/>
            <w:vAlign w:val="center"/>
            <w:hideMark/>
          </w:tcPr>
          <w:p w14:paraId="5D588F0A"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22" w:type="dxa"/>
            <w:tcBorders>
              <w:top w:val="nil"/>
              <w:left w:val="nil"/>
              <w:bottom w:val="single" w:sz="4" w:space="0" w:color="auto"/>
              <w:right w:val="single" w:sz="4" w:space="0" w:color="auto"/>
            </w:tcBorders>
            <w:shd w:val="clear" w:color="auto" w:fill="BDD7EE"/>
            <w:vAlign w:val="center"/>
            <w:hideMark/>
          </w:tcPr>
          <w:p w14:paraId="29746CC5"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20" w:type="dxa"/>
            <w:tcBorders>
              <w:top w:val="nil"/>
              <w:left w:val="nil"/>
              <w:bottom w:val="single" w:sz="4" w:space="0" w:color="auto"/>
              <w:right w:val="single" w:sz="4" w:space="0" w:color="auto"/>
            </w:tcBorders>
            <w:shd w:val="clear" w:color="auto" w:fill="BDD7EE"/>
            <w:vAlign w:val="center"/>
            <w:hideMark/>
          </w:tcPr>
          <w:p w14:paraId="727D77E3"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700" w:type="dxa"/>
            <w:vMerge/>
            <w:tcBorders>
              <w:top w:val="single" w:sz="4" w:space="0" w:color="auto"/>
              <w:bottom w:val="single" w:sz="4" w:space="0" w:color="auto"/>
              <w:right w:val="single" w:sz="4" w:space="0" w:color="auto"/>
            </w:tcBorders>
            <w:vAlign w:val="center"/>
            <w:hideMark/>
          </w:tcPr>
          <w:p w14:paraId="526D33C1"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45C5A9B2" w14:textId="77777777">
        <w:tc>
          <w:tcPr>
            <w:tcW w:w="1238" w:type="dxa"/>
            <w:tcBorders>
              <w:top w:val="single" w:sz="4" w:space="0" w:color="auto"/>
              <w:left w:val="single" w:sz="4" w:space="0" w:color="auto"/>
              <w:bottom w:val="single" w:sz="4" w:space="0" w:color="auto"/>
              <w:right w:val="single" w:sz="4" w:space="0" w:color="auto"/>
            </w:tcBorders>
            <w:shd w:val="clear" w:color="auto" w:fill="C6EFCE"/>
            <w:noWrap/>
          </w:tcPr>
          <w:p w14:paraId="0F760486" w14:textId="77777777" w:rsidR="00CB0FCB" w:rsidRDefault="009D2B11">
            <w:pPr>
              <w:pStyle w:val="P68B1DB1-Normal9"/>
              <w:spacing w:after="0" w:line="240" w:lineRule="auto"/>
              <w:rPr>
                <w:rFonts w:eastAsia="Times New Roman" w:cs="Calibri"/>
                <w:noProof/>
                <w:szCs w:val="18"/>
              </w:rPr>
            </w:pPr>
            <w:r>
              <w:rPr>
                <w:noProof/>
              </w:rPr>
              <w:t>363</w:t>
            </w:r>
          </w:p>
        </w:tc>
        <w:tc>
          <w:tcPr>
            <w:tcW w:w="1749" w:type="dxa"/>
            <w:tcBorders>
              <w:top w:val="single" w:sz="4" w:space="0" w:color="auto"/>
              <w:left w:val="nil"/>
              <w:bottom w:val="single" w:sz="4" w:space="0" w:color="auto"/>
              <w:right w:val="single" w:sz="4" w:space="0" w:color="auto"/>
            </w:tcBorders>
            <w:shd w:val="clear" w:color="auto" w:fill="C6EFCE"/>
            <w:noWrap/>
          </w:tcPr>
          <w:p w14:paraId="3D9841B3" w14:textId="77777777" w:rsidR="00CB0FCB" w:rsidRDefault="009D2B11">
            <w:pPr>
              <w:pStyle w:val="P68B1DB1-Normal9"/>
              <w:spacing w:after="0" w:line="240" w:lineRule="auto"/>
              <w:rPr>
                <w:rFonts w:eastAsia="Times New Roman" w:cs="Calibri"/>
                <w:noProof/>
                <w:szCs w:val="18"/>
              </w:rPr>
            </w:pPr>
            <w:r>
              <w:rPr>
                <w:noProof/>
              </w:rPr>
              <w:t>20–5. REPowerEU reformas — 16993_Ceļvedis inovatīvām energoefektivitātes intervencēm un jaunu finanšu instrumentu apzināšanai</w:t>
            </w:r>
          </w:p>
        </w:tc>
        <w:tc>
          <w:tcPr>
            <w:tcW w:w="1094" w:type="dxa"/>
            <w:tcBorders>
              <w:top w:val="single" w:sz="4" w:space="0" w:color="auto"/>
              <w:left w:val="nil"/>
              <w:bottom w:val="single" w:sz="4" w:space="0" w:color="auto"/>
              <w:right w:val="single" w:sz="4" w:space="0" w:color="auto"/>
            </w:tcBorders>
            <w:shd w:val="clear" w:color="auto" w:fill="C6EFCE"/>
            <w:noWrap/>
          </w:tcPr>
          <w:p w14:paraId="151D52A3"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5" w:type="dxa"/>
            <w:tcBorders>
              <w:top w:val="single" w:sz="4" w:space="0" w:color="auto"/>
              <w:left w:val="nil"/>
              <w:bottom w:val="single" w:sz="4" w:space="0" w:color="auto"/>
              <w:right w:val="single" w:sz="4" w:space="0" w:color="auto"/>
            </w:tcBorders>
            <w:shd w:val="clear" w:color="auto" w:fill="C6EFCE"/>
            <w:noWrap/>
          </w:tcPr>
          <w:p w14:paraId="20F7EC31" w14:textId="77777777" w:rsidR="00CB0FCB" w:rsidRDefault="009D2B11">
            <w:pPr>
              <w:pStyle w:val="P68B1DB1-Normal9"/>
              <w:spacing w:after="0" w:line="240" w:lineRule="auto"/>
              <w:rPr>
                <w:rFonts w:eastAsia="Times New Roman" w:cs="Calibri"/>
                <w:noProof/>
                <w:szCs w:val="18"/>
              </w:rPr>
            </w:pPr>
            <w:r>
              <w:rPr>
                <w:noProof/>
              </w:rPr>
              <w:t>Ceļvedis inovatīviem energoefektivitātes pasākumiem un izveidots tiesiskais regulējums</w:t>
            </w:r>
          </w:p>
        </w:tc>
        <w:tc>
          <w:tcPr>
            <w:tcW w:w="1553" w:type="dxa"/>
            <w:tcBorders>
              <w:top w:val="single" w:sz="4" w:space="0" w:color="auto"/>
              <w:left w:val="nil"/>
              <w:bottom w:val="single" w:sz="4" w:space="0" w:color="auto"/>
              <w:right w:val="single" w:sz="4" w:space="0" w:color="auto"/>
            </w:tcBorders>
            <w:shd w:val="clear" w:color="auto" w:fill="C6EFCE"/>
            <w:noWrap/>
          </w:tcPr>
          <w:p w14:paraId="622CD762" w14:textId="77777777" w:rsidR="00CB0FCB" w:rsidRDefault="009D2B11">
            <w:pPr>
              <w:pStyle w:val="P68B1DB1-Normal9"/>
              <w:spacing w:after="0" w:line="240" w:lineRule="auto"/>
              <w:rPr>
                <w:rFonts w:eastAsia="Times New Roman" w:cs="Calibri"/>
                <w:noProof/>
                <w:szCs w:val="18"/>
              </w:rPr>
            </w:pPr>
            <w:r>
              <w:rPr>
                <w:noProof/>
              </w:rPr>
              <w:t>Tiesību aktu stāšanās spēkā</w:t>
            </w:r>
          </w:p>
        </w:tc>
        <w:tc>
          <w:tcPr>
            <w:tcW w:w="1205" w:type="dxa"/>
            <w:tcBorders>
              <w:top w:val="single" w:sz="4" w:space="0" w:color="auto"/>
              <w:left w:val="nil"/>
              <w:bottom w:val="single" w:sz="4" w:space="0" w:color="auto"/>
              <w:right w:val="single" w:sz="4" w:space="0" w:color="auto"/>
            </w:tcBorders>
            <w:shd w:val="clear" w:color="auto" w:fill="C6EFCE"/>
            <w:noWrap/>
          </w:tcPr>
          <w:p w14:paraId="6D4FC4A8" w14:textId="77777777" w:rsidR="00CB0FCB" w:rsidRDefault="00CB0FCB">
            <w:pPr>
              <w:spacing w:after="0" w:line="240" w:lineRule="auto"/>
              <w:rPr>
                <w:rFonts w:eastAsia="Times New Roman" w:cs="Calibri"/>
                <w:noProof/>
                <w:color w:val="006100"/>
                <w:sz w:val="18"/>
                <w:szCs w:val="18"/>
              </w:rPr>
            </w:pPr>
          </w:p>
        </w:tc>
        <w:tc>
          <w:tcPr>
            <w:tcW w:w="927" w:type="dxa"/>
            <w:tcBorders>
              <w:top w:val="nil"/>
              <w:left w:val="nil"/>
              <w:bottom w:val="single" w:sz="4" w:space="0" w:color="auto"/>
              <w:right w:val="single" w:sz="4" w:space="0" w:color="auto"/>
            </w:tcBorders>
            <w:shd w:val="clear" w:color="auto" w:fill="C6EFCE"/>
            <w:noWrap/>
          </w:tcPr>
          <w:p w14:paraId="28385D1D" w14:textId="77777777" w:rsidR="00CB0FCB" w:rsidRDefault="00CB0FCB">
            <w:pPr>
              <w:spacing w:after="0" w:line="240" w:lineRule="auto"/>
              <w:rPr>
                <w:rFonts w:eastAsia="Times New Roman" w:cs="Calibri"/>
                <w:noProof/>
                <w:color w:val="006100"/>
                <w:sz w:val="18"/>
                <w:szCs w:val="18"/>
              </w:rPr>
            </w:pPr>
          </w:p>
        </w:tc>
        <w:tc>
          <w:tcPr>
            <w:tcW w:w="713" w:type="dxa"/>
            <w:tcBorders>
              <w:top w:val="nil"/>
              <w:left w:val="nil"/>
              <w:bottom w:val="single" w:sz="4" w:space="0" w:color="auto"/>
              <w:right w:val="single" w:sz="4" w:space="0" w:color="auto"/>
            </w:tcBorders>
            <w:shd w:val="clear" w:color="auto" w:fill="C6EFCE"/>
            <w:noWrap/>
          </w:tcPr>
          <w:p w14:paraId="1558F396" w14:textId="77777777" w:rsidR="00CB0FCB" w:rsidRDefault="00CB0FCB">
            <w:pPr>
              <w:spacing w:after="0" w:line="240" w:lineRule="auto"/>
              <w:rPr>
                <w:rFonts w:eastAsia="Times New Roman" w:cs="Calibri"/>
                <w:noProof/>
                <w:color w:val="006100"/>
                <w:sz w:val="18"/>
                <w:szCs w:val="18"/>
              </w:rPr>
            </w:pPr>
          </w:p>
        </w:tc>
        <w:tc>
          <w:tcPr>
            <w:tcW w:w="922" w:type="dxa"/>
            <w:tcBorders>
              <w:top w:val="nil"/>
              <w:left w:val="nil"/>
              <w:bottom w:val="single" w:sz="4" w:space="0" w:color="auto"/>
              <w:right w:val="single" w:sz="4" w:space="0" w:color="auto"/>
            </w:tcBorders>
            <w:shd w:val="clear" w:color="auto" w:fill="C6EFCE"/>
            <w:noWrap/>
          </w:tcPr>
          <w:p w14:paraId="10857100" w14:textId="77777777" w:rsidR="00CB0FCB" w:rsidRDefault="009D2B11">
            <w:pPr>
              <w:pStyle w:val="P68B1DB1-Normal9"/>
              <w:spacing w:after="0" w:line="240" w:lineRule="auto"/>
              <w:rPr>
                <w:rFonts w:eastAsia="Times New Roman" w:cs="Calibri"/>
                <w:noProof/>
                <w:szCs w:val="18"/>
              </w:rPr>
            </w:pPr>
            <w:r>
              <w:rPr>
                <w:noProof/>
              </w:rPr>
              <w:t>2. CET.</w:t>
            </w:r>
          </w:p>
        </w:tc>
        <w:tc>
          <w:tcPr>
            <w:tcW w:w="720" w:type="dxa"/>
            <w:tcBorders>
              <w:top w:val="nil"/>
              <w:left w:val="nil"/>
              <w:bottom w:val="single" w:sz="4" w:space="0" w:color="auto"/>
              <w:right w:val="single" w:sz="4" w:space="0" w:color="auto"/>
            </w:tcBorders>
            <w:shd w:val="clear" w:color="auto" w:fill="C6EFCE"/>
            <w:noWrap/>
          </w:tcPr>
          <w:p w14:paraId="6A4CC69E" w14:textId="77777777" w:rsidR="00CB0FCB" w:rsidRDefault="009D2B11">
            <w:pPr>
              <w:pStyle w:val="P68B1DB1-Normal9"/>
              <w:spacing w:after="0" w:line="240" w:lineRule="auto"/>
              <w:rPr>
                <w:rFonts w:eastAsia="Times New Roman" w:cs="Calibri"/>
                <w:noProof/>
                <w:szCs w:val="18"/>
              </w:rPr>
            </w:pPr>
            <w:r>
              <w:rPr>
                <w:noProof/>
              </w:rPr>
              <w:t>2024</w:t>
            </w:r>
          </w:p>
        </w:tc>
        <w:tc>
          <w:tcPr>
            <w:tcW w:w="3700" w:type="dxa"/>
            <w:tcBorders>
              <w:top w:val="single" w:sz="4" w:space="0" w:color="auto"/>
              <w:left w:val="nil"/>
              <w:bottom w:val="single" w:sz="4" w:space="0" w:color="auto"/>
              <w:right w:val="single" w:sz="4" w:space="0" w:color="auto"/>
            </w:tcBorders>
            <w:shd w:val="clear" w:color="auto" w:fill="C6EFCE"/>
            <w:noWrap/>
          </w:tcPr>
          <w:p w14:paraId="1E6C8F64" w14:textId="7169150D" w:rsidR="00CB0FCB" w:rsidRDefault="009D2B11">
            <w:pPr>
              <w:pStyle w:val="P68B1DB1-Normal9"/>
              <w:spacing w:after="0" w:line="240" w:lineRule="auto"/>
              <w:rPr>
                <w:rFonts w:eastAsia="Times New Roman" w:cs="Calibri"/>
                <w:noProof/>
                <w:szCs w:val="18"/>
              </w:rPr>
            </w:pPr>
            <w:r>
              <w:rPr>
                <w:noProof/>
              </w:rPr>
              <w:t xml:space="preserve">Stājas spēkā ministru lēmums, ar ko pieņem ceļvedi, kurā izklāsta inovatīvas energoefektivitātes intervences, tostarp finanšu instrumentus, kas nav balstīti uz dotācijām. </w:t>
            </w:r>
          </w:p>
        </w:tc>
      </w:tr>
      <w:tr w:rsidR="00CB0FCB" w14:paraId="25AE2FD8" w14:textId="77777777">
        <w:tc>
          <w:tcPr>
            <w:tcW w:w="1238" w:type="dxa"/>
            <w:tcBorders>
              <w:top w:val="nil"/>
              <w:left w:val="single" w:sz="4" w:space="0" w:color="auto"/>
              <w:bottom w:val="single" w:sz="4" w:space="0" w:color="auto"/>
              <w:right w:val="single" w:sz="4" w:space="0" w:color="auto"/>
            </w:tcBorders>
            <w:shd w:val="clear" w:color="auto" w:fill="C6EFCE"/>
            <w:noWrap/>
          </w:tcPr>
          <w:p w14:paraId="4B0BFE9C" w14:textId="210C5C32" w:rsidR="00CB0FCB" w:rsidRDefault="009D2B11">
            <w:pPr>
              <w:pStyle w:val="P68B1DB1-Normal9"/>
              <w:spacing w:after="0" w:line="240" w:lineRule="auto"/>
              <w:rPr>
                <w:rFonts w:eastAsia="Times New Roman" w:cs="Calibri"/>
                <w:noProof/>
                <w:szCs w:val="18"/>
              </w:rPr>
            </w:pPr>
            <w:r>
              <w:rPr>
                <w:noProof/>
              </w:rPr>
              <w:t>364</w:t>
            </w:r>
          </w:p>
        </w:tc>
        <w:tc>
          <w:tcPr>
            <w:tcW w:w="1749" w:type="dxa"/>
            <w:tcBorders>
              <w:top w:val="nil"/>
              <w:left w:val="nil"/>
              <w:bottom w:val="single" w:sz="4" w:space="0" w:color="auto"/>
              <w:right w:val="single" w:sz="4" w:space="0" w:color="auto"/>
            </w:tcBorders>
            <w:shd w:val="clear" w:color="auto" w:fill="C6EFCE"/>
            <w:noWrap/>
          </w:tcPr>
          <w:p w14:paraId="2633848F" w14:textId="77777777" w:rsidR="00CB0FCB" w:rsidRDefault="009D2B11">
            <w:pPr>
              <w:pStyle w:val="P68B1DB1-Normal9"/>
              <w:spacing w:after="0" w:line="240" w:lineRule="auto"/>
              <w:rPr>
                <w:rFonts w:eastAsia="Times New Roman" w:cs="Calibri"/>
                <w:noProof/>
                <w:szCs w:val="18"/>
              </w:rPr>
            </w:pPr>
            <w:r>
              <w:rPr>
                <w:noProof/>
              </w:rPr>
              <w:t>20–5. REPowerEU reformas — 16993_Ceļvedis inovatīvām energoefektivitātes intervencēm un jaunu finanšu instrumentu apzināšanai</w:t>
            </w:r>
          </w:p>
        </w:tc>
        <w:tc>
          <w:tcPr>
            <w:tcW w:w="1094" w:type="dxa"/>
            <w:tcBorders>
              <w:top w:val="nil"/>
              <w:left w:val="nil"/>
              <w:bottom w:val="single" w:sz="4" w:space="0" w:color="auto"/>
              <w:right w:val="single" w:sz="4" w:space="0" w:color="auto"/>
            </w:tcBorders>
            <w:shd w:val="clear" w:color="auto" w:fill="C6EFCE"/>
            <w:noWrap/>
          </w:tcPr>
          <w:p w14:paraId="21712C48"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5" w:type="dxa"/>
            <w:tcBorders>
              <w:top w:val="nil"/>
              <w:left w:val="nil"/>
              <w:bottom w:val="single" w:sz="4" w:space="0" w:color="auto"/>
              <w:right w:val="single" w:sz="4" w:space="0" w:color="auto"/>
            </w:tcBorders>
            <w:shd w:val="clear" w:color="auto" w:fill="C6EFCE"/>
            <w:noWrap/>
          </w:tcPr>
          <w:p w14:paraId="0DBC80D4" w14:textId="77777777" w:rsidR="00CB0FCB" w:rsidRDefault="009D2B11">
            <w:pPr>
              <w:pStyle w:val="P68B1DB1-Normal9"/>
              <w:spacing w:after="0" w:line="240" w:lineRule="auto"/>
              <w:rPr>
                <w:rFonts w:eastAsia="Times New Roman" w:cs="Calibri"/>
                <w:noProof/>
                <w:szCs w:val="18"/>
              </w:rPr>
            </w:pPr>
            <w:r>
              <w:rPr>
                <w:noProof/>
              </w:rPr>
              <w:t>Ar dotācijām nesaistīta finanšu instrumenta darbības uzsākšana</w:t>
            </w:r>
          </w:p>
        </w:tc>
        <w:tc>
          <w:tcPr>
            <w:tcW w:w="1553" w:type="dxa"/>
            <w:tcBorders>
              <w:top w:val="nil"/>
              <w:left w:val="nil"/>
              <w:bottom w:val="single" w:sz="4" w:space="0" w:color="auto"/>
              <w:right w:val="single" w:sz="4" w:space="0" w:color="auto"/>
            </w:tcBorders>
            <w:shd w:val="clear" w:color="auto" w:fill="C6EFCE"/>
            <w:noWrap/>
          </w:tcPr>
          <w:p w14:paraId="13A7011C" w14:textId="77777777" w:rsidR="00CB0FCB" w:rsidRDefault="009D2B11">
            <w:pPr>
              <w:pStyle w:val="P68B1DB1-Normal9"/>
              <w:spacing w:after="0" w:line="240" w:lineRule="auto"/>
              <w:rPr>
                <w:rFonts w:eastAsia="Times New Roman" w:cs="Calibri"/>
                <w:noProof/>
                <w:szCs w:val="18"/>
              </w:rPr>
            </w:pPr>
            <w:r>
              <w:rPr>
                <w:noProof/>
              </w:rPr>
              <w:t>Tiesību aktu stāšanās spēkā</w:t>
            </w:r>
          </w:p>
        </w:tc>
        <w:tc>
          <w:tcPr>
            <w:tcW w:w="1205" w:type="dxa"/>
            <w:tcBorders>
              <w:top w:val="nil"/>
              <w:left w:val="nil"/>
              <w:bottom w:val="single" w:sz="4" w:space="0" w:color="auto"/>
              <w:right w:val="single" w:sz="4" w:space="0" w:color="auto"/>
            </w:tcBorders>
            <w:shd w:val="clear" w:color="auto" w:fill="C6EFCE"/>
            <w:noWrap/>
          </w:tcPr>
          <w:p w14:paraId="08E25C94" w14:textId="77777777" w:rsidR="00CB0FCB" w:rsidRDefault="00CB0FCB">
            <w:pPr>
              <w:spacing w:after="0" w:line="240" w:lineRule="auto"/>
              <w:rPr>
                <w:rFonts w:eastAsia="Times New Roman" w:cs="Calibri"/>
                <w:noProof/>
                <w:color w:val="006100"/>
                <w:sz w:val="18"/>
                <w:szCs w:val="18"/>
              </w:rPr>
            </w:pPr>
          </w:p>
        </w:tc>
        <w:tc>
          <w:tcPr>
            <w:tcW w:w="927" w:type="dxa"/>
            <w:tcBorders>
              <w:top w:val="nil"/>
              <w:left w:val="nil"/>
              <w:bottom w:val="single" w:sz="4" w:space="0" w:color="auto"/>
              <w:right w:val="single" w:sz="4" w:space="0" w:color="auto"/>
            </w:tcBorders>
            <w:shd w:val="clear" w:color="auto" w:fill="C6EFCE"/>
            <w:noWrap/>
          </w:tcPr>
          <w:p w14:paraId="6F063F3A" w14:textId="77777777" w:rsidR="00CB0FCB" w:rsidRDefault="00CB0FCB">
            <w:pPr>
              <w:spacing w:after="0" w:line="240" w:lineRule="auto"/>
              <w:rPr>
                <w:rFonts w:eastAsia="Times New Roman" w:cs="Calibri"/>
                <w:noProof/>
                <w:color w:val="006100"/>
                <w:sz w:val="18"/>
                <w:szCs w:val="18"/>
              </w:rPr>
            </w:pPr>
          </w:p>
        </w:tc>
        <w:tc>
          <w:tcPr>
            <w:tcW w:w="713" w:type="dxa"/>
            <w:tcBorders>
              <w:top w:val="nil"/>
              <w:left w:val="nil"/>
              <w:bottom w:val="single" w:sz="4" w:space="0" w:color="auto"/>
              <w:right w:val="single" w:sz="4" w:space="0" w:color="auto"/>
            </w:tcBorders>
            <w:shd w:val="clear" w:color="auto" w:fill="C6EFCE"/>
            <w:noWrap/>
          </w:tcPr>
          <w:p w14:paraId="5DB48D61" w14:textId="77777777" w:rsidR="00CB0FCB" w:rsidRDefault="00CB0FCB">
            <w:pPr>
              <w:spacing w:after="0" w:line="240" w:lineRule="auto"/>
              <w:rPr>
                <w:rFonts w:eastAsia="Times New Roman" w:cs="Calibri"/>
                <w:noProof/>
                <w:color w:val="006100"/>
                <w:sz w:val="18"/>
                <w:szCs w:val="18"/>
              </w:rPr>
            </w:pPr>
          </w:p>
        </w:tc>
        <w:tc>
          <w:tcPr>
            <w:tcW w:w="922" w:type="dxa"/>
            <w:tcBorders>
              <w:top w:val="nil"/>
              <w:left w:val="nil"/>
              <w:bottom w:val="single" w:sz="4" w:space="0" w:color="auto"/>
              <w:right w:val="single" w:sz="4" w:space="0" w:color="auto"/>
            </w:tcBorders>
            <w:shd w:val="clear" w:color="auto" w:fill="C6EFCE"/>
            <w:noWrap/>
          </w:tcPr>
          <w:p w14:paraId="72A09F12" w14:textId="77777777" w:rsidR="00CB0FCB" w:rsidRDefault="009D2B11">
            <w:pPr>
              <w:pStyle w:val="P68B1DB1-Normal9"/>
              <w:spacing w:after="0" w:line="240" w:lineRule="auto"/>
              <w:rPr>
                <w:rFonts w:eastAsia="Times New Roman" w:cs="Calibri"/>
                <w:noProof/>
                <w:szCs w:val="18"/>
              </w:rPr>
            </w:pPr>
            <w:r>
              <w:rPr>
                <w:noProof/>
              </w:rPr>
              <w:t>2. CET.</w:t>
            </w:r>
          </w:p>
        </w:tc>
        <w:tc>
          <w:tcPr>
            <w:tcW w:w="720" w:type="dxa"/>
            <w:tcBorders>
              <w:top w:val="nil"/>
              <w:left w:val="nil"/>
              <w:bottom w:val="single" w:sz="4" w:space="0" w:color="auto"/>
              <w:right w:val="single" w:sz="4" w:space="0" w:color="auto"/>
            </w:tcBorders>
            <w:shd w:val="clear" w:color="auto" w:fill="C6EFCE"/>
            <w:noWrap/>
          </w:tcPr>
          <w:p w14:paraId="170377C4" w14:textId="77777777" w:rsidR="00CB0FCB" w:rsidRDefault="009D2B11">
            <w:pPr>
              <w:pStyle w:val="P68B1DB1-Normal9"/>
              <w:spacing w:after="0" w:line="240" w:lineRule="auto"/>
              <w:rPr>
                <w:rFonts w:eastAsia="Times New Roman" w:cs="Calibri"/>
                <w:noProof/>
                <w:szCs w:val="18"/>
              </w:rPr>
            </w:pPr>
            <w:r>
              <w:rPr>
                <w:noProof/>
              </w:rPr>
              <w:t>2025</w:t>
            </w:r>
          </w:p>
        </w:tc>
        <w:tc>
          <w:tcPr>
            <w:tcW w:w="3700" w:type="dxa"/>
            <w:tcBorders>
              <w:top w:val="nil"/>
              <w:left w:val="nil"/>
              <w:bottom w:val="single" w:sz="4" w:space="0" w:color="auto"/>
              <w:right w:val="single" w:sz="4" w:space="0" w:color="auto"/>
            </w:tcBorders>
            <w:shd w:val="clear" w:color="auto" w:fill="C6EFCE"/>
            <w:noWrap/>
          </w:tcPr>
          <w:p w14:paraId="7B16685A" w14:textId="77777777" w:rsidR="00CB0FCB" w:rsidRDefault="009D2B11">
            <w:pPr>
              <w:spacing w:after="0" w:line="240" w:lineRule="auto"/>
              <w:rPr>
                <w:rFonts w:eastAsia="Times New Roman" w:cs="Calibri"/>
                <w:noProof/>
                <w:color w:val="006100"/>
                <w:sz w:val="18"/>
                <w:szCs w:val="18"/>
              </w:rPr>
            </w:pPr>
            <w:r>
              <w:rPr>
                <w:noProof/>
                <w:color w:val="006100"/>
                <w:sz w:val="18"/>
              </w:rPr>
              <w:t>Stājas spēkā sekundārie tiesību akti, ar kuriem tiek ieviests uz dotācijām nebalstīts finanšu instruments, kā izklāstīts ceļvedī.</w:t>
            </w:r>
            <w:r>
              <w:rPr>
                <w:rStyle w:val="Heading1Char"/>
                <w:rFonts w:eastAsia="Calibri"/>
                <w:noProof/>
              </w:rPr>
              <w:t xml:space="preserve"> </w:t>
            </w:r>
          </w:p>
        </w:tc>
      </w:tr>
    </w:tbl>
    <w:p w14:paraId="332EAD41" w14:textId="77777777" w:rsidR="00CB0FCB" w:rsidRDefault="00CB0FCB">
      <w:pPr>
        <w:rPr>
          <w:rFonts w:ascii="Times New Roman" w:hAnsi="Times New Roman" w:cs="Times New Roman"/>
          <w:noProof/>
          <w:sz w:val="24"/>
        </w:rPr>
        <w:sectPr w:rsidR="00CB0FCB" w:rsidSect="00271D33">
          <w:headerReference w:type="even" r:id="rId351"/>
          <w:headerReference w:type="default" r:id="rId352"/>
          <w:footerReference w:type="even" r:id="rId353"/>
          <w:footerReference w:type="default" r:id="rId354"/>
          <w:headerReference w:type="first" r:id="rId355"/>
          <w:footerReference w:type="first" r:id="rId356"/>
          <w:pgSz w:w="16839" w:h="11907" w:orient="landscape"/>
          <w:pgMar w:top="1134" w:right="1134" w:bottom="1134" w:left="1134" w:header="567" w:footer="355" w:gutter="0"/>
          <w:cols w:space="720"/>
          <w:docGrid w:linePitch="360"/>
        </w:sectPr>
      </w:pPr>
    </w:p>
    <w:p w14:paraId="20B973C0" w14:textId="77777777" w:rsidR="00CB0FCB" w:rsidRDefault="009D2B11">
      <w:pPr>
        <w:pStyle w:val="P68B1DB1-Normal2"/>
        <w:spacing w:before="120" w:after="120" w:line="240" w:lineRule="auto"/>
        <w:ind w:firstLine="6"/>
        <w:jc w:val="both"/>
        <w:outlineLvl w:val="3"/>
        <w:rPr>
          <w:rFonts w:cs="Times New Roman"/>
          <w:bCs/>
          <w:noProof/>
        </w:rPr>
      </w:pPr>
      <w:r>
        <w:rPr>
          <w:noProof/>
        </w:rPr>
        <w:t>U. 5.2. KOMPONENTS: REPowerEU INVESTĪGI JAUTĀJUMI</w:t>
      </w:r>
    </w:p>
    <w:p w14:paraId="059A5E20" w14:textId="77777777" w:rsidR="00CB0FCB" w:rsidRDefault="00CB0FCB">
      <w:pPr>
        <w:spacing w:before="120" w:after="120" w:line="240" w:lineRule="auto"/>
        <w:jc w:val="both"/>
        <w:rPr>
          <w:rFonts w:ascii="Times New Roman" w:hAnsi="Times New Roman" w:cs="Times New Roman"/>
          <w:b/>
          <w:bCs/>
          <w:noProof/>
          <w:sz w:val="24"/>
          <w:u w:val="single"/>
        </w:rPr>
      </w:pPr>
    </w:p>
    <w:p w14:paraId="0E19AF25" w14:textId="77777777" w:rsidR="00CB0FCB" w:rsidRDefault="009D2B11">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U.1. </w:t>
      </w:r>
      <w:r>
        <w:rPr>
          <w:noProof/>
        </w:rPr>
        <w:t xml:space="preserve"> </w:t>
      </w:r>
      <w:r>
        <w:rPr>
          <w:rFonts w:ascii="Times New Roman" w:hAnsi="Times New Roman"/>
          <w:b/>
          <w:noProof/>
          <w:sz w:val="24"/>
          <w:u w:val="single"/>
        </w:rPr>
        <w:t>Reformu un investīciju apraksts neatmaksājamam finansiālajam atbalstam</w:t>
      </w:r>
    </w:p>
    <w:p w14:paraId="0A60D6CB" w14:textId="77777777" w:rsidR="00CB0FCB" w:rsidRDefault="009D2B11">
      <w:pPr>
        <w:pStyle w:val="P68B1DB1-Normal4"/>
        <w:spacing w:before="120" w:after="120" w:line="240" w:lineRule="auto"/>
        <w:jc w:val="both"/>
        <w:rPr>
          <w:rFonts w:cs="Times New Roman"/>
          <w:noProof/>
          <w:szCs w:val="24"/>
        </w:rPr>
      </w:pPr>
      <w:r>
        <w:rPr>
          <w:noProof/>
        </w:rPr>
        <w:t>REPowerEU nodaļā ir ietverti trīs investīciju pasākumi, kuru mērķis ir atbalstīt energoefektivitāti, jaunu atjaunīgo energoresursu izmantošanu, enerģijas uzglabāšanu un oglekļa uztveršanu un uzglabāšanu, tostarp: 1) investīcijas energoefektivitātes atbalstam un atjaunojamo energoresursu izmantošanas veicināšanai pašpatēriņam, kas sastāv no pieciem apakšieguldījumiem, kuri aptver i) dzīvojamo ēku energorenovāciju, piešķirot subsīdijas; II) nedzīvojamo publisko un privāto ēku energorenovācija, piešķirot subsīdijas; III) fotoelementu sistēmu uzstādīšana pašpatēriņam dzīvojamās ēkās un lauksaimniecības nozarē, piešķirot subsīdijas; IV) atjaunojamo energoresursu izmantošanas veicināšana dzīvojamās ēkās, finansējot jaunu atjaunojamo energoresursu sistēmu uzstādīšanu karstā ūdens ražošanai; un v) energoefektivitātes uzlabošana pašvaldību ūdensapgādes un kanalizācijas uzņēmumos; 2) palielināt enerģijas uzkrāšanas sistēmu uzstādīšanu, lai vēl vairāk izmantotu atjaunojamos energoresursus; un 3) izmēģinājuma projekti biometāna un atjaunīgā ūdeņraža ražošanai un oglekļa uztveršanas un uzglabāšanas (CCS) tehnoloģiju veicināšanai grūti dekarbonizējamās nozarēs, kuru mērķis ir veicināt rūpniecības dekarbonizāciju.</w:t>
      </w:r>
    </w:p>
    <w:p w14:paraId="2C09C048" w14:textId="77777777" w:rsidR="00CB0FCB" w:rsidRDefault="009D2B11">
      <w:pPr>
        <w:pStyle w:val="P68B1DB1-Normal4"/>
        <w:spacing w:before="120" w:after="120" w:line="240" w:lineRule="auto"/>
        <w:jc w:val="both"/>
        <w:rPr>
          <w:rFonts w:cs="Times New Roman"/>
          <w:noProof/>
          <w:szCs w:val="24"/>
        </w:rPr>
      </w:pPr>
      <w:r>
        <w:rPr>
          <w:b/>
          <w:noProof/>
        </w:rPr>
        <w:t>Ieguldījums:</w:t>
      </w:r>
      <w:r>
        <w:rPr>
          <w:noProof/>
        </w:rPr>
        <w:t xml:space="preserve"> Enerģijas uzkrāšanas uzstādīšana papildu AER izplatībai (pasākuma ID: 16996)</w:t>
      </w:r>
    </w:p>
    <w:p w14:paraId="0D224A60" w14:textId="77777777" w:rsidR="00CB0FCB" w:rsidRDefault="009D2B11">
      <w:pPr>
        <w:pStyle w:val="P68B1DB1-Normal4"/>
        <w:spacing w:before="120" w:after="120" w:line="240" w:lineRule="auto"/>
        <w:jc w:val="both"/>
        <w:rPr>
          <w:rFonts w:cs="Times New Roman"/>
          <w:noProof/>
          <w:szCs w:val="24"/>
        </w:rPr>
      </w:pPr>
      <w:r>
        <w:rPr>
          <w:noProof/>
        </w:rPr>
        <w:t xml:space="preserve">Šā pasākuma mērķis ir palielināt investīcijas: “Atbalsts uzglabāšanas sistēmu uzstādīšanai, lai palielinātu AER izplatību” (ID: 16926) saskaņā ar 1.1. komponentu (Pilnspēja). Investīcija ir investīciju otrās apakšprogrammas ar Nr. 16926 uzlabošana saskaņā ar spēkā esošo ANP, kura ir saistīta ar atsevišķu tīkla mēroga uzkrāšanas sistēmu izstrādi un kuras mērķis ir atļaut šādas uzkrāšanas jaudas turpmāku attīstību. Investīcijas rezultātā tiek uzstādītas jaunas papildu enerģijas uzkrāšanas iekārtas, kuru jauda ir vismaz 175 MW. </w:t>
      </w:r>
    </w:p>
    <w:p w14:paraId="778BEB89" w14:textId="77777777" w:rsidR="00CB0FCB" w:rsidRDefault="009D2B11">
      <w:pPr>
        <w:pStyle w:val="P68B1DB1-Normal4"/>
        <w:spacing w:before="120" w:after="120" w:line="240" w:lineRule="auto"/>
        <w:jc w:val="both"/>
        <w:rPr>
          <w:rFonts w:cs="Times New Roman"/>
          <w:noProof/>
          <w:szCs w:val="24"/>
        </w:rPr>
      </w:pPr>
      <w:r>
        <w:rPr>
          <w:noProof/>
        </w:rPr>
        <w:t>Investīciju īstenošanu pabeidz līdz 2025. gada 4. ceturksnim.</w:t>
      </w:r>
    </w:p>
    <w:p w14:paraId="6D32424F" w14:textId="77777777" w:rsidR="00CB0FCB" w:rsidRDefault="009D2B11">
      <w:pPr>
        <w:pStyle w:val="P68B1DB1-Normal4"/>
        <w:spacing w:before="120" w:after="120" w:line="240" w:lineRule="auto"/>
        <w:jc w:val="both"/>
        <w:rPr>
          <w:rFonts w:cs="Times New Roman"/>
          <w:noProof/>
        </w:rPr>
      </w:pPr>
      <w:r>
        <w:rPr>
          <w:b/>
          <w:noProof/>
        </w:rPr>
        <w:t>Ieguldījums:</w:t>
      </w:r>
      <w:r>
        <w:rPr>
          <w:noProof/>
        </w:rPr>
        <w:t xml:space="preserve"> Energoefektivitāte un AER veicināšana pašpatēriņam (pasākuma ID: 16994)</w:t>
      </w:r>
    </w:p>
    <w:p w14:paraId="3C26B28E" w14:textId="7239B983" w:rsidR="00CB0FCB" w:rsidRDefault="009D2B11">
      <w:pPr>
        <w:pStyle w:val="P68B1DB1-Normal5"/>
        <w:spacing w:before="120" w:after="120" w:line="240" w:lineRule="auto"/>
        <w:jc w:val="both"/>
        <w:rPr>
          <w:rFonts w:cs="Times New Roman"/>
          <w:noProof/>
        </w:rPr>
      </w:pPr>
      <w:r>
        <w:rPr>
          <w:noProof/>
        </w:rPr>
        <w:t>Šīs investīcijas mērķis ir uzlabot energoefektivitāti un atjaunīgās enerģijas izmantošanu vairākās nozarēs ar enerģijas galapatēriņu. Investīcijas mērķis ir veicināt energoefektivitātes un atjaunīgās enerģijas apguves īstenošanu dzīvojamās un nedzīvojamās ēkās, lauksaimniecības nozarē un pašvaldību ūdensapgādes un kanalizācijas uzņēmumos, un tās mērķis ir panākt primārās enerģijas ietaupījumu, samazināt siltumnīcefekta gāzu emisijas un tīklam pieslēgt jaunu atjaunīgo enerģiju. Šo ieguldījumu veido 6 apakšieguldījumi:</w:t>
      </w:r>
    </w:p>
    <w:p w14:paraId="339CD41E" w14:textId="77777777" w:rsidR="00CB0FCB" w:rsidRDefault="009D2B11">
      <w:pPr>
        <w:pStyle w:val="P68B1DB1-ListParagraph46"/>
        <w:numPr>
          <w:ilvl w:val="0"/>
          <w:numId w:val="71"/>
        </w:numPr>
        <w:spacing w:before="120" w:after="120" w:line="240" w:lineRule="auto"/>
        <w:ind w:left="1080"/>
        <w:jc w:val="both"/>
        <w:rPr>
          <w:rFonts w:cs="Times New Roman"/>
          <w:noProof/>
        </w:rPr>
      </w:pPr>
      <w:r>
        <w:rPr>
          <w:noProof/>
        </w:rPr>
        <w:t>Dzīvojamo ēku energorenovācija</w:t>
      </w:r>
    </w:p>
    <w:p w14:paraId="22825745" w14:textId="77777777" w:rsidR="00CB0FCB" w:rsidRDefault="009D2B11">
      <w:pPr>
        <w:pStyle w:val="P68B1DB1-Normal4"/>
        <w:spacing w:before="120" w:after="120" w:line="240" w:lineRule="auto"/>
        <w:ind w:left="720"/>
        <w:jc w:val="both"/>
        <w:rPr>
          <w:rFonts w:cs="Times New Roman"/>
          <w:noProof/>
        </w:rPr>
      </w:pPr>
      <w:r>
        <w:rPr>
          <w:noProof/>
        </w:rPr>
        <w:t>Investīcija uzlabo dzīvojamo ēku energoefektivitāti. Tas ietver renovāciju, kas dod ievērojamus primārās enerģijas ietaupījumus, tādējādi veicinot nacionālā enerģētikas un klimata plāna (NEKP) attiecīgo mērķrādītāju sasniegšanu. Enerģētiski nabadzīgas mājsaimniecības tiek atbalstītas, palielinot dotāciju procentuālo daļu.</w:t>
      </w:r>
    </w:p>
    <w:p w14:paraId="7D5AB9C5" w14:textId="77777777" w:rsidR="00CB0FCB" w:rsidRDefault="009D2B11">
      <w:pPr>
        <w:pStyle w:val="P68B1DB1-ListParagraph46"/>
        <w:numPr>
          <w:ilvl w:val="0"/>
          <w:numId w:val="71"/>
        </w:numPr>
        <w:spacing w:before="120" w:after="120" w:line="240" w:lineRule="auto"/>
        <w:ind w:left="1080"/>
        <w:jc w:val="both"/>
        <w:rPr>
          <w:rFonts w:cs="Times New Roman"/>
          <w:noProof/>
        </w:rPr>
      </w:pPr>
      <w:r>
        <w:rPr>
          <w:noProof/>
        </w:rPr>
        <w:t>Publiskā sektora ēku un privātā sektora energoefektivitāte (nedzīvojamās ēkas)</w:t>
      </w:r>
    </w:p>
    <w:p w14:paraId="1C95B441" w14:textId="2B8EBE24" w:rsidR="00CB0FCB" w:rsidRDefault="009D2B11">
      <w:pPr>
        <w:pStyle w:val="P68B1DB1-Normal4"/>
        <w:spacing w:before="120" w:after="120" w:line="240" w:lineRule="auto"/>
        <w:ind w:left="720"/>
        <w:jc w:val="both"/>
        <w:rPr>
          <w:rFonts w:cs="Times New Roman"/>
          <w:noProof/>
          <w:szCs w:val="24"/>
        </w:rPr>
      </w:pPr>
      <w:r>
        <w:rPr>
          <w:noProof/>
        </w:rPr>
        <w:t>Šīs investīcijas ir vērstas uz ēku energoefektivitātes uzlabošanu, piegādājot un uzstādot energoefektīvas iekārtas un sistēmas enerģijas taupīšanai.</w:t>
      </w:r>
    </w:p>
    <w:p w14:paraId="3630D47E" w14:textId="77777777" w:rsidR="00CB0FCB" w:rsidRDefault="009D2B11">
      <w:pPr>
        <w:pStyle w:val="P68B1DB1-ListParagraph46"/>
        <w:numPr>
          <w:ilvl w:val="0"/>
          <w:numId w:val="71"/>
        </w:numPr>
        <w:spacing w:before="120" w:after="120" w:line="240" w:lineRule="auto"/>
        <w:ind w:left="1080"/>
        <w:jc w:val="both"/>
        <w:rPr>
          <w:rFonts w:cs="Times New Roman"/>
          <w:noProof/>
        </w:rPr>
      </w:pPr>
      <w:r>
        <w:rPr>
          <w:noProof/>
        </w:rPr>
        <w:t>Fotoelementu sistēmas pašpatēriņam dzīvojamās ēkās un lauksaimniecības nozarē</w:t>
      </w:r>
    </w:p>
    <w:p w14:paraId="0A54A611" w14:textId="7490C6A2" w:rsidR="00CB0FCB" w:rsidRDefault="009D2B11">
      <w:pPr>
        <w:pStyle w:val="P68B1DB1-Normal5"/>
        <w:spacing w:before="120" w:after="120" w:line="240" w:lineRule="auto"/>
        <w:ind w:left="720"/>
        <w:jc w:val="both"/>
        <w:rPr>
          <w:rFonts w:cs="Times New Roman"/>
          <w:noProof/>
        </w:rPr>
      </w:pPr>
      <w:r>
        <w:rPr>
          <w:noProof/>
        </w:rPr>
        <w:t>Lai veicinātu saražotās elektroenerģijas pašpatēriņu, izmantojot neto uzskaiti un neto rēķinus, šī investīcija atbalsta fotoelementu sistēmu uzstādīšanu dzīvojamās ēkās un lauksaimniecības vienībās. Šī shēma atbilst ES Direktīvas 2019/944 15. pantam, kurā izklāstīti kopīgi noteikumi attiecībā uz elektroenerģijas iekšējo tirgu.</w:t>
      </w:r>
    </w:p>
    <w:p w14:paraId="6C7387CE" w14:textId="77777777" w:rsidR="00CB0FCB" w:rsidRDefault="009D2B11">
      <w:pPr>
        <w:pStyle w:val="P68B1DB1-ListParagraph46"/>
        <w:numPr>
          <w:ilvl w:val="0"/>
          <w:numId w:val="71"/>
        </w:numPr>
        <w:spacing w:before="120" w:after="120" w:line="240" w:lineRule="auto"/>
        <w:ind w:left="1080"/>
        <w:jc w:val="both"/>
        <w:rPr>
          <w:rFonts w:cs="Times New Roman"/>
          <w:noProof/>
        </w:rPr>
      </w:pPr>
      <w:r>
        <w:rPr>
          <w:noProof/>
        </w:rPr>
        <w:t>Atjaunojamo energoresursu ūdens sildīšanas sistēmas mājsaimniecībām</w:t>
      </w:r>
    </w:p>
    <w:p w14:paraId="272DDB6E" w14:textId="282CCEE8" w:rsidR="00CB0FCB" w:rsidRDefault="009D2B11">
      <w:pPr>
        <w:pStyle w:val="P68B1DB1-Normal4"/>
        <w:spacing w:before="120" w:after="120" w:line="240" w:lineRule="auto"/>
        <w:ind w:left="720"/>
        <w:jc w:val="both"/>
        <w:rPr>
          <w:rFonts w:cs="Times New Roman"/>
          <w:noProof/>
        </w:rPr>
      </w:pPr>
      <w:r>
        <w:rPr>
          <w:noProof/>
        </w:rPr>
        <w:t>Investīcija atbalsta atjaunojamo energoresursu (AER) ieviešanu dzīvojamās ēkās, finansējot jaunu AER sistēmu uzstādīšanu. Investīcija sniedz finansiālu palīdzību mājsaimniecībām šādiem mērķiem:  jaunu saules enerģijas ūdenssildītāju, siltumsūkņu un AER sistēmu uzstādīšana, izmantojot jaunas modernas tehnoloģijas, vai enerģiju patērējošu elektrisku ūdenssildītāju nomaiņa, izmantojot veco tehnoloģiju, ar jauniem saules enerģijas ūdenssildītājiem, siltumsūkņiem un AER sistēmām, izmantojot jaunas modernas tehnoloģijas. Nomainītās vecās ierīces pārstrādā saskaņā ar ES un valsts tiesību aktiem.</w:t>
      </w:r>
    </w:p>
    <w:p w14:paraId="2547CC86" w14:textId="77777777" w:rsidR="00CB0FCB" w:rsidRDefault="009D2B11">
      <w:pPr>
        <w:pStyle w:val="P68B1DB1-ListParagraph46"/>
        <w:numPr>
          <w:ilvl w:val="0"/>
          <w:numId w:val="71"/>
        </w:numPr>
        <w:spacing w:before="120" w:after="120" w:line="240" w:lineRule="auto"/>
        <w:ind w:left="1080"/>
        <w:jc w:val="both"/>
        <w:rPr>
          <w:rFonts w:cs="Times New Roman"/>
          <w:noProof/>
        </w:rPr>
      </w:pPr>
      <w:r>
        <w:rPr>
          <w:noProof/>
        </w:rPr>
        <w:t>Energoefektivitātes veicināšana pašvaldību ūdensapgādes un kanalizācijas uzņēmumos</w:t>
      </w:r>
    </w:p>
    <w:p w14:paraId="4E7E080C" w14:textId="77777777" w:rsidR="00CB0FCB" w:rsidRDefault="009D2B11">
      <w:pPr>
        <w:pStyle w:val="P68B1DB1-Normal4"/>
        <w:spacing w:before="120" w:after="120" w:line="240" w:lineRule="auto"/>
        <w:ind w:left="720"/>
        <w:jc w:val="both"/>
        <w:rPr>
          <w:rFonts w:cs="Times New Roman"/>
          <w:noProof/>
        </w:rPr>
      </w:pPr>
      <w:r>
        <w:rPr>
          <w:noProof/>
        </w:rPr>
        <w:t>Šīs investīcijas atbalsta energoefektivitātes uzlabošanu pašvaldību ūdensapgādes un kanalizācijas uzņēmumiem, veicot šādas darbības: I) samazināt sūkņu staciju un sūknēšanas motoru enerģijas patēriņu; un ii) veikt pētījumus, lai optimāli īstenotu darbības šo uzņēmumu energoefektivitātes turpmākai uzlabošanai.</w:t>
      </w:r>
    </w:p>
    <w:p w14:paraId="54078641" w14:textId="77777777" w:rsidR="00CB0FCB" w:rsidRDefault="009D2B11">
      <w:pPr>
        <w:pStyle w:val="P68B1DB1-ListParagraph46"/>
        <w:numPr>
          <w:ilvl w:val="0"/>
          <w:numId w:val="71"/>
        </w:numPr>
        <w:spacing w:before="120" w:after="120" w:line="240" w:lineRule="auto"/>
        <w:ind w:left="1080"/>
        <w:jc w:val="both"/>
        <w:rPr>
          <w:noProof/>
        </w:rPr>
      </w:pPr>
      <w:r>
        <w:rPr>
          <w:noProof/>
        </w:rPr>
        <w:t>Akumulatoru uzkrāšanas sistēmas uzņēmumiem</w:t>
      </w:r>
    </w:p>
    <w:p w14:paraId="3FB659E8" w14:textId="5A0A4FA1" w:rsidR="00CB0FCB" w:rsidRDefault="009D2B11">
      <w:pPr>
        <w:pStyle w:val="P68B1DB1-Normal4"/>
        <w:spacing w:before="120" w:after="120" w:line="240" w:lineRule="auto"/>
        <w:jc w:val="both"/>
        <w:rPr>
          <w:rFonts w:cs="Times New Roman"/>
          <w:noProof/>
        </w:rPr>
      </w:pPr>
      <w:r>
        <w:rPr>
          <w:noProof/>
        </w:rPr>
        <w:t>Šī investīcija atbalsta tādu akumulatoru uzkrāšanas sistēmu uzstādīšanu, kas ir savienotas ar atjaunīgo energoresursu stacijām uzņēmumiem. Investīciju īstenošanu pabeidz līdz 2025. gada 31. decembrim.</w:t>
      </w:r>
    </w:p>
    <w:p w14:paraId="1BDAA51B" w14:textId="6E960A92" w:rsidR="00CB0FCB" w:rsidRDefault="009D2B11">
      <w:pPr>
        <w:pStyle w:val="P68B1DB1-Normal4"/>
        <w:spacing w:before="120" w:after="120" w:line="240" w:lineRule="auto"/>
        <w:jc w:val="both"/>
        <w:rPr>
          <w:rFonts w:cs="Times New Roman"/>
          <w:noProof/>
          <w:szCs w:val="24"/>
        </w:rPr>
      </w:pPr>
      <w:r>
        <w:rPr>
          <w:b/>
          <w:noProof/>
        </w:rPr>
        <w:t>Ieguldījumi</w:t>
      </w:r>
      <w:r>
        <w:rPr>
          <w:noProof/>
        </w:rPr>
        <w:t>: Atjaunīgā ūdeņraža ražošanas projekts (pasākuma ID: 16995)</w:t>
      </w:r>
    </w:p>
    <w:p w14:paraId="2DFCBE39" w14:textId="0D20674C" w:rsidR="00CB0FCB" w:rsidRDefault="009D2B11">
      <w:pPr>
        <w:pStyle w:val="P68B1DB1-Normal4"/>
        <w:spacing w:before="120" w:after="120" w:line="240" w:lineRule="auto"/>
        <w:jc w:val="both"/>
        <w:rPr>
          <w:rFonts w:cs="Times New Roman"/>
          <w:noProof/>
          <w:szCs w:val="24"/>
        </w:rPr>
      </w:pPr>
      <w:r>
        <w:rPr>
          <w:noProof/>
        </w:rPr>
        <w:t xml:space="preserve">Šīs investīcijas mērķis ir veicināt atjaunīgo ūdeņradi Grieķijā, sniedzot finansiālu atbalstu uzņēmumiem. </w:t>
      </w:r>
    </w:p>
    <w:p w14:paraId="1200CADB" w14:textId="673D3009" w:rsidR="00CB0FCB" w:rsidRDefault="009D2B11">
      <w:pPr>
        <w:pStyle w:val="P68B1DB1-Normal4"/>
        <w:spacing w:before="120" w:after="120" w:line="240" w:lineRule="auto"/>
        <w:jc w:val="both"/>
        <w:rPr>
          <w:rFonts w:cs="Times New Roman"/>
          <w:noProof/>
          <w:szCs w:val="24"/>
        </w:rPr>
      </w:pPr>
      <w:r>
        <w:rPr>
          <w:noProof/>
        </w:rPr>
        <w:t xml:space="preserve">Investīcija atbalsta atjaunīgā ūdeņraža ražošanai nepieciešamā aprīkojuma uzstādīšanu, piemēram, elektrolīzeru, nepieciešamā palīgaprīkojuma un elektriskās apakšstacijas uzstādīšanu, ūdeņraža tīkla uzstādīšanu kompresijai, kondicionēšanai, mērīšanai un attīrīšanai (attīrīšanas bloks), ūdeņraža pārvadi un sadali no elektrolīzera uz izvadiem, kā arī inžekcijas ietaisi. </w:t>
      </w:r>
    </w:p>
    <w:p w14:paraId="4372FABE" w14:textId="1B6D9F7C" w:rsidR="00CB0FCB" w:rsidRDefault="009D2B11">
      <w:pPr>
        <w:pStyle w:val="P68B1DB1-Normal5"/>
        <w:spacing w:before="120" w:after="120" w:line="240" w:lineRule="auto"/>
        <w:jc w:val="both"/>
        <w:rPr>
          <w:rFonts w:cs="Times New Roman"/>
          <w:noProof/>
        </w:rPr>
      </w:pPr>
      <w:r>
        <w:rPr>
          <w:noProof/>
        </w:rPr>
        <w:t xml:space="preserve">Atjaunīgā ūdeņraža ražošanā izmanto tikai elektrolīzi. Pārstrādātu oglekļa kurināmo/degvielu ražošanu neparedz kā daļu no šīs investīcijas. </w:t>
      </w:r>
    </w:p>
    <w:p w14:paraId="2D0A13EE" w14:textId="578C25AC" w:rsidR="00CB0FCB" w:rsidRDefault="009D2B11">
      <w:pPr>
        <w:pStyle w:val="P68B1DB1-Normal4"/>
        <w:spacing w:before="120" w:after="120" w:line="240" w:lineRule="auto"/>
        <w:jc w:val="both"/>
        <w:rPr>
          <w:rFonts w:cs="Times New Roman"/>
          <w:noProof/>
          <w:szCs w:val="24"/>
        </w:rPr>
      </w:pPr>
      <w:r>
        <w:rPr>
          <w:noProof/>
        </w:rPr>
        <w:t>Atjaunīgā ūdeņraža ražošanai ir jāatbilst Atjaunojamo energoresursu direktīvai un tās deleģētajiem aktiem (2018/2001/ES).</w:t>
      </w:r>
    </w:p>
    <w:p w14:paraId="76AB612E" w14:textId="77777777" w:rsidR="00CB0FCB" w:rsidRDefault="009D2B11">
      <w:pPr>
        <w:pStyle w:val="P68B1DB1-Normal4"/>
        <w:spacing w:before="120" w:after="120" w:line="240" w:lineRule="auto"/>
        <w:rPr>
          <w:rFonts w:cs="Times New Roman"/>
          <w:noProof/>
          <w:szCs w:val="24"/>
        </w:rPr>
      </w:pPr>
      <w:r>
        <w:rPr>
          <w:noProof/>
        </w:rPr>
        <w:t>Investīciju pabeidz līdz 2025. gada 31. decembrim.</w:t>
      </w:r>
    </w:p>
    <w:p w14:paraId="0890D427" w14:textId="77777777" w:rsidR="00CB0FCB" w:rsidRDefault="00CB0FCB">
      <w:pPr>
        <w:rPr>
          <w:rFonts w:ascii="Cambria" w:eastAsia="Times New Roman" w:hAnsi="Cambria"/>
          <w:noProof/>
          <w:color w:val="365F91" w:themeColor="accent1" w:themeShade="BF"/>
          <w:sz w:val="24"/>
          <w:szCs w:val="24"/>
        </w:rPr>
        <w:sectPr w:rsidR="00CB0FCB" w:rsidSect="00271D33">
          <w:headerReference w:type="even" r:id="rId357"/>
          <w:headerReference w:type="default" r:id="rId358"/>
          <w:footerReference w:type="even" r:id="rId359"/>
          <w:footerReference w:type="default" r:id="rId360"/>
          <w:headerReference w:type="first" r:id="rId361"/>
          <w:footerReference w:type="first" r:id="rId362"/>
          <w:pgSz w:w="11907" w:h="16839"/>
          <w:pgMar w:top="1134" w:right="1134" w:bottom="1134" w:left="1134" w:header="567" w:footer="181" w:gutter="0"/>
          <w:cols w:space="720"/>
          <w:docGrid w:linePitch="360"/>
        </w:sectPr>
      </w:pPr>
    </w:p>
    <w:p w14:paraId="3727994F" w14:textId="77777777" w:rsidR="00CB0FCB" w:rsidRDefault="009D2B11">
      <w:pPr>
        <w:keepNext/>
        <w:keepLines/>
        <w:spacing w:before="40" w:after="0" w:line="240" w:lineRule="auto"/>
        <w:jc w:val="both"/>
        <w:outlineLvl w:val="4"/>
        <w:rPr>
          <w:rFonts w:ascii="Cambria" w:eastAsia="Times New Roman" w:hAnsi="Cambria"/>
          <w:noProof/>
          <w:color w:val="365F91"/>
          <w:sz w:val="24"/>
          <w:szCs w:val="24"/>
        </w:rPr>
      </w:pPr>
      <w:r>
        <w:rPr>
          <w:rFonts w:ascii="Times New Roman" w:hAnsi="Times New Roman"/>
          <w:b/>
          <w:noProof/>
          <w:sz w:val="24"/>
          <w:u w:val="single"/>
        </w:rPr>
        <w:t xml:space="preserve">U.2. </w:t>
      </w:r>
      <w:r>
        <w:rPr>
          <w:noProof/>
        </w:rPr>
        <w:t xml:space="preserve"> </w:t>
      </w:r>
      <w:r>
        <w:rPr>
          <w:rFonts w:ascii="Times New Roman" w:hAnsi="Times New Roman"/>
          <w:b/>
          <w:noProof/>
          <w:sz w:val="24"/>
          <w:u w:val="single"/>
        </w:rPr>
        <w:t>Starpposma mērķi, mērķrādītāji, rādītāji un neatmaksājama finansiālā atbalsta uzraudzības un īstenošanas grafiks</w:t>
      </w:r>
      <w:r>
        <w:rPr>
          <w:rFonts w:ascii="Cambria" w:hAnsi="Cambria"/>
          <w:noProof/>
          <w:color w:val="365F91" w:themeColor="accent1" w:themeShade="BF"/>
          <w:sz w:val="24"/>
        </w:rPr>
        <w:t xml:space="preserve"> </w:t>
      </w:r>
    </w:p>
    <w:p w14:paraId="05314DEF" w14:textId="77777777" w:rsidR="00CB0FCB" w:rsidRDefault="009D2B11">
      <w:pPr>
        <w:pStyle w:val="P68B1DB1-Normal6"/>
        <w:keepNext/>
        <w:keepLines/>
        <w:spacing w:before="240" w:after="0" w:line="240" w:lineRule="auto"/>
        <w:jc w:val="both"/>
        <w:outlineLvl w:val="4"/>
        <w:rPr>
          <w:rFonts w:eastAsia="Times New Roman"/>
          <w:noProof/>
        </w:rPr>
      </w:pPr>
      <w:r>
        <w:rPr>
          <w:noProof/>
        </w:rPr>
        <w:t>Ieguldījums: Enerģijas uzkrāšanas uzstādīšana papildu AER izplatībai (pasākuma ID: 16996)</w:t>
      </w:r>
    </w:p>
    <w:p w14:paraId="4F878252" w14:textId="77777777" w:rsidR="00CB0FCB" w:rsidRDefault="00CB0FCB">
      <w:pPr>
        <w:rPr>
          <w:noProof/>
        </w:rPr>
      </w:pPr>
    </w:p>
    <w:tbl>
      <w:tblPr>
        <w:tblpPr w:leftFromText="181" w:rightFromText="181" w:vertAnchor="text" w:tblpY="1"/>
        <w:tblOverlap w:val="never"/>
        <w:tblW w:w="14454" w:type="dxa"/>
        <w:tblLayout w:type="fixed"/>
        <w:tblLook w:val="04A0" w:firstRow="1" w:lastRow="0" w:firstColumn="1" w:lastColumn="0" w:noHBand="0" w:noVBand="1"/>
      </w:tblPr>
      <w:tblGrid>
        <w:gridCol w:w="1075"/>
        <w:gridCol w:w="1956"/>
        <w:gridCol w:w="1005"/>
        <w:gridCol w:w="1076"/>
        <w:gridCol w:w="1646"/>
        <w:gridCol w:w="1022"/>
        <w:gridCol w:w="1022"/>
        <w:gridCol w:w="638"/>
        <w:gridCol w:w="1060"/>
        <w:gridCol w:w="877"/>
        <w:gridCol w:w="3077"/>
      </w:tblGrid>
      <w:tr w:rsidR="00CB0FCB" w14:paraId="66836DDD" w14:textId="77777777">
        <w:trPr>
          <w:trHeight w:val="1125"/>
          <w:tblHeader/>
        </w:trPr>
        <w:tc>
          <w:tcPr>
            <w:tcW w:w="10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9F5BFB" w14:textId="77777777" w:rsidR="00CB0FCB" w:rsidRDefault="009D2B11">
            <w:pPr>
              <w:pStyle w:val="P68B1DB1-Normal7"/>
              <w:spacing w:before="120" w:after="120" w:line="240" w:lineRule="auto"/>
              <w:jc w:val="center"/>
              <w:rPr>
                <w:rFonts w:cs="Times New Roman"/>
                <w:noProof/>
                <w:sz w:val="24"/>
              </w:rPr>
            </w:pPr>
            <w:r>
              <w:rPr>
                <w:noProof/>
              </w:rPr>
              <w:t>Kārtas numurs</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987E02" w14:textId="77777777" w:rsidR="00CB0FCB" w:rsidRDefault="009D2B11">
            <w:pPr>
              <w:pStyle w:val="P68B1DB1-Normal7"/>
              <w:spacing w:before="120" w:after="120" w:line="240" w:lineRule="auto"/>
              <w:jc w:val="center"/>
              <w:rPr>
                <w:rFonts w:cs="Times New Roman"/>
                <w:noProof/>
                <w:sz w:val="24"/>
              </w:rPr>
            </w:pPr>
            <w:r>
              <w:rPr>
                <w:noProof/>
              </w:rPr>
              <w:t>Saistītais pasākums (reforma vai ieguldījums)</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26D3B0" w14:textId="77777777" w:rsidR="00CB0FCB" w:rsidRDefault="009D2B11">
            <w:pPr>
              <w:pStyle w:val="P68B1DB1-Normal7"/>
              <w:spacing w:before="120" w:after="120" w:line="240" w:lineRule="auto"/>
              <w:jc w:val="center"/>
              <w:rPr>
                <w:rFonts w:cs="Times New Roman"/>
                <w:noProof/>
                <w:sz w:val="24"/>
              </w:rPr>
            </w:pPr>
            <w:r>
              <w:rPr>
                <w:noProof/>
              </w:rPr>
              <w:t>Atskaites punkts/mērķrādītājs</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93F348" w14:textId="77777777" w:rsidR="00CB0FCB" w:rsidRDefault="009D2B11">
            <w:pPr>
              <w:pStyle w:val="P68B1DB1-Normal7"/>
              <w:spacing w:before="120" w:after="120" w:line="240" w:lineRule="auto"/>
              <w:jc w:val="center"/>
              <w:rPr>
                <w:rFonts w:cs="Times New Roman"/>
                <w:noProof/>
                <w:sz w:val="24"/>
              </w:rPr>
            </w:pPr>
            <w:r>
              <w:rPr>
                <w:noProof/>
              </w:rPr>
              <w:t>Nosaukums</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7E9042C" w14:textId="77777777" w:rsidR="00CB0FCB" w:rsidRDefault="009D2B11">
            <w:pPr>
              <w:pStyle w:val="P68B1DB1-Normal7"/>
              <w:spacing w:before="120" w:after="120" w:line="240" w:lineRule="auto"/>
              <w:jc w:val="center"/>
              <w:rPr>
                <w:rFonts w:cs="Times New Roman"/>
                <w:noProof/>
                <w:sz w:val="24"/>
                <w:szCs w:val="24"/>
              </w:rPr>
            </w:pPr>
            <w:r>
              <w:rPr>
                <w:noProof/>
              </w:rPr>
              <w:t>Kvalitatīvie rādītāji (atskaites punktiem)</w:t>
            </w:r>
          </w:p>
        </w:tc>
        <w:tc>
          <w:tcPr>
            <w:tcW w:w="26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151DEDB" w14:textId="77777777" w:rsidR="00CB0FCB" w:rsidRDefault="009D2B11">
            <w:pPr>
              <w:pStyle w:val="P68B1DB1-Normal7"/>
              <w:spacing w:before="120" w:after="120" w:line="240" w:lineRule="auto"/>
              <w:jc w:val="center"/>
              <w:rPr>
                <w:rFonts w:cs="Times New Roman"/>
                <w:noProof/>
                <w:sz w:val="24"/>
                <w:szCs w:val="24"/>
              </w:rPr>
            </w:pPr>
            <w:r>
              <w:rPr>
                <w:noProof/>
              </w:rPr>
              <w:t>Kvantitatīvie rādītāji (mērķrādītājiem)</w:t>
            </w:r>
          </w:p>
        </w:tc>
        <w:tc>
          <w:tcPr>
            <w:tcW w:w="1937" w:type="dxa"/>
            <w:gridSpan w:val="2"/>
            <w:tcBorders>
              <w:top w:val="single" w:sz="4" w:space="0" w:color="auto"/>
              <w:left w:val="nil"/>
              <w:bottom w:val="single" w:sz="4" w:space="0" w:color="auto"/>
              <w:right w:val="single" w:sz="4" w:space="0" w:color="auto"/>
            </w:tcBorders>
            <w:shd w:val="clear" w:color="auto" w:fill="BDD7EE"/>
            <w:vAlign w:val="center"/>
            <w:hideMark/>
          </w:tcPr>
          <w:p w14:paraId="2CDF4D5A" w14:textId="77777777" w:rsidR="00CB0FCB" w:rsidRDefault="009D2B11">
            <w:pPr>
              <w:pStyle w:val="P68B1DB1-Normal7"/>
              <w:spacing w:before="120" w:after="120" w:line="240" w:lineRule="auto"/>
              <w:jc w:val="center"/>
              <w:rPr>
                <w:rFonts w:cs="Times New Roman"/>
                <w:noProof/>
                <w:sz w:val="24"/>
              </w:rPr>
            </w:pPr>
            <w:r>
              <w:rPr>
                <w:noProof/>
              </w:rPr>
              <w:t>Orientējošs pabeigšanas termiņš</w:t>
            </w:r>
          </w:p>
        </w:tc>
        <w:tc>
          <w:tcPr>
            <w:tcW w:w="30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A74EB7" w14:textId="77777777" w:rsidR="00CB0FCB" w:rsidRDefault="009D2B11">
            <w:pPr>
              <w:pStyle w:val="P68B1DB1-Normal7"/>
              <w:spacing w:before="120" w:after="120" w:line="240" w:lineRule="auto"/>
              <w:jc w:val="center"/>
              <w:rPr>
                <w:rFonts w:cs="Times New Roman"/>
                <w:noProof/>
                <w:sz w:val="24"/>
              </w:rPr>
            </w:pPr>
            <w:r>
              <w:rPr>
                <w:noProof/>
              </w:rPr>
              <w:t>Apraksts par katru atskaites punktu un mērķrādītāju</w:t>
            </w:r>
          </w:p>
        </w:tc>
      </w:tr>
      <w:tr w:rsidR="00CB0FCB" w14:paraId="31918F94" w14:textId="77777777">
        <w:trPr>
          <w:trHeight w:val="414"/>
          <w:tblHeader/>
        </w:trPr>
        <w:tc>
          <w:tcPr>
            <w:tcW w:w="1075" w:type="dxa"/>
            <w:vMerge/>
            <w:tcBorders>
              <w:top w:val="single" w:sz="4" w:space="0" w:color="auto"/>
              <w:left w:val="single" w:sz="4" w:space="0" w:color="auto"/>
              <w:bottom w:val="single" w:sz="4" w:space="0" w:color="auto"/>
              <w:right w:val="single" w:sz="4" w:space="0" w:color="auto"/>
            </w:tcBorders>
            <w:vAlign w:val="center"/>
          </w:tcPr>
          <w:p w14:paraId="5B1A97A4"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956" w:type="dxa"/>
            <w:vMerge/>
            <w:tcBorders>
              <w:top w:val="single" w:sz="4" w:space="0" w:color="auto"/>
              <w:left w:val="single" w:sz="4" w:space="0" w:color="auto"/>
              <w:bottom w:val="single" w:sz="4" w:space="0" w:color="auto"/>
              <w:right w:val="single" w:sz="4" w:space="0" w:color="auto"/>
            </w:tcBorders>
            <w:vAlign w:val="center"/>
          </w:tcPr>
          <w:p w14:paraId="26385F0C"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5BA31B7C"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76" w:type="dxa"/>
            <w:vMerge/>
            <w:tcBorders>
              <w:top w:val="single" w:sz="4" w:space="0" w:color="auto"/>
              <w:left w:val="single" w:sz="4" w:space="0" w:color="auto"/>
              <w:bottom w:val="single" w:sz="4" w:space="0" w:color="auto"/>
              <w:right w:val="single" w:sz="4" w:space="0" w:color="auto"/>
            </w:tcBorders>
            <w:vAlign w:val="center"/>
          </w:tcPr>
          <w:p w14:paraId="1B6252DE"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646" w:type="dxa"/>
            <w:vMerge/>
            <w:tcBorders>
              <w:top w:val="single" w:sz="4" w:space="0" w:color="auto"/>
              <w:left w:val="single" w:sz="4" w:space="0" w:color="auto"/>
              <w:bottom w:val="single" w:sz="4" w:space="0" w:color="auto"/>
              <w:right w:val="single" w:sz="4" w:space="0" w:color="auto"/>
            </w:tcBorders>
            <w:vAlign w:val="center"/>
          </w:tcPr>
          <w:p w14:paraId="2611DAED"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BDD7EE"/>
            <w:vAlign w:val="center"/>
          </w:tcPr>
          <w:p w14:paraId="16088C7E" w14:textId="77777777" w:rsidR="00CB0FCB" w:rsidRDefault="009D2B11">
            <w:pPr>
              <w:pStyle w:val="P68B1DB1-Normal7"/>
              <w:spacing w:before="120" w:after="120" w:line="240" w:lineRule="auto"/>
              <w:jc w:val="center"/>
              <w:rPr>
                <w:rFonts w:eastAsia="Times New Roman" w:cs="Times New Roman"/>
                <w:bCs/>
                <w:noProof/>
                <w:szCs w:val="18"/>
              </w:rPr>
            </w:pPr>
            <w:r>
              <w:rPr>
                <w:noProof/>
              </w:rPr>
              <w:t>Mēra vienība</w:t>
            </w:r>
          </w:p>
        </w:tc>
        <w:tc>
          <w:tcPr>
            <w:tcW w:w="1022" w:type="dxa"/>
            <w:tcBorders>
              <w:top w:val="single" w:sz="4" w:space="0" w:color="auto"/>
              <w:left w:val="nil"/>
              <w:bottom w:val="single" w:sz="4" w:space="0" w:color="auto"/>
              <w:right w:val="single" w:sz="4" w:space="0" w:color="auto"/>
            </w:tcBorders>
            <w:shd w:val="clear" w:color="auto" w:fill="BDD7EE"/>
            <w:vAlign w:val="center"/>
          </w:tcPr>
          <w:p w14:paraId="610281CE" w14:textId="77777777" w:rsidR="00CB0FCB" w:rsidRDefault="009D2B11">
            <w:pPr>
              <w:pStyle w:val="P68B1DB1-Normal7"/>
              <w:spacing w:before="120" w:after="120" w:line="240" w:lineRule="auto"/>
              <w:jc w:val="center"/>
              <w:rPr>
                <w:rFonts w:eastAsia="Times New Roman" w:cs="Times New Roman"/>
                <w:bCs/>
                <w:noProof/>
                <w:szCs w:val="18"/>
              </w:rPr>
            </w:pPr>
            <w:r>
              <w:rPr>
                <w:noProof/>
              </w:rPr>
              <w:t>Pamatscenārijs</w:t>
            </w:r>
          </w:p>
        </w:tc>
        <w:tc>
          <w:tcPr>
            <w:tcW w:w="638" w:type="dxa"/>
            <w:tcBorders>
              <w:top w:val="single" w:sz="4" w:space="0" w:color="auto"/>
              <w:left w:val="nil"/>
              <w:bottom w:val="single" w:sz="4" w:space="0" w:color="auto"/>
              <w:right w:val="single" w:sz="4" w:space="0" w:color="auto"/>
            </w:tcBorders>
            <w:shd w:val="clear" w:color="auto" w:fill="BDD7EE"/>
            <w:vAlign w:val="center"/>
          </w:tcPr>
          <w:p w14:paraId="383AB957" w14:textId="77777777" w:rsidR="00CB0FCB" w:rsidRDefault="009D2B11">
            <w:pPr>
              <w:pStyle w:val="P68B1DB1-Normal7"/>
              <w:spacing w:before="120" w:after="120" w:line="240" w:lineRule="auto"/>
              <w:jc w:val="center"/>
              <w:rPr>
                <w:rFonts w:eastAsia="Times New Roman" w:cs="Times New Roman"/>
                <w:bCs/>
                <w:noProof/>
                <w:szCs w:val="18"/>
              </w:rPr>
            </w:pPr>
            <w:r>
              <w:rPr>
                <w:noProof/>
              </w:rPr>
              <w:t>Mērķis</w:t>
            </w:r>
          </w:p>
        </w:tc>
        <w:tc>
          <w:tcPr>
            <w:tcW w:w="1060" w:type="dxa"/>
            <w:tcBorders>
              <w:top w:val="single" w:sz="4" w:space="0" w:color="auto"/>
              <w:left w:val="nil"/>
              <w:bottom w:val="single" w:sz="4" w:space="0" w:color="auto"/>
              <w:right w:val="single" w:sz="4" w:space="0" w:color="auto"/>
            </w:tcBorders>
            <w:shd w:val="clear" w:color="auto" w:fill="BDD7EE"/>
            <w:vAlign w:val="center"/>
          </w:tcPr>
          <w:p w14:paraId="3FE521F6" w14:textId="77777777" w:rsidR="00CB0FCB" w:rsidRDefault="009D2B11">
            <w:pPr>
              <w:pStyle w:val="P68B1DB1-Normal7"/>
              <w:spacing w:before="120" w:after="120" w:line="240" w:lineRule="auto"/>
              <w:jc w:val="center"/>
              <w:rPr>
                <w:rFonts w:eastAsia="Times New Roman" w:cs="Times New Roman"/>
                <w:bCs/>
                <w:noProof/>
                <w:szCs w:val="18"/>
              </w:rPr>
            </w:pPr>
            <w:r>
              <w:rPr>
                <w:noProof/>
              </w:rPr>
              <w:t>Ceturkšņa laikā</w:t>
            </w:r>
          </w:p>
        </w:tc>
        <w:tc>
          <w:tcPr>
            <w:tcW w:w="877" w:type="dxa"/>
            <w:tcBorders>
              <w:top w:val="single" w:sz="4" w:space="0" w:color="auto"/>
              <w:left w:val="nil"/>
              <w:bottom w:val="single" w:sz="4" w:space="0" w:color="auto"/>
              <w:right w:val="single" w:sz="4" w:space="0" w:color="auto"/>
            </w:tcBorders>
            <w:shd w:val="clear" w:color="auto" w:fill="BDD7EE"/>
            <w:vAlign w:val="center"/>
          </w:tcPr>
          <w:p w14:paraId="5454AEA9" w14:textId="77777777" w:rsidR="00CB0FCB" w:rsidRDefault="009D2B11">
            <w:pPr>
              <w:pStyle w:val="P68B1DB1-Normal7"/>
              <w:spacing w:before="120" w:after="120" w:line="240" w:lineRule="auto"/>
              <w:jc w:val="center"/>
              <w:rPr>
                <w:rFonts w:eastAsia="Times New Roman" w:cs="Times New Roman"/>
                <w:bCs/>
                <w:noProof/>
                <w:szCs w:val="18"/>
              </w:rPr>
            </w:pPr>
            <w:r>
              <w:rPr>
                <w:noProof/>
              </w:rPr>
              <w:t>Gadu</w:t>
            </w:r>
          </w:p>
        </w:tc>
        <w:tc>
          <w:tcPr>
            <w:tcW w:w="3077" w:type="dxa"/>
            <w:vMerge/>
            <w:tcBorders>
              <w:top w:val="single" w:sz="4" w:space="0" w:color="auto"/>
              <w:bottom w:val="single" w:sz="4" w:space="0" w:color="auto"/>
              <w:right w:val="single" w:sz="4" w:space="0" w:color="auto"/>
            </w:tcBorders>
            <w:vAlign w:val="center"/>
          </w:tcPr>
          <w:p w14:paraId="4FBD707F" w14:textId="77777777" w:rsidR="00CB0FCB" w:rsidRDefault="00CB0FCB">
            <w:pPr>
              <w:spacing w:before="120" w:after="120" w:line="240" w:lineRule="auto"/>
              <w:jc w:val="center"/>
              <w:rPr>
                <w:rFonts w:ascii="Times New Roman" w:eastAsia="Times New Roman" w:hAnsi="Times New Roman" w:cs="Times New Roman"/>
                <w:b/>
                <w:bCs/>
                <w:noProof/>
                <w:sz w:val="18"/>
                <w:szCs w:val="18"/>
              </w:rPr>
            </w:pPr>
          </w:p>
        </w:tc>
      </w:tr>
      <w:tr w:rsidR="00CB0FCB" w14:paraId="6FBE293D" w14:textId="77777777">
        <w:tc>
          <w:tcPr>
            <w:tcW w:w="1075" w:type="dxa"/>
            <w:tcBorders>
              <w:top w:val="single" w:sz="4" w:space="0" w:color="auto"/>
              <w:left w:val="single" w:sz="4" w:space="0" w:color="auto"/>
              <w:bottom w:val="single" w:sz="4" w:space="0" w:color="auto"/>
              <w:right w:val="single" w:sz="4" w:space="0" w:color="auto"/>
            </w:tcBorders>
            <w:shd w:val="clear" w:color="auto" w:fill="C6EFCE"/>
            <w:noWrap/>
          </w:tcPr>
          <w:p w14:paraId="383DF9A2" w14:textId="77777777" w:rsidR="00CB0FCB" w:rsidRDefault="009D2B11">
            <w:pPr>
              <w:pStyle w:val="P68B1DB1-Normal9"/>
              <w:spacing w:after="0" w:line="240" w:lineRule="auto"/>
              <w:rPr>
                <w:rFonts w:asciiTheme="minorHAnsi" w:eastAsia="Times New Roman" w:hAnsiTheme="minorHAnsi" w:cstheme="minorHAnsi"/>
                <w:noProof/>
                <w:szCs w:val="18"/>
              </w:rPr>
            </w:pPr>
            <w:r>
              <w:rPr>
                <w:noProof/>
              </w:rPr>
              <w:t>365</w:t>
            </w:r>
          </w:p>
        </w:tc>
        <w:tc>
          <w:tcPr>
            <w:tcW w:w="1956" w:type="dxa"/>
            <w:tcBorders>
              <w:top w:val="single" w:sz="4" w:space="0" w:color="auto"/>
              <w:left w:val="nil"/>
              <w:bottom w:val="single" w:sz="4" w:space="0" w:color="auto"/>
              <w:right w:val="single" w:sz="4" w:space="0" w:color="auto"/>
            </w:tcBorders>
            <w:shd w:val="clear" w:color="auto" w:fill="C6EFCE"/>
            <w:noWrap/>
          </w:tcPr>
          <w:p w14:paraId="3C9E7FAA" w14:textId="6AB50B8E" w:rsidR="00CB0FCB" w:rsidRDefault="009D2B11">
            <w:pPr>
              <w:pStyle w:val="P68B1DB1-Normal9"/>
              <w:spacing w:after="0" w:line="240" w:lineRule="auto"/>
              <w:rPr>
                <w:rFonts w:eastAsia="Times New Roman" w:cs="Calibri"/>
                <w:noProof/>
                <w:szCs w:val="18"/>
              </w:rPr>
            </w:pPr>
            <w:r>
              <w:rPr>
                <w:noProof/>
              </w:rPr>
              <w:t>21–5,2 REPowerEU investīcijas — 16996_Enerģijas uzkrāšanas uzstādīšana papildu AER izplatībai</w:t>
            </w:r>
          </w:p>
        </w:tc>
        <w:tc>
          <w:tcPr>
            <w:tcW w:w="1005" w:type="dxa"/>
            <w:tcBorders>
              <w:top w:val="single" w:sz="4" w:space="0" w:color="auto"/>
              <w:left w:val="nil"/>
              <w:bottom w:val="single" w:sz="4" w:space="0" w:color="auto"/>
              <w:right w:val="single" w:sz="4" w:space="0" w:color="auto"/>
            </w:tcBorders>
            <w:shd w:val="clear" w:color="auto" w:fill="C6EFCE"/>
            <w:noWrap/>
          </w:tcPr>
          <w:p w14:paraId="27945EFF"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076" w:type="dxa"/>
            <w:tcBorders>
              <w:top w:val="single" w:sz="4" w:space="0" w:color="auto"/>
              <w:left w:val="nil"/>
              <w:bottom w:val="single" w:sz="4" w:space="0" w:color="auto"/>
              <w:right w:val="single" w:sz="4" w:space="0" w:color="auto"/>
            </w:tcBorders>
            <w:shd w:val="clear" w:color="auto" w:fill="C6EFCE"/>
            <w:noWrap/>
          </w:tcPr>
          <w:p w14:paraId="020D25FF" w14:textId="2F8AF1CD" w:rsidR="00CB0FCB" w:rsidRDefault="009D2B11">
            <w:pPr>
              <w:pStyle w:val="P68B1DB1-Normal9"/>
              <w:spacing w:after="0" w:line="240" w:lineRule="auto"/>
              <w:rPr>
                <w:rFonts w:ascii="Times New Roman" w:eastAsia="Times New Roman" w:hAnsi="Times New Roman" w:cs="Times New Roman"/>
                <w:noProof/>
                <w:szCs w:val="18"/>
              </w:rPr>
            </w:pPr>
            <w:r>
              <w:rPr>
                <w:noProof/>
              </w:rPr>
              <w:t>Apstiprināti enerģijas uzkrāšanas projekti</w:t>
            </w:r>
          </w:p>
        </w:tc>
        <w:tc>
          <w:tcPr>
            <w:tcW w:w="1646" w:type="dxa"/>
            <w:tcBorders>
              <w:top w:val="single" w:sz="4" w:space="0" w:color="auto"/>
              <w:left w:val="nil"/>
              <w:bottom w:val="single" w:sz="4" w:space="0" w:color="auto"/>
              <w:right w:val="single" w:sz="4" w:space="0" w:color="auto"/>
            </w:tcBorders>
            <w:shd w:val="clear" w:color="auto" w:fill="C6EFCE"/>
            <w:noWrap/>
          </w:tcPr>
          <w:p w14:paraId="4D775471" w14:textId="05E50A3A" w:rsidR="00CB0FCB" w:rsidRDefault="009D2B11">
            <w:pPr>
              <w:pStyle w:val="P68B1DB1-Normal9"/>
              <w:spacing w:after="120" w:line="240" w:lineRule="auto"/>
              <w:rPr>
                <w:rFonts w:ascii="Times New Roman" w:eastAsia="Times New Roman" w:hAnsi="Times New Roman" w:cs="Times New Roman"/>
                <w:noProof/>
                <w:szCs w:val="18"/>
              </w:rPr>
            </w:pPr>
            <w:r>
              <w:rPr>
                <w:noProof/>
              </w:rPr>
              <w:t>Apstiprinājuma lēmums</w:t>
            </w:r>
          </w:p>
        </w:tc>
        <w:tc>
          <w:tcPr>
            <w:tcW w:w="1022" w:type="dxa"/>
            <w:tcBorders>
              <w:top w:val="nil"/>
              <w:left w:val="nil"/>
              <w:bottom w:val="single" w:sz="4" w:space="0" w:color="auto"/>
              <w:right w:val="single" w:sz="4" w:space="0" w:color="auto"/>
            </w:tcBorders>
            <w:shd w:val="clear" w:color="auto" w:fill="C6EFCE"/>
            <w:noWrap/>
          </w:tcPr>
          <w:p w14:paraId="75EF64B7" w14:textId="77777777" w:rsidR="00CB0FCB" w:rsidRDefault="00CB0FCB">
            <w:pPr>
              <w:spacing w:after="0" w:line="240" w:lineRule="auto"/>
              <w:rPr>
                <w:rFonts w:ascii="Times New Roman" w:eastAsia="Times New Roman" w:hAnsi="Times New Roman" w:cs="Times New Roman"/>
                <w:noProof/>
                <w:sz w:val="18"/>
                <w:szCs w:val="18"/>
              </w:rPr>
            </w:pPr>
          </w:p>
        </w:tc>
        <w:tc>
          <w:tcPr>
            <w:tcW w:w="1022" w:type="dxa"/>
            <w:tcBorders>
              <w:top w:val="nil"/>
              <w:left w:val="nil"/>
              <w:bottom w:val="single" w:sz="4" w:space="0" w:color="auto"/>
              <w:right w:val="single" w:sz="4" w:space="0" w:color="auto"/>
            </w:tcBorders>
            <w:shd w:val="clear" w:color="auto" w:fill="C6EFCE"/>
            <w:noWrap/>
          </w:tcPr>
          <w:p w14:paraId="7BF7C660" w14:textId="77777777" w:rsidR="00CB0FCB" w:rsidRDefault="00CB0FCB">
            <w:pPr>
              <w:spacing w:after="0" w:line="240" w:lineRule="auto"/>
              <w:rPr>
                <w:rFonts w:ascii="Times New Roman" w:eastAsia="Times New Roman" w:hAnsi="Times New Roman" w:cs="Times New Roman"/>
                <w:noProof/>
                <w:sz w:val="18"/>
                <w:szCs w:val="18"/>
              </w:rPr>
            </w:pPr>
          </w:p>
        </w:tc>
        <w:tc>
          <w:tcPr>
            <w:tcW w:w="638" w:type="dxa"/>
            <w:tcBorders>
              <w:top w:val="nil"/>
              <w:left w:val="nil"/>
              <w:bottom w:val="single" w:sz="4" w:space="0" w:color="auto"/>
              <w:right w:val="single" w:sz="4" w:space="0" w:color="auto"/>
            </w:tcBorders>
            <w:shd w:val="clear" w:color="auto" w:fill="C6EFCE"/>
            <w:noWrap/>
          </w:tcPr>
          <w:p w14:paraId="6B82417D" w14:textId="77777777" w:rsidR="00CB0FCB" w:rsidRDefault="00CB0FCB">
            <w:pPr>
              <w:spacing w:after="0" w:line="240" w:lineRule="auto"/>
              <w:rPr>
                <w:rFonts w:ascii="Times New Roman" w:eastAsia="Times New Roman" w:hAnsi="Times New Roman" w:cs="Times New Roman"/>
                <w:noProof/>
                <w:sz w:val="18"/>
                <w:szCs w:val="18"/>
              </w:rPr>
            </w:pPr>
          </w:p>
        </w:tc>
        <w:tc>
          <w:tcPr>
            <w:tcW w:w="1060" w:type="dxa"/>
            <w:tcBorders>
              <w:top w:val="nil"/>
              <w:left w:val="nil"/>
              <w:bottom w:val="single" w:sz="4" w:space="0" w:color="auto"/>
              <w:right w:val="single" w:sz="4" w:space="0" w:color="auto"/>
            </w:tcBorders>
            <w:shd w:val="clear" w:color="auto" w:fill="C6EFCE"/>
            <w:noWrap/>
          </w:tcPr>
          <w:p w14:paraId="7F1758E9" w14:textId="77777777" w:rsidR="00CB0FCB" w:rsidRDefault="009D2B11">
            <w:pPr>
              <w:pStyle w:val="P68B1DB1-Normal9"/>
              <w:spacing w:after="120" w:line="240" w:lineRule="auto"/>
              <w:rPr>
                <w:rFonts w:eastAsia="Times New Roman"/>
                <w:noProof/>
                <w:szCs w:val="18"/>
              </w:rPr>
            </w:pPr>
            <w:r>
              <w:rPr>
                <w:noProof/>
              </w:rPr>
              <w:t>2. CET.</w:t>
            </w:r>
          </w:p>
        </w:tc>
        <w:tc>
          <w:tcPr>
            <w:tcW w:w="877" w:type="dxa"/>
            <w:tcBorders>
              <w:top w:val="nil"/>
              <w:left w:val="nil"/>
              <w:bottom w:val="single" w:sz="4" w:space="0" w:color="auto"/>
              <w:right w:val="single" w:sz="4" w:space="0" w:color="auto"/>
            </w:tcBorders>
            <w:shd w:val="clear" w:color="auto" w:fill="C6EFCE"/>
            <w:noWrap/>
          </w:tcPr>
          <w:p w14:paraId="3DBAD044" w14:textId="77777777" w:rsidR="00CB0FCB" w:rsidRDefault="009D2B11">
            <w:pPr>
              <w:pStyle w:val="P68B1DB1-Normal9"/>
              <w:spacing w:after="120" w:line="240" w:lineRule="auto"/>
              <w:rPr>
                <w:rFonts w:eastAsia="Times New Roman"/>
                <w:noProof/>
                <w:szCs w:val="18"/>
              </w:rPr>
            </w:pPr>
            <w:r>
              <w:rPr>
                <w:noProof/>
              </w:rPr>
              <w:t>2024</w:t>
            </w:r>
          </w:p>
        </w:tc>
        <w:tc>
          <w:tcPr>
            <w:tcW w:w="3077" w:type="dxa"/>
            <w:tcBorders>
              <w:top w:val="single" w:sz="4" w:space="0" w:color="auto"/>
              <w:left w:val="nil"/>
              <w:bottom w:val="single" w:sz="4" w:space="0" w:color="auto"/>
              <w:right w:val="single" w:sz="4" w:space="0" w:color="auto"/>
            </w:tcBorders>
            <w:shd w:val="clear" w:color="auto" w:fill="C6EFCE"/>
            <w:noWrap/>
          </w:tcPr>
          <w:p w14:paraId="42D490A7" w14:textId="29830764" w:rsidR="00CB0FCB" w:rsidRDefault="009D2B11">
            <w:pPr>
              <w:pStyle w:val="P68B1DB1-Normal9"/>
              <w:spacing w:after="0" w:line="240" w:lineRule="auto"/>
              <w:rPr>
                <w:rFonts w:ascii="Times New Roman" w:eastAsia="Times New Roman" w:hAnsi="Times New Roman" w:cs="Times New Roman"/>
                <w:noProof/>
                <w:szCs w:val="18"/>
              </w:rPr>
            </w:pPr>
            <w:r>
              <w:rPr>
                <w:noProof/>
              </w:rPr>
              <w:t xml:space="preserve">RAAWW apstiprinājuma lēmuma publicēšana projektiem, kuru kopējā uzstādītā elektroenerģijas uzkrāšanas jauda ir 175 MW. </w:t>
            </w:r>
          </w:p>
        </w:tc>
      </w:tr>
      <w:tr w:rsidR="00CB0FCB" w14:paraId="436F2BD7" w14:textId="77777777">
        <w:tc>
          <w:tcPr>
            <w:tcW w:w="1075" w:type="dxa"/>
            <w:tcBorders>
              <w:top w:val="nil"/>
              <w:left w:val="single" w:sz="4" w:space="0" w:color="auto"/>
              <w:bottom w:val="single" w:sz="4" w:space="0" w:color="auto"/>
              <w:right w:val="single" w:sz="4" w:space="0" w:color="auto"/>
            </w:tcBorders>
            <w:shd w:val="clear" w:color="auto" w:fill="C6EFCE"/>
            <w:noWrap/>
          </w:tcPr>
          <w:p w14:paraId="6D40E971" w14:textId="77777777" w:rsidR="00CB0FCB" w:rsidRDefault="009D2B11">
            <w:pPr>
              <w:pStyle w:val="P68B1DB1-Normal9"/>
              <w:spacing w:after="0" w:line="240" w:lineRule="auto"/>
              <w:rPr>
                <w:rFonts w:eastAsia="Times New Roman" w:cs="Calibri"/>
                <w:noProof/>
                <w:szCs w:val="18"/>
              </w:rPr>
            </w:pPr>
            <w:r>
              <w:rPr>
                <w:noProof/>
              </w:rPr>
              <w:t>366</w:t>
            </w:r>
          </w:p>
        </w:tc>
        <w:tc>
          <w:tcPr>
            <w:tcW w:w="1956" w:type="dxa"/>
            <w:tcBorders>
              <w:top w:val="nil"/>
              <w:left w:val="nil"/>
              <w:bottom w:val="single" w:sz="4" w:space="0" w:color="auto"/>
              <w:right w:val="single" w:sz="4" w:space="0" w:color="auto"/>
            </w:tcBorders>
            <w:shd w:val="clear" w:color="auto" w:fill="C6EFCE"/>
            <w:noWrap/>
          </w:tcPr>
          <w:p w14:paraId="6E487D9F" w14:textId="22BF49F1" w:rsidR="00CB0FCB" w:rsidRDefault="009D2B11">
            <w:pPr>
              <w:pStyle w:val="P68B1DB1-Normal9"/>
              <w:spacing w:after="0" w:line="240" w:lineRule="auto"/>
              <w:rPr>
                <w:rFonts w:ascii="Times New Roman" w:hAnsi="Times New Roman" w:cs="Times New Roman"/>
                <w:noProof/>
                <w:sz w:val="24"/>
                <w:szCs w:val="24"/>
              </w:rPr>
            </w:pPr>
            <w:r>
              <w:rPr>
                <w:noProof/>
              </w:rPr>
              <w:t>21–5,2 REPowerEU investīcijas — 16996_Enerģijas uzkrāšanas uzstādīšana papildu AER izplatībai</w:t>
            </w:r>
          </w:p>
        </w:tc>
        <w:tc>
          <w:tcPr>
            <w:tcW w:w="1005" w:type="dxa"/>
            <w:tcBorders>
              <w:top w:val="nil"/>
              <w:left w:val="nil"/>
              <w:bottom w:val="single" w:sz="4" w:space="0" w:color="auto"/>
              <w:right w:val="single" w:sz="4" w:space="0" w:color="auto"/>
            </w:tcBorders>
            <w:shd w:val="clear" w:color="auto" w:fill="C6EFCE"/>
            <w:noWrap/>
          </w:tcPr>
          <w:p w14:paraId="6E083A6A" w14:textId="77777777" w:rsidR="00CB0FCB" w:rsidRDefault="009D2B11">
            <w:pPr>
              <w:pStyle w:val="P68B1DB1-Normal9"/>
              <w:spacing w:after="120" w:line="240" w:lineRule="auto"/>
              <w:rPr>
                <w:rFonts w:ascii="Times New Roman" w:hAnsi="Times New Roman" w:cs="Times New Roman"/>
                <w:noProof/>
                <w:sz w:val="24"/>
              </w:rPr>
            </w:pPr>
            <w:r>
              <w:rPr>
                <w:noProof/>
              </w:rPr>
              <w:t>Atskaites punkts</w:t>
            </w:r>
          </w:p>
        </w:tc>
        <w:tc>
          <w:tcPr>
            <w:tcW w:w="1076" w:type="dxa"/>
            <w:tcBorders>
              <w:top w:val="nil"/>
              <w:left w:val="nil"/>
              <w:bottom w:val="single" w:sz="4" w:space="0" w:color="auto"/>
              <w:right w:val="single" w:sz="4" w:space="0" w:color="auto"/>
            </w:tcBorders>
            <w:shd w:val="clear" w:color="auto" w:fill="C6EFCE"/>
            <w:noWrap/>
          </w:tcPr>
          <w:p w14:paraId="4CB5E5E0" w14:textId="69CC7037" w:rsidR="00CB0FCB" w:rsidRDefault="009D2B11">
            <w:pPr>
              <w:pStyle w:val="P68B1DB1-Normal9"/>
              <w:spacing w:after="0" w:line="240" w:lineRule="auto"/>
              <w:rPr>
                <w:rFonts w:eastAsia="Times New Roman"/>
                <w:noProof/>
                <w:szCs w:val="18"/>
              </w:rPr>
            </w:pPr>
            <w:r>
              <w:rPr>
                <w:noProof/>
              </w:rPr>
              <w:t>Uzglabāšanas iekārtu uzstādīšanas pabeigšana</w:t>
            </w:r>
          </w:p>
        </w:tc>
        <w:tc>
          <w:tcPr>
            <w:tcW w:w="1646" w:type="dxa"/>
            <w:tcBorders>
              <w:top w:val="nil"/>
              <w:left w:val="nil"/>
              <w:bottom w:val="single" w:sz="4" w:space="0" w:color="auto"/>
              <w:right w:val="single" w:sz="4" w:space="0" w:color="auto"/>
            </w:tcBorders>
            <w:shd w:val="clear" w:color="auto" w:fill="C6EFCE"/>
            <w:noWrap/>
          </w:tcPr>
          <w:p w14:paraId="79409578" w14:textId="431418CD" w:rsidR="00CB0FCB" w:rsidRDefault="009D2B11">
            <w:pPr>
              <w:pStyle w:val="P68B1DB1-Normal9"/>
              <w:spacing w:after="120" w:line="240" w:lineRule="auto"/>
              <w:rPr>
                <w:rFonts w:ascii="Times New Roman" w:hAnsi="Times New Roman" w:cs="Times New Roman"/>
                <w:noProof/>
                <w:sz w:val="24"/>
              </w:rPr>
            </w:pPr>
            <w:r>
              <w:rPr>
                <w:noProof/>
              </w:rPr>
              <w:t xml:space="preserve"> </w:t>
            </w:r>
            <w:r>
              <w:rPr>
                <w:noProof/>
                <w:szCs w:val="18"/>
              </w:rPr>
              <w:t>“</w:t>
            </w:r>
            <w:r>
              <w:rPr>
                <w:noProof/>
              </w:rPr>
              <w:t>Atsevišķu” enerģijas uzkrāšanas projektu uzstādīšana.</w:t>
            </w:r>
          </w:p>
        </w:tc>
        <w:tc>
          <w:tcPr>
            <w:tcW w:w="1022" w:type="dxa"/>
            <w:tcBorders>
              <w:top w:val="nil"/>
              <w:left w:val="nil"/>
              <w:bottom w:val="single" w:sz="4" w:space="0" w:color="auto"/>
              <w:right w:val="single" w:sz="4" w:space="0" w:color="auto"/>
            </w:tcBorders>
            <w:shd w:val="clear" w:color="auto" w:fill="C6EFCE"/>
            <w:noWrap/>
          </w:tcPr>
          <w:p w14:paraId="3DB3074B" w14:textId="77777777" w:rsidR="00CB0FCB" w:rsidRDefault="00CB0FCB">
            <w:pPr>
              <w:spacing w:after="0" w:line="240" w:lineRule="auto"/>
              <w:rPr>
                <w:rFonts w:eastAsia="Times New Roman" w:cs="Calibri"/>
                <w:noProof/>
                <w:color w:val="006100"/>
                <w:sz w:val="18"/>
                <w:szCs w:val="18"/>
              </w:rPr>
            </w:pPr>
          </w:p>
        </w:tc>
        <w:tc>
          <w:tcPr>
            <w:tcW w:w="1022" w:type="dxa"/>
            <w:tcBorders>
              <w:top w:val="nil"/>
              <w:left w:val="nil"/>
              <w:bottom w:val="single" w:sz="4" w:space="0" w:color="auto"/>
              <w:right w:val="single" w:sz="4" w:space="0" w:color="auto"/>
            </w:tcBorders>
            <w:shd w:val="clear" w:color="auto" w:fill="C6EFCE"/>
            <w:noWrap/>
          </w:tcPr>
          <w:p w14:paraId="182B94E7" w14:textId="77777777" w:rsidR="00CB0FCB" w:rsidRDefault="00CB0FCB">
            <w:pPr>
              <w:spacing w:after="0" w:line="240" w:lineRule="auto"/>
              <w:rPr>
                <w:rFonts w:eastAsia="Times New Roman" w:cs="Calibri"/>
                <w:noProof/>
                <w:color w:val="006100"/>
                <w:sz w:val="18"/>
                <w:szCs w:val="18"/>
              </w:rPr>
            </w:pPr>
          </w:p>
        </w:tc>
        <w:tc>
          <w:tcPr>
            <w:tcW w:w="638" w:type="dxa"/>
            <w:tcBorders>
              <w:top w:val="nil"/>
              <w:left w:val="nil"/>
              <w:bottom w:val="single" w:sz="4" w:space="0" w:color="auto"/>
              <w:right w:val="single" w:sz="4" w:space="0" w:color="auto"/>
            </w:tcBorders>
            <w:shd w:val="clear" w:color="auto" w:fill="C6EFCE"/>
            <w:noWrap/>
          </w:tcPr>
          <w:p w14:paraId="5AFC0E6D" w14:textId="77777777" w:rsidR="00CB0FCB" w:rsidRDefault="00CB0FCB">
            <w:pPr>
              <w:spacing w:after="0" w:line="240" w:lineRule="auto"/>
              <w:rPr>
                <w:rFonts w:eastAsia="Times New Roman" w:cs="Calibri"/>
                <w:noProof/>
                <w:color w:val="006100"/>
                <w:sz w:val="18"/>
                <w:szCs w:val="18"/>
              </w:rPr>
            </w:pPr>
          </w:p>
        </w:tc>
        <w:tc>
          <w:tcPr>
            <w:tcW w:w="1060" w:type="dxa"/>
            <w:tcBorders>
              <w:top w:val="nil"/>
              <w:left w:val="nil"/>
              <w:bottom w:val="single" w:sz="4" w:space="0" w:color="auto"/>
              <w:right w:val="single" w:sz="4" w:space="0" w:color="auto"/>
            </w:tcBorders>
            <w:shd w:val="clear" w:color="auto" w:fill="C6EFCE"/>
            <w:noWrap/>
          </w:tcPr>
          <w:p w14:paraId="12C24165" w14:textId="77777777" w:rsidR="00CB0FCB" w:rsidRDefault="009D2B11">
            <w:pPr>
              <w:pStyle w:val="P68B1DB1-Normal9"/>
              <w:spacing w:after="120" w:line="240" w:lineRule="auto"/>
              <w:rPr>
                <w:rFonts w:eastAsia="Times New Roman"/>
                <w:noProof/>
                <w:szCs w:val="18"/>
              </w:rPr>
            </w:pPr>
            <w:r>
              <w:rPr>
                <w:noProof/>
              </w:rPr>
              <w:t>4. CET.</w:t>
            </w:r>
          </w:p>
        </w:tc>
        <w:tc>
          <w:tcPr>
            <w:tcW w:w="877" w:type="dxa"/>
            <w:tcBorders>
              <w:top w:val="nil"/>
              <w:left w:val="nil"/>
              <w:bottom w:val="single" w:sz="4" w:space="0" w:color="auto"/>
              <w:right w:val="single" w:sz="4" w:space="0" w:color="auto"/>
            </w:tcBorders>
            <w:shd w:val="clear" w:color="auto" w:fill="C6EFCE"/>
            <w:noWrap/>
          </w:tcPr>
          <w:p w14:paraId="41537258" w14:textId="77777777" w:rsidR="00CB0FCB" w:rsidRDefault="009D2B11">
            <w:pPr>
              <w:pStyle w:val="P68B1DB1-Normal9"/>
              <w:spacing w:after="120" w:line="240" w:lineRule="auto"/>
              <w:rPr>
                <w:rFonts w:eastAsia="Times New Roman"/>
                <w:noProof/>
                <w:szCs w:val="18"/>
              </w:rPr>
            </w:pPr>
            <w:r>
              <w:rPr>
                <w:noProof/>
              </w:rPr>
              <w:t>2025</w:t>
            </w:r>
          </w:p>
        </w:tc>
        <w:tc>
          <w:tcPr>
            <w:tcW w:w="3077" w:type="dxa"/>
            <w:tcBorders>
              <w:top w:val="nil"/>
              <w:left w:val="nil"/>
              <w:bottom w:val="single" w:sz="4" w:space="0" w:color="auto"/>
              <w:right w:val="single" w:sz="4" w:space="0" w:color="auto"/>
            </w:tcBorders>
            <w:shd w:val="clear" w:color="auto" w:fill="C6EFCE"/>
            <w:noWrap/>
          </w:tcPr>
          <w:p w14:paraId="39566BB7" w14:textId="57B92C05" w:rsidR="00CB0FCB" w:rsidRDefault="009D2B11">
            <w:pPr>
              <w:pStyle w:val="P68B1DB1-Normal9"/>
              <w:spacing w:after="0" w:line="240" w:lineRule="auto"/>
              <w:rPr>
                <w:rFonts w:ascii="Times New Roman" w:hAnsi="Times New Roman" w:cs="Times New Roman"/>
                <w:noProof/>
                <w:sz w:val="24"/>
                <w:szCs w:val="24"/>
              </w:rPr>
            </w:pPr>
            <w:r>
              <w:rPr>
                <w:noProof/>
              </w:rPr>
              <w:t xml:space="preserve">“Atsevišķu” enerģijas uzkrāšanas projektu uzstādīšana kopumā 175 MW apmērā. </w:t>
            </w:r>
          </w:p>
        </w:tc>
      </w:tr>
    </w:tbl>
    <w:p w14:paraId="1AF1A136" w14:textId="77777777" w:rsidR="00CB0FCB" w:rsidRDefault="00CB0FCB">
      <w:pPr>
        <w:rPr>
          <w:noProof/>
        </w:rPr>
      </w:pPr>
    </w:p>
    <w:p w14:paraId="42C260BF" w14:textId="77777777" w:rsidR="00CB0FCB" w:rsidRDefault="009D2B11">
      <w:pPr>
        <w:rPr>
          <w:noProof/>
        </w:rPr>
      </w:pPr>
      <w:r>
        <w:rPr>
          <w:noProof/>
        </w:rPr>
        <w:br w:type="page"/>
      </w:r>
    </w:p>
    <w:p w14:paraId="360647D8" w14:textId="77777777" w:rsidR="00CB0FCB" w:rsidRDefault="00CB0FCB">
      <w:pPr>
        <w:rPr>
          <w:noProof/>
        </w:rPr>
      </w:pPr>
    </w:p>
    <w:p w14:paraId="29FEF5BF" w14:textId="77777777" w:rsidR="00CB0FCB" w:rsidRDefault="009D2B11">
      <w:pPr>
        <w:pStyle w:val="P68B1DB1-Normal6"/>
        <w:keepNext/>
        <w:keepLines/>
        <w:spacing w:before="240" w:after="240" w:line="240" w:lineRule="auto"/>
        <w:jc w:val="both"/>
        <w:outlineLvl w:val="4"/>
        <w:rPr>
          <w:rFonts w:eastAsia="Times New Roman"/>
          <w:noProof/>
        </w:rPr>
      </w:pPr>
      <w:r>
        <w:rPr>
          <w:noProof/>
        </w:rPr>
        <w:t>Ieguldījums Nr. 2: Energoefektivitāte un AER veicināšana pašpatēriņam (pasākuma ID: 16994)</w:t>
      </w:r>
    </w:p>
    <w:tbl>
      <w:tblPr>
        <w:tblpPr w:leftFromText="180" w:rightFromText="180" w:vertAnchor="text" w:tblpX="113"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896"/>
        <w:gridCol w:w="1625"/>
        <w:gridCol w:w="1477"/>
        <w:gridCol w:w="1164"/>
        <w:gridCol w:w="1050"/>
        <w:gridCol w:w="1261"/>
        <w:gridCol w:w="918"/>
        <w:gridCol w:w="934"/>
        <w:gridCol w:w="872"/>
        <w:gridCol w:w="2415"/>
      </w:tblGrid>
      <w:tr w:rsidR="00CB0FCB" w14:paraId="0318F6F1" w14:textId="77777777">
        <w:trPr>
          <w:trHeight w:val="558"/>
          <w:tblHeader/>
        </w:trPr>
        <w:tc>
          <w:tcPr>
            <w:tcW w:w="1043" w:type="dxa"/>
            <w:vMerge w:val="restart"/>
            <w:shd w:val="clear" w:color="auto" w:fill="B8CCE4" w:themeFill="accent1" w:themeFillTint="66"/>
            <w:noWrap/>
            <w:vAlign w:val="center"/>
          </w:tcPr>
          <w:p w14:paraId="352676C8" w14:textId="77777777" w:rsidR="00CB0FCB" w:rsidRDefault="009D2B11">
            <w:pPr>
              <w:pStyle w:val="P68B1DB1-Normal7"/>
              <w:spacing w:after="0" w:line="240" w:lineRule="auto"/>
              <w:jc w:val="center"/>
              <w:rPr>
                <w:rFonts w:eastAsia="Times New Roman" w:cs="Calibri"/>
                <w:noProof/>
                <w:color w:val="006100"/>
                <w:szCs w:val="18"/>
              </w:rPr>
            </w:pPr>
            <w:r>
              <w:rPr>
                <w:noProof/>
              </w:rPr>
              <w:t>Kārtas numurs</w:t>
            </w:r>
          </w:p>
        </w:tc>
        <w:tc>
          <w:tcPr>
            <w:tcW w:w="1952" w:type="dxa"/>
            <w:vMerge w:val="restart"/>
            <w:shd w:val="clear" w:color="auto" w:fill="B8CCE4" w:themeFill="accent1" w:themeFillTint="66"/>
            <w:noWrap/>
            <w:vAlign w:val="center"/>
          </w:tcPr>
          <w:p w14:paraId="1FA79AB2" w14:textId="77777777" w:rsidR="00CB0FCB" w:rsidRDefault="009D2B11">
            <w:pPr>
              <w:pStyle w:val="P68B1DB1-Normal7"/>
              <w:spacing w:after="0" w:line="240" w:lineRule="auto"/>
              <w:jc w:val="center"/>
              <w:rPr>
                <w:rFonts w:eastAsia="Times New Roman" w:cs="Calibri"/>
                <w:noProof/>
                <w:color w:val="006100"/>
                <w:szCs w:val="18"/>
              </w:rPr>
            </w:pPr>
            <w:r>
              <w:rPr>
                <w:noProof/>
              </w:rPr>
              <w:t>Saistītais pasākums (reforma vai ieguldījums)</w:t>
            </w:r>
          </w:p>
        </w:tc>
        <w:tc>
          <w:tcPr>
            <w:tcW w:w="1142" w:type="dxa"/>
            <w:vMerge w:val="restart"/>
            <w:shd w:val="clear" w:color="auto" w:fill="B8CCE4" w:themeFill="accent1" w:themeFillTint="66"/>
            <w:noWrap/>
            <w:vAlign w:val="center"/>
          </w:tcPr>
          <w:p w14:paraId="7BE64F70" w14:textId="77777777" w:rsidR="00CB0FCB" w:rsidRDefault="009D2B11">
            <w:pPr>
              <w:pStyle w:val="P68B1DB1-Normal7"/>
              <w:spacing w:after="0" w:line="240" w:lineRule="auto"/>
              <w:jc w:val="center"/>
              <w:rPr>
                <w:rFonts w:eastAsia="Times New Roman" w:cs="Calibri"/>
                <w:noProof/>
                <w:color w:val="006100"/>
                <w:szCs w:val="18"/>
              </w:rPr>
            </w:pPr>
            <w:r>
              <w:rPr>
                <w:noProof/>
              </w:rPr>
              <w:t>Atskaites punkts/mērķrādītājs</w:t>
            </w:r>
          </w:p>
        </w:tc>
        <w:tc>
          <w:tcPr>
            <w:tcW w:w="1234" w:type="dxa"/>
            <w:vMerge w:val="restart"/>
            <w:shd w:val="clear" w:color="auto" w:fill="B8CCE4" w:themeFill="accent1" w:themeFillTint="66"/>
            <w:noWrap/>
            <w:vAlign w:val="center"/>
          </w:tcPr>
          <w:p w14:paraId="4D828568" w14:textId="77777777" w:rsidR="00CB0FCB" w:rsidRDefault="009D2B11">
            <w:pPr>
              <w:pStyle w:val="P68B1DB1-Normal7"/>
              <w:spacing w:after="0" w:line="240" w:lineRule="auto"/>
              <w:jc w:val="center"/>
              <w:rPr>
                <w:rFonts w:eastAsia="Times New Roman" w:cs="Calibri"/>
                <w:noProof/>
                <w:color w:val="006100"/>
                <w:szCs w:val="18"/>
              </w:rPr>
            </w:pPr>
            <w:r>
              <w:rPr>
                <w:noProof/>
              </w:rPr>
              <w:t>Nosaukums</w:t>
            </w:r>
          </w:p>
        </w:tc>
        <w:tc>
          <w:tcPr>
            <w:tcW w:w="1286" w:type="dxa"/>
            <w:vMerge w:val="restart"/>
            <w:shd w:val="clear" w:color="auto" w:fill="B8CCE4" w:themeFill="accent1" w:themeFillTint="66"/>
            <w:noWrap/>
            <w:vAlign w:val="center"/>
          </w:tcPr>
          <w:p w14:paraId="2344BB3A" w14:textId="77777777" w:rsidR="00CB0FCB" w:rsidRDefault="009D2B11">
            <w:pPr>
              <w:pStyle w:val="P68B1DB1-Normal7"/>
              <w:spacing w:after="0" w:line="240" w:lineRule="auto"/>
              <w:jc w:val="center"/>
              <w:rPr>
                <w:rFonts w:eastAsia="Times New Roman" w:cs="Calibri"/>
                <w:noProof/>
                <w:color w:val="006100"/>
                <w:szCs w:val="18"/>
              </w:rPr>
            </w:pPr>
            <w:r>
              <w:rPr>
                <w:noProof/>
              </w:rPr>
              <w:t>Kvalitatīvie rādītāji (atskaites punktiem)</w:t>
            </w:r>
          </w:p>
        </w:tc>
        <w:tc>
          <w:tcPr>
            <w:tcW w:w="3045" w:type="dxa"/>
            <w:gridSpan w:val="3"/>
            <w:shd w:val="clear" w:color="auto" w:fill="B8CCE4" w:themeFill="accent1" w:themeFillTint="66"/>
            <w:noWrap/>
            <w:vAlign w:val="center"/>
          </w:tcPr>
          <w:p w14:paraId="1ECF6EBF" w14:textId="77777777" w:rsidR="00CB0FCB" w:rsidRDefault="009D2B11">
            <w:pPr>
              <w:pStyle w:val="P68B1DB1-Normal7"/>
              <w:spacing w:after="0" w:line="240" w:lineRule="auto"/>
              <w:jc w:val="center"/>
              <w:rPr>
                <w:rFonts w:eastAsia="Times New Roman" w:cs="Calibri"/>
                <w:noProof/>
                <w:color w:val="006100"/>
                <w:szCs w:val="18"/>
              </w:rPr>
            </w:pPr>
            <w:r>
              <w:rPr>
                <w:noProof/>
              </w:rPr>
              <w:t>Kvantitatīvie rādītāji (mērķrādītājiem)</w:t>
            </w:r>
          </w:p>
        </w:tc>
        <w:tc>
          <w:tcPr>
            <w:tcW w:w="1912" w:type="dxa"/>
            <w:gridSpan w:val="2"/>
            <w:shd w:val="clear" w:color="auto" w:fill="B8CCE4" w:themeFill="accent1" w:themeFillTint="66"/>
            <w:noWrap/>
            <w:vAlign w:val="center"/>
          </w:tcPr>
          <w:p w14:paraId="16D86497" w14:textId="77777777" w:rsidR="00CB0FCB" w:rsidRDefault="009D2B11">
            <w:pPr>
              <w:pStyle w:val="P68B1DB1-Normal7"/>
              <w:spacing w:after="0" w:line="240" w:lineRule="auto"/>
              <w:jc w:val="center"/>
              <w:rPr>
                <w:rFonts w:eastAsia="Times New Roman" w:cs="Calibri"/>
                <w:noProof/>
                <w:color w:val="006100"/>
                <w:szCs w:val="18"/>
              </w:rPr>
            </w:pPr>
            <w:r>
              <w:rPr>
                <w:noProof/>
              </w:rPr>
              <w:t>Orientējošs pabeigšanas termiņš</w:t>
            </w:r>
          </w:p>
        </w:tc>
        <w:tc>
          <w:tcPr>
            <w:tcW w:w="2698" w:type="dxa"/>
            <w:vMerge w:val="restart"/>
            <w:shd w:val="clear" w:color="auto" w:fill="B8CCE4" w:themeFill="accent1" w:themeFillTint="66"/>
            <w:noWrap/>
            <w:vAlign w:val="center"/>
          </w:tcPr>
          <w:p w14:paraId="0697A81C" w14:textId="77777777" w:rsidR="00CB0FCB" w:rsidRDefault="009D2B11">
            <w:pPr>
              <w:pStyle w:val="P68B1DB1-Normal7"/>
              <w:spacing w:after="0" w:line="240" w:lineRule="auto"/>
              <w:jc w:val="center"/>
              <w:rPr>
                <w:rFonts w:eastAsia="Times New Roman" w:cs="Calibri"/>
                <w:noProof/>
                <w:color w:val="006100"/>
                <w:szCs w:val="18"/>
              </w:rPr>
            </w:pPr>
            <w:r>
              <w:rPr>
                <w:noProof/>
              </w:rPr>
              <w:t>Apraksts par katru atskaites punktu un mērķrādītāju</w:t>
            </w:r>
          </w:p>
        </w:tc>
      </w:tr>
      <w:tr w:rsidR="00CB0FCB" w14:paraId="1F0929BA" w14:textId="77777777">
        <w:trPr>
          <w:trHeight w:val="557"/>
        </w:trPr>
        <w:tc>
          <w:tcPr>
            <w:tcW w:w="1043" w:type="dxa"/>
            <w:vMerge/>
            <w:noWrap/>
            <w:vAlign w:val="center"/>
          </w:tcPr>
          <w:p w14:paraId="6FC63AF0" w14:textId="77777777" w:rsidR="00CB0FCB" w:rsidRDefault="00CB0FCB">
            <w:pPr>
              <w:spacing w:after="0" w:line="240" w:lineRule="auto"/>
              <w:rPr>
                <w:rFonts w:ascii="Times New Roman" w:eastAsia="Times New Roman" w:hAnsi="Times New Roman" w:cs="Times New Roman"/>
                <w:b/>
                <w:bCs/>
                <w:noProof/>
                <w:sz w:val="18"/>
                <w:szCs w:val="18"/>
              </w:rPr>
            </w:pPr>
          </w:p>
        </w:tc>
        <w:tc>
          <w:tcPr>
            <w:tcW w:w="1952" w:type="dxa"/>
            <w:vMerge/>
            <w:noWrap/>
            <w:vAlign w:val="center"/>
          </w:tcPr>
          <w:p w14:paraId="22CFFCA8" w14:textId="77777777" w:rsidR="00CB0FCB" w:rsidRDefault="00CB0FCB">
            <w:pPr>
              <w:spacing w:after="0" w:line="240" w:lineRule="auto"/>
              <w:rPr>
                <w:rFonts w:ascii="Times New Roman" w:eastAsia="Times New Roman" w:hAnsi="Times New Roman" w:cs="Times New Roman"/>
                <w:b/>
                <w:bCs/>
                <w:noProof/>
                <w:sz w:val="18"/>
                <w:szCs w:val="18"/>
              </w:rPr>
            </w:pPr>
          </w:p>
        </w:tc>
        <w:tc>
          <w:tcPr>
            <w:tcW w:w="1142" w:type="dxa"/>
            <w:vMerge/>
            <w:noWrap/>
            <w:vAlign w:val="center"/>
          </w:tcPr>
          <w:p w14:paraId="201C7FFE" w14:textId="77777777" w:rsidR="00CB0FCB" w:rsidRDefault="00CB0FCB">
            <w:pPr>
              <w:spacing w:after="0" w:line="240" w:lineRule="auto"/>
              <w:rPr>
                <w:rFonts w:ascii="Times New Roman" w:eastAsia="Times New Roman" w:hAnsi="Times New Roman" w:cs="Times New Roman"/>
                <w:b/>
                <w:bCs/>
                <w:noProof/>
                <w:sz w:val="18"/>
                <w:szCs w:val="18"/>
              </w:rPr>
            </w:pPr>
          </w:p>
        </w:tc>
        <w:tc>
          <w:tcPr>
            <w:tcW w:w="1234" w:type="dxa"/>
            <w:vMerge/>
            <w:noWrap/>
            <w:vAlign w:val="center"/>
          </w:tcPr>
          <w:p w14:paraId="0066E747" w14:textId="77777777" w:rsidR="00CB0FCB" w:rsidRDefault="00CB0FCB">
            <w:pPr>
              <w:spacing w:after="0" w:line="240" w:lineRule="auto"/>
              <w:rPr>
                <w:rFonts w:ascii="Times New Roman" w:eastAsia="Times New Roman" w:hAnsi="Times New Roman" w:cs="Times New Roman"/>
                <w:b/>
                <w:bCs/>
                <w:noProof/>
                <w:sz w:val="18"/>
                <w:szCs w:val="18"/>
              </w:rPr>
            </w:pPr>
          </w:p>
        </w:tc>
        <w:tc>
          <w:tcPr>
            <w:tcW w:w="1286" w:type="dxa"/>
            <w:vMerge/>
            <w:noWrap/>
            <w:vAlign w:val="center"/>
          </w:tcPr>
          <w:p w14:paraId="06C34485" w14:textId="77777777" w:rsidR="00CB0FCB" w:rsidRDefault="00CB0FCB">
            <w:pPr>
              <w:spacing w:after="0" w:line="240" w:lineRule="auto"/>
              <w:rPr>
                <w:rFonts w:ascii="Times New Roman" w:eastAsia="Times New Roman" w:hAnsi="Times New Roman" w:cs="Times New Roman"/>
                <w:b/>
                <w:bCs/>
                <w:noProof/>
                <w:sz w:val="18"/>
                <w:szCs w:val="18"/>
              </w:rPr>
            </w:pPr>
          </w:p>
        </w:tc>
        <w:tc>
          <w:tcPr>
            <w:tcW w:w="1152" w:type="dxa"/>
            <w:shd w:val="clear" w:color="auto" w:fill="B8CCE4" w:themeFill="accent1" w:themeFillTint="66"/>
            <w:noWrap/>
            <w:vAlign w:val="center"/>
          </w:tcPr>
          <w:p w14:paraId="0C285EDD"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885" w:type="dxa"/>
            <w:shd w:val="clear" w:color="auto" w:fill="B8CCE4" w:themeFill="accent1" w:themeFillTint="66"/>
            <w:vAlign w:val="center"/>
          </w:tcPr>
          <w:p w14:paraId="03CBFD26" w14:textId="77777777" w:rsidR="00CB0FCB" w:rsidRDefault="009D2B11">
            <w:pPr>
              <w:pStyle w:val="P68B1DB1-Normal7"/>
              <w:spacing w:after="0" w:line="240" w:lineRule="auto"/>
              <w:jc w:val="center"/>
              <w:rPr>
                <w:rFonts w:eastAsia="Times New Roman" w:cs="Times New Roman"/>
                <w:bCs/>
                <w:noProof/>
                <w:szCs w:val="18"/>
              </w:rPr>
            </w:pPr>
            <w:r>
              <w:rPr>
                <w:noProof/>
              </w:rPr>
              <w:t>Pamatscenārijs</w:t>
            </w:r>
          </w:p>
        </w:tc>
        <w:tc>
          <w:tcPr>
            <w:tcW w:w="1008" w:type="dxa"/>
            <w:shd w:val="clear" w:color="auto" w:fill="B8CCE4" w:themeFill="accent1" w:themeFillTint="66"/>
            <w:vAlign w:val="center"/>
          </w:tcPr>
          <w:p w14:paraId="43BB6037" w14:textId="77777777" w:rsidR="00CB0FCB" w:rsidRDefault="009D2B11">
            <w:pPr>
              <w:pStyle w:val="P68B1DB1-Normal7"/>
              <w:spacing w:after="0" w:line="240" w:lineRule="auto"/>
              <w:jc w:val="center"/>
              <w:rPr>
                <w:rFonts w:eastAsia="Times New Roman" w:cs="Times New Roman"/>
                <w:bCs/>
                <w:noProof/>
                <w:szCs w:val="18"/>
              </w:rPr>
            </w:pPr>
            <w:r>
              <w:rPr>
                <w:noProof/>
              </w:rPr>
              <w:t>Mērķis</w:t>
            </w:r>
          </w:p>
        </w:tc>
        <w:tc>
          <w:tcPr>
            <w:tcW w:w="956" w:type="dxa"/>
            <w:shd w:val="clear" w:color="auto" w:fill="B8CCE4" w:themeFill="accent1" w:themeFillTint="66"/>
            <w:noWrap/>
            <w:vAlign w:val="center"/>
          </w:tcPr>
          <w:p w14:paraId="066706E0"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956" w:type="dxa"/>
            <w:shd w:val="clear" w:color="auto" w:fill="B8CCE4" w:themeFill="accent1" w:themeFillTint="66"/>
            <w:vAlign w:val="center"/>
          </w:tcPr>
          <w:p w14:paraId="397F6EF5"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2698" w:type="dxa"/>
            <w:vMerge/>
            <w:noWrap/>
          </w:tcPr>
          <w:p w14:paraId="68D06D97"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7415466F" w14:textId="77777777">
        <w:trPr>
          <w:trHeight w:val="300"/>
        </w:trPr>
        <w:tc>
          <w:tcPr>
            <w:tcW w:w="1043" w:type="dxa"/>
            <w:shd w:val="clear" w:color="auto" w:fill="C6EFCE"/>
            <w:noWrap/>
          </w:tcPr>
          <w:p w14:paraId="3D927F51" w14:textId="77777777" w:rsidR="00CB0FCB" w:rsidRDefault="009D2B11">
            <w:pPr>
              <w:pStyle w:val="P68B1DB1-Normal9"/>
              <w:spacing w:after="0" w:line="240" w:lineRule="auto"/>
              <w:rPr>
                <w:rFonts w:eastAsia="Times New Roman" w:cs="Calibri"/>
                <w:noProof/>
                <w:szCs w:val="18"/>
              </w:rPr>
            </w:pPr>
            <w:r>
              <w:rPr>
                <w:noProof/>
              </w:rPr>
              <w:t>367</w:t>
            </w:r>
          </w:p>
        </w:tc>
        <w:tc>
          <w:tcPr>
            <w:tcW w:w="1952" w:type="dxa"/>
            <w:shd w:val="clear" w:color="auto" w:fill="C6EFCE"/>
            <w:noWrap/>
          </w:tcPr>
          <w:p w14:paraId="382B097D" w14:textId="77777777" w:rsidR="00CB0FCB" w:rsidRDefault="009D2B11">
            <w:pPr>
              <w:pStyle w:val="P68B1DB1-Normal9"/>
              <w:spacing w:after="0" w:line="240" w:lineRule="auto"/>
              <w:rPr>
                <w:rFonts w:eastAsia="Times New Roman" w:cs="Calibri"/>
                <w:noProof/>
                <w:szCs w:val="18"/>
              </w:rPr>
            </w:pPr>
            <w:r>
              <w:rPr>
                <w:noProof/>
              </w:rPr>
              <w:t xml:space="preserve">21–5,2 REPowerEU investīcijas — 16994_Energoefektivitāte un AER veicināšana pašpatēriņam </w:t>
            </w:r>
          </w:p>
        </w:tc>
        <w:tc>
          <w:tcPr>
            <w:tcW w:w="1142" w:type="dxa"/>
            <w:shd w:val="clear" w:color="auto" w:fill="C6EFCE"/>
            <w:noWrap/>
          </w:tcPr>
          <w:p w14:paraId="6617C9B0"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34" w:type="dxa"/>
            <w:shd w:val="clear" w:color="auto" w:fill="C6EFCE"/>
            <w:noWrap/>
          </w:tcPr>
          <w:p w14:paraId="39A15781" w14:textId="77777777" w:rsidR="00CB0FCB" w:rsidRDefault="009D2B11">
            <w:pPr>
              <w:pStyle w:val="P68B1DB1-Normal9"/>
              <w:spacing w:after="0" w:line="240" w:lineRule="auto"/>
              <w:rPr>
                <w:rFonts w:eastAsia="Times New Roman" w:cs="Calibri"/>
                <w:noProof/>
                <w:szCs w:val="18"/>
              </w:rPr>
            </w:pPr>
            <w:r>
              <w:rPr>
                <w:noProof/>
              </w:rPr>
              <w:t>Atbalsta programmu uzsākšana</w:t>
            </w:r>
          </w:p>
        </w:tc>
        <w:tc>
          <w:tcPr>
            <w:tcW w:w="1286" w:type="dxa"/>
            <w:shd w:val="clear" w:color="auto" w:fill="C6EFCE"/>
            <w:noWrap/>
          </w:tcPr>
          <w:p w14:paraId="7DA6BF49" w14:textId="77777777" w:rsidR="00CB0FCB" w:rsidRDefault="00CB0FCB">
            <w:pPr>
              <w:spacing w:after="0" w:line="240" w:lineRule="auto"/>
              <w:rPr>
                <w:rFonts w:eastAsia="Times New Roman" w:cs="Calibri"/>
                <w:noProof/>
                <w:color w:val="006100"/>
                <w:sz w:val="18"/>
                <w:szCs w:val="18"/>
              </w:rPr>
            </w:pPr>
          </w:p>
        </w:tc>
        <w:tc>
          <w:tcPr>
            <w:tcW w:w="1152" w:type="dxa"/>
            <w:shd w:val="clear" w:color="auto" w:fill="C6EFCE"/>
            <w:noWrap/>
          </w:tcPr>
          <w:p w14:paraId="0105420B" w14:textId="77777777" w:rsidR="00CB0FCB" w:rsidRDefault="00CB0FCB">
            <w:pPr>
              <w:spacing w:after="0" w:line="240" w:lineRule="auto"/>
              <w:rPr>
                <w:rFonts w:eastAsia="Times New Roman" w:cs="Calibri"/>
                <w:noProof/>
                <w:color w:val="006100"/>
                <w:sz w:val="18"/>
                <w:szCs w:val="18"/>
              </w:rPr>
            </w:pPr>
          </w:p>
        </w:tc>
        <w:tc>
          <w:tcPr>
            <w:tcW w:w="885" w:type="dxa"/>
            <w:shd w:val="clear" w:color="auto" w:fill="C6EFCE"/>
            <w:noWrap/>
          </w:tcPr>
          <w:p w14:paraId="41C3507A" w14:textId="77777777" w:rsidR="00CB0FCB" w:rsidRDefault="00CB0FCB">
            <w:pPr>
              <w:spacing w:after="0" w:line="240" w:lineRule="auto"/>
              <w:rPr>
                <w:rFonts w:eastAsia="Times New Roman" w:cs="Calibri"/>
                <w:noProof/>
                <w:color w:val="006100"/>
                <w:sz w:val="18"/>
                <w:szCs w:val="18"/>
              </w:rPr>
            </w:pPr>
          </w:p>
        </w:tc>
        <w:tc>
          <w:tcPr>
            <w:tcW w:w="1008" w:type="dxa"/>
            <w:shd w:val="clear" w:color="auto" w:fill="C6EFCE"/>
            <w:noWrap/>
          </w:tcPr>
          <w:p w14:paraId="7CF31FCD" w14:textId="77777777" w:rsidR="00CB0FCB" w:rsidRDefault="00CB0FCB">
            <w:pPr>
              <w:spacing w:after="0" w:line="240" w:lineRule="auto"/>
              <w:rPr>
                <w:rFonts w:eastAsia="Times New Roman" w:cs="Calibri"/>
                <w:noProof/>
                <w:color w:val="006100"/>
                <w:sz w:val="18"/>
                <w:szCs w:val="18"/>
              </w:rPr>
            </w:pPr>
          </w:p>
        </w:tc>
        <w:tc>
          <w:tcPr>
            <w:tcW w:w="956" w:type="dxa"/>
            <w:shd w:val="clear" w:color="auto" w:fill="C6EFCE"/>
            <w:noWrap/>
          </w:tcPr>
          <w:p w14:paraId="1617EBB8" w14:textId="77777777" w:rsidR="00CB0FCB" w:rsidRDefault="009D2B11">
            <w:pPr>
              <w:pStyle w:val="P68B1DB1-Normal9"/>
              <w:spacing w:after="0" w:line="240" w:lineRule="auto"/>
              <w:rPr>
                <w:rFonts w:eastAsia="Times New Roman" w:cs="Calibri"/>
                <w:noProof/>
                <w:szCs w:val="18"/>
              </w:rPr>
            </w:pPr>
            <w:r>
              <w:rPr>
                <w:noProof/>
              </w:rPr>
              <w:t>4. CET.</w:t>
            </w:r>
          </w:p>
        </w:tc>
        <w:tc>
          <w:tcPr>
            <w:tcW w:w="956" w:type="dxa"/>
            <w:shd w:val="clear" w:color="auto" w:fill="C6EFCE"/>
            <w:noWrap/>
          </w:tcPr>
          <w:p w14:paraId="2EBAA938" w14:textId="77777777" w:rsidR="00CB0FCB" w:rsidRDefault="009D2B11">
            <w:pPr>
              <w:pStyle w:val="P68B1DB1-Normal9"/>
              <w:spacing w:after="0" w:line="240" w:lineRule="auto"/>
              <w:rPr>
                <w:rFonts w:eastAsia="Times New Roman" w:cs="Calibri"/>
                <w:noProof/>
                <w:szCs w:val="18"/>
              </w:rPr>
            </w:pPr>
            <w:r>
              <w:rPr>
                <w:noProof/>
              </w:rPr>
              <w:t>2023</w:t>
            </w:r>
          </w:p>
        </w:tc>
        <w:tc>
          <w:tcPr>
            <w:tcW w:w="2698" w:type="dxa"/>
            <w:shd w:val="clear" w:color="auto" w:fill="C6EFCE"/>
            <w:noWrap/>
          </w:tcPr>
          <w:p w14:paraId="49FA85BC" w14:textId="77777777" w:rsidR="00CB0FCB" w:rsidRDefault="009D2B11">
            <w:pPr>
              <w:pStyle w:val="P68B1DB1-Normal9"/>
              <w:spacing w:after="0" w:line="240" w:lineRule="auto"/>
              <w:rPr>
                <w:rFonts w:eastAsia="Times New Roman" w:cs="Calibri"/>
                <w:noProof/>
                <w:szCs w:val="18"/>
              </w:rPr>
            </w:pPr>
            <w:r>
              <w:rPr>
                <w:noProof/>
              </w:rPr>
              <w:t xml:space="preserve">Stājas spēkā ministru lēmums, ar ko sāk šādas atbalsta programmas: </w:t>
            </w:r>
          </w:p>
          <w:p w14:paraId="2AE96693" w14:textId="77777777" w:rsidR="00CB0FCB" w:rsidRDefault="00CB0FCB">
            <w:pPr>
              <w:spacing w:after="0" w:line="240" w:lineRule="auto"/>
              <w:rPr>
                <w:rFonts w:eastAsia="Times New Roman" w:cs="Calibri"/>
                <w:noProof/>
                <w:color w:val="006100"/>
                <w:sz w:val="18"/>
                <w:szCs w:val="18"/>
              </w:rPr>
            </w:pPr>
          </w:p>
          <w:p w14:paraId="5710D0BF" w14:textId="77777777" w:rsidR="00CB0FCB" w:rsidRDefault="009D2B11">
            <w:pPr>
              <w:pStyle w:val="P68B1DB1-ListParagraph20"/>
              <w:numPr>
                <w:ilvl w:val="0"/>
                <w:numId w:val="77"/>
              </w:numPr>
              <w:spacing w:after="0" w:line="240" w:lineRule="auto"/>
              <w:rPr>
                <w:rFonts w:eastAsia="Times New Roman" w:cs="Calibri"/>
                <w:noProof/>
                <w:szCs w:val="18"/>
              </w:rPr>
            </w:pPr>
            <w:r>
              <w:rPr>
                <w:noProof/>
              </w:rPr>
              <w:t>Dzīvojamo ēku energorenovāciju, tostarp atlases procesa izveidi, lai nodrošinātu, ka dzīvojamo ēku primārās enerģijas patēriņš tiek samazināts vismaz par 30 % salīdzinājumā ar dzīvojamo ēku sākotnējo sniegumu, kas aprēķināts kWh/m²,</w:t>
            </w:r>
            <w:r>
              <w:rPr>
                <w:noProof/>
                <w:vertAlign w:val="superscript"/>
              </w:rPr>
              <w:t>un</w:t>
            </w:r>
            <w:r>
              <w:rPr>
                <w:noProof/>
              </w:rPr>
              <w:t xml:space="preserve"> enerģētiski nabadzīgām mājsaimniecībām atbalsta, palielinot dotāciju procentuālo daļu.</w:t>
            </w:r>
          </w:p>
          <w:p w14:paraId="3B2503D5" w14:textId="77777777" w:rsidR="00CB0FCB" w:rsidRDefault="009D2B11">
            <w:pPr>
              <w:pStyle w:val="P68B1DB1-ListParagraph20"/>
              <w:numPr>
                <w:ilvl w:val="0"/>
                <w:numId w:val="77"/>
              </w:numPr>
              <w:spacing w:after="0" w:line="240" w:lineRule="auto"/>
              <w:rPr>
                <w:rFonts w:eastAsia="Times New Roman" w:cs="Calibri"/>
                <w:noProof/>
                <w:szCs w:val="18"/>
              </w:rPr>
            </w:pPr>
            <w:r>
              <w:rPr>
                <w:noProof/>
              </w:rPr>
              <w:t>Publiskā sektora ēku un privātā sektora (nedzīvojamo ēku) energoefektivitāte, tostarp atlases procesa izveide, lai nodrošinātu, ka labuma guvēju primārās enerģijas patēriņš tiek samazināts vismaz par 30 % salīdzinājumā ar dzīvesvietas sākotnējo sniegumu, kas aprēķināts kWh/</w:t>
            </w:r>
            <w:r>
              <w:rPr>
                <w:noProof/>
                <w:vertAlign w:val="superscript"/>
              </w:rPr>
              <w:t>m²</w:t>
            </w:r>
            <w:r>
              <w:rPr>
                <w:noProof/>
              </w:rPr>
              <w:t xml:space="preserve">. </w:t>
            </w:r>
          </w:p>
          <w:p w14:paraId="1610D10E" w14:textId="77777777" w:rsidR="00CB0FCB" w:rsidRDefault="009D2B11">
            <w:pPr>
              <w:pStyle w:val="P68B1DB1-ListParagraph20"/>
              <w:numPr>
                <w:ilvl w:val="0"/>
                <w:numId w:val="77"/>
              </w:numPr>
              <w:spacing w:after="0" w:line="240" w:lineRule="auto"/>
              <w:rPr>
                <w:rFonts w:eastAsia="Times New Roman" w:cs="Calibri"/>
                <w:noProof/>
                <w:szCs w:val="18"/>
              </w:rPr>
            </w:pPr>
            <w:r>
              <w:rPr>
                <w:noProof/>
              </w:rPr>
              <w:t xml:space="preserve"> Fotoelementu sistēmas pašpatēriņam dzīvojamās ēkās un lauksaimniecības nozarē.</w:t>
            </w:r>
          </w:p>
          <w:p w14:paraId="1E30D54A" w14:textId="36FBE04E" w:rsidR="00CB0FCB" w:rsidRDefault="009D2B11">
            <w:pPr>
              <w:pStyle w:val="ListParagraph"/>
              <w:numPr>
                <w:ilvl w:val="0"/>
                <w:numId w:val="77"/>
              </w:numPr>
              <w:spacing w:after="0" w:line="240" w:lineRule="auto"/>
              <w:rPr>
                <w:rFonts w:eastAsia="Times New Roman" w:cs="Calibri"/>
                <w:noProof/>
                <w:color w:val="006100"/>
                <w:sz w:val="18"/>
                <w:szCs w:val="18"/>
              </w:rPr>
            </w:pPr>
            <w:r>
              <w:rPr>
                <w:noProof/>
                <w:color w:val="006100"/>
                <w:sz w:val="18"/>
              </w:rPr>
              <w:t xml:space="preserve">Atjaunīgās ūdens apkures sistēmas mājsaimniecībām, lai atbalstītu atjaunojamo energoresursu (AER) ieviešanu dzīvojamās ēkās: jaunu saules enerģijas ūdenssildītāju, siltumsūkņu un AER sistēmu </w:t>
            </w:r>
            <w:r>
              <w:rPr>
                <w:noProof/>
              </w:rPr>
              <w:t xml:space="preserve"> </w:t>
            </w:r>
            <w:r>
              <w:rPr>
                <w:noProof/>
                <w:color w:val="006100"/>
                <w:sz w:val="18"/>
              </w:rPr>
              <w:t>uzstādīšana, izmantojot jaunas modernas tehnoloģijas, vai enerģiju patērējošu elektrisku ūdenssildītāju nomaiņa, izmantojot veco tehnoloģiju, ar jauniem saules enerģijas ūdenssildītājiem, siltumsūkņiem un AER sistēmām, izmantojot jaunas modernas tehnoloģijas. Enerģētiski nabadzīgas mājsaimniecības tiek atbalstītas, palielinot dotāciju procentuālo daļu (attiecas tikai uz saules enerģijas ūdenssildītājiem).</w:t>
            </w:r>
          </w:p>
          <w:p w14:paraId="52732B22" w14:textId="77777777" w:rsidR="00CB0FCB" w:rsidRDefault="009D2B11">
            <w:pPr>
              <w:pStyle w:val="P68B1DB1-ListParagraph20"/>
              <w:numPr>
                <w:ilvl w:val="0"/>
                <w:numId w:val="77"/>
              </w:numPr>
              <w:spacing w:after="0" w:line="240" w:lineRule="auto"/>
              <w:rPr>
                <w:rFonts w:eastAsia="Times New Roman" w:cs="Calibri"/>
                <w:noProof/>
                <w:szCs w:val="18"/>
              </w:rPr>
            </w:pPr>
            <w:r>
              <w:rPr>
                <w:noProof/>
              </w:rPr>
              <w:t>Veicināt energoefektivitātes pasākumus pašvaldību ūdensapgādes un kanalizācijas uzņēmumos, i) samazinot sūkņu staciju un sūknēšanas motoru enerģijas patēriņu; un ii) veikt pētījumus, lai optimāli īstenotu darbības šo uzņēmumu energoefektivitātes turpmākai uzlabošanai.</w:t>
            </w:r>
          </w:p>
          <w:p w14:paraId="274A9A7C" w14:textId="77777777" w:rsidR="00CB0FCB" w:rsidRDefault="009D2B11">
            <w:pPr>
              <w:pStyle w:val="P68B1DB1-ListParagraph47"/>
              <w:numPr>
                <w:ilvl w:val="0"/>
                <w:numId w:val="77"/>
              </w:numPr>
              <w:spacing w:after="0" w:line="240" w:lineRule="auto"/>
              <w:rPr>
                <w:noProof/>
              </w:rPr>
            </w:pPr>
            <w:r>
              <w:rPr>
                <w:noProof/>
              </w:rPr>
              <w:t>Atbalsts akumulatoru uzkrāšanas sistēmu uzstādīšanai uzņēmumiem.</w:t>
            </w:r>
          </w:p>
        </w:tc>
      </w:tr>
      <w:tr w:rsidR="00CB0FCB" w14:paraId="47825735" w14:textId="77777777">
        <w:trPr>
          <w:trHeight w:val="300"/>
        </w:trPr>
        <w:tc>
          <w:tcPr>
            <w:tcW w:w="1043" w:type="dxa"/>
            <w:shd w:val="clear" w:color="auto" w:fill="C6EFCE"/>
            <w:noWrap/>
          </w:tcPr>
          <w:p w14:paraId="6F3C03C9" w14:textId="77777777" w:rsidR="00CB0FCB" w:rsidRDefault="009D2B11">
            <w:pPr>
              <w:pStyle w:val="P68B1DB1-Normal9"/>
              <w:spacing w:after="0" w:line="240" w:lineRule="auto"/>
              <w:rPr>
                <w:rFonts w:eastAsia="Times New Roman" w:cs="Calibri"/>
                <w:noProof/>
                <w:szCs w:val="18"/>
              </w:rPr>
            </w:pPr>
            <w:r>
              <w:rPr>
                <w:noProof/>
              </w:rPr>
              <w:t>368</w:t>
            </w:r>
          </w:p>
        </w:tc>
        <w:tc>
          <w:tcPr>
            <w:tcW w:w="1952" w:type="dxa"/>
            <w:shd w:val="clear" w:color="auto" w:fill="C6EFCE"/>
            <w:noWrap/>
          </w:tcPr>
          <w:p w14:paraId="6C6A32C6" w14:textId="77777777" w:rsidR="00CB0FCB" w:rsidRDefault="009D2B11">
            <w:pPr>
              <w:pStyle w:val="P68B1DB1-Normal9"/>
              <w:spacing w:after="0" w:line="240" w:lineRule="auto"/>
              <w:rPr>
                <w:rFonts w:eastAsia="Times New Roman" w:cs="Calibri"/>
                <w:noProof/>
                <w:szCs w:val="18"/>
              </w:rPr>
            </w:pPr>
            <w:r>
              <w:rPr>
                <w:noProof/>
              </w:rPr>
              <w:t>21–5,2 REPowerEU investīcijas — 16994_Energoefektivitāte un AER veicināšana pašpatēriņam</w:t>
            </w:r>
          </w:p>
        </w:tc>
        <w:tc>
          <w:tcPr>
            <w:tcW w:w="1142" w:type="dxa"/>
            <w:shd w:val="clear" w:color="auto" w:fill="C6EFCE"/>
            <w:noWrap/>
          </w:tcPr>
          <w:p w14:paraId="412AC067" w14:textId="77777777" w:rsidR="00CB0FCB" w:rsidRDefault="009D2B11">
            <w:pPr>
              <w:pStyle w:val="P68B1DB1-Normal9"/>
              <w:spacing w:after="0" w:line="240" w:lineRule="auto"/>
              <w:rPr>
                <w:rFonts w:eastAsia="Times New Roman" w:cs="Calibri"/>
                <w:noProof/>
                <w:szCs w:val="18"/>
                <w:highlight w:val="yellow"/>
              </w:rPr>
            </w:pPr>
            <w:r>
              <w:rPr>
                <w:noProof/>
              </w:rPr>
              <w:t xml:space="preserve"> Mērķa</w:t>
            </w:r>
          </w:p>
        </w:tc>
        <w:tc>
          <w:tcPr>
            <w:tcW w:w="1234" w:type="dxa"/>
            <w:shd w:val="clear" w:color="auto" w:fill="C6EFCE"/>
            <w:noWrap/>
          </w:tcPr>
          <w:p w14:paraId="20240D9B" w14:textId="6171F43F" w:rsidR="00CB0FCB" w:rsidRDefault="009D2B11">
            <w:pPr>
              <w:pStyle w:val="P68B1DB1-Normal9"/>
              <w:spacing w:after="0" w:line="240" w:lineRule="auto"/>
              <w:rPr>
                <w:rFonts w:eastAsia="Times New Roman" w:cs="Calibri"/>
                <w:noProof/>
                <w:szCs w:val="18"/>
              </w:rPr>
            </w:pPr>
            <w:r>
              <w:rPr>
                <w:noProof/>
              </w:rPr>
              <w:t>Fotoelementu sistēmu uzstādīšana pašpatēriņam</w:t>
            </w:r>
          </w:p>
        </w:tc>
        <w:tc>
          <w:tcPr>
            <w:tcW w:w="1286" w:type="dxa"/>
            <w:shd w:val="clear" w:color="auto" w:fill="C6EFCE"/>
            <w:noWrap/>
          </w:tcPr>
          <w:p w14:paraId="222AB326" w14:textId="77777777" w:rsidR="00CB0FCB" w:rsidRDefault="00CB0FCB">
            <w:pPr>
              <w:spacing w:after="0" w:line="240" w:lineRule="auto"/>
              <w:rPr>
                <w:rFonts w:eastAsia="Times New Roman" w:cs="Calibri"/>
                <w:noProof/>
                <w:color w:val="006100"/>
                <w:sz w:val="18"/>
                <w:szCs w:val="18"/>
              </w:rPr>
            </w:pPr>
          </w:p>
        </w:tc>
        <w:tc>
          <w:tcPr>
            <w:tcW w:w="1152" w:type="dxa"/>
            <w:shd w:val="clear" w:color="auto" w:fill="C6EFCE"/>
            <w:noWrap/>
          </w:tcPr>
          <w:p w14:paraId="5B27895A" w14:textId="77777777" w:rsidR="00CB0FCB" w:rsidRDefault="009D2B11">
            <w:pPr>
              <w:pStyle w:val="P68B1DB1-Normal9"/>
              <w:spacing w:after="0" w:line="240" w:lineRule="auto"/>
              <w:rPr>
                <w:rFonts w:eastAsia="Times New Roman" w:cs="Calibri"/>
                <w:noProof/>
                <w:szCs w:val="18"/>
              </w:rPr>
            </w:pPr>
            <w:r>
              <w:rPr>
                <w:noProof/>
              </w:rPr>
              <w:t>Uzstādīto FE sistēmu skaits</w:t>
            </w:r>
          </w:p>
        </w:tc>
        <w:tc>
          <w:tcPr>
            <w:tcW w:w="885" w:type="dxa"/>
            <w:shd w:val="clear" w:color="auto" w:fill="C6EFCE"/>
            <w:noWrap/>
          </w:tcPr>
          <w:p w14:paraId="16CD25A7" w14:textId="77777777" w:rsidR="00CB0FCB" w:rsidRDefault="009D2B11">
            <w:pPr>
              <w:pStyle w:val="P68B1DB1-Normal9"/>
              <w:spacing w:after="0" w:line="240" w:lineRule="auto"/>
              <w:rPr>
                <w:rFonts w:eastAsia="Times New Roman" w:cs="Calibri"/>
                <w:noProof/>
                <w:szCs w:val="18"/>
              </w:rPr>
            </w:pPr>
            <w:r>
              <w:rPr>
                <w:noProof/>
              </w:rPr>
              <w:t>0</w:t>
            </w:r>
          </w:p>
        </w:tc>
        <w:tc>
          <w:tcPr>
            <w:tcW w:w="1008" w:type="dxa"/>
            <w:shd w:val="clear" w:color="auto" w:fill="C6EFCE"/>
            <w:noWrap/>
          </w:tcPr>
          <w:p w14:paraId="572A36FB" w14:textId="77777777" w:rsidR="00CB0FCB" w:rsidRDefault="009D2B11">
            <w:pPr>
              <w:pStyle w:val="P68B1DB1-Normal9"/>
              <w:spacing w:after="0" w:line="240" w:lineRule="auto"/>
              <w:rPr>
                <w:rFonts w:eastAsia="Times New Roman" w:cs="Calibri"/>
                <w:noProof/>
                <w:szCs w:val="18"/>
              </w:rPr>
            </w:pPr>
            <w:r>
              <w:rPr>
                <w:noProof/>
              </w:rPr>
              <w:t>11 580</w:t>
            </w:r>
          </w:p>
        </w:tc>
        <w:tc>
          <w:tcPr>
            <w:tcW w:w="956" w:type="dxa"/>
            <w:shd w:val="clear" w:color="auto" w:fill="C6EFCE"/>
            <w:noWrap/>
          </w:tcPr>
          <w:p w14:paraId="098C27AF" w14:textId="6BB41131" w:rsidR="00CB0FCB" w:rsidRDefault="009D2B11">
            <w:pPr>
              <w:pStyle w:val="P68B1DB1-Normal9"/>
              <w:spacing w:after="0" w:line="240" w:lineRule="auto"/>
              <w:rPr>
                <w:rFonts w:eastAsia="Times New Roman" w:cs="Calibri"/>
                <w:noProof/>
                <w:szCs w:val="18"/>
              </w:rPr>
            </w:pPr>
            <w:r>
              <w:rPr>
                <w:noProof/>
              </w:rPr>
              <w:t>2. CET.</w:t>
            </w:r>
          </w:p>
        </w:tc>
        <w:tc>
          <w:tcPr>
            <w:tcW w:w="956" w:type="dxa"/>
            <w:shd w:val="clear" w:color="auto" w:fill="C6EFCE"/>
            <w:noWrap/>
          </w:tcPr>
          <w:p w14:paraId="60DB18A6" w14:textId="77777777" w:rsidR="00CB0FCB" w:rsidRDefault="009D2B11">
            <w:pPr>
              <w:pStyle w:val="P68B1DB1-Normal9"/>
              <w:spacing w:after="0" w:line="240" w:lineRule="auto"/>
              <w:rPr>
                <w:rFonts w:eastAsia="Times New Roman" w:cs="Calibri"/>
                <w:noProof/>
                <w:szCs w:val="18"/>
              </w:rPr>
            </w:pPr>
            <w:r>
              <w:rPr>
                <w:noProof/>
              </w:rPr>
              <w:t>2024</w:t>
            </w:r>
          </w:p>
        </w:tc>
        <w:tc>
          <w:tcPr>
            <w:tcW w:w="2698" w:type="dxa"/>
            <w:shd w:val="clear" w:color="auto" w:fill="C6EFCE"/>
            <w:noWrap/>
          </w:tcPr>
          <w:p w14:paraId="504D7B5C" w14:textId="0725EF85" w:rsidR="00CB0FCB" w:rsidRDefault="009D2B11">
            <w:pPr>
              <w:pStyle w:val="P68B1DB1-Normal9"/>
              <w:spacing w:after="0" w:line="240" w:lineRule="auto"/>
              <w:rPr>
                <w:rFonts w:eastAsia="Times New Roman" w:cs="Calibri"/>
                <w:noProof/>
                <w:szCs w:val="18"/>
                <w:highlight w:val="yellow"/>
              </w:rPr>
            </w:pPr>
            <w:r>
              <w:rPr>
                <w:noProof/>
              </w:rPr>
              <w:t>Fotoelementu (PV) sistēmas pašpatēriņam dzīvojamās ēkās un lauksaimniecības nozarē: Uzstādītas 11580 FE sistēmas, no kurām 900 ir paredzētas enerģētiski nabadzīgām mājsaimniecībām un 360 — lauksaimniekiem.</w:t>
            </w:r>
          </w:p>
        </w:tc>
      </w:tr>
      <w:tr w:rsidR="00CB0FCB" w14:paraId="338F77B9" w14:textId="77777777">
        <w:trPr>
          <w:trHeight w:val="300"/>
        </w:trPr>
        <w:tc>
          <w:tcPr>
            <w:tcW w:w="1043" w:type="dxa"/>
            <w:shd w:val="clear" w:color="auto" w:fill="C6EFCE"/>
            <w:noWrap/>
          </w:tcPr>
          <w:p w14:paraId="6E585D79" w14:textId="77777777" w:rsidR="00CB0FCB" w:rsidRDefault="009D2B11">
            <w:pPr>
              <w:pStyle w:val="P68B1DB1-Normal9"/>
              <w:spacing w:after="0" w:line="240" w:lineRule="auto"/>
              <w:rPr>
                <w:rFonts w:eastAsia="Times New Roman" w:cs="Calibri"/>
                <w:noProof/>
                <w:szCs w:val="18"/>
              </w:rPr>
            </w:pPr>
            <w:r>
              <w:rPr>
                <w:noProof/>
              </w:rPr>
              <w:t>369</w:t>
            </w:r>
          </w:p>
        </w:tc>
        <w:tc>
          <w:tcPr>
            <w:tcW w:w="1952" w:type="dxa"/>
            <w:shd w:val="clear" w:color="auto" w:fill="C6EFCE"/>
            <w:noWrap/>
          </w:tcPr>
          <w:p w14:paraId="4F06E743" w14:textId="77777777" w:rsidR="00CB0FCB" w:rsidRDefault="009D2B11">
            <w:pPr>
              <w:pStyle w:val="P68B1DB1-Normal9"/>
              <w:spacing w:after="0" w:line="240" w:lineRule="auto"/>
              <w:rPr>
                <w:rFonts w:eastAsia="Times New Roman" w:cs="Calibri"/>
                <w:noProof/>
                <w:szCs w:val="18"/>
              </w:rPr>
            </w:pPr>
            <w:r>
              <w:rPr>
                <w:noProof/>
              </w:rPr>
              <w:t>21–5,2 REPowerEU investīcijas — 16994_Energoefektivitāte un AER veicināšana pašpatēriņam</w:t>
            </w:r>
          </w:p>
        </w:tc>
        <w:tc>
          <w:tcPr>
            <w:tcW w:w="1142" w:type="dxa"/>
            <w:shd w:val="clear" w:color="auto" w:fill="C6EFCE"/>
            <w:noWrap/>
          </w:tcPr>
          <w:p w14:paraId="56E2DC5D" w14:textId="77777777" w:rsidR="00CB0FCB" w:rsidRDefault="009D2B11">
            <w:pPr>
              <w:pStyle w:val="P68B1DB1-Normal9"/>
              <w:spacing w:after="0" w:line="240" w:lineRule="auto"/>
              <w:rPr>
                <w:rFonts w:eastAsia="Times New Roman" w:cs="Calibri"/>
                <w:noProof/>
                <w:szCs w:val="18"/>
              </w:rPr>
            </w:pPr>
            <w:r>
              <w:rPr>
                <w:noProof/>
              </w:rPr>
              <w:t>Mērķa</w:t>
            </w:r>
          </w:p>
        </w:tc>
        <w:tc>
          <w:tcPr>
            <w:tcW w:w="1234" w:type="dxa"/>
            <w:shd w:val="clear" w:color="auto" w:fill="C6EFCE"/>
            <w:noWrap/>
          </w:tcPr>
          <w:p w14:paraId="582CD29F" w14:textId="77D8F244" w:rsidR="00CB0FCB" w:rsidRDefault="009D2B11">
            <w:pPr>
              <w:pStyle w:val="P68B1DB1-Normal9"/>
              <w:spacing w:after="0" w:line="240" w:lineRule="auto"/>
              <w:rPr>
                <w:rFonts w:eastAsia="Times New Roman" w:cs="Calibri"/>
                <w:noProof/>
                <w:szCs w:val="18"/>
              </w:rPr>
            </w:pPr>
            <w:r>
              <w:rPr>
                <w:noProof/>
              </w:rPr>
              <w:t>Energoefektivitātes renovācijas apakšinvestīciju pabeigšana, saules enerģijas ūdenssildītāji, siltumsūkņi, energoefektivitātes intervences pašvaldību ūdensapgādes un kanalizācijas uzņēmumos un akumulatoru uzkrāšanas sistēmas uzņēmumiem.</w:t>
            </w:r>
          </w:p>
        </w:tc>
        <w:tc>
          <w:tcPr>
            <w:tcW w:w="1286" w:type="dxa"/>
            <w:shd w:val="clear" w:color="auto" w:fill="C6EFCE"/>
            <w:noWrap/>
          </w:tcPr>
          <w:p w14:paraId="4A98FABF" w14:textId="77777777" w:rsidR="00CB0FCB" w:rsidRDefault="00CB0FCB">
            <w:pPr>
              <w:spacing w:after="0" w:line="240" w:lineRule="auto"/>
              <w:rPr>
                <w:rFonts w:eastAsia="Times New Roman" w:cs="Calibri"/>
                <w:noProof/>
                <w:color w:val="006100"/>
                <w:sz w:val="18"/>
                <w:szCs w:val="18"/>
              </w:rPr>
            </w:pPr>
          </w:p>
        </w:tc>
        <w:tc>
          <w:tcPr>
            <w:tcW w:w="1152" w:type="dxa"/>
            <w:shd w:val="clear" w:color="auto" w:fill="C6EFCE"/>
            <w:noWrap/>
          </w:tcPr>
          <w:p w14:paraId="69D85B2F" w14:textId="58D3040D" w:rsidR="00CB0FCB" w:rsidRDefault="009D2B11">
            <w:pPr>
              <w:pStyle w:val="P68B1DB1-Normal9"/>
              <w:spacing w:after="0" w:line="240" w:lineRule="auto"/>
              <w:rPr>
                <w:rFonts w:cs="Calibri"/>
                <w:noProof/>
                <w:szCs w:val="18"/>
              </w:rPr>
            </w:pPr>
            <w:r>
              <w:rPr>
                <w:noProof/>
              </w:rPr>
              <w:t xml:space="preserve">1a, b, 2 un </w:t>
            </w:r>
          </w:p>
          <w:p w14:paraId="2C2F0633" w14:textId="324F4F8C" w:rsidR="00CB0FCB" w:rsidRDefault="009D2B11">
            <w:pPr>
              <w:pStyle w:val="P68B1DB1-Normal9"/>
              <w:spacing w:after="0" w:line="240" w:lineRule="auto"/>
              <w:rPr>
                <w:noProof/>
              </w:rPr>
            </w:pPr>
            <w:r>
              <w:rPr>
                <w:noProof/>
              </w:rPr>
              <w:t>3: Skaits</w:t>
            </w:r>
          </w:p>
          <w:p w14:paraId="5978BEEC" w14:textId="6D0B7532" w:rsidR="00CB0FCB" w:rsidRDefault="009D2B11">
            <w:pPr>
              <w:pStyle w:val="P68B1DB1-Normal9"/>
              <w:spacing w:after="0" w:line="240" w:lineRule="auto"/>
              <w:rPr>
                <w:rFonts w:cs="Calibri"/>
                <w:noProof/>
                <w:szCs w:val="18"/>
              </w:rPr>
            </w:pPr>
            <w:r>
              <w:rPr>
                <w:noProof/>
              </w:rPr>
              <w:t>4. Uzstādītās akumulatoru baterijas ietilpība (MW)</w:t>
            </w:r>
          </w:p>
        </w:tc>
        <w:tc>
          <w:tcPr>
            <w:tcW w:w="885" w:type="dxa"/>
            <w:shd w:val="clear" w:color="auto" w:fill="C6EFCE"/>
            <w:noWrap/>
          </w:tcPr>
          <w:p w14:paraId="084140A6" w14:textId="77777777" w:rsidR="00CB0FCB" w:rsidRDefault="009D2B11">
            <w:pPr>
              <w:pStyle w:val="P68B1DB1-Normal9"/>
              <w:spacing w:after="0" w:line="240" w:lineRule="auto"/>
              <w:rPr>
                <w:rFonts w:eastAsia="Times New Roman" w:cs="Calibri"/>
                <w:noProof/>
                <w:szCs w:val="18"/>
              </w:rPr>
            </w:pPr>
            <w:r>
              <w:rPr>
                <w:noProof/>
              </w:rPr>
              <w:t>0</w:t>
            </w:r>
          </w:p>
        </w:tc>
        <w:tc>
          <w:tcPr>
            <w:tcW w:w="1008" w:type="dxa"/>
            <w:shd w:val="clear" w:color="auto" w:fill="C6EFCE"/>
            <w:noWrap/>
          </w:tcPr>
          <w:p w14:paraId="4A59DCC6" w14:textId="6BA61252" w:rsidR="00CB0FCB" w:rsidRDefault="009D2B11">
            <w:pPr>
              <w:pStyle w:val="P68B1DB1-Normal9"/>
              <w:spacing w:after="0" w:line="240" w:lineRule="auto"/>
              <w:rPr>
                <w:noProof/>
              </w:rPr>
            </w:pPr>
            <w:r>
              <w:rPr>
                <w:noProof/>
              </w:rPr>
              <w:t>1a. 15 720</w:t>
            </w:r>
          </w:p>
          <w:p w14:paraId="747761CE" w14:textId="5D19BBF0" w:rsidR="00CB0FCB" w:rsidRDefault="009D2B11">
            <w:pPr>
              <w:pStyle w:val="P68B1DB1-Normal9"/>
              <w:spacing w:after="0" w:line="240" w:lineRule="auto"/>
              <w:rPr>
                <w:rFonts w:eastAsia="Times New Roman" w:cs="Calibri"/>
                <w:noProof/>
                <w:szCs w:val="18"/>
              </w:rPr>
            </w:pPr>
            <w:r>
              <w:rPr>
                <w:noProof/>
              </w:rPr>
              <w:t xml:space="preserve">1b. 140 </w:t>
            </w:r>
          </w:p>
          <w:p w14:paraId="22F01FC9" w14:textId="3F4BD29C" w:rsidR="00CB0FCB" w:rsidRDefault="009D2B11">
            <w:pPr>
              <w:pStyle w:val="P68B1DB1-Normal9"/>
              <w:spacing w:after="0" w:line="240" w:lineRule="auto"/>
              <w:rPr>
                <w:rFonts w:eastAsia="Times New Roman" w:cs="Calibri"/>
                <w:noProof/>
                <w:szCs w:val="18"/>
              </w:rPr>
            </w:pPr>
            <w:r>
              <w:rPr>
                <w:noProof/>
              </w:rPr>
              <w:t xml:space="preserve">2. 130 100 </w:t>
            </w:r>
          </w:p>
          <w:p w14:paraId="710036E9" w14:textId="77777777" w:rsidR="00CB0FCB" w:rsidRDefault="009D2B11">
            <w:pPr>
              <w:pStyle w:val="P68B1DB1-Normal9"/>
              <w:spacing w:after="0" w:line="240" w:lineRule="auto"/>
              <w:rPr>
                <w:noProof/>
              </w:rPr>
            </w:pPr>
            <w:r>
              <w:rPr>
                <w:noProof/>
              </w:rPr>
              <w:t>3. 15</w:t>
            </w:r>
          </w:p>
          <w:p w14:paraId="30478121" w14:textId="5ADB7E24" w:rsidR="00CB0FCB" w:rsidRDefault="009D2B11">
            <w:pPr>
              <w:pStyle w:val="P68B1DB1-Normal9"/>
              <w:spacing w:after="0" w:line="240" w:lineRule="auto"/>
              <w:rPr>
                <w:rFonts w:eastAsia="Times New Roman" w:cs="Calibri"/>
                <w:noProof/>
                <w:szCs w:val="18"/>
              </w:rPr>
            </w:pPr>
            <w:r>
              <w:rPr>
                <w:noProof/>
              </w:rPr>
              <w:t>4. 133</w:t>
            </w:r>
          </w:p>
        </w:tc>
        <w:tc>
          <w:tcPr>
            <w:tcW w:w="956" w:type="dxa"/>
            <w:shd w:val="clear" w:color="auto" w:fill="C6EFCE"/>
            <w:noWrap/>
          </w:tcPr>
          <w:p w14:paraId="4231ABD3" w14:textId="77777777" w:rsidR="00CB0FCB" w:rsidRDefault="009D2B11">
            <w:pPr>
              <w:pStyle w:val="P68B1DB1-Normal9"/>
              <w:spacing w:after="0" w:line="240" w:lineRule="auto"/>
              <w:rPr>
                <w:rFonts w:eastAsia="Times New Roman" w:cs="Calibri"/>
                <w:noProof/>
                <w:szCs w:val="18"/>
              </w:rPr>
            </w:pPr>
            <w:r>
              <w:rPr>
                <w:noProof/>
              </w:rPr>
              <w:t>4. CET.</w:t>
            </w:r>
          </w:p>
        </w:tc>
        <w:tc>
          <w:tcPr>
            <w:tcW w:w="956" w:type="dxa"/>
            <w:shd w:val="clear" w:color="auto" w:fill="C6EFCE"/>
            <w:noWrap/>
          </w:tcPr>
          <w:p w14:paraId="06999985" w14:textId="77777777" w:rsidR="00CB0FCB" w:rsidRDefault="009D2B11">
            <w:pPr>
              <w:pStyle w:val="P68B1DB1-Normal9"/>
              <w:spacing w:after="0" w:line="240" w:lineRule="auto"/>
              <w:rPr>
                <w:rFonts w:eastAsia="Times New Roman" w:cs="Calibri"/>
                <w:noProof/>
                <w:szCs w:val="18"/>
              </w:rPr>
            </w:pPr>
            <w:r>
              <w:rPr>
                <w:noProof/>
              </w:rPr>
              <w:t>2025</w:t>
            </w:r>
          </w:p>
        </w:tc>
        <w:tc>
          <w:tcPr>
            <w:tcW w:w="2698" w:type="dxa"/>
            <w:shd w:val="clear" w:color="auto" w:fill="C6EFCE"/>
            <w:noWrap/>
          </w:tcPr>
          <w:p w14:paraId="4DA32AF4" w14:textId="45189BE9" w:rsidR="00CB0FCB" w:rsidRDefault="009D2B11">
            <w:pPr>
              <w:pStyle w:val="ListParagraph"/>
              <w:numPr>
                <w:ilvl w:val="0"/>
                <w:numId w:val="78"/>
              </w:numPr>
              <w:spacing w:after="0" w:line="240" w:lineRule="auto"/>
              <w:rPr>
                <w:rFonts w:eastAsia="Times New Roman" w:cs="Calibri"/>
                <w:noProof/>
                <w:color w:val="006100"/>
                <w:sz w:val="18"/>
                <w:szCs w:val="18"/>
              </w:rPr>
            </w:pPr>
            <w:r>
              <w:rPr>
                <w:noProof/>
                <w:color w:val="006100"/>
                <w:sz w:val="18"/>
                <w:szCs w:val="18"/>
              </w:rPr>
              <w:t xml:space="preserve">dzīvojamo ēku energorenovācija: Renovācijas pabeigšana, lai uzlabotu energoefektivitāti, kas pabeigta 15720 dzīvesvietās, no kurām vismaz 3144 ir paredzētas enerģētiski nabadzīgām mājsaimniecībām, un primārās enerģijas ietaupījums vidēji ir vismaz 30 %, </w:t>
            </w:r>
            <w:r>
              <w:rPr>
                <w:noProof/>
              </w:rPr>
              <w:t xml:space="preserve"> pamatojoties uz iesniegtajiem energosnieguma sertifikātiem. </w:t>
            </w:r>
          </w:p>
          <w:p w14:paraId="07B3AFDB" w14:textId="5C220EB0" w:rsidR="00CB0FCB" w:rsidRDefault="009D2B11">
            <w:pPr>
              <w:pStyle w:val="P68B1DB1-ListParagraph38"/>
              <w:spacing w:after="0" w:line="240" w:lineRule="auto"/>
              <w:ind w:left="360"/>
              <w:rPr>
                <w:rFonts w:eastAsia="Times New Roman" w:cs="Calibri"/>
                <w:noProof/>
              </w:rPr>
            </w:pPr>
            <w:r>
              <w:rPr>
                <w:noProof/>
              </w:rPr>
              <w:t>nedzīvojamo publisko un privāto ēku energorenovācija: Renovācijas pabeigšana, lai uzlabotu 140 ēku energoefektivitāti, primārās enerģijas ietaupījumiem vidēji sasniedzot vismaz 30 %.</w:t>
            </w:r>
          </w:p>
          <w:p w14:paraId="136E168A" w14:textId="4FEE54CA" w:rsidR="00CB0FCB" w:rsidRDefault="009D2B11">
            <w:pPr>
              <w:pStyle w:val="P68B1DB1-ListParagraph20"/>
              <w:numPr>
                <w:ilvl w:val="0"/>
                <w:numId w:val="78"/>
              </w:numPr>
              <w:spacing w:after="0" w:line="240" w:lineRule="auto"/>
              <w:rPr>
                <w:rFonts w:eastAsia="Times New Roman" w:cs="Calibri"/>
                <w:noProof/>
                <w:szCs w:val="18"/>
              </w:rPr>
            </w:pPr>
            <w:r>
              <w:rPr>
                <w:noProof/>
              </w:rPr>
              <w:t xml:space="preserve">Atjaunojamo energoresursu ūdens sildīšanas sistēmas: 130100 saules enerģijas ūdens sildīšanas sistēmas un siltumsūkņi, kas uzstādīti mājsaimniecībām, no kuriem 26020 ir paredzēti enerģētiski nabadzīgām mājsaimniecībām. </w:t>
            </w:r>
          </w:p>
          <w:p w14:paraId="01636588" w14:textId="77777777" w:rsidR="00CB0FCB" w:rsidRDefault="009D2B11">
            <w:pPr>
              <w:pStyle w:val="P68B1DB1-ListParagraph20"/>
              <w:numPr>
                <w:ilvl w:val="0"/>
                <w:numId w:val="78"/>
              </w:numPr>
              <w:spacing w:after="0" w:line="240" w:lineRule="auto"/>
              <w:rPr>
                <w:rFonts w:eastAsia="Times New Roman" w:cs="Calibri"/>
                <w:noProof/>
                <w:szCs w:val="18"/>
              </w:rPr>
            </w:pPr>
            <w:r>
              <w:rPr>
                <w:noProof/>
              </w:rPr>
              <w:t>Energoefektivitātes veicināšana pašvaldību ūdensapgādes un kanalizācijas uzņēmumos: Pabeigti energoefektivitātes intervences pasākumi, kas nodrošina enerģijas ietaupījumu vismaz 15 pašvaldību ūdensapgādes un kanalizācijas uzņēmumiem (DEYA).</w:t>
            </w:r>
          </w:p>
          <w:p w14:paraId="5D3ACB20" w14:textId="42D3CF80" w:rsidR="00CB0FCB" w:rsidRDefault="009D2B11">
            <w:pPr>
              <w:pStyle w:val="P68B1DB1-ListParagraph20"/>
              <w:numPr>
                <w:ilvl w:val="0"/>
                <w:numId w:val="78"/>
              </w:numPr>
              <w:spacing w:after="0" w:line="240" w:lineRule="auto"/>
              <w:rPr>
                <w:rFonts w:eastAsia="Times New Roman" w:cs="Calibri"/>
                <w:noProof/>
                <w:szCs w:val="18"/>
              </w:rPr>
            </w:pPr>
            <w:r>
              <w:rPr>
                <w:noProof/>
              </w:rPr>
              <w:t>Akumulatoru uzkrāšanas sistēmu uzstādīšana uzņēmumiem ar kopējo jaudu 133 MW.</w:t>
            </w:r>
          </w:p>
        </w:tc>
      </w:tr>
    </w:tbl>
    <w:p w14:paraId="2CC7636C" w14:textId="52CC3259" w:rsidR="00CB0FCB" w:rsidRDefault="009D2B11">
      <w:pPr>
        <w:pStyle w:val="P68B1DB1-Normal6"/>
        <w:keepNext/>
        <w:keepLines/>
        <w:spacing w:before="240" w:after="240" w:line="240" w:lineRule="auto"/>
        <w:jc w:val="both"/>
        <w:outlineLvl w:val="4"/>
        <w:rPr>
          <w:rFonts w:eastAsia="Times New Roman"/>
          <w:noProof/>
          <w:szCs w:val="24"/>
        </w:rPr>
      </w:pPr>
      <w:r>
        <w:rPr>
          <w:noProof/>
        </w:rPr>
        <w:t>Ieguldījums Nr. 3: Atjaunīgā ūdeņraža ražošanas projekts (pasākuma ID: 16995)</w:t>
      </w:r>
    </w:p>
    <w:tbl>
      <w:tblPr>
        <w:tblW w:w="14341" w:type="dxa"/>
        <w:tblInd w:w="113" w:type="dxa"/>
        <w:tblLook w:val="04A0" w:firstRow="1" w:lastRow="0" w:firstColumn="1" w:lastColumn="0" w:noHBand="0" w:noVBand="1"/>
      </w:tblPr>
      <w:tblGrid>
        <w:gridCol w:w="1031"/>
        <w:gridCol w:w="1597"/>
        <w:gridCol w:w="1650"/>
        <w:gridCol w:w="1189"/>
        <w:gridCol w:w="1421"/>
        <w:gridCol w:w="1107"/>
        <w:gridCol w:w="1279"/>
        <w:gridCol w:w="712"/>
        <w:gridCol w:w="947"/>
        <w:gridCol w:w="670"/>
        <w:gridCol w:w="2845"/>
      </w:tblGrid>
      <w:tr w:rsidR="00CB0FCB" w14:paraId="40031EDA" w14:textId="77777777">
        <w:trPr>
          <w:trHeight w:val="927"/>
          <w:tblHeader/>
        </w:trPr>
        <w:tc>
          <w:tcPr>
            <w:tcW w:w="11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3DF74E" w14:textId="77777777" w:rsidR="00CB0FCB" w:rsidRDefault="009D2B11">
            <w:pPr>
              <w:pStyle w:val="P68B1DB1-Normal7"/>
              <w:spacing w:after="0" w:line="240" w:lineRule="auto"/>
              <w:jc w:val="center"/>
              <w:rPr>
                <w:rFonts w:eastAsia="Times New Roman" w:cs="Times New Roman"/>
                <w:bCs/>
                <w:noProof/>
                <w:szCs w:val="18"/>
              </w:rPr>
            </w:pPr>
            <w:r>
              <w:rPr>
                <w:noProof/>
              </w:rPr>
              <w:t>Kārtas numurs</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4559B4" w14:textId="77777777" w:rsidR="00CB0FCB" w:rsidRDefault="009D2B11">
            <w:pPr>
              <w:pStyle w:val="P68B1DB1-Normal7"/>
              <w:spacing w:after="0" w:line="240" w:lineRule="auto"/>
              <w:jc w:val="center"/>
              <w:rPr>
                <w:rFonts w:eastAsia="Times New Roman" w:cs="Times New Roman"/>
                <w:bCs/>
                <w:noProof/>
                <w:szCs w:val="18"/>
              </w:rPr>
            </w:pPr>
            <w:r>
              <w:rPr>
                <w:noProof/>
              </w:rPr>
              <w:t>Saistītais pasākums (reforma vai ieguldījums)</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8F3DAA" w14:textId="77777777" w:rsidR="00CB0FCB" w:rsidRDefault="009D2B11">
            <w:pPr>
              <w:pStyle w:val="P68B1DB1-Normal7"/>
              <w:spacing w:after="0" w:line="240" w:lineRule="auto"/>
              <w:jc w:val="center"/>
              <w:rPr>
                <w:rFonts w:eastAsia="Times New Roman" w:cs="Times New Roman"/>
                <w:bCs/>
                <w:noProof/>
                <w:szCs w:val="18"/>
              </w:rPr>
            </w:pPr>
            <w:r>
              <w:rPr>
                <w:noProof/>
              </w:rPr>
              <w:t>Atskaites punkts/mērķrādītājs</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3D4C32" w14:textId="77777777" w:rsidR="00CB0FCB" w:rsidRDefault="009D2B11">
            <w:pPr>
              <w:pStyle w:val="P68B1DB1-Normal7"/>
              <w:spacing w:after="0" w:line="240" w:lineRule="auto"/>
              <w:jc w:val="center"/>
              <w:rPr>
                <w:rFonts w:eastAsia="Times New Roman" w:cs="Times New Roman"/>
                <w:bCs/>
                <w:noProof/>
                <w:szCs w:val="18"/>
              </w:rPr>
            </w:pPr>
            <w:r>
              <w:rPr>
                <w:noProof/>
              </w:rPr>
              <w:t>Nosaukums</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A0DECC" w14:textId="77777777" w:rsidR="00CB0FCB" w:rsidRDefault="009D2B11">
            <w:pPr>
              <w:pStyle w:val="P68B1DB1-Normal7"/>
              <w:spacing w:after="0" w:line="240" w:lineRule="auto"/>
              <w:jc w:val="center"/>
              <w:rPr>
                <w:rFonts w:eastAsia="Times New Roman" w:cs="Times New Roman"/>
                <w:bCs/>
                <w:noProof/>
                <w:szCs w:val="18"/>
              </w:rPr>
            </w:pPr>
            <w:r>
              <w:rPr>
                <w:noProof/>
              </w:rPr>
              <w:t>Kvalitatīvie rādītāji (atskaites punktiem)</w:t>
            </w:r>
          </w:p>
        </w:tc>
        <w:tc>
          <w:tcPr>
            <w:tcW w:w="284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19020A2" w14:textId="77777777" w:rsidR="00CB0FCB" w:rsidRDefault="009D2B11">
            <w:pPr>
              <w:pStyle w:val="P68B1DB1-Normal7"/>
              <w:spacing w:after="0" w:line="240" w:lineRule="auto"/>
              <w:jc w:val="center"/>
              <w:rPr>
                <w:rFonts w:eastAsia="Times New Roman" w:cs="Times New Roman"/>
                <w:bCs/>
                <w:noProof/>
                <w:szCs w:val="18"/>
              </w:rPr>
            </w:pPr>
            <w:r>
              <w:rPr>
                <w:noProof/>
              </w:rPr>
              <w:t>Kvantitatīvie rādītāji (mērķrādītājiem)</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14:paraId="4140CFAD" w14:textId="77777777" w:rsidR="00CB0FCB" w:rsidRDefault="009D2B11">
            <w:pPr>
              <w:pStyle w:val="P68B1DB1-Normal7"/>
              <w:spacing w:after="0" w:line="240" w:lineRule="auto"/>
              <w:jc w:val="center"/>
              <w:rPr>
                <w:rFonts w:eastAsia="Times New Roman" w:cs="Times New Roman"/>
                <w:bCs/>
                <w:noProof/>
                <w:szCs w:val="18"/>
              </w:rPr>
            </w:pPr>
            <w:r>
              <w:rPr>
                <w:noProof/>
              </w:rPr>
              <w:t xml:space="preserve">Orientējošs pabeigšanas termiņš </w:t>
            </w:r>
          </w:p>
        </w:tc>
        <w:tc>
          <w:tcPr>
            <w:tcW w:w="31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6BFE2E" w14:textId="77777777" w:rsidR="00CB0FCB" w:rsidRDefault="009D2B11">
            <w:pPr>
              <w:pStyle w:val="P68B1DB1-Normal7"/>
              <w:spacing w:after="0" w:line="240" w:lineRule="auto"/>
              <w:jc w:val="center"/>
              <w:rPr>
                <w:rFonts w:eastAsia="Times New Roman" w:cs="Times New Roman"/>
                <w:bCs/>
                <w:noProof/>
                <w:szCs w:val="18"/>
              </w:rPr>
            </w:pPr>
            <w:r>
              <w:rPr>
                <w:noProof/>
              </w:rPr>
              <w:t>Apraksts par katru atskaites punktu un mērķrādītāju</w:t>
            </w:r>
          </w:p>
        </w:tc>
      </w:tr>
      <w:tr w:rsidR="00CB0FCB" w14:paraId="20118C91" w14:textId="77777777">
        <w:trPr>
          <w:trHeight w:val="1013"/>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52C359A6" w14:textId="77777777" w:rsidR="00CB0FCB" w:rsidRDefault="00CB0FCB">
            <w:pPr>
              <w:spacing w:after="0" w:line="240" w:lineRule="auto"/>
              <w:rPr>
                <w:rFonts w:ascii="Times New Roman" w:eastAsia="Times New Roman" w:hAnsi="Times New Roman" w:cs="Times New Roman"/>
                <w:b/>
                <w:bCs/>
                <w:noProof/>
                <w:sz w:val="18"/>
                <w:szCs w:val="18"/>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2B5327F2" w14:textId="77777777" w:rsidR="00CB0FCB" w:rsidRDefault="00CB0FCB">
            <w:pPr>
              <w:spacing w:after="0" w:line="240" w:lineRule="auto"/>
              <w:rPr>
                <w:rFonts w:ascii="Times New Roman" w:eastAsia="Times New Roman" w:hAnsi="Times New Roman" w:cs="Times New Roman"/>
                <w:b/>
                <w:bCs/>
                <w:noProof/>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030454F" w14:textId="77777777" w:rsidR="00CB0FCB" w:rsidRDefault="00CB0FCB">
            <w:pPr>
              <w:spacing w:after="0" w:line="240" w:lineRule="auto"/>
              <w:rPr>
                <w:rFonts w:ascii="Times New Roman" w:eastAsia="Times New Roman" w:hAnsi="Times New Roman" w:cs="Times New Roman"/>
                <w:b/>
                <w:bCs/>
                <w:noProof/>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46DFABBC" w14:textId="77777777" w:rsidR="00CB0FCB" w:rsidRDefault="00CB0FCB">
            <w:pPr>
              <w:spacing w:after="0" w:line="240" w:lineRule="auto"/>
              <w:rPr>
                <w:rFonts w:ascii="Times New Roman" w:eastAsia="Times New Roman" w:hAnsi="Times New Roman" w:cs="Times New Roman"/>
                <w:b/>
                <w:bCs/>
                <w:noProof/>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DCC2271" w14:textId="77777777" w:rsidR="00CB0FCB" w:rsidRDefault="00CB0FCB">
            <w:pPr>
              <w:spacing w:after="0" w:line="240" w:lineRule="auto"/>
              <w:rPr>
                <w:rFonts w:ascii="Times New Roman" w:eastAsia="Times New Roman" w:hAnsi="Times New Roman" w:cs="Times New Roman"/>
                <w:b/>
                <w:bCs/>
                <w:noProof/>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B52060A" w14:textId="77777777" w:rsidR="00CB0FCB" w:rsidRDefault="009D2B11">
            <w:pPr>
              <w:pStyle w:val="P68B1DB1-Normal7"/>
              <w:spacing w:after="0" w:line="240" w:lineRule="auto"/>
              <w:jc w:val="center"/>
              <w:rPr>
                <w:rFonts w:eastAsia="Times New Roman" w:cs="Times New Roman"/>
                <w:bCs/>
                <w:noProof/>
                <w:szCs w:val="18"/>
              </w:rPr>
            </w:pPr>
            <w:r>
              <w:rPr>
                <w:noProof/>
              </w:rPr>
              <w:t>Mēra vienība</w:t>
            </w:r>
          </w:p>
        </w:tc>
        <w:tc>
          <w:tcPr>
            <w:tcW w:w="92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4BEA84A" w14:textId="77777777" w:rsidR="00CB0FCB" w:rsidRDefault="009D2B11">
            <w:pPr>
              <w:pStyle w:val="P68B1DB1-Normal7"/>
              <w:spacing w:after="0" w:line="240" w:lineRule="auto"/>
              <w:jc w:val="center"/>
              <w:rPr>
                <w:rFonts w:eastAsia="Times New Roman" w:cs="Times New Roman"/>
                <w:bCs/>
                <w:noProof/>
                <w:szCs w:val="18"/>
              </w:rPr>
            </w:pPr>
            <w:r>
              <w:rPr>
                <w:noProof/>
              </w:rPr>
              <w:t xml:space="preserve">Pamatscenārijs </w:t>
            </w:r>
          </w:p>
        </w:tc>
        <w:tc>
          <w:tcPr>
            <w:tcW w:w="7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14B060F" w14:textId="77777777" w:rsidR="00CB0FCB" w:rsidRDefault="009D2B11">
            <w:pPr>
              <w:pStyle w:val="P68B1DB1-Normal7"/>
              <w:spacing w:after="0" w:line="240" w:lineRule="auto"/>
              <w:jc w:val="center"/>
              <w:rPr>
                <w:rFonts w:eastAsia="Times New Roman" w:cs="Times New Roman"/>
                <w:bCs/>
                <w:noProof/>
                <w:szCs w:val="18"/>
              </w:rPr>
            </w:pPr>
            <w:r>
              <w:rPr>
                <w:noProof/>
              </w:rPr>
              <w:t xml:space="preserve">Mērķis </w:t>
            </w:r>
          </w:p>
        </w:tc>
        <w:tc>
          <w:tcPr>
            <w:tcW w:w="92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344BDD" w14:textId="77777777" w:rsidR="00CB0FCB" w:rsidRDefault="009D2B11">
            <w:pPr>
              <w:pStyle w:val="P68B1DB1-Normal7"/>
              <w:spacing w:after="0" w:line="240" w:lineRule="auto"/>
              <w:jc w:val="center"/>
              <w:rPr>
                <w:rFonts w:eastAsia="Times New Roman" w:cs="Times New Roman"/>
                <w:bCs/>
                <w:noProof/>
                <w:szCs w:val="18"/>
              </w:rPr>
            </w:pPr>
            <w:r>
              <w:rPr>
                <w:noProof/>
              </w:rPr>
              <w:t>Ceturkšņa laikā</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F4F0BAA" w14:textId="77777777" w:rsidR="00CB0FCB" w:rsidRDefault="009D2B11">
            <w:pPr>
              <w:pStyle w:val="P68B1DB1-Normal7"/>
              <w:spacing w:after="0" w:line="240" w:lineRule="auto"/>
              <w:jc w:val="center"/>
              <w:rPr>
                <w:rFonts w:eastAsia="Times New Roman" w:cs="Times New Roman"/>
                <w:bCs/>
                <w:noProof/>
                <w:szCs w:val="18"/>
              </w:rPr>
            </w:pPr>
            <w:r>
              <w:rPr>
                <w:noProof/>
              </w:rPr>
              <w:t>Gadu</w:t>
            </w:r>
          </w:p>
        </w:tc>
        <w:tc>
          <w:tcPr>
            <w:tcW w:w="3133" w:type="dxa"/>
            <w:vMerge/>
            <w:tcBorders>
              <w:top w:val="single" w:sz="4" w:space="0" w:color="auto"/>
              <w:bottom w:val="single" w:sz="4" w:space="0" w:color="auto"/>
              <w:right w:val="single" w:sz="4" w:space="0" w:color="auto"/>
            </w:tcBorders>
            <w:vAlign w:val="center"/>
            <w:hideMark/>
          </w:tcPr>
          <w:p w14:paraId="467F634E" w14:textId="77777777" w:rsidR="00CB0FCB" w:rsidRDefault="00CB0FCB">
            <w:pPr>
              <w:spacing w:after="0" w:line="240" w:lineRule="auto"/>
              <w:rPr>
                <w:rFonts w:ascii="Times New Roman" w:eastAsia="Times New Roman" w:hAnsi="Times New Roman" w:cs="Times New Roman"/>
                <w:b/>
                <w:bCs/>
                <w:noProof/>
                <w:sz w:val="18"/>
                <w:szCs w:val="18"/>
              </w:rPr>
            </w:pPr>
          </w:p>
        </w:tc>
      </w:tr>
      <w:tr w:rsidR="00CB0FCB" w14:paraId="16C7C52A" w14:textId="77777777">
        <w:tc>
          <w:tcPr>
            <w:tcW w:w="1120" w:type="dxa"/>
            <w:tcBorders>
              <w:top w:val="single" w:sz="4" w:space="0" w:color="auto"/>
              <w:left w:val="single" w:sz="4" w:space="0" w:color="auto"/>
              <w:bottom w:val="single" w:sz="4" w:space="0" w:color="auto"/>
              <w:right w:val="single" w:sz="4" w:space="0" w:color="auto"/>
            </w:tcBorders>
            <w:shd w:val="clear" w:color="auto" w:fill="C6EFCE"/>
            <w:noWrap/>
          </w:tcPr>
          <w:p w14:paraId="5C4A595C" w14:textId="77777777" w:rsidR="00CB0FCB" w:rsidRDefault="009D2B11">
            <w:pPr>
              <w:pStyle w:val="P68B1DB1-Normal9"/>
              <w:spacing w:after="0" w:line="240" w:lineRule="auto"/>
              <w:rPr>
                <w:rFonts w:eastAsia="Times New Roman" w:cs="Calibri"/>
                <w:noProof/>
                <w:szCs w:val="18"/>
              </w:rPr>
            </w:pPr>
            <w:r>
              <w:rPr>
                <w:noProof/>
              </w:rPr>
              <w:t>370</w:t>
            </w:r>
          </w:p>
        </w:tc>
        <w:tc>
          <w:tcPr>
            <w:tcW w:w="1749" w:type="dxa"/>
            <w:tcBorders>
              <w:top w:val="single" w:sz="4" w:space="0" w:color="auto"/>
              <w:left w:val="nil"/>
              <w:bottom w:val="single" w:sz="4" w:space="0" w:color="auto"/>
              <w:right w:val="single" w:sz="4" w:space="0" w:color="auto"/>
            </w:tcBorders>
            <w:shd w:val="clear" w:color="auto" w:fill="C6EFCE"/>
            <w:noWrap/>
          </w:tcPr>
          <w:p w14:paraId="2B531197" w14:textId="7375C40A" w:rsidR="00CB0FCB" w:rsidRDefault="009D2B11">
            <w:pPr>
              <w:pStyle w:val="P68B1DB1-Normal9"/>
              <w:spacing w:after="0" w:line="240" w:lineRule="auto"/>
              <w:rPr>
                <w:rFonts w:ascii="Times New Roman" w:hAnsi="Times New Roman" w:cs="Times New Roman"/>
                <w:noProof/>
                <w:sz w:val="24"/>
                <w:szCs w:val="24"/>
              </w:rPr>
            </w:pPr>
            <w:r>
              <w:rPr>
                <w:noProof/>
              </w:rPr>
              <w:t>21–5,2 REPowerEU investīcijas — 16995_Atjaunojamā ūdeņraža ražošanas projekts</w:t>
            </w:r>
          </w:p>
        </w:tc>
        <w:tc>
          <w:tcPr>
            <w:tcW w:w="1094" w:type="dxa"/>
            <w:tcBorders>
              <w:top w:val="single" w:sz="4" w:space="0" w:color="auto"/>
              <w:left w:val="nil"/>
              <w:bottom w:val="single" w:sz="4" w:space="0" w:color="auto"/>
              <w:right w:val="single" w:sz="4" w:space="0" w:color="auto"/>
            </w:tcBorders>
            <w:shd w:val="clear" w:color="auto" w:fill="C6EFCE"/>
            <w:noWrap/>
          </w:tcPr>
          <w:p w14:paraId="2CD6884D" w14:textId="77777777" w:rsidR="00CB0FCB" w:rsidRDefault="009D2B11">
            <w:pPr>
              <w:pStyle w:val="P68B1DB1-Normal9"/>
              <w:spacing w:after="0" w:line="240" w:lineRule="auto"/>
              <w:rPr>
                <w:rFonts w:eastAsia="Times New Roman" w:cs="Calibri"/>
                <w:noProof/>
                <w:szCs w:val="18"/>
              </w:rPr>
            </w:pPr>
            <w:r>
              <w:rPr>
                <w:noProof/>
              </w:rPr>
              <w:t>Atskaites punkts</w:t>
            </w:r>
          </w:p>
        </w:tc>
        <w:tc>
          <w:tcPr>
            <w:tcW w:w="1205" w:type="dxa"/>
            <w:tcBorders>
              <w:top w:val="single" w:sz="4" w:space="0" w:color="auto"/>
              <w:left w:val="nil"/>
              <w:bottom w:val="single" w:sz="4" w:space="0" w:color="auto"/>
              <w:right w:val="single" w:sz="4" w:space="0" w:color="auto"/>
            </w:tcBorders>
            <w:shd w:val="clear" w:color="auto" w:fill="C6EFCE"/>
            <w:noWrap/>
          </w:tcPr>
          <w:p w14:paraId="3D37BF86" w14:textId="07EEAD52" w:rsidR="00CB0FCB" w:rsidRDefault="009D2B11">
            <w:pPr>
              <w:pStyle w:val="P68B1DB1-Normal9"/>
              <w:spacing w:after="0" w:line="240" w:lineRule="auto"/>
              <w:rPr>
                <w:rFonts w:eastAsia="Times New Roman" w:cs="Calibri"/>
                <w:noProof/>
                <w:szCs w:val="18"/>
              </w:rPr>
            </w:pPr>
            <w:r>
              <w:rPr>
                <w:noProof/>
              </w:rPr>
              <w:t>Starpministriju lēmuma izdošana par dotācijas piešķiršanu labuma guvējam</w:t>
            </w:r>
          </w:p>
        </w:tc>
        <w:tc>
          <w:tcPr>
            <w:tcW w:w="1553" w:type="dxa"/>
            <w:tcBorders>
              <w:top w:val="single" w:sz="4" w:space="0" w:color="auto"/>
              <w:left w:val="nil"/>
              <w:bottom w:val="single" w:sz="4" w:space="0" w:color="auto"/>
              <w:right w:val="single" w:sz="4" w:space="0" w:color="auto"/>
            </w:tcBorders>
            <w:shd w:val="clear" w:color="auto" w:fill="C6EFCE"/>
            <w:noWrap/>
          </w:tcPr>
          <w:p w14:paraId="1EBB5172" w14:textId="6A7BD5AA" w:rsidR="00CB0FCB" w:rsidRDefault="009D2B11">
            <w:pPr>
              <w:pStyle w:val="P68B1DB1-Normal9"/>
              <w:spacing w:after="0" w:line="240" w:lineRule="auto"/>
              <w:rPr>
                <w:rFonts w:eastAsia="Times New Roman" w:cs="Calibri"/>
                <w:noProof/>
                <w:szCs w:val="18"/>
              </w:rPr>
            </w:pPr>
            <w:r>
              <w:rPr>
                <w:noProof/>
              </w:rPr>
              <w:t>Ministru kopīgā lēmuma izdošana</w:t>
            </w:r>
          </w:p>
        </w:tc>
        <w:tc>
          <w:tcPr>
            <w:tcW w:w="1205" w:type="dxa"/>
            <w:tcBorders>
              <w:top w:val="single" w:sz="4" w:space="0" w:color="auto"/>
              <w:left w:val="nil"/>
              <w:bottom w:val="single" w:sz="4" w:space="0" w:color="auto"/>
              <w:right w:val="single" w:sz="4" w:space="0" w:color="auto"/>
            </w:tcBorders>
            <w:shd w:val="clear" w:color="auto" w:fill="C6EFCE"/>
            <w:noWrap/>
          </w:tcPr>
          <w:p w14:paraId="13304D1F" w14:textId="77777777" w:rsidR="00CB0FCB" w:rsidRDefault="00CB0FCB">
            <w:pPr>
              <w:spacing w:after="0" w:line="240" w:lineRule="auto"/>
              <w:rPr>
                <w:rFonts w:eastAsia="Times New Roman" w:cs="Calibri"/>
                <w:noProof/>
                <w:color w:val="006100"/>
                <w:sz w:val="18"/>
                <w:szCs w:val="18"/>
              </w:rPr>
            </w:pPr>
          </w:p>
        </w:tc>
        <w:tc>
          <w:tcPr>
            <w:tcW w:w="927" w:type="dxa"/>
            <w:tcBorders>
              <w:top w:val="single" w:sz="4" w:space="0" w:color="auto"/>
              <w:left w:val="nil"/>
              <w:bottom w:val="single" w:sz="4" w:space="0" w:color="auto"/>
              <w:right w:val="single" w:sz="4" w:space="0" w:color="auto"/>
            </w:tcBorders>
            <w:shd w:val="clear" w:color="auto" w:fill="C6EFCE"/>
            <w:noWrap/>
          </w:tcPr>
          <w:p w14:paraId="3F0B5569" w14:textId="77777777" w:rsidR="00CB0FCB" w:rsidRDefault="00CB0FCB">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30D86AFF" w14:textId="77777777" w:rsidR="00CB0FCB" w:rsidRDefault="00CB0FCB">
            <w:pPr>
              <w:spacing w:after="0" w:line="240" w:lineRule="auto"/>
              <w:rPr>
                <w:rFonts w:eastAsia="Times New Roman" w:cs="Calibri"/>
                <w:noProof/>
                <w:color w:val="006100"/>
                <w:sz w:val="18"/>
                <w:szCs w:val="18"/>
              </w:rPr>
            </w:pPr>
          </w:p>
        </w:tc>
        <w:tc>
          <w:tcPr>
            <w:tcW w:w="922" w:type="dxa"/>
            <w:tcBorders>
              <w:top w:val="single" w:sz="4" w:space="0" w:color="auto"/>
              <w:left w:val="nil"/>
              <w:bottom w:val="single" w:sz="4" w:space="0" w:color="auto"/>
              <w:right w:val="single" w:sz="4" w:space="0" w:color="auto"/>
            </w:tcBorders>
            <w:shd w:val="clear" w:color="auto" w:fill="C6EFCE"/>
            <w:noWrap/>
          </w:tcPr>
          <w:p w14:paraId="798D87E8" w14:textId="2BC0C169" w:rsidR="00CB0FCB" w:rsidRDefault="009D2B11">
            <w:pPr>
              <w:pStyle w:val="P68B1DB1-Normal9"/>
              <w:spacing w:after="0" w:line="240" w:lineRule="auto"/>
              <w:rPr>
                <w:rFonts w:eastAsia="Times New Roman" w:cs="Calibri"/>
                <w:noProof/>
                <w:szCs w:val="18"/>
              </w:rPr>
            </w:pPr>
            <w:r>
              <w:rPr>
                <w:noProof/>
              </w:rPr>
              <w:t>2. CET.</w:t>
            </w:r>
          </w:p>
        </w:tc>
        <w:tc>
          <w:tcPr>
            <w:tcW w:w="720" w:type="dxa"/>
            <w:tcBorders>
              <w:top w:val="single" w:sz="4" w:space="0" w:color="auto"/>
              <w:left w:val="nil"/>
              <w:bottom w:val="single" w:sz="4" w:space="0" w:color="auto"/>
              <w:right w:val="single" w:sz="4" w:space="0" w:color="auto"/>
            </w:tcBorders>
            <w:shd w:val="clear" w:color="auto" w:fill="C6EFCE"/>
            <w:noWrap/>
          </w:tcPr>
          <w:p w14:paraId="45A3D63A" w14:textId="77777777" w:rsidR="00CB0FCB" w:rsidRDefault="009D2B11">
            <w:pPr>
              <w:pStyle w:val="P68B1DB1-Normal9"/>
              <w:spacing w:after="0" w:line="240" w:lineRule="auto"/>
              <w:rPr>
                <w:rFonts w:eastAsia="Times New Roman" w:cs="Calibri"/>
                <w:noProof/>
                <w:szCs w:val="18"/>
              </w:rPr>
            </w:pPr>
            <w:r>
              <w:rPr>
                <w:noProof/>
              </w:rPr>
              <w:t>2024</w:t>
            </w:r>
          </w:p>
        </w:tc>
        <w:tc>
          <w:tcPr>
            <w:tcW w:w="3133" w:type="dxa"/>
            <w:tcBorders>
              <w:top w:val="single" w:sz="4" w:space="0" w:color="auto"/>
              <w:left w:val="nil"/>
              <w:bottom w:val="single" w:sz="4" w:space="0" w:color="auto"/>
              <w:right w:val="single" w:sz="4" w:space="0" w:color="auto"/>
            </w:tcBorders>
            <w:shd w:val="clear" w:color="auto" w:fill="C6EFCE"/>
            <w:noWrap/>
          </w:tcPr>
          <w:p w14:paraId="71E91B43" w14:textId="58B033CD" w:rsidR="00CB0FCB" w:rsidRDefault="009D2B11">
            <w:pPr>
              <w:spacing w:after="0" w:line="240" w:lineRule="auto"/>
              <w:rPr>
                <w:rFonts w:eastAsia="Times New Roman" w:cs="Calibri"/>
                <w:noProof/>
                <w:color w:val="006100"/>
                <w:sz w:val="18"/>
                <w:szCs w:val="18"/>
              </w:rPr>
            </w:pPr>
            <w:r>
              <w:rPr>
                <w:noProof/>
                <w:color w:val="006100"/>
                <w:sz w:val="18"/>
                <w:szCs w:val="18"/>
              </w:rPr>
              <w:t>Starpministriju lēmuma izdošana par dotācijas piešķiršanu labuma guvējam par vismaz 45 MW jauna uzstādīta atjaunīgā ūdeņraža.</w:t>
            </w:r>
            <w:r>
              <w:rPr>
                <w:noProof/>
              </w:rPr>
              <w:br/>
            </w:r>
          </w:p>
        </w:tc>
      </w:tr>
      <w:tr w:rsidR="00CB0FCB" w14:paraId="76359598" w14:textId="77777777">
        <w:tc>
          <w:tcPr>
            <w:tcW w:w="1120" w:type="dxa"/>
            <w:tcBorders>
              <w:top w:val="nil"/>
              <w:left w:val="single" w:sz="4" w:space="0" w:color="auto"/>
              <w:bottom w:val="single" w:sz="4" w:space="0" w:color="auto"/>
              <w:right w:val="single" w:sz="4" w:space="0" w:color="auto"/>
            </w:tcBorders>
            <w:shd w:val="clear" w:color="auto" w:fill="C6EFCE"/>
            <w:noWrap/>
          </w:tcPr>
          <w:p w14:paraId="08E39E6C" w14:textId="77777777" w:rsidR="00CB0FCB" w:rsidRDefault="009D2B11">
            <w:pPr>
              <w:pStyle w:val="P68B1DB1-Normal9"/>
              <w:spacing w:after="0" w:line="240" w:lineRule="auto"/>
              <w:rPr>
                <w:rFonts w:eastAsia="Times New Roman" w:cs="Calibri"/>
                <w:noProof/>
                <w:szCs w:val="18"/>
              </w:rPr>
            </w:pPr>
            <w:r>
              <w:rPr>
                <w:noProof/>
              </w:rPr>
              <w:t>371</w:t>
            </w:r>
          </w:p>
        </w:tc>
        <w:tc>
          <w:tcPr>
            <w:tcW w:w="1749" w:type="dxa"/>
            <w:tcBorders>
              <w:top w:val="nil"/>
              <w:left w:val="nil"/>
              <w:bottom w:val="single" w:sz="4" w:space="0" w:color="auto"/>
              <w:right w:val="single" w:sz="4" w:space="0" w:color="auto"/>
            </w:tcBorders>
            <w:shd w:val="clear" w:color="auto" w:fill="C6EFCE"/>
            <w:noWrap/>
          </w:tcPr>
          <w:p w14:paraId="1F4157A0" w14:textId="2774908F" w:rsidR="00CB0FCB" w:rsidRDefault="009D2B11">
            <w:pPr>
              <w:pStyle w:val="P68B1DB1-Normal9"/>
              <w:spacing w:after="0" w:line="240" w:lineRule="auto"/>
              <w:rPr>
                <w:rFonts w:eastAsia="Times New Roman" w:cs="Calibri"/>
                <w:noProof/>
                <w:szCs w:val="18"/>
              </w:rPr>
            </w:pPr>
            <w:r>
              <w:rPr>
                <w:noProof/>
              </w:rPr>
              <w:t>21–5,2 REPowerEU investīcijas — 16995_Atjaunojamā ūdeņraža ražošanas projekts</w:t>
            </w:r>
          </w:p>
        </w:tc>
        <w:tc>
          <w:tcPr>
            <w:tcW w:w="1094" w:type="dxa"/>
            <w:tcBorders>
              <w:top w:val="nil"/>
              <w:left w:val="nil"/>
              <w:bottom w:val="single" w:sz="4" w:space="0" w:color="auto"/>
              <w:right w:val="single" w:sz="4" w:space="0" w:color="auto"/>
            </w:tcBorders>
            <w:shd w:val="clear" w:color="auto" w:fill="C6EFCE"/>
            <w:noWrap/>
          </w:tcPr>
          <w:p w14:paraId="28CB460E" w14:textId="77777777" w:rsidR="00CB0FCB" w:rsidRDefault="009D2B11">
            <w:pPr>
              <w:pStyle w:val="P68B1DB1-Normal9"/>
              <w:spacing w:after="0" w:line="240" w:lineRule="auto"/>
              <w:rPr>
                <w:rFonts w:eastAsia="Times New Roman" w:cs="Calibri"/>
                <w:noProof/>
                <w:szCs w:val="18"/>
              </w:rPr>
            </w:pPr>
            <w:r>
              <w:rPr>
                <w:noProof/>
              </w:rPr>
              <w:t>Mērķa</w:t>
            </w:r>
          </w:p>
        </w:tc>
        <w:tc>
          <w:tcPr>
            <w:tcW w:w="1205" w:type="dxa"/>
            <w:tcBorders>
              <w:top w:val="nil"/>
              <w:left w:val="nil"/>
              <w:bottom w:val="single" w:sz="4" w:space="0" w:color="auto"/>
              <w:right w:val="single" w:sz="4" w:space="0" w:color="auto"/>
            </w:tcBorders>
            <w:shd w:val="clear" w:color="auto" w:fill="C6EFCE"/>
            <w:noWrap/>
          </w:tcPr>
          <w:p w14:paraId="194B5204" w14:textId="3DDA7F4A" w:rsidR="00CB0FCB" w:rsidRDefault="009D2B11">
            <w:pPr>
              <w:pStyle w:val="P68B1DB1-Normal9"/>
              <w:spacing w:after="0" w:line="240" w:lineRule="auto"/>
              <w:rPr>
                <w:rFonts w:eastAsia="Times New Roman" w:cs="Calibri"/>
                <w:noProof/>
                <w:szCs w:val="18"/>
              </w:rPr>
            </w:pPr>
            <w:r>
              <w:rPr>
                <w:noProof/>
              </w:rPr>
              <w:t>Atjaunīgā ūdeņraža ražošanas papildu jauda</w:t>
            </w:r>
          </w:p>
        </w:tc>
        <w:tc>
          <w:tcPr>
            <w:tcW w:w="1553" w:type="dxa"/>
            <w:tcBorders>
              <w:top w:val="nil"/>
              <w:left w:val="nil"/>
              <w:bottom w:val="single" w:sz="4" w:space="0" w:color="auto"/>
              <w:right w:val="single" w:sz="4" w:space="0" w:color="auto"/>
            </w:tcBorders>
            <w:shd w:val="clear" w:color="auto" w:fill="C6EFCE"/>
            <w:noWrap/>
          </w:tcPr>
          <w:p w14:paraId="79962F81" w14:textId="77777777" w:rsidR="00CB0FCB" w:rsidRDefault="00CB0FCB">
            <w:pPr>
              <w:spacing w:after="0" w:line="240" w:lineRule="auto"/>
              <w:rPr>
                <w:rFonts w:eastAsia="Times New Roman" w:cs="Calibri"/>
                <w:noProof/>
                <w:color w:val="006100"/>
                <w:sz w:val="18"/>
                <w:szCs w:val="18"/>
              </w:rPr>
            </w:pPr>
          </w:p>
        </w:tc>
        <w:tc>
          <w:tcPr>
            <w:tcW w:w="1205" w:type="dxa"/>
            <w:tcBorders>
              <w:top w:val="nil"/>
              <w:left w:val="nil"/>
              <w:bottom w:val="single" w:sz="4" w:space="0" w:color="auto"/>
              <w:right w:val="single" w:sz="4" w:space="0" w:color="auto"/>
            </w:tcBorders>
            <w:shd w:val="clear" w:color="auto" w:fill="C6EFCE"/>
            <w:noWrap/>
          </w:tcPr>
          <w:p w14:paraId="11A94FB8" w14:textId="77777777" w:rsidR="00CB0FCB" w:rsidRDefault="009D2B11">
            <w:pPr>
              <w:pStyle w:val="P68B1DB1-Normal9"/>
              <w:spacing w:after="0" w:line="240" w:lineRule="auto"/>
              <w:rPr>
                <w:rFonts w:eastAsia="Times New Roman" w:cs="Calibri"/>
                <w:noProof/>
                <w:szCs w:val="18"/>
              </w:rPr>
            </w:pPr>
            <w:r>
              <w:rPr>
                <w:noProof/>
              </w:rPr>
              <w:t>MW</w:t>
            </w:r>
          </w:p>
        </w:tc>
        <w:tc>
          <w:tcPr>
            <w:tcW w:w="927" w:type="dxa"/>
            <w:tcBorders>
              <w:top w:val="nil"/>
              <w:left w:val="nil"/>
              <w:bottom w:val="single" w:sz="4" w:space="0" w:color="auto"/>
              <w:right w:val="single" w:sz="4" w:space="0" w:color="auto"/>
            </w:tcBorders>
            <w:shd w:val="clear" w:color="auto" w:fill="C6EFCE"/>
            <w:noWrap/>
          </w:tcPr>
          <w:p w14:paraId="2763F008" w14:textId="77777777" w:rsidR="00CB0FCB" w:rsidRDefault="009D2B11">
            <w:pPr>
              <w:pStyle w:val="P68B1DB1-Normal9"/>
              <w:spacing w:after="0" w:line="240" w:lineRule="auto"/>
              <w:rPr>
                <w:rFonts w:eastAsia="Times New Roman" w:cs="Calibri"/>
                <w:noProof/>
                <w:szCs w:val="18"/>
              </w:rPr>
            </w:pPr>
            <w:r>
              <w:rPr>
                <w:noProof/>
              </w:rPr>
              <w:t>0</w:t>
            </w:r>
          </w:p>
        </w:tc>
        <w:tc>
          <w:tcPr>
            <w:tcW w:w="713" w:type="dxa"/>
            <w:tcBorders>
              <w:top w:val="nil"/>
              <w:left w:val="nil"/>
              <w:bottom w:val="single" w:sz="4" w:space="0" w:color="auto"/>
              <w:right w:val="single" w:sz="4" w:space="0" w:color="auto"/>
            </w:tcBorders>
            <w:shd w:val="clear" w:color="auto" w:fill="C6EFCE"/>
            <w:noWrap/>
          </w:tcPr>
          <w:p w14:paraId="3FFC207F" w14:textId="77777777" w:rsidR="00CB0FCB" w:rsidRDefault="009D2B11">
            <w:pPr>
              <w:pStyle w:val="P68B1DB1-Normal9"/>
              <w:spacing w:after="0" w:line="240" w:lineRule="auto"/>
              <w:rPr>
                <w:rFonts w:eastAsia="Times New Roman" w:cs="Calibri"/>
                <w:noProof/>
                <w:szCs w:val="18"/>
              </w:rPr>
            </w:pPr>
            <w:r>
              <w:rPr>
                <w:noProof/>
              </w:rPr>
              <w:t>45</w:t>
            </w:r>
          </w:p>
        </w:tc>
        <w:tc>
          <w:tcPr>
            <w:tcW w:w="922" w:type="dxa"/>
            <w:tcBorders>
              <w:top w:val="nil"/>
              <w:left w:val="nil"/>
              <w:bottom w:val="single" w:sz="4" w:space="0" w:color="auto"/>
              <w:right w:val="single" w:sz="4" w:space="0" w:color="auto"/>
            </w:tcBorders>
            <w:shd w:val="clear" w:color="auto" w:fill="C6EFCE"/>
            <w:noWrap/>
          </w:tcPr>
          <w:p w14:paraId="46778DD0" w14:textId="77777777" w:rsidR="00CB0FCB" w:rsidRDefault="009D2B11">
            <w:pPr>
              <w:pStyle w:val="P68B1DB1-Normal9"/>
              <w:spacing w:after="0" w:line="240" w:lineRule="auto"/>
              <w:rPr>
                <w:rFonts w:eastAsia="Times New Roman" w:cs="Calibri"/>
                <w:noProof/>
                <w:szCs w:val="18"/>
              </w:rPr>
            </w:pPr>
            <w:r>
              <w:rPr>
                <w:noProof/>
              </w:rPr>
              <w:t xml:space="preserve">4. CET. </w:t>
            </w:r>
          </w:p>
        </w:tc>
        <w:tc>
          <w:tcPr>
            <w:tcW w:w="720" w:type="dxa"/>
            <w:tcBorders>
              <w:top w:val="nil"/>
              <w:left w:val="nil"/>
              <w:bottom w:val="single" w:sz="4" w:space="0" w:color="auto"/>
              <w:right w:val="single" w:sz="4" w:space="0" w:color="auto"/>
            </w:tcBorders>
            <w:shd w:val="clear" w:color="auto" w:fill="C6EFCE"/>
            <w:noWrap/>
          </w:tcPr>
          <w:p w14:paraId="7388510E" w14:textId="77777777" w:rsidR="00CB0FCB" w:rsidRDefault="009D2B11">
            <w:pPr>
              <w:pStyle w:val="P68B1DB1-Normal9"/>
              <w:spacing w:after="0" w:line="240" w:lineRule="auto"/>
              <w:rPr>
                <w:rFonts w:eastAsia="Times New Roman" w:cs="Calibri"/>
                <w:noProof/>
                <w:szCs w:val="18"/>
              </w:rPr>
            </w:pPr>
            <w:r>
              <w:rPr>
                <w:noProof/>
              </w:rPr>
              <w:t>2025</w:t>
            </w:r>
          </w:p>
        </w:tc>
        <w:tc>
          <w:tcPr>
            <w:tcW w:w="3133" w:type="dxa"/>
            <w:tcBorders>
              <w:top w:val="nil"/>
              <w:left w:val="nil"/>
              <w:bottom w:val="single" w:sz="4" w:space="0" w:color="auto"/>
              <w:right w:val="single" w:sz="4" w:space="0" w:color="auto"/>
            </w:tcBorders>
            <w:shd w:val="clear" w:color="auto" w:fill="C6EFCE"/>
            <w:noWrap/>
          </w:tcPr>
          <w:p w14:paraId="4F9A86E3" w14:textId="0251FC59" w:rsidR="00CB0FCB" w:rsidRDefault="009D2B11">
            <w:pPr>
              <w:pStyle w:val="P68B1DB1-Normal9"/>
              <w:spacing w:after="0" w:line="240" w:lineRule="auto"/>
              <w:rPr>
                <w:rFonts w:eastAsia="Times New Roman" w:cs="Calibri"/>
                <w:noProof/>
                <w:szCs w:val="18"/>
              </w:rPr>
            </w:pPr>
            <w:r>
              <w:rPr>
                <w:noProof/>
              </w:rPr>
              <w:t xml:space="preserve">Uzstādītā papildu atjaunīgā ūdeņraža ražošanas jauda.  </w:t>
            </w:r>
          </w:p>
        </w:tc>
      </w:tr>
    </w:tbl>
    <w:p w14:paraId="49E01B34" w14:textId="77777777" w:rsidR="00CB0FCB" w:rsidRDefault="009D2B11">
      <w:pPr>
        <w:pStyle w:val="NormalWeb"/>
        <w:keepNext/>
        <w:spacing w:before="40" w:after="0" w:line="259" w:lineRule="auto"/>
        <w:ind w:left="130" w:firstLine="720"/>
        <w:jc w:val="both"/>
        <w:outlineLvl w:val="1"/>
        <w:rPr>
          <w:noProof/>
        </w:rPr>
        <w:sectPr w:rsidR="00CB0FCB" w:rsidSect="007A40E4">
          <w:headerReference w:type="even" r:id="rId363"/>
          <w:headerReference w:type="default" r:id="rId364"/>
          <w:footerReference w:type="even" r:id="rId365"/>
          <w:footerReference w:type="default" r:id="rId366"/>
          <w:headerReference w:type="first" r:id="rId367"/>
          <w:footerReference w:type="first" r:id="rId368"/>
          <w:pgSz w:w="16839" w:h="11907" w:orient="landscape"/>
          <w:pgMar w:top="1417" w:right="1134" w:bottom="1417" w:left="1134" w:header="709" w:footer="327" w:gutter="0"/>
          <w:cols w:space="720"/>
          <w:docGrid w:linePitch="360"/>
        </w:sectPr>
      </w:pPr>
      <w:r>
        <w:rPr>
          <w:noProof/>
        </w:rPr>
        <w:br w:type="page"/>
      </w:r>
    </w:p>
    <w:p w14:paraId="5DDF82F0" w14:textId="7FF161DF" w:rsidR="00CB0FCB" w:rsidRDefault="00CB0FCB">
      <w:pPr>
        <w:keepNext/>
        <w:spacing w:before="40" w:after="0" w:line="259" w:lineRule="auto"/>
        <w:ind w:left="130" w:firstLine="720"/>
        <w:jc w:val="both"/>
        <w:outlineLvl w:val="1"/>
        <w:rPr>
          <w:rFonts w:ascii="Times New Roman" w:hAnsi="Times New Roman" w:cs="Times New Roman"/>
          <w:noProof/>
          <w:sz w:val="24"/>
          <w:szCs w:val="24"/>
        </w:rPr>
      </w:pPr>
    </w:p>
    <w:p w14:paraId="62AF2C25" w14:textId="77777777" w:rsidR="00CB0FCB" w:rsidRDefault="009D2B11">
      <w:pPr>
        <w:pStyle w:val="P68B1DB1-Normal25"/>
        <w:keepNext/>
        <w:spacing w:before="40" w:after="0" w:line="259" w:lineRule="auto"/>
        <w:ind w:left="130" w:firstLine="720"/>
        <w:jc w:val="both"/>
        <w:outlineLvl w:val="1"/>
        <w:rPr>
          <w:rFonts w:eastAsia="Times New Roman" w:cs="Times New Roman"/>
          <w:noProof/>
        </w:rPr>
      </w:pPr>
      <w:r>
        <w:rPr>
          <w:noProof/>
        </w:rPr>
        <w:t>2. Atveseļošanas un noturības plāna aplēstās kopējās izmaksas</w:t>
      </w:r>
    </w:p>
    <w:p w14:paraId="753D640D" w14:textId="08086F21" w:rsidR="00CB0FCB" w:rsidRDefault="009D2B11">
      <w:pPr>
        <w:pStyle w:val="P68B1DB1-Normal4"/>
        <w:keepNext/>
        <w:spacing w:before="40" w:after="0" w:line="259" w:lineRule="auto"/>
        <w:jc w:val="both"/>
        <w:rPr>
          <w:rFonts w:eastAsia="Times New Roman" w:cs="Times New Roman"/>
          <w:noProof/>
        </w:rPr>
      </w:pPr>
      <w:r>
        <w:rPr>
          <w:noProof/>
        </w:rPr>
        <w:t>Grieķijas atveseļošanas un noturības plānā aplēstās kopējās izmaksas ir 36 371 226 245 EUR.</w:t>
      </w:r>
    </w:p>
    <w:p w14:paraId="4F34340B" w14:textId="77777777" w:rsidR="00CB0FCB" w:rsidRDefault="009D2B11">
      <w:pPr>
        <w:pStyle w:val="P68B1DB1-Normal48"/>
        <w:keepNext/>
        <w:tabs>
          <w:tab w:val="num" w:pos="850"/>
        </w:tabs>
        <w:spacing w:before="360" w:after="0" w:line="259" w:lineRule="auto"/>
        <w:ind w:hanging="850"/>
        <w:jc w:val="both"/>
        <w:outlineLvl w:val="0"/>
        <w:rPr>
          <w:noProof/>
        </w:rPr>
      </w:pPr>
      <w:r>
        <w:rPr>
          <w:noProof/>
        </w:rPr>
        <w:t xml:space="preserve">3. IEDAĻA. FINANSIĀLAIS ATBALSTS </w:t>
      </w:r>
    </w:p>
    <w:p w14:paraId="61508EAF" w14:textId="77777777" w:rsidR="00CB0FCB" w:rsidRDefault="00CB0FCB">
      <w:pPr>
        <w:keepNext/>
        <w:tabs>
          <w:tab w:val="num" w:pos="850"/>
        </w:tabs>
        <w:spacing w:before="360" w:after="0" w:line="259" w:lineRule="auto"/>
        <w:ind w:hanging="850"/>
        <w:jc w:val="both"/>
        <w:outlineLvl w:val="0"/>
        <w:rPr>
          <w:rFonts w:ascii="Times New Roman" w:eastAsia="Times New Roman" w:hAnsi="Times New Roman" w:cs="Times New Roman"/>
          <w:b/>
          <w:smallCaps/>
          <w:noProof/>
          <w:sz w:val="24"/>
        </w:rPr>
      </w:pPr>
    </w:p>
    <w:p w14:paraId="20BD6470" w14:textId="77777777" w:rsidR="00CB0FCB" w:rsidRDefault="009D2B11">
      <w:pPr>
        <w:pStyle w:val="P68B1DB1-Normal25"/>
        <w:keepNext/>
        <w:numPr>
          <w:ilvl w:val="1"/>
          <w:numId w:val="64"/>
        </w:numPr>
        <w:spacing w:before="40" w:after="0" w:line="259" w:lineRule="auto"/>
        <w:ind w:left="0"/>
        <w:jc w:val="both"/>
        <w:outlineLvl w:val="1"/>
        <w:rPr>
          <w:rFonts w:eastAsia="Times New Roman" w:cs="Times New Roman"/>
          <w:noProof/>
        </w:rPr>
      </w:pPr>
      <w:r>
        <w:rPr>
          <w:noProof/>
        </w:rPr>
        <w:t xml:space="preserve">Finanšu ieguldījums </w:t>
      </w:r>
    </w:p>
    <w:p w14:paraId="352561DA" w14:textId="02899B11" w:rsidR="00CB0FCB" w:rsidRDefault="009D2B11">
      <w:pPr>
        <w:pStyle w:val="P68B1DB1-Normal4"/>
        <w:keepNext/>
        <w:spacing w:before="40" w:after="0" w:line="259" w:lineRule="auto"/>
        <w:jc w:val="both"/>
        <w:rPr>
          <w:noProof/>
        </w:rPr>
      </w:pPr>
      <w:r>
        <w:rPr>
          <w:noProof/>
        </w:rPr>
        <w:t>Šā lēmuma 2. panta 2. punktā minētās maksājumu daļas ir šādas:</w:t>
      </w:r>
    </w:p>
    <w:p w14:paraId="2294B1DC" w14:textId="77777777" w:rsidR="00CB0FCB" w:rsidRDefault="00CB0FCB">
      <w:pPr>
        <w:keepNext/>
        <w:spacing w:before="40" w:after="0" w:line="259" w:lineRule="auto"/>
        <w:jc w:val="both"/>
        <w:rPr>
          <w:rFonts w:ascii="Times New Roman" w:hAnsi="Times New Roman"/>
          <w:noProof/>
          <w:sz w:val="24"/>
        </w:rPr>
      </w:pPr>
    </w:p>
    <w:p w14:paraId="7A1A3D05"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Pirmais maksājuma pieprasījums (neatmaksājams atbalsts):</w:t>
      </w:r>
    </w:p>
    <w:tbl>
      <w:tblPr>
        <w:tblpPr w:leftFromText="180" w:rightFromText="180" w:vertAnchor="text" w:horzAnchor="margin" w:tblpXSpec="center" w:tblpY="560"/>
        <w:tblW w:w="9519" w:type="dxa"/>
        <w:tblLook w:val="04A0" w:firstRow="1" w:lastRow="0" w:firstColumn="1" w:lastColumn="0" w:noHBand="0" w:noVBand="1"/>
      </w:tblPr>
      <w:tblGrid>
        <w:gridCol w:w="1804"/>
        <w:gridCol w:w="4283"/>
        <w:gridCol w:w="1807"/>
        <w:gridCol w:w="2153"/>
      </w:tblGrid>
      <w:tr w:rsidR="00CB0FCB" w14:paraId="04C5CF59" w14:textId="77777777">
        <w:trPr>
          <w:trHeight w:val="509"/>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BA3E067"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8E4A55D"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6A8A160"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2153" w:type="dxa"/>
            <w:vMerge w:val="restart"/>
            <w:tcBorders>
              <w:top w:val="single" w:sz="4" w:space="0" w:color="auto"/>
              <w:left w:val="nil"/>
              <w:bottom w:val="single" w:sz="4" w:space="0" w:color="000000"/>
              <w:right w:val="single" w:sz="4" w:space="0" w:color="auto"/>
            </w:tcBorders>
            <w:shd w:val="clear" w:color="auto" w:fill="BDD7EE"/>
            <w:vAlign w:val="center"/>
            <w:hideMark/>
          </w:tcPr>
          <w:p w14:paraId="7E43A960"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07BC3973" w14:textId="77777777">
        <w:trPr>
          <w:trHeight w:val="509"/>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3B04C65"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0D6F87FA"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AC027AA"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2153" w:type="dxa"/>
            <w:vMerge/>
            <w:tcBorders>
              <w:top w:val="single" w:sz="4" w:space="0" w:color="auto"/>
              <w:left w:val="nil"/>
              <w:bottom w:val="single" w:sz="4" w:space="0" w:color="000000"/>
              <w:right w:val="single" w:sz="4" w:space="0" w:color="auto"/>
            </w:tcBorders>
            <w:vAlign w:val="center"/>
            <w:hideMark/>
          </w:tcPr>
          <w:p w14:paraId="08BE4DD2"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010210A4"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5AF4A12E" w14:textId="77777777" w:rsidR="00CB0FCB" w:rsidRDefault="009D2B11">
            <w:pPr>
              <w:pStyle w:val="P68B1DB1-Normal8"/>
              <w:keepNext/>
              <w:spacing w:before="40" w:after="0" w:line="240" w:lineRule="auto"/>
              <w:jc w:val="both"/>
              <w:rPr>
                <w:rFonts w:eastAsia="Times New Roman" w:cs="Times New Roman"/>
                <w:noProof/>
                <w:szCs w:val="18"/>
              </w:rPr>
            </w:pPr>
            <w:r>
              <w:rPr>
                <w:noProof/>
              </w:rPr>
              <w:t>20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5D84896" w14:textId="77777777" w:rsidR="00CB0FCB" w:rsidRDefault="009D2B11">
            <w:pPr>
              <w:pStyle w:val="P68B1DB1-Normal8"/>
              <w:keepNext/>
              <w:spacing w:before="40" w:after="0" w:line="240" w:lineRule="auto"/>
              <w:rPr>
                <w:rFonts w:eastAsia="Times New Roman" w:cs="Times New Roman"/>
                <w:bCs/>
                <w:noProof/>
                <w:szCs w:val="18"/>
              </w:rPr>
            </w:pPr>
            <w:r>
              <w:rPr>
                <w:noProof/>
              </w:rPr>
              <w:t>2–1.2. Renovācija — 16872_dzīvojamo ēku energorenovācija</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05658B65"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single" w:sz="4" w:space="0" w:color="auto"/>
              <w:left w:val="nil"/>
              <w:bottom w:val="single" w:sz="4" w:space="0" w:color="auto"/>
              <w:right w:val="single" w:sz="4" w:space="0" w:color="auto"/>
            </w:tcBorders>
            <w:shd w:val="clear" w:color="000000" w:fill="C6EFCE"/>
            <w:noWrap/>
            <w:vAlign w:val="center"/>
          </w:tcPr>
          <w:p w14:paraId="23A1608F" w14:textId="77777777" w:rsidR="00CB0FCB" w:rsidRDefault="009D2B11">
            <w:pPr>
              <w:pStyle w:val="P68B1DB1-Normal8"/>
              <w:keepNext/>
              <w:spacing w:before="40" w:after="0" w:line="240" w:lineRule="auto"/>
              <w:rPr>
                <w:rFonts w:eastAsia="Times New Roman" w:cs="Times New Roman"/>
                <w:bCs/>
                <w:noProof/>
                <w:szCs w:val="18"/>
              </w:rPr>
            </w:pPr>
            <w:r>
              <w:rPr>
                <w:noProof/>
              </w:rPr>
              <w:t>Dzīvojamo ēku renovācija — 1. kārtas uzsākšana</w:t>
            </w:r>
          </w:p>
        </w:tc>
      </w:tr>
      <w:tr w:rsidR="00CB0FCB" w14:paraId="3B85AA32"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47450A04" w14:textId="77777777" w:rsidR="00CB0FCB" w:rsidRDefault="009D2B11">
            <w:pPr>
              <w:pStyle w:val="P68B1DB1-Normal8"/>
              <w:keepNext/>
              <w:spacing w:before="40" w:after="0" w:line="240" w:lineRule="auto"/>
              <w:jc w:val="both"/>
              <w:rPr>
                <w:rFonts w:eastAsia="Times New Roman" w:cs="Times New Roman"/>
                <w:noProof/>
                <w:szCs w:val="18"/>
              </w:rPr>
            </w:pPr>
            <w:r>
              <w:rPr>
                <w:noProof/>
              </w:rPr>
              <w:t>32</w:t>
            </w:r>
          </w:p>
        </w:tc>
        <w:tc>
          <w:tcPr>
            <w:tcW w:w="4283" w:type="dxa"/>
            <w:tcBorders>
              <w:top w:val="nil"/>
              <w:left w:val="nil"/>
              <w:bottom w:val="single" w:sz="4" w:space="0" w:color="auto"/>
              <w:right w:val="single" w:sz="4" w:space="0" w:color="auto"/>
            </w:tcBorders>
            <w:shd w:val="clear" w:color="000000" w:fill="C6EFCE"/>
            <w:noWrap/>
            <w:vAlign w:val="center"/>
          </w:tcPr>
          <w:p w14:paraId="3E9E1C43" w14:textId="77777777" w:rsidR="00CB0FCB" w:rsidRDefault="009D2B11">
            <w:pPr>
              <w:pStyle w:val="P68B1DB1-Normal8"/>
              <w:keepNext/>
              <w:spacing w:before="40" w:after="0" w:line="240" w:lineRule="auto"/>
              <w:rPr>
                <w:rFonts w:eastAsia="Times New Roman" w:cs="Times New Roman"/>
                <w:bCs/>
                <w:noProof/>
                <w:szCs w:val="18"/>
              </w:rPr>
            </w:pPr>
            <w:r>
              <w:rPr>
                <w:noProof/>
              </w:rPr>
              <w:t>2–1.2. Renovācija — 16920_Enerģētiskās nabadzības rīcības plāns</w:t>
            </w:r>
          </w:p>
        </w:tc>
        <w:tc>
          <w:tcPr>
            <w:tcW w:w="1701" w:type="dxa"/>
            <w:tcBorders>
              <w:top w:val="nil"/>
              <w:left w:val="nil"/>
              <w:bottom w:val="single" w:sz="4" w:space="0" w:color="auto"/>
              <w:right w:val="single" w:sz="4" w:space="0" w:color="auto"/>
            </w:tcBorders>
            <w:shd w:val="clear" w:color="000000" w:fill="C6EFCE"/>
            <w:noWrap/>
            <w:vAlign w:val="center"/>
          </w:tcPr>
          <w:p w14:paraId="52AF0F5B"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20ECE7CF" w14:textId="77777777" w:rsidR="00CB0FCB" w:rsidRDefault="009D2B11">
            <w:pPr>
              <w:pStyle w:val="P68B1DB1-Normal8"/>
              <w:keepNext/>
              <w:spacing w:before="40" w:after="0" w:line="240" w:lineRule="auto"/>
              <w:rPr>
                <w:rFonts w:eastAsia="Times New Roman" w:cs="Times New Roman"/>
                <w:bCs/>
                <w:noProof/>
                <w:szCs w:val="18"/>
              </w:rPr>
            </w:pPr>
            <w:r>
              <w:rPr>
                <w:noProof/>
              </w:rPr>
              <w:t>Enerģētiskā nabadzība — rīcības plāna pieņemšana</w:t>
            </w:r>
          </w:p>
        </w:tc>
      </w:tr>
      <w:tr w:rsidR="00CB0FCB" w14:paraId="639E4506"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11DF0A45" w14:textId="77777777" w:rsidR="00CB0FCB" w:rsidRDefault="009D2B11">
            <w:pPr>
              <w:pStyle w:val="P68B1DB1-Normal8"/>
              <w:keepNext/>
              <w:spacing w:before="40" w:after="0" w:line="240" w:lineRule="auto"/>
              <w:jc w:val="both"/>
              <w:rPr>
                <w:rFonts w:eastAsia="Times New Roman" w:cs="Times New Roman"/>
                <w:noProof/>
                <w:szCs w:val="18"/>
              </w:rPr>
            </w:pPr>
            <w:r>
              <w:rPr>
                <w:noProof/>
              </w:rPr>
              <w:t>42</w:t>
            </w:r>
          </w:p>
        </w:tc>
        <w:tc>
          <w:tcPr>
            <w:tcW w:w="4283" w:type="dxa"/>
            <w:tcBorders>
              <w:top w:val="nil"/>
              <w:left w:val="nil"/>
              <w:bottom w:val="single" w:sz="4" w:space="0" w:color="auto"/>
              <w:right w:val="single" w:sz="4" w:space="0" w:color="auto"/>
            </w:tcBorders>
            <w:shd w:val="clear" w:color="000000" w:fill="C6EFCE"/>
            <w:noWrap/>
            <w:vAlign w:val="center"/>
          </w:tcPr>
          <w:p w14:paraId="3499C532" w14:textId="77777777" w:rsidR="00CB0FCB" w:rsidRDefault="009D2B11">
            <w:pPr>
              <w:pStyle w:val="P68B1DB1-Normal8"/>
              <w:keepNext/>
              <w:spacing w:before="40" w:after="0" w:line="240" w:lineRule="auto"/>
              <w:rPr>
                <w:rFonts w:eastAsia="Times New Roman" w:cs="Times New Roman"/>
                <w:bCs/>
                <w:noProof/>
                <w:szCs w:val="18"/>
              </w:rPr>
            </w:pPr>
            <w:r>
              <w:rPr>
                <w:noProof/>
              </w:rPr>
              <w:t>3–1.3. Uzlāde un uzpilde — 16281_ET uzlādes infrastruktūras uzstādīšanas un ekspluatācijas pamats</w:t>
            </w:r>
          </w:p>
        </w:tc>
        <w:tc>
          <w:tcPr>
            <w:tcW w:w="1701" w:type="dxa"/>
            <w:tcBorders>
              <w:top w:val="nil"/>
              <w:left w:val="nil"/>
              <w:bottom w:val="single" w:sz="4" w:space="0" w:color="auto"/>
              <w:right w:val="single" w:sz="4" w:space="0" w:color="auto"/>
            </w:tcBorders>
            <w:shd w:val="clear" w:color="000000" w:fill="C6EFCE"/>
            <w:noWrap/>
            <w:vAlign w:val="center"/>
          </w:tcPr>
          <w:p w14:paraId="0A2ED7A0"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4212BB0A" w14:textId="77777777" w:rsidR="00CB0FCB" w:rsidRDefault="009D2B11">
            <w:pPr>
              <w:pStyle w:val="P68B1DB1-Normal8"/>
              <w:keepNext/>
              <w:spacing w:before="40" w:after="0" w:line="240" w:lineRule="auto"/>
              <w:rPr>
                <w:rFonts w:eastAsia="Times New Roman" w:cs="Times New Roman"/>
                <w:bCs/>
                <w:noProof/>
                <w:szCs w:val="18"/>
              </w:rPr>
            </w:pPr>
            <w:r>
              <w:rPr>
                <w:noProof/>
              </w:rPr>
              <w:t>Elektrotransportlīdzekļu uzlādes punkti — tiesiskā regulējuma stāšanās spēkā</w:t>
            </w:r>
          </w:p>
        </w:tc>
      </w:tr>
      <w:tr w:rsidR="00CB0FCB" w14:paraId="4CFBE354"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9CAE194" w14:textId="77777777" w:rsidR="00CB0FCB" w:rsidRDefault="009D2B11">
            <w:pPr>
              <w:pStyle w:val="P68B1DB1-Normal8"/>
              <w:keepNext/>
              <w:spacing w:before="40" w:after="0" w:line="240" w:lineRule="auto"/>
              <w:jc w:val="both"/>
              <w:rPr>
                <w:rFonts w:eastAsia="Times New Roman" w:cs="Times New Roman"/>
                <w:noProof/>
                <w:szCs w:val="18"/>
              </w:rPr>
            </w:pPr>
            <w:r>
              <w:rPr>
                <w:noProof/>
              </w:rPr>
              <w:t>56</w:t>
            </w:r>
          </w:p>
        </w:tc>
        <w:tc>
          <w:tcPr>
            <w:tcW w:w="4283" w:type="dxa"/>
            <w:tcBorders>
              <w:top w:val="nil"/>
              <w:left w:val="nil"/>
              <w:bottom w:val="single" w:sz="4" w:space="0" w:color="auto"/>
              <w:right w:val="single" w:sz="4" w:space="0" w:color="auto"/>
            </w:tcBorders>
            <w:shd w:val="clear" w:color="000000" w:fill="C6EFCE"/>
            <w:noWrap/>
            <w:vAlign w:val="center"/>
          </w:tcPr>
          <w:p w14:paraId="073CC1E9" w14:textId="77777777" w:rsidR="00CB0FCB" w:rsidRDefault="009D2B11">
            <w:pPr>
              <w:pStyle w:val="P68B1DB1-Normal8"/>
              <w:keepNext/>
              <w:spacing w:before="40" w:after="0" w:line="240" w:lineRule="auto"/>
              <w:rPr>
                <w:rFonts w:eastAsia="Times New Roman" w:cs="Times New Roman"/>
                <w:bCs/>
                <w:noProof/>
                <w:szCs w:val="18"/>
              </w:rPr>
            </w:pPr>
            <w:r>
              <w:rPr>
                <w:noProof/>
              </w:rPr>
              <w:t>4–1.4. Resursu ilgtspējīga izmantošana, klimatnoturība un vides aizsardzība — 16772_Atkritumu apsaimniekošanas likums ilgtspējīgas apglabāšanas un reciklēšanas īstenošanai</w:t>
            </w:r>
          </w:p>
        </w:tc>
        <w:tc>
          <w:tcPr>
            <w:tcW w:w="1701" w:type="dxa"/>
            <w:tcBorders>
              <w:top w:val="nil"/>
              <w:left w:val="nil"/>
              <w:bottom w:val="single" w:sz="4" w:space="0" w:color="auto"/>
              <w:right w:val="single" w:sz="4" w:space="0" w:color="auto"/>
            </w:tcBorders>
            <w:shd w:val="clear" w:color="000000" w:fill="C6EFCE"/>
            <w:noWrap/>
            <w:vAlign w:val="center"/>
          </w:tcPr>
          <w:p w14:paraId="40E7C4A3"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166F7583" w14:textId="77777777" w:rsidR="00CB0FCB" w:rsidRDefault="009D2B11">
            <w:pPr>
              <w:pStyle w:val="P68B1DB1-Normal8"/>
              <w:keepNext/>
              <w:spacing w:before="40" w:after="0" w:line="240" w:lineRule="auto"/>
              <w:rPr>
                <w:rFonts w:eastAsia="Times New Roman" w:cs="Times New Roman"/>
                <w:bCs/>
                <w:noProof/>
                <w:szCs w:val="18"/>
              </w:rPr>
            </w:pPr>
            <w:r>
              <w:rPr>
                <w:noProof/>
              </w:rPr>
              <w:t>Atkritumu apsaimniekošanas tiesību aktu stāšanās spēkā</w:t>
            </w:r>
          </w:p>
        </w:tc>
      </w:tr>
      <w:tr w:rsidR="00CB0FCB" w14:paraId="4F8794D6"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64CE4F4" w14:textId="77777777" w:rsidR="00CB0FCB" w:rsidRDefault="009D2B11">
            <w:pPr>
              <w:pStyle w:val="P68B1DB1-Normal8"/>
              <w:keepNext/>
              <w:spacing w:before="40" w:after="0" w:line="240" w:lineRule="auto"/>
              <w:jc w:val="both"/>
              <w:rPr>
                <w:rFonts w:eastAsia="Times New Roman" w:cs="Times New Roman"/>
                <w:noProof/>
                <w:szCs w:val="18"/>
              </w:rPr>
            </w:pPr>
            <w:r>
              <w:rPr>
                <w:noProof/>
              </w:rPr>
              <w:t>77</w:t>
            </w:r>
          </w:p>
        </w:tc>
        <w:tc>
          <w:tcPr>
            <w:tcW w:w="4283" w:type="dxa"/>
            <w:tcBorders>
              <w:top w:val="nil"/>
              <w:left w:val="nil"/>
              <w:bottom w:val="single" w:sz="4" w:space="0" w:color="auto"/>
              <w:right w:val="single" w:sz="4" w:space="0" w:color="auto"/>
            </w:tcBorders>
            <w:shd w:val="clear" w:color="000000" w:fill="C6EFCE"/>
            <w:noWrap/>
            <w:vAlign w:val="center"/>
          </w:tcPr>
          <w:p w14:paraId="7EF863DE" w14:textId="77777777" w:rsidR="00CB0FCB" w:rsidRDefault="009D2B11">
            <w:pPr>
              <w:pStyle w:val="P68B1DB1-Normal8"/>
              <w:keepNext/>
              <w:spacing w:before="40" w:after="0" w:line="240" w:lineRule="auto"/>
              <w:rPr>
                <w:rFonts w:eastAsia="Times New Roman" w:cs="Times New Roman"/>
                <w:bCs/>
                <w:noProof/>
                <w:szCs w:val="18"/>
              </w:rPr>
            </w:pPr>
            <w:r>
              <w:rPr>
                <w:noProof/>
              </w:rPr>
              <w:t>4–1.4. Resursu ilgtspējīga izmantošana, klimatnoturība un vides aizsardzība — 16283_Reģionālo civilās aizsardzības centru (PEKEPP) īstenošana, izmantojot PPP shēmas</w:t>
            </w:r>
          </w:p>
        </w:tc>
        <w:tc>
          <w:tcPr>
            <w:tcW w:w="1701" w:type="dxa"/>
            <w:tcBorders>
              <w:top w:val="nil"/>
              <w:left w:val="nil"/>
              <w:bottom w:val="single" w:sz="4" w:space="0" w:color="auto"/>
              <w:right w:val="single" w:sz="4" w:space="0" w:color="auto"/>
            </w:tcBorders>
            <w:shd w:val="clear" w:color="000000" w:fill="C6EFCE"/>
            <w:noWrap/>
            <w:vAlign w:val="center"/>
          </w:tcPr>
          <w:p w14:paraId="1A1C25F9"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44E991B5" w14:textId="77777777" w:rsidR="00CB0FCB" w:rsidRDefault="009D2B11">
            <w:pPr>
              <w:pStyle w:val="P68B1DB1-Normal8"/>
              <w:keepNext/>
              <w:spacing w:before="40" w:after="0" w:line="240" w:lineRule="auto"/>
              <w:rPr>
                <w:rFonts w:eastAsia="Times New Roman" w:cs="Times New Roman"/>
                <w:bCs/>
                <w:noProof/>
                <w:szCs w:val="18"/>
              </w:rPr>
            </w:pPr>
            <w:r>
              <w:rPr>
                <w:noProof/>
              </w:rPr>
              <w:t>Konkurss 13 reģionālajiem centriem</w:t>
            </w:r>
          </w:p>
        </w:tc>
      </w:tr>
      <w:tr w:rsidR="00CB0FCB" w14:paraId="68ECDEE5"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F65A58B" w14:textId="77777777" w:rsidR="00CB0FCB" w:rsidRDefault="009D2B11">
            <w:pPr>
              <w:pStyle w:val="P68B1DB1-Normal8"/>
              <w:keepNext/>
              <w:spacing w:before="40" w:after="0" w:line="240" w:lineRule="auto"/>
              <w:jc w:val="both"/>
              <w:rPr>
                <w:rFonts w:eastAsia="Times New Roman" w:cs="Times New Roman"/>
                <w:noProof/>
                <w:szCs w:val="18"/>
              </w:rPr>
            </w:pPr>
            <w:r>
              <w:rPr>
                <w:noProof/>
              </w:rPr>
              <w:t>133</w:t>
            </w:r>
          </w:p>
        </w:tc>
        <w:tc>
          <w:tcPr>
            <w:tcW w:w="4283" w:type="dxa"/>
            <w:tcBorders>
              <w:top w:val="nil"/>
              <w:left w:val="nil"/>
              <w:bottom w:val="single" w:sz="4" w:space="0" w:color="auto"/>
              <w:right w:val="single" w:sz="4" w:space="0" w:color="auto"/>
            </w:tcBorders>
            <w:shd w:val="clear" w:color="000000" w:fill="C6EFCE"/>
            <w:noWrap/>
            <w:vAlign w:val="center"/>
          </w:tcPr>
          <w:p w14:paraId="198C8A22" w14:textId="77777777" w:rsidR="00CB0FCB" w:rsidRDefault="009D2B11">
            <w:pPr>
              <w:pStyle w:val="P68B1DB1-Normal8"/>
              <w:keepNext/>
              <w:spacing w:before="40" w:after="0" w:line="240" w:lineRule="auto"/>
              <w:rPr>
                <w:rFonts w:eastAsia="Times New Roman" w:cs="Times New Roman"/>
                <w:bCs/>
                <w:noProof/>
                <w:szCs w:val="18"/>
              </w:rPr>
            </w:pPr>
            <w:r>
              <w:rPr>
                <w:noProof/>
              </w:rPr>
              <w:t>8–3.1. PUNKTS. Veicināt darbvietu radīšanu un līdzdalību darba tirgū — 16744_Darba tiesību modernizācija un vienkāršošana</w:t>
            </w:r>
          </w:p>
        </w:tc>
        <w:tc>
          <w:tcPr>
            <w:tcW w:w="1701" w:type="dxa"/>
            <w:tcBorders>
              <w:top w:val="nil"/>
              <w:left w:val="nil"/>
              <w:bottom w:val="single" w:sz="4" w:space="0" w:color="auto"/>
              <w:right w:val="single" w:sz="4" w:space="0" w:color="auto"/>
            </w:tcBorders>
            <w:shd w:val="clear" w:color="000000" w:fill="C6EFCE"/>
            <w:noWrap/>
            <w:vAlign w:val="center"/>
          </w:tcPr>
          <w:p w14:paraId="3F9BFC83"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5E331657" w14:textId="77777777" w:rsidR="00CB0FCB" w:rsidRDefault="009D2B11">
            <w:pPr>
              <w:pStyle w:val="P68B1DB1-Normal8"/>
              <w:keepNext/>
              <w:spacing w:before="40" w:after="0" w:line="240" w:lineRule="auto"/>
              <w:rPr>
                <w:rFonts w:eastAsia="Times New Roman" w:cs="Times New Roman"/>
                <w:bCs/>
                <w:noProof/>
                <w:szCs w:val="18"/>
              </w:rPr>
            </w:pPr>
            <w:r>
              <w:rPr>
                <w:noProof/>
              </w:rPr>
              <w:t>Darba likuma stāšanās spēkā</w:t>
            </w:r>
          </w:p>
        </w:tc>
      </w:tr>
      <w:tr w:rsidR="00CB0FCB" w14:paraId="061F80BB"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22FE87B" w14:textId="77777777" w:rsidR="00CB0FCB" w:rsidRDefault="009D2B11">
            <w:pPr>
              <w:pStyle w:val="P68B1DB1-Normal8"/>
              <w:keepNext/>
              <w:spacing w:before="40" w:after="0" w:line="240" w:lineRule="auto"/>
              <w:jc w:val="both"/>
              <w:rPr>
                <w:rFonts w:eastAsia="Times New Roman" w:cs="Times New Roman"/>
                <w:noProof/>
                <w:szCs w:val="18"/>
              </w:rPr>
            </w:pPr>
            <w:r>
              <w:rPr>
                <w:noProof/>
              </w:rPr>
              <w:t>141</w:t>
            </w:r>
          </w:p>
        </w:tc>
        <w:tc>
          <w:tcPr>
            <w:tcW w:w="4283" w:type="dxa"/>
            <w:tcBorders>
              <w:top w:val="nil"/>
              <w:left w:val="nil"/>
              <w:bottom w:val="single" w:sz="4" w:space="0" w:color="auto"/>
              <w:right w:val="single" w:sz="4" w:space="0" w:color="auto"/>
            </w:tcBorders>
            <w:shd w:val="clear" w:color="000000" w:fill="C6EFCE"/>
            <w:noWrap/>
            <w:vAlign w:val="center"/>
          </w:tcPr>
          <w:p w14:paraId="62F6A919" w14:textId="77777777" w:rsidR="00CB0FCB" w:rsidRDefault="009D2B11">
            <w:pPr>
              <w:pStyle w:val="P68B1DB1-Normal8"/>
              <w:keepNext/>
              <w:spacing w:before="40" w:after="0" w:line="240" w:lineRule="auto"/>
              <w:rPr>
                <w:rFonts w:eastAsia="Times New Roman" w:cs="Times New Roman"/>
                <w:bCs/>
                <w:noProof/>
                <w:szCs w:val="18"/>
              </w:rPr>
            </w:pPr>
            <w:r>
              <w:rPr>
                <w:noProof/>
              </w:rPr>
              <w:t>8–3.1. PUNKTS. Veicināt darbvietu radīšanu un līdzdalību darba tirgū — 16941_DYPA vietējo PES (KPA2) pārstrukturēšana un pārmarķēšana</w:t>
            </w:r>
          </w:p>
        </w:tc>
        <w:tc>
          <w:tcPr>
            <w:tcW w:w="1701" w:type="dxa"/>
            <w:tcBorders>
              <w:top w:val="nil"/>
              <w:left w:val="nil"/>
              <w:bottom w:val="single" w:sz="4" w:space="0" w:color="auto"/>
              <w:right w:val="single" w:sz="4" w:space="0" w:color="auto"/>
            </w:tcBorders>
            <w:shd w:val="clear" w:color="000000" w:fill="C6EFCE"/>
            <w:noWrap/>
            <w:vAlign w:val="center"/>
          </w:tcPr>
          <w:p w14:paraId="2BC20BEF"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4E50A039" w14:textId="77777777" w:rsidR="00CB0FCB" w:rsidRDefault="009D2B11">
            <w:pPr>
              <w:pStyle w:val="P68B1DB1-Normal8"/>
              <w:keepNext/>
              <w:spacing w:before="40" w:after="0" w:line="240" w:lineRule="auto"/>
              <w:rPr>
                <w:rFonts w:eastAsia="Times New Roman" w:cs="Times New Roman"/>
                <w:bCs/>
                <w:noProof/>
                <w:szCs w:val="18"/>
              </w:rPr>
            </w:pPr>
            <w:r>
              <w:rPr>
                <w:noProof/>
              </w:rPr>
              <w:t xml:space="preserve">DYPA organizatoriskās reformas stāšanās spēkā </w:t>
            </w:r>
          </w:p>
        </w:tc>
      </w:tr>
      <w:tr w:rsidR="00CB0FCB" w14:paraId="6662627F"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19A2722" w14:textId="77777777" w:rsidR="00CB0FCB" w:rsidRDefault="009D2B11">
            <w:pPr>
              <w:pStyle w:val="P68B1DB1-Normal8"/>
              <w:keepNext/>
              <w:spacing w:before="40" w:after="0" w:line="240" w:lineRule="auto"/>
              <w:jc w:val="both"/>
              <w:rPr>
                <w:rFonts w:eastAsia="Times New Roman" w:cs="Times New Roman"/>
                <w:noProof/>
                <w:szCs w:val="18"/>
              </w:rPr>
            </w:pPr>
            <w:r>
              <w:rPr>
                <w:noProof/>
              </w:rPr>
              <w:t>153</w:t>
            </w:r>
          </w:p>
        </w:tc>
        <w:tc>
          <w:tcPr>
            <w:tcW w:w="4283" w:type="dxa"/>
            <w:tcBorders>
              <w:top w:val="nil"/>
              <w:left w:val="nil"/>
              <w:bottom w:val="single" w:sz="4" w:space="0" w:color="auto"/>
              <w:right w:val="single" w:sz="4" w:space="0" w:color="auto"/>
            </w:tcBorders>
            <w:shd w:val="clear" w:color="000000" w:fill="C6EFCE"/>
            <w:noWrap/>
            <w:vAlign w:val="center"/>
          </w:tcPr>
          <w:p w14:paraId="11DBE260" w14:textId="77777777" w:rsidR="00CB0FCB" w:rsidRDefault="009D2B11">
            <w:pPr>
              <w:pStyle w:val="P68B1DB1-Normal8"/>
              <w:keepNext/>
              <w:spacing w:before="40" w:after="0" w:line="240" w:lineRule="auto"/>
              <w:rPr>
                <w:rFonts w:eastAsia="Times New Roman" w:cs="Times New Roman"/>
                <w:bCs/>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1701" w:type="dxa"/>
            <w:tcBorders>
              <w:top w:val="nil"/>
              <w:left w:val="nil"/>
              <w:bottom w:val="single" w:sz="4" w:space="0" w:color="auto"/>
              <w:right w:val="single" w:sz="4" w:space="0" w:color="auto"/>
            </w:tcBorders>
            <w:shd w:val="clear" w:color="000000" w:fill="C6EFCE"/>
            <w:noWrap/>
            <w:vAlign w:val="center"/>
          </w:tcPr>
          <w:p w14:paraId="3B8837FF"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73D8FCAD" w14:textId="77777777" w:rsidR="00CB0FCB" w:rsidRDefault="009D2B11">
            <w:pPr>
              <w:pStyle w:val="P68B1DB1-Normal8"/>
              <w:keepNext/>
              <w:spacing w:before="40" w:after="0" w:line="240" w:lineRule="auto"/>
              <w:rPr>
                <w:rFonts w:eastAsia="Times New Roman" w:cs="Times New Roman"/>
                <w:bCs/>
                <w:noProof/>
                <w:szCs w:val="18"/>
              </w:rPr>
            </w:pPr>
            <w:r>
              <w:rPr>
                <w:noProof/>
              </w:rPr>
              <w:t>Atgūšana — tiesību aktu stāšanās spēkā</w:t>
            </w:r>
          </w:p>
        </w:tc>
      </w:tr>
      <w:tr w:rsidR="00CB0FCB" w14:paraId="784695F0"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7698078" w14:textId="77777777" w:rsidR="00CB0FCB" w:rsidRDefault="009D2B11">
            <w:pPr>
              <w:pStyle w:val="P68B1DB1-Normal8"/>
              <w:keepNext/>
              <w:spacing w:before="40" w:after="0" w:line="240" w:lineRule="auto"/>
              <w:jc w:val="both"/>
              <w:rPr>
                <w:rFonts w:eastAsia="Times New Roman" w:cs="Times New Roman"/>
                <w:noProof/>
                <w:szCs w:val="18"/>
              </w:rPr>
            </w:pPr>
            <w:r>
              <w:rPr>
                <w:noProof/>
              </w:rPr>
              <w:t>199</w:t>
            </w:r>
          </w:p>
        </w:tc>
        <w:tc>
          <w:tcPr>
            <w:tcW w:w="4283" w:type="dxa"/>
            <w:tcBorders>
              <w:top w:val="nil"/>
              <w:left w:val="nil"/>
              <w:bottom w:val="single" w:sz="4" w:space="0" w:color="auto"/>
              <w:right w:val="single" w:sz="4" w:space="0" w:color="auto"/>
            </w:tcBorders>
            <w:shd w:val="clear" w:color="000000" w:fill="C6EFCE"/>
            <w:noWrap/>
            <w:vAlign w:val="center"/>
          </w:tcPr>
          <w:p w14:paraId="55726FBB" w14:textId="77777777" w:rsidR="00CB0FCB" w:rsidRDefault="009D2B11">
            <w:pPr>
              <w:pStyle w:val="P68B1DB1-Normal8"/>
              <w:keepNext/>
              <w:spacing w:before="40" w:after="0" w:line="240" w:lineRule="auto"/>
              <w:rPr>
                <w:rFonts w:eastAsia="Times New Roman" w:cs="Times New Roman"/>
                <w:bCs/>
                <w:noProof/>
                <w:szCs w:val="18"/>
              </w:rPr>
            </w:pPr>
            <w:r>
              <w:rPr>
                <w:noProof/>
              </w:rPr>
              <w:t>12–4.1. PUNKTS. Padarīt nodokļus labvēlīgākus izaugsmei un uzlabot nodokļu administrēšanu un iekasēšanu — 16643_nodokļu tiesību aktu kodifikācija un vienkāršošana</w:t>
            </w:r>
          </w:p>
        </w:tc>
        <w:tc>
          <w:tcPr>
            <w:tcW w:w="1701" w:type="dxa"/>
            <w:tcBorders>
              <w:top w:val="nil"/>
              <w:left w:val="nil"/>
              <w:bottom w:val="single" w:sz="4" w:space="0" w:color="auto"/>
              <w:right w:val="single" w:sz="4" w:space="0" w:color="auto"/>
            </w:tcBorders>
            <w:shd w:val="clear" w:color="000000" w:fill="C6EFCE"/>
            <w:noWrap/>
            <w:vAlign w:val="center"/>
          </w:tcPr>
          <w:p w14:paraId="2235479B"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7108C3A5" w14:textId="77777777" w:rsidR="00CB0FCB" w:rsidRDefault="009D2B11">
            <w:pPr>
              <w:pStyle w:val="P68B1DB1-Normal8"/>
              <w:keepNext/>
              <w:spacing w:before="40" w:after="0" w:line="240" w:lineRule="auto"/>
              <w:rPr>
                <w:rFonts w:eastAsia="Times New Roman" w:cs="Times New Roman"/>
                <w:bCs/>
                <w:noProof/>
                <w:szCs w:val="18"/>
              </w:rPr>
            </w:pPr>
            <w:r>
              <w:rPr>
                <w:noProof/>
              </w:rPr>
              <w:t>Nodokļu kodifikācijas grafiks</w:t>
            </w:r>
          </w:p>
        </w:tc>
      </w:tr>
      <w:tr w:rsidR="00CB0FCB" w14:paraId="38F121A9"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6F301E9" w14:textId="77777777" w:rsidR="00CB0FCB" w:rsidRDefault="009D2B11">
            <w:pPr>
              <w:pStyle w:val="P68B1DB1-Normal8"/>
              <w:keepNext/>
              <w:spacing w:before="40" w:after="0" w:line="240" w:lineRule="auto"/>
              <w:jc w:val="both"/>
              <w:rPr>
                <w:rFonts w:eastAsia="Times New Roman" w:cs="Times New Roman"/>
                <w:noProof/>
                <w:szCs w:val="18"/>
              </w:rPr>
            </w:pPr>
            <w:r>
              <w:rPr>
                <w:noProof/>
              </w:rPr>
              <w:t>200</w:t>
            </w:r>
          </w:p>
        </w:tc>
        <w:tc>
          <w:tcPr>
            <w:tcW w:w="4283" w:type="dxa"/>
            <w:tcBorders>
              <w:top w:val="nil"/>
              <w:left w:val="nil"/>
              <w:bottom w:val="single" w:sz="4" w:space="0" w:color="auto"/>
              <w:right w:val="single" w:sz="4" w:space="0" w:color="auto"/>
            </w:tcBorders>
            <w:shd w:val="clear" w:color="000000" w:fill="C6EFCE"/>
            <w:noWrap/>
            <w:vAlign w:val="center"/>
          </w:tcPr>
          <w:p w14:paraId="739D2CDF" w14:textId="77777777" w:rsidR="00CB0FCB" w:rsidRDefault="009D2B11">
            <w:pPr>
              <w:pStyle w:val="P68B1DB1-Normal8"/>
              <w:keepNext/>
              <w:spacing w:before="40" w:after="0" w:line="240" w:lineRule="auto"/>
              <w:rPr>
                <w:rFonts w:eastAsia="Times New Roman" w:cs="Times New Roman"/>
                <w:bCs/>
                <w:noProof/>
                <w:szCs w:val="18"/>
              </w:rPr>
            </w:pPr>
            <w:r>
              <w:rPr>
                <w:noProof/>
              </w:rPr>
              <w:t>18–4.7. Uzlabot konkurētspēju un veicināt privātos ieguldījumus un tirdzniecību — 16598_Stimulēšanas režīms attiecībā uz ražīgumu un uzņēmumu izspiešanu (uzņēmumu lieluma palielināšana)</w:t>
            </w:r>
          </w:p>
        </w:tc>
        <w:tc>
          <w:tcPr>
            <w:tcW w:w="1701" w:type="dxa"/>
            <w:tcBorders>
              <w:top w:val="nil"/>
              <w:left w:val="nil"/>
              <w:bottom w:val="single" w:sz="4" w:space="0" w:color="auto"/>
              <w:right w:val="single" w:sz="4" w:space="0" w:color="auto"/>
            </w:tcBorders>
            <w:shd w:val="clear" w:color="000000" w:fill="C6EFCE"/>
            <w:noWrap/>
            <w:vAlign w:val="center"/>
          </w:tcPr>
          <w:p w14:paraId="6FCF500F"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7F3F42C3" w14:textId="77777777" w:rsidR="00CB0FCB" w:rsidRDefault="009D2B11">
            <w:pPr>
              <w:pStyle w:val="P68B1DB1-Normal8"/>
              <w:keepNext/>
              <w:spacing w:before="40" w:after="0" w:line="240" w:lineRule="auto"/>
              <w:rPr>
                <w:rFonts w:eastAsia="Times New Roman" w:cs="Times New Roman"/>
                <w:bCs/>
                <w:noProof/>
                <w:szCs w:val="18"/>
              </w:rPr>
            </w:pPr>
            <w:r>
              <w:rPr>
                <w:noProof/>
              </w:rPr>
              <w:t>Tiesību aktu projekti, lai veicinātu izpostīšanu no uzņēmējdarbības</w:t>
            </w:r>
          </w:p>
        </w:tc>
      </w:tr>
      <w:tr w:rsidR="00CB0FCB" w14:paraId="1C955F23"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5A51CC0" w14:textId="77777777" w:rsidR="00CB0FCB" w:rsidRDefault="009D2B11">
            <w:pPr>
              <w:pStyle w:val="P68B1DB1-Normal8"/>
              <w:keepNext/>
              <w:spacing w:before="40" w:after="0" w:line="240" w:lineRule="auto"/>
              <w:jc w:val="both"/>
              <w:rPr>
                <w:rFonts w:eastAsia="Times New Roman" w:cs="Times New Roman"/>
                <w:noProof/>
                <w:szCs w:val="18"/>
              </w:rPr>
            </w:pPr>
            <w:r>
              <w:rPr>
                <w:noProof/>
              </w:rPr>
              <w:t>222</w:t>
            </w:r>
          </w:p>
        </w:tc>
        <w:tc>
          <w:tcPr>
            <w:tcW w:w="4283" w:type="dxa"/>
            <w:tcBorders>
              <w:top w:val="nil"/>
              <w:left w:val="nil"/>
              <w:bottom w:val="single" w:sz="4" w:space="0" w:color="auto"/>
              <w:right w:val="single" w:sz="4" w:space="0" w:color="auto"/>
            </w:tcBorders>
            <w:shd w:val="clear" w:color="000000" w:fill="C6EFCE"/>
            <w:noWrap/>
            <w:vAlign w:val="center"/>
          </w:tcPr>
          <w:p w14:paraId="7A4CA8BE" w14:textId="77777777" w:rsidR="00CB0FCB" w:rsidRDefault="009D2B11">
            <w:pPr>
              <w:pStyle w:val="P68B1DB1-Normal8"/>
              <w:keepNext/>
              <w:spacing w:before="40" w:after="0" w:line="240" w:lineRule="auto"/>
              <w:rPr>
                <w:rFonts w:eastAsia="Times New Roman" w:cs="Times New Roman"/>
                <w:bCs/>
                <w:noProof/>
                <w:szCs w:val="18"/>
              </w:rPr>
            </w:pPr>
            <w:r>
              <w:rPr>
                <w:noProof/>
              </w:rPr>
              <w:t>14–4.3. Uzlabot tiesu sistēmas efektivitāti — 16292_Jaunas tiesu ēkas</w:t>
            </w:r>
          </w:p>
        </w:tc>
        <w:tc>
          <w:tcPr>
            <w:tcW w:w="1701" w:type="dxa"/>
            <w:tcBorders>
              <w:top w:val="nil"/>
              <w:left w:val="nil"/>
              <w:bottom w:val="single" w:sz="4" w:space="0" w:color="auto"/>
              <w:right w:val="single" w:sz="4" w:space="0" w:color="auto"/>
            </w:tcBorders>
            <w:shd w:val="clear" w:color="000000" w:fill="C6EFCE"/>
            <w:noWrap/>
            <w:vAlign w:val="center"/>
          </w:tcPr>
          <w:p w14:paraId="69F28DA9"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19318A5A" w14:textId="77777777" w:rsidR="00CB0FCB" w:rsidRDefault="009D2B11">
            <w:pPr>
              <w:pStyle w:val="P68B1DB1-Normal8"/>
              <w:keepNext/>
              <w:spacing w:before="40" w:after="0" w:line="240" w:lineRule="auto"/>
              <w:rPr>
                <w:rFonts w:eastAsia="Times New Roman" w:cs="Times New Roman"/>
                <w:bCs/>
                <w:noProof/>
                <w:szCs w:val="18"/>
              </w:rPr>
            </w:pPr>
            <w:r>
              <w:rPr>
                <w:noProof/>
              </w:rPr>
              <w:t>Identifikācija — atbilstīgās ēkas</w:t>
            </w:r>
          </w:p>
        </w:tc>
      </w:tr>
      <w:tr w:rsidR="00CB0FCB" w14:paraId="6EF48E8D"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96F7D49" w14:textId="77777777" w:rsidR="00CB0FCB" w:rsidRDefault="009D2B11">
            <w:pPr>
              <w:pStyle w:val="P68B1DB1-Normal8"/>
              <w:keepNext/>
              <w:spacing w:before="40" w:after="0" w:line="240" w:lineRule="auto"/>
              <w:jc w:val="both"/>
              <w:rPr>
                <w:rFonts w:eastAsia="Times New Roman" w:cs="Times New Roman"/>
                <w:noProof/>
                <w:szCs w:val="18"/>
              </w:rPr>
            </w:pPr>
            <w:r>
              <w:rPr>
                <w:noProof/>
              </w:rPr>
              <w:t>263</w:t>
            </w:r>
          </w:p>
        </w:tc>
        <w:tc>
          <w:tcPr>
            <w:tcW w:w="4283" w:type="dxa"/>
            <w:tcBorders>
              <w:top w:val="nil"/>
              <w:left w:val="nil"/>
              <w:bottom w:val="single" w:sz="4" w:space="0" w:color="auto"/>
              <w:right w:val="single" w:sz="4" w:space="0" w:color="auto"/>
            </w:tcBorders>
            <w:shd w:val="clear" w:color="000000" w:fill="C6EFCE"/>
            <w:noWrap/>
            <w:vAlign w:val="center"/>
          </w:tcPr>
          <w:p w14:paraId="35261C82" w14:textId="77777777" w:rsidR="00CB0FCB" w:rsidRDefault="009D2B11">
            <w:pPr>
              <w:pStyle w:val="P68B1DB1-Normal8"/>
              <w:keepNext/>
              <w:spacing w:before="40" w:after="0" w:line="240" w:lineRule="auto"/>
              <w:rPr>
                <w:rFonts w:eastAsia="Times New Roman" w:cs="Times New Roman"/>
                <w:bCs/>
                <w:noProof/>
                <w:szCs w:val="18"/>
              </w:rPr>
            </w:pPr>
            <w:r>
              <w:rPr>
                <w:noProof/>
              </w:rPr>
              <w:t>17–4.6. Modernizēt un uzlabot galveno ekonomikas nozaru noturību — 16982_Organizācijas reforma dzelzceļa nozarē</w:t>
            </w:r>
          </w:p>
        </w:tc>
        <w:tc>
          <w:tcPr>
            <w:tcW w:w="1701" w:type="dxa"/>
            <w:tcBorders>
              <w:top w:val="nil"/>
              <w:left w:val="nil"/>
              <w:bottom w:val="single" w:sz="4" w:space="0" w:color="auto"/>
              <w:right w:val="single" w:sz="4" w:space="0" w:color="auto"/>
            </w:tcBorders>
            <w:shd w:val="clear" w:color="000000" w:fill="C6EFCE"/>
            <w:noWrap/>
            <w:vAlign w:val="center"/>
          </w:tcPr>
          <w:p w14:paraId="1220698B"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007DA376" w14:textId="77777777" w:rsidR="00CB0FCB" w:rsidRDefault="009D2B11">
            <w:pPr>
              <w:pStyle w:val="P68B1DB1-Normal8"/>
              <w:keepNext/>
              <w:spacing w:before="40" w:after="0" w:line="240" w:lineRule="auto"/>
              <w:rPr>
                <w:rFonts w:eastAsia="Times New Roman" w:cs="Times New Roman"/>
                <w:bCs/>
                <w:noProof/>
                <w:szCs w:val="18"/>
              </w:rPr>
            </w:pPr>
            <w:r>
              <w:rPr>
                <w:noProof/>
              </w:rPr>
              <w:t>Ceļvedis dzelzceļa reformai</w:t>
            </w:r>
          </w:p>
        </w:tc>
      </w:tr>
      <w:tr w:rsidR="00CB0FCB" w14:paraId="0A9D282D"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370DA944" w14:textId="77777777" w:rsidR="00CB0FCB" w:rsidRDefault="009D2B11">
            <w:pPr>
              <w:pStyle w:val="P68B1DB1-Normal8"/>
              <w:keepNext/>
              <w:spacing w:before="40" w:after="0" w:line="240" w:lineRule="auto"/>
              <w:jc w:val="both"/>
              <w:rPr>
                <w:rFonts w:eastAsia="Times New Roman" w:cs="Times New Roman"/>
                <w:noProof/>
                <w:szCs w:val="18"/>
              </w:rPr>
            </w:pPr>
            <w:r>
              <w:rPr>
                <w:noProof/>
              </w:rPr>
              <w:t>331</w:t>
            </w:r>
          </w:p>
        </w:tc>
        <w:tc>
          <w:tcPr>
            <w:tcW w:w="4283" w:type="dxa"/>
            <w:tcBorders>
              <w:top w:val="nil"/>
              <w:left w:val="nil"/>
              <w:bottom w:val="single" w:sz="4" w:space="0" w:color="auto"/>
              <w:right w:val="single" w:sz="4" w:space="0" w:color="auto"/>
            </w:tcBorders>
            <w:shd w:val="clear" w:color="000000" w:fill="C6EFCE"/>
            <w:noWrap/>
            <w:vAlign w:val="center"/>
          </w:tcPr>
          <w:p w14:paraId="22236641" w14:textId="77777777" w:rsidR="00CB0FCB" w:rsidRDefault="009D2B11">
            <w:pPr>
              <w:pStyle w:val="P68B1DB1-Normal8"/>
              <w:keepNext/>
              <w:spacing w:before="40" w:after="0" w:line="240" w:lineRule="auto"/>
              <w:rPr>
                <w:rFonts w:eastAsia="Times New Roman" w:cs="Times New Roman"/>
                <w:bCs/>
                <w:noProof/>
                <w:szCs w:val="18"/>
              </w:rPr>
            </w:pPr>
            <w:r>
              <w:rPr>
                <w:noProof/>
              </w:rPr>
              <w:t>19–16968_Tehniskā palīdzība</w:t>
            </w:r>
          </w:p>
        </w:tc>
        <w:tc>
          <w:tcPr>
            <w:tcW w:w="1701" w:type="dxa"/>
            <w:tcBorders>
              <w:top w:val="nil"/>
              <w:left w:val="nil"/>
              <w:bottom w:val="single" w:sz="4" w:space="0" w:color="auto"/>
              <w:right w:val="single" w:sz="4" w:space="0" w:color="auto"/>
            </w:tcBorders>
            <w:shd w:val="clear" w:color="000000" w:fill="C6EFCE"/>
            <w:noWrap/>
            <w:vAlign w:val="center"/>
          </w:tcPr>
          <w:p w14:paraId="43168934" w14:textId="77777777" w:rsidR="00CB0FCB" w:rsidRDefault="009D2B11">
            <w:pPr>
              <w:pStyle w:val="P68B1DB1-Normal8"/>
              <w:keepNext/>
              <w:spacing w:before="40" w:after="0" w:line="240" w:lineRule="auto"/>
              <w:rPr>
                <w:rFonts w:eastAsia="Times New Roman" w:cs="Times New Roman"/>
                <w:bCs/>
                <w:noProof/>
                <w:szCs w:val="18"/>
              </w:rPr>
            </w:pPr>
            <w:r>
              <w:rPr>
                <w:noProof/>
              </w:rPr>
              <w:t>Atskaites punkts</w:t>
            </w:r>
          </w:p>
        </w:tc>
        <w:tc>
          <w:tcPr>
            <w:tcW w:w="2153" w:type="dxa"/>
            <w:tcBorders>
              <w:top w:val="nil"/>
              <w:left w:val="nil"/>
              <w:bottom w:val="single" w:sz="4" w:space="0" w:color="auto"/>
              <w:right w:val="single" w:sz="4" w:space="0" w:color="auto"/>
            </w:tcBorders>
            <w:shd w:val="clear" w:color="000000" w:fill="C6EFCE"/>
            <w:noWrap/>
            <w:vAlign w:val="center"/>
          </w:tcPr>
          <w:p w14:paraId="529A7591" w14:textId="77777777" w:rsidR="00CB0FCB" w:rsidRDefault="009D2B11">
            <w:pPr>
              <w:pStyle w:val="P68B1DB1-Normal8"/>
              <w:keepNext/>
              <w:spacing w:before="40" w:after="0" w:line="240" w:lineRule="auto"/>
              <w:rPr>
                <w:rFonts w:eastAsia="Times New Roman" w:cs="Times New Roman"/>
                <w:bCs/>
                <w:noProof/>
                <w:szCs w:val="18"/>
              </w:rPr>
            </w:pPr>
            <w:r>
              <w:rPr>
                <w:noProof/>
              </w:rPr>
              <w:t xml:space="preserve">EDEL juridiskās pilnvaras un pārvaldības, kontroles un revīzijas sistēmu izveide </w:t>
            </w:r>
          </w:p>
        </w:tc>
      </w:tr>
      <w:tr w:rsidR="00CB0FCB" w14:paraId="1BC4E3EA"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A1AFA6C" w14:textId="77777777" w:rsidR="00CB0FCB" w:rsidRDefault="00CB0FCB">
            <w:pPr>
              <w:keepNext/>
              <w:spacing w:before="40" w:after="0" w:line="259" w:lineRule="auto"/>
              <w:jc w:val="both"/>
              <w:rPr>
                <w:rFonts w:ascii="Times New Roman" w:eastAsia="Times New Roman" w:hAnsi="Times New Roman" w:cs="Times New Roman"/>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805E44B" w14:textId="77777777" w:rsidR="00CB0FCB" w:rsidRDefault="00CB0FCB">
            <w:pPr>
              <w:keepNext/>
              <w:spacing w:before="40" w:after="0" w:line="259" w:lineRule="auto"/>
              <w:rPr>
                <w:rFonts w:ascii="Times New Roman" w:eastAsia="Times New Roman" w:hAnsi="Times New Roman" w:cs="Times New Roman"/>
                <w:bCs/>
                <w:noProof/>
                <w:sz w:val="18"/>
                <w:szCs w:val="18"/>
              </w:rPr>
            </w:pPr>
          </w:p>
        </w:tc>
        <w:tc>
          <w:tcPr>
            <w:tcW w:w="1701" w:type="dxa"/>
            <w:tcBorders>
              <w:top w:val="single" w:sz="4" w:space="0" w:color="auto"/>
              <w:left w:val="nil"/>
              <w:bottom w:val="single" w:sz="4" w:space="0" w:color="auto"/>
              <w:right w:val="single" w:sz="4" w:space="0" w:color="auto"/>
            </w:tcBorders>
            <w:shd w:val="clear" w:color="auto" w:fill="C6EFCE"/>
            <w:noWrap/>
            <w:vAlign w:val="bottom"/>
          </w:tcPr>
          <w:p w14:paraId="6513C9AA" w14:textId="77777777" w:rsidR="00CB0FCB" w:rsidRDefault="009D2B11">
            <w:pPr>
              <w:pStyle w:val="P68B1DB1-Normal8"/>
              <w:keepNext/>
              <w:spacing w:before="40" w:after="0" w:line="259" w:lineRule="auto"/>
              <w:rPr>
                <w:rFonts w:eastAsia="Times New Roman" w:cs="Times New Roman"/>
                <w:bCs/>
                <w:noProof/>
                <w:szCs w:val="18"/>
              </w:rPr>
            </w:pPr>
            <w:r>
              <w:rPr>
                <w:noProof/>
              </w:rPr>
              <w:t>Maksājuma summa</w:t>
            </w:r>
          </w:p>
        </w:tc>
        <w:tc>
          <w:tcPr>
            <w:tcW w:w="2153" w:type="dxa"/>
            <w:tcBorders>
              <w:top w:val="single" w:sz="4" w:space="0" w:color="auto"/>
              <w:left w:val="nil"/>
              <w:bottom w:val="single" w:sz="4" w:space="0" w:color="auto"/>
              <w:right w:val="single" w:sz="4" w:space="0" w:color="auto"/>
            </w:tcBorders>
            <w:shd w:val="clear" w:color="auto" w:fill="C6EFCE"/>
            <w:noWrap/>
            <w:vAlign w:val="bottom"/>
          </w:tcPr>
          <w:p w14:paraId="432C7658" w14:textId="77777777" w:rsidR="00CB0FCB" w:rsidRDefault="009D2B11">
            <w:pPr>
              <w:pStyle w:val="P68B1DB1-Normal8"/>
              <w:keepNext/>
              <w:spacing w:before="40" w:after="0" w:line="259" w:lineRule="auto"/>
              <w:rPr>
                <w:rFonts w:eastAsia="Times New Roman" w:cs="Times New Roman"/>
                <w:bCs/>
                <w:noProof/>
                <w:szCs w:val="18"/>
              </w:rPr>
            </w:pPr>
            <w:r>
              <w:rPr>
                <w:noProof/>
              </w:rPr>
              <w:t>EUR 1974438067</w:t>
            </w:r>
          </w:p>
        </w:tc>
      </w:tr>
    </w:tbl>
    <w:p w14:paraId="6D0B1074" w14:textId="3EE89EFB" w:rsidR="00CB0FCB" w:rsidRDefault="00CB0FCB">
      <w:pPr>
        <w:rPr>
          <w:rFonts w:ascii="Times New Roman" w:hAnsi="Times New Roman"/>
          <w:noProof/>
          <w:sz w:val="24"/>
        </w:rPr>
      </w:pPr>
    </w:p>
    <w:p w14:paraId="2B43B8C3" w14:textId="351FA198" w:rsidR="00CB0FCB" w:rsidRDefault="009D2B11">
      <w:pPr>
        <w:pStyle w:val="P68B1DB1-Normal4"/>
        <w:keepNext/>
        <w:numPr>
          <w:ilvl w:val="1"/>
          <w:numId w:val="22"/>
        </w:numPr>
        <w:spacing w:before="40" w:after="160" w:line="259" w:lineRule="auto"/>
        <w:ind w:left="0"/>
        <w:contextualSpacing/>
        <w:jc w:val="both"/>
        <w:rPr>
          <w:noProof/>
        </w:rPr>
      </w:pPr>
      <w:r>
        <w:rPr>
          <w:noProof/>
        </w:rPr>
        <w:t xml:space="preserve"> Otrais maksājuma pieprasījums (neatmaksājams atbalsts):</w:t>
      </w:r>
    </w:p>
    <w:p w14:paraId="23A048F1" w14:textId="77777777" w:rsidR="00CB0FCB" w:rsidRDefault="00CB0FCB">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Spec="center" w:tblpY="1"/>
        <w:tblOverlap w:val="never"/>
        <w:tblW w:w="9519" w:type="dxa"/>
        <w:tblLook w:val="04A0" w:firstRow="1" w:lastRow="0" w:firstColumn="1" w:lastColumn="0" w:noHBand="0" w:noVBand="1"/>
      </w:tblPr>
      <w:tblGrid>
        <w:gridCol w:w="1804"/>
        <w:gridCol w:w="4283"/>
        <w:gridCol w:w="1807"/>
        <w:gridCol w:w="1740"/>
      </w:tblGrid>
      <w:tr w:rsidR="00CB0FCB" w14:paraId="440623B5" w14:textId="77777777">
        <w:trPr>
          <w:trHeight w:val="509"/>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AB5DF17" w14:textId="2B2E6252"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E3C302C"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610F860"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14:paraId="04156667"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7D576579"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A94A9A0"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743C34EA"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44C6F463"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40" w:type="dxa"/>
            <w:vMerge/>
            <w:tcBorders>
              <w:top w:val="single" w:sz="4" w:space="0" w:color="auto"/>
              <w:left w:val="nil"/>
              <w:bottom w:val="single" w:sz="4" w:space="0" w:color="000000"/>
              <w:right w:val="single" w:sz="4" w:space="0" w:color="auto"/>
            </w:tcBorders>
            <w:vAlign w:val="center"/>
            <w:hideMark/>
          </w:tcPr>
          <w:p w14:paraId="1F9A4BB7"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6E8DD6E2"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CDCC36D" w14:textId="77777777" w:rsidR="00CB0FCB" w:rsidRDefault="009D2B11">
            <w:pPr>
              <w:pStyle w:val="P68B1DB1-Normal8"/>
              <w:keepNext/>
              <w:spacing w:before="40" w:after="0" w:line="259" w:lineRule="auto"/>
              <w:jc w:val="both"/>
              <w:rPr>
                <w:rFonts w:eastAsia="Times New Roman" w:cs="Times New Roman"/>
                <w:noProof/>
                <w:szCs w:val="18"/>
              </w:rPr>
            </w:pPr>
            <w:r>
              <w:rPr>
                <w:noProof/>
              </w:rPr>
              <w:t>44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5C41F8C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 Uzlāde un uzpilde — 16924_ Elektromobilitāte</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9F29FE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1BED02B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Sabiedriskais transports — Tirgus regulējuma stāšanās spēkā attiecībā uz sabiedrisko pakalpojumu sniegšanas saistībām (autobusi)</w:t>
            </w:r>
          </w:p>
        </w:tc>
      </w:tr>
      <w:tr w:rsidR="00CB0FCB" w14:paraId="273041F0"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27982FA" w14:textId="77777777" w:rsidR="00CB0FCB" w:rsidRDefault="009D2B11">
            <w:pPr>
              <w:pStyle w:val="P68B1DB1-Normal8"/>
              <w:keepNext/>
              <w:spacing w:before="40" w:after="0" w:line="259" w:lineRule="auto"/>
              <w:jc w:val="both"/>
              <w:rPr>
                <w:rFonts w:eastAsia="Times New Roman" w:cs="Times New Roman"/>
                <w:noProof/>
                <w:szCs w:val="18"/>
              </w:rPr>
            </w:pPr>
            <w:r>
              <w:rPr>
                <w:noProof/>
              </w:rPr>
              <w:t>197</w:t>
            </w:r>
          </w:p>
        </w:tc>
        <w:tc>
          <w:tcPr>
            <w:tcW w:w="4283" w:type="dxa"/>
            <w:tcBorders>
              <w:top w:val="nil"/>
              <w:left w:val="nil"/>
              <w:bottom w:val="single" w:sz="4" w:space="0" w:color="auto"/>
              <w:right w:val="single" w:sz="4" w:space="0" w:color="auto"/>
            </w:tcBorders>
            <w:shd w:val="clear" w:color="000000" w:fill="C6EFCE"/>
            <w:noWrap/>
            <w:vAlign w:val="center"/>
          </w:tcPr>
          <w:p w14:paraId="1AA299C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16863_Super — zaļās ekonomikas, enerģētikas un digitālās pārkārtošanās izdevumu atskaitīšana</w:t>
            </w:r>
          </w:p>
        </w:tc>
        <w:tc>
          <w:tcPr>
            <w:tcW w:w="1692" w:type="dxa"/>
            <w:tcBorders>
              <w:top w:val="nil"/>
              <w:left w:val="nil"/>
              <w:bottom w:val="single" w:sz="4" w:space="0" w:color="auto"/>
              <w:right w:val="single" w:sz="4" w:space="0" w:color="auto"/>
            </w:tcBorders>
            <w:shd w:val="clear" w:color="000000" w:fill="C6EFCE"/>
            <w:noWrap/>
            <w:vAlign w:val="center"/>
          </w:tcPr>
          <w:p w14:paraId="6AF2ECF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0478BE7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Superatskaitījums MVU zaļajām un digitālajām investīcijām</w:t>
            </w:r>
          </w:p>
        </w:tc>
      </w:tr>
      <w:tr w:rsidR="00CB0FCB" w14:paraId="027062EE"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15E5215" w14:textId="77777777" w:rsidR="00CB0FCB" w:rsidRDefault="009D2B11">
            <w:pPr>
              <w:pStyle w:val="P68B1DB1-Normal8"/>
              <w:keepNext/>
              <w:spacing w:before="40" w:after="0" w:line="259" w:lineRule="auto"/>
              <w:jc w:val="both"/>
              <w:rPr>
                <w:rFonts w:eastAsia="Times New Roman" w:cs="Times New Roman"/>
                <w:noProof/>
                <w:szCs w:val="18"/>
              </w:rPr>
            </w:pPr>
            <w:r>
              <w:rPr>
                <w:noProof/>
              </w:rPr>
              <w:t>198</w:t>
            </w:r>
          </w:p>
        </w:tc>
        <w:tc>
          <w:tcPr>
            <w:tcW w:w="4283" w:type="dxa"/>
            <w:tcBorders>
              <w:top w:val="nil"/>
              <w:left w:val="nil"/>
              <w:bottom w:val="single" w:sz="4" w:space="0" w:color="auto"/>
              <w:right w:val="single" w:sz="4" w:space="0" w:color="auto"/>
            </w:tcBorders>
            <w:shd w:val="clear" w:color="000000" w:fill="C6EFCE"/>
            <w:noWrap/>
            <w:vAlign w:val="center"/>
          </w:tcPr>
          <w:p w14:paraId="1A7FA47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16616_Pasākumu un stimulu pieņemšana elektronisko darījumu palielināšanai</w:t>
            </w:r>
          </w:p>
        </w:tc>
        <w:tc>
          <w:tcPr>
            <w:tcW w:w="1692" w:type="dxa"/>
            <w:tcBorders>
              <w:top w:val="nil"/>
              <w:left w:val="nil"/>
              <w:bottom w:val="single" w:sz="4" w:space="0" w:color="auto"/>
              <w:right w:val="single" w:sz="4" w:space="0" w:color="auto"/>
            </w:tcBorders>
            <w:shd w:val="clear" w:color="000000" w:fill="C6EFCE"/>
            <w:noWrap/>
            <w:vAlign w:val="center"/>
          </w:tcPr>
          <w:p w14:paraId="2DD4D22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588F099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Tiesību akti elektronisko darījumu veicināšanai</w:t>
            </w:r>
          </w:p>
        </w:tc>
      </w:tr>
      <w:tr w:rsidR="00CB0FCB" w14:paraId="01EC113A"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C8FF790" w14:textId="77777777" w:rsidR="00CB0FCB" w:rsidRDefault="009D2B11">
            <w:pPr>
              <w:pStyle w:val="P68B1DB1-Normal8"/>
              <w:keepNext/>
              <w:spacing w:before="40" w:after="0" w:line="259" w:lineRule="auto"/>
              <w:jc w:val="both"/>
              <w:rPr>
                <w:rFonts w:eastAsia="Times New Roman" w:cs="Times New Roman"/>
                <w:noProof/>
                <w:szCs w:val="18"/>
              </w:rPr>
            </w:pPr>
            <w:r>
              <w:rPr>
                <w:noProof/>
              </w:rPr>
              <w:t>240</w:t>
            </w:r>
          </w:p>
        </w:tc>
        <w:tc>
          <w:tcPr>
            <w:tcW w:w="4283" w:type="dxa"/>
            <w:tcBorders>
              <w:top w:val="nil"/>
              <w:left w:val="nil"/>
              <w:bottom w:val="single" w:sz="4" w:space="0" w:color="auto"/>
              <w:right w:val="single" w:sz="4" w:space="0" w:color="auto"/>
            </w:tcBorders>
            <w:shd w:val="clear" w:color="000000" w:fill="C6EFCE"/>
            <w:noWrap/>
            <w:vAlign w:val="center"/>
          </w:tcPr>
          <w:p w14:paraId="2A19248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15–4.4. Stiprināt finanšu nozari un kapitāla tirgus — 16581_Uzlabota kapitāla tirgus uzraudzība un uzticamība</w:t>
            </w:r>
          </w:p>
        </w:tc>
        <w:tc>
          <w:tcPr>
            <w:tcW w:w="1692" w:type="dxa"/>
            <w:tcBorders>
              <w:top w:val="nil"/>
              <w:left w:val="nil"/>
              <w:bottom w:val="single" w:sz="4" w:space="0" w:color="auto"/>
              <w:right w:val="single" w:sz="4" w:space="0" w:color="auto"/>
            </w:tcBorders>
            <w:shd w:val="clear" w:color="000000" w:fill="C6EFCE"/>
            <w:noWrap/>
            <w:vAlign w:val="center"/>
          </w:tcPr>
          <w:p w14:paraId="219A6DD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3C757A9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Kapitāla tirgi, uzraudzība, uzraudzības procesu digitalizācija, kapitāla tirgu savienība (KTS)</w:t>
            </w:r>
          </w:p>
        </w:tc>
      </w:tr>
      <w:tr w:rsidR="00CB0FCB" w14:paraId="05E34251"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85D9DE8" w14:textId="77777777" w:rsidR="00CB0FCB" w:rsidRDefault="009D2B11">
            <w:pPr>
              <w:pStyle w:val="P68B1DB1-Normal8"/>
              <w:keepNext/>
              <w:spacing w:before="40" w:after="0" w:line="259" w:lineRule="auto"/>
              <w:jc w:val="both"/>
              <w:rPr>
                <w:rFonts w:eastAsia="Times New Roman" w:cs="Times New Roman"/>
                <w:noProof/>
                <w:szCs w:val="18"/>
              </w:rPr>
            </w:pPr>
            <w:r>
              <w:rPr>
                <w:noProof/>
              </w:rPr>
              <w:t>299</w:t>
            </w:r>
          </w:p>
        </w:tc>
        <w:tc>
          <w:tcPr>
            <w:tcW w:w="4283" w:type="dxa"/>
            <w:tcBorders>
              <w:top w:val="nil"/>
              <w:left w:val="nil"/>
              <w:bottom w:val="single" w:sz="4" w:space="0" w:color="auto"/>
              <w:right w:val="single" w:sz="4" w:space="0" w:color="auto"/>
            </w:tcBorders>
            <w:shd w:val="clear" w:color="000000" w:fill="C6EFCE"/>
            <w:noWrap/>
            <w:vAlign w:val="center"/>
          </w:tcPr>
          <w:p w14:paraId="1A7FC43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16593_Grozījums tiesiskajā regulējumā stratēģisko investīciju piesaistīšanai</w:t>
            </w:r>
          </w:p>
        </w:tc>
        <w:tc>
          <w:tcPr>
            <w:tcW w:w="1692" w:type="dxa"/>
            <w:tcBorders>
              <w:top w:val="nil"/>
              <w:left w:val="nil"/>
              <w:bottom w:val="single" w:sz="4" w:space="0" w:color="auto"/>
              <w:right w:val="single" w:sz="4" w:space="0" w:color="auto"/>
            </w:tcBorders>
            <w:shd w:val="clear" w:color="000000" w:fill="C6EFCE"/>
            <w:noWrap/>
            <w:vAlign w:val="center"/>
          </w:tcPr>
          <w:p w14:paraId="329686C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53BC9D1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Stratēģiskās investīcijas — likumdošanas reforma</w:t>
            </w:r>
          </w:p>
        </w:tc>
      </w:tr>
      <w:tr w:rsidR="00CB0FCB" w14:paraId="06FB19C4"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A73D16C" w14:textId="77777777" w:rsidR="00CB0FCB" w:rsidRDefault="009D2B11">
            <w:pPr>
              <w:pStyle w:val="P68B1DB1-Normal8"/>
              <w:keepNext/>
              <w:spacing w:before="40" w:after="0" w:line="259" w:lineRule="auto"/>
              <w:jc w:val="both"/>
              <w:rPr>
                <w:rFonts w:eastAsia="Times New Roman" w:cs="Times New Roman"/>
                <w:noProof/>
                <w:szCs w:val="18"/>
              </w:rPr>
            </w:pPr>
            <w:r>
              <w:rPr>
                <w:noProof/>
              </w:rPr>
              <w:t>9</w:t>
            </w:r>
          </w:p>
        </w:tc>
        <w:tc>
          <w:tcPr>
            <w:tcW w:w="4283" w:type="dxa"/>
            <w:tcBorders>
              <w:top w:val="nil"/>
              <w:left w:val="nil"/>
              <w:bottom w:val="single" w:sz="4" w:space="0" w:color="auto"/>
              <w:right w:val="single" w:sz="4" w:space="0" w:color="auto"/>
            </w:tcBorders>
            <w:shd w:val="clear" w:color="000000" w:fill="C6EFCE"/>
            <w:noWrap/>
            <w:vAlign w:val="center"/>
          </w:tcPr>
          <w:p w14:paraId="48361EA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Power up — 16871_Atdzīvināšanas darbības visvairāk skartajās teritorijās (taisnīgas pārkārtošanās teritorijas)</w:t>
            </w:r>
          </w:p>
        </w:tc>
        <w:tc>
          <w:tcPr>
            <w:tcW w:w="1692" w:type="dxa"/>
            <w:tcBorders>
              <w:top w:val="nil"/>
              <w:left w:val="nil"/>
              <w:bottom w:val="single" w:sz="4" w:space="0" w:color="auto"/>
              <w:right w:val="single" w:sz="4" w:space="0" w:color="auto"/>
            </w:tcBorders>
            <w:shd w:val="clear" w:color="000000" w:fill="C6EFCE"/>
            <w:noWrap/>
            <w:vAlign w:val="center"/>
          </w:tcPr>
          <w:p w14:paraId="5F44028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4F22D96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Zemes rehabilitācija — ietvarlikums</w:t>
            </w:r>
          </w:p>
        </w:tc>
      </w:tr>
      <w:tr w:rsidR="00CB0FCB" w14:paraId="18F3C1CC"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A182368" w14:textId="77777777" w:rsidR="00CB0FCB" w:rsidRDefault="009D2B11">
            <w:pPr>
              <w:pStyle w:val="P68B1DB1-Normal8"/>
              <w:keepNext/>
              <w:spacing w:before="40" w:after="0" w:line="259" w:lineRule="auto"/>
              <w:jc w:val="both"/>
              <w:rPr>
                <w:rFonts w:eastAsia="Times New Roman" w:cs="Times New Roman"/>
                <w:noProof/>
                <w:szCs w:val="18"/>
              </w:rPr>
            </w:pPr>
            <w:r>
              <w:rPr>
                <w:noProof/>
              </w:rPr>
              <w:t>130</w:t>
            </w:r>
          </w:p>
        </w:tc>
        <w:tc>
          <w:tcPr>
            <w:tcW w:w="4283" w:type="dxa"/>
            <w:tcBorders>
              <w:top w:val="nil"/>
              <w:left w:val="nil"/>
              <w:bottom w:val="single" w:sz="4" w:space="0" w:color="auto"/>
              <w:right w:val="single" w:sz="4" w:space="0" w:color="auto"/>
            </w:tcBorders>
            <w:shd w:val="clear" w:color="000000" w:fill="C6EFCE"/>
            <w:noWrap/>
            <w:vAlign w:val="center"/>
          </w:tcPr>
          <w:p w14:paraId="3B13374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7–2.3. Uzņēmumu digitalizācija — 16706_MVU digitālā pārveide</w:t>
            </w:r>
          </w:p>
        </w:tc>
        <w:tc>
          <w:tcPr>
            <w:tcW w:w="1692" w:type="dxa"/>
            <w:tcBorders>
              <w:top w:val="nil"/>
              <w:left w:val="nil"/>
              <w:bottom w:val="single" w:sz="4" w:space="0" w:color="auto"/>
              <w:right w:val="single" w:sz="4" w:space="0" w:color="auto"/>
            </w:tcBorders>
            <w:shd w:val="clear" w:color="000000" w:fill="C6EFCE"/>
            <w:noWrap/>
            <w:vAlign w:val="center"/>
          </w:tcPr>
          <w:p w14:paraId="6B3B96B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68121670" w14:textId="1B745CA8" w:rsidR="00CB0FCB" w:rsidRDefault="009D2B11">
            <w:pPr>
              <w:pStyle w:val="P68B1DB1-Normal8"/>
              <w:keepNext/>
              <w:spacing w:before="40" w:after="0" w:line="240" w:lineRule="auto"/>
              <w:jc w:val="both"/>
              <w:rPr>
                <w:rFonts w:eastAsia="Times New Roman" w:cs="Times New Roman"/>
                <w:bCs/>
                <w:noProof/>
                <w:szCs w:val="18"/>
              </w:rPr>
            </w:pPr>
            <w:r>
              <w:rPr>
                <w:noProof/>
              </w:rPr>
              <w:t>MVU digitālā pārveide — uzaicinājumi iesniegt priekšlikumus</w:t>
            </w:r>
          </w:p>
        </w:tc>
      </w:tr>
      <w:tr w:rsidR="00CB0FCB" w14:paraId="54E8C072"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A5E734B" w14:textId="77777777" w:rsidR="00CB0FCB" w:rsidRDefault="009D2B11">
            <w:pPr>
              <w:pStyle w:val="P68B1DB1-Normal8"/>
              <w:keepNext/>
              <w:spacing w:before="40" w:after="0" w:line="259" w:lineRule="auto"/>
              <w:jc w:val="both"/>
              <w:rPr>
                <w:rFonts w:eastAsia="Times New Roman" w:cs="Times New Roman"/>
                <w:noProof/>
                <w:szCs w:val="18"/>
              </w:rPr>
            </w:pPr>
            <w:r>
              <w:rPr>
                <w:noProof/>
              </w:rPr>
              <w:t>174</w:t>
            </w:r>
          </w:p>
        </w:tc>
        <w:tc>
          <w:tcPr>
            <w:tcW w:w="4283" w:type="dxa"/>
            <w:tcBorders>
              <w:top w:val="nil"/>
              <w:left w:val="nil"/>
              <w:bottom w:val="single" w:sz="4" w:space="0" w:color="auto"/>
              <w:right w:val="single" w:sz="4" w:space="0" w:color="auto"/>
            </w:tcBorders>
            <w:shd w:val="clear" w:color="000000" w:fill="C6EFCE"/>
            <w:noWrap/>
            <w:vAlign w:val="center"/>
          </w:tcPr>
          <w:p w14:paraId="7479E95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11–3.4. Uzlabot piekļuvi efektīvai un iekļaujošai sociālajai politikai — 16904_Invaliditāte</w:t>
            </w:r>
          </w:p>
        </w:tc>
        <w:tc>
          <w:tcPr>
            <w:tcW w:w="1692" w:type="dxa"/>
            <w:tcBorders>
              <w:top w:val="nil"/>
              <w:left w:val="nil"/>
              <w:bottom w:val="single" w:sz="4" w:space="0" w:color="auto"/>
              <w:right w:val="single" w:sz="4" w:space="0" w:color="auto"/>
            </w:tcBorders>
            <w:shd w:val="clear" w:color="000000" w:fill="C6EFCE"/>
            <w:noWrap/>
            <w:vAlign w:val="center"/>
          </w:tcPr>
          <w:p w14:paraId="03F8F04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002635C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Personiskās palīdzības tiesību akti invaliditātes jomā un pirmā posma izmēģinājuma shēmas ieviešana</w:t>
            </w:r>
          </w:p>
        </w:tc>
      </w:tr>
      <w:tr w:rsidR="00CB0FCB" w14:paraId="238AB40A"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02BAA04" w14:textId="77777777" w:rsidR="00CB0FCB" w:rsidRDefault="009D2B11">
            <w:pPr>
              <w:pStyle w:val="P68B1DB1-Normal8"/>
              <w:keepNext/>
              <w:spacing w:before="40" w:after="0" w:line="259" w:lineRule="auto"/>
              <w:jc w:val="both"/>
              <w:rPr>
                <w:rFonts w:eastAsia="Times New Roman" w:cs="Times New Roman"/>
                <w:noProof/>
                <w:szCs w:val="18"/>
              </w:rPr>
            </w:pPr>
            <w:r>
              <w:rPr>
                <w:noProof/>
              </w:rPr>
              <w:t>188</w:t>
            </w:r>
          </w:p>
        </w:tc>
        <w:tc>
          <w:tcPr>
            <w:tcW w:w="4283" w:type="dxa"/>
            <w:tcBorders>
              <w:top w:val="nil"/>
              <w:left w:val="nil"/>
              <w:bottom w:val="single" w:sz="4" w:space="0" w:color="auto"/>
              <w:right w:val="single" w:sz="4" w:space="0" w:color="auto"/>
            </w:tcBorders>
            <w:shd w:val="clear" w:color="000000" w:fill="C6EFCE"/>
            <w:noWrap/>
            <w:vAlign w:val="center"/>
          </w:tcPr>
          <w:p w14:paraId="2625F9B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16614_Tiešsaistes kases aparāti un POS (reforma)</w:t>
            </w:r>
          </w:p>
        </w:tc>
        <w:tc>
          <w:tcPr>
            <w:tcW w:w="1692" w:type="dxa"/>
            <w:tcBorders>
              <w:top w:val="nil"/>
              <w:left w:val="nil"/>
              <w:bottom w:val="single" w:sz="4" w:space="0" w:color="auto"/>
              <w:right w:val="single" w:sz="4" w:space="0" w:color="auto"/>
            </w:tcBorders>
            <w:shd w:val="clear" w:color="000000" w:fill="C6EFCE"/>
            <w:noWrap/>
            <w:vAlign w:val="center"/>
          </w:tcPr>
          <w:p w14:paraId="19EA16B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4476FB1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Neatkarīga Valsts ieņēmumu iestāde (IAPR): Tiešsaistes kases reģistri un pārdošanas vietas (POS) — tiesiskā regulējuma stāšanās spēkā</w:t>
            </w:r>
          </w:p>
        </w:tc>
      </w:tr>
      <w:tr w:rsidR="00CB0FCB" w14:paraId="6C2F0CF9"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B299696" w14:textId="77777777" w:rsidR="00CB0FCB" w:rsidRDefault="009D2B11">
            <w:pPr>
              <w:pStyle w:val="P68B1DB1-Normal8"/>
              <w:keepNext/>
              <w:spacing w:before="40" w:after="0" w:line="259" w:lineRule="auto"/>
              <w:jc w:val="both"/>
              <w:rPr>
                <w:rFonts w:eastAsia="Times New Roman" w:cs="Times New Roman"/>
                <w:noProof/>
                <w:szCs w:val="18"/>
              </w:rPr>
            </w:pPr>
            <w:r>
              <w:rPr>
                <w:noProof/>
              </w:rPr>
              <w:t>190</w:t>
            </w:r>
          </w:p>
        </w:tc>
        <w:tc>
          <w:tcPr>
            <w:tcW w:w="4283" w:type="dxa"/>
            <w:tcBorders>
              <w:top w:val="nil"/>
              <w:left w:val="nil"/>
              <w:bottom w:val="single" w:sz="4" w:space="0" w:color="auto"/>
              <w:right w:val="single" w:sz="4" w:space="0" w:color="auto"/>
            </w:tcBorders>
            <w:shd w:val="clear" w:color="000000" w:fill="C6EFCE"/>
            <w:noWrap/>
            <w:vAlign w:val="center"/>
          </w:tcPr>
          <w:p w14:paraId="2582BFC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16656_Jauns satvars cīņai pret kontrabandu, galvenokārt attiecībā uz akcīzes precēm (tabaku, alkoholu un enerģiju)</w:t>
            </w:r>
          </w:p>
        </w:tc>
        <w:tc>
          <w:tcPr>
            <w:tcW w:w="1692" w:type="dxa"/>
            <w:tcBorders>
              <w:top w:val="nil"/>
              <w:left w:val="nil"/>
              <w:bottom w:val="single" w:sz="4" w:space="0" w:color="auto"/>
              <w:right w:val="single" w:sz="4" w:space="0" w:color="auto"/>
            </w:tcBorders>
            <w:shd w:val="clear" w:color="000000" w:fill="C6EFCE"/>
            <w:noWrap/>
            <w:vAlign w:val="center"/>
          </w:tcPr>
          <w:p w14:paraId="2402F8A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2108DDB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Cīņa pret kontrabandu — regulatīvo lēmumu ceļvedis</w:t>
            </w:r>
          </w:p>
        </w:tc>
      </w:tr>
      <w:tr w:rsidR="00CB0FCB" w14:paraId="3AA37639"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4119594" w14:textId="77777777" w:rsidR="00CB0FCB" w:rsidRDefault="009D2B11">
            <w:pPr>
              <w:pStyle w:val="P68B1DB1-Normal8"/>
              <w:keepNext/>
              <w:spacing w:before="40" w:after="0" w:line="259" w:lineRule="auto"/>
              <w:jc w:val="both"/>
              <w:rPr>
                <w:rFonts w:eastAsia="Times New Roman" w:cs="Times New Roman"/>
                <w:noProof/>
                <w:szCs w:val="18"/>
              </w:rPr>
            </w:pPr>
            <w:r>
              <w:rPr>
                <w:noProof/>
              </w:rPr>
              <w:t>201</w:t>
            </w:r>
          </w:p>
        </w:tc>
        <w:tc>
          <w:tcPr>
            <w:tcW w:w="4283" w:type="dxa"/>
            <w:tcBorders>
              <w:top w:val="nil"/>
              <w:left w:val="nil"/>
              <w:bottom w:val="single" w:sz="4" w:space="0" w:color="auto"/>
              <w:right w:val="single" w:sz="4" w:space="0" w:color="auto"/>
            </w:tcBorders>
            <w:shd w:val="clear" w:color="000000" w:fill="C6EFCE"/>
            <w:noWrap/>
            <w:vAlign w:val="center"/>
          </w:tcPr>
          <w:p w14:paraId="11A448F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18–4.7. Uzlabot konkurētspēju un veicināt privātos ieguldījumus un tirdzniecību — 16598_Stimulēšanas režīms attiecībā uz ražīgumu un uzņēmumu izspiešanu (uzņēmumu lieluma palielināšana)</w:t>
            </w:r>
          </w:p>
        </w:tc>
        <w:tc>
          <w:tcPr>
            <w:tcW w:w="1692" w:type="dxa"/>
            <w:tcBorders>
              <w:top w:val="nil"/>
              <w:left w:val="nil"/>
              <w:bottom w:val="single" w:sz="4" w:space="0" w:color="auto"/>
              <w:right w:val="single" w:sz="4" w:space="0" w:color="auto"/>
            </w:tcBorders>
            <w:shd w:val="clear" w:color="000000" w:fill="C6EFCE"/>
            <w:noWrap/>
            <w:vAlign w:val="center"/>
          </w:tcPr>
          <w:p w14:paraId="66905C1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4B2A8E5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Tiesību akti, lai veicinātu izpostīšanu no uzņēmējdarbības</w:t>
            </w:r>
          </w:p>
        </w:tc>
      </w:tr>
      <w:tr w:rsidR="00CB0FCB" w14:paraId="0831DE92"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BFB41A6" w14:textId="77777777" w:rsidR="00CB0FCB" w:rsidRDefault="009D2B11">
            <w:pPr>
              <w:pStyle w:val="P68B1DB1-Normal8"/>
              <w:keepNext/>
              <w:spacing w:before="40" w:after="0" w:line="259" w:lineRule="auto"/>
              <w:jc w:val="both"/>
              <w:rPr>
                <w:rFonts w:eastAsia="Times New Roman" w:cs="Times New Roman"/>
                <w:noProof/>
                <w:szCs w:val="18"/>
              </w:rPr>
            </w:pPr>
            <w:r>
              <w:rPr>
                <w:noProof/>
              </w:rPr>
              <w:t>224</w:t>
            </w:r>
          </w:p>
        </w:tc>
        <w:tc>
          <w:tcPr>
            <w:tcW w:w="4283" w:type="dxa"/>
            <w:tcBorders>
              <w:top w:val="nil"/>
              <w:left w:val="nil"/>
              <w:bottom w:val="single" w:sz="4" w:space="0" w:color="auto"/>
              <w:right w:val="single" w:sz="4" w:space="0" w:color="auto"/>
            </w:tcBorders>
            <w:shd w:val="clear" w:color="000000" w:fill="C6EFCE"/>
            <w:noWrap/>
            <w:vAlign w:val="center"/>
          </w:tcPr>
          <w:p w14:paraId="6112481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16733_Prasmes un digitālās prasmes tiesnešiem un tiesu iestāžu darbiniekiem (tiesu iestāžu darbiniekiem)</w:t>
            </w:r>
          </w:p>
        </w:tc>
        <w:tc>
          <w:tcPr>
            <w:tcW w:w="1692" w:type="dxa"/>
            <w:tcBorders>
              <w:top w:val="nil"/>
              <w:left w:val="nil"/>
              <w:bottom w:val="single" w:sz="4" w:space="0" w:color="auto"/>
              <w:right w:val="single" w:sz="4" w:space="0" w:color="auto"/>
            </w:tcBorders>
            <w:shd w:val="clear" w:color="000000" w:fill="C6EFCE"/>
            <w:noWrap/>
            <w:vAlign w:val="center"/>
          </w:tcPr>
          <w:p w14:paraId="1564321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740" w:type="dxa"/>
            <w:tcBorders>
              <w:top w:val="nil"/>
              <w:left w:val="nil"/>
              <w:bottom w:val="single" w:sz="4" w:space="0" w:color="auto"/>
              <w:right w:val="single" w:sz="4" w:space="0" w:color="auto"/>
            </w:tcBorders>
            <w:shd w:val="clear" w:color="000000" w:fill="C6EFCE"/>
            <w:noWrap/>
            <w:vAlign w:val="center"/>
          </w:tcPr>
          <w:p w14:paraId="3FE325E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Mācības — Tiesneši un ierēdņi</w:t>
            </w:r>
          </w:p>
        </w:tc>
      </w:tr>
      <w:tr w:rsidR="00CB0FCB" w14:paraId="0850A718"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C343DBC" w14:textId="77777777" w:rsidR="00CB0FCB" w:rsidRDefault="009D2B11">
            <w:pPr>
              <w:pStyle w:val="P68B1DB1-Normal8"/>
              <w:keepNext/>
              <w:spacing w:before="40" w:after="0" w:line="259" w:lineRule="auto"/>
              <w:jc w:val="both"/>
              <w:rPr>
                <w:rFonts w:eastAsia="Times New Roman" w:cs="Times New Roman"/>
                <w:noProof/>
                <w:szCs w:val="18"/>
              </w:rPr>
            </w:pPr>
            <w:r>
              <w:rPr>
                <w:noProof/>
              </w:rPr>
              <w:t>245</w:t>
            </w:r>
          </w:p>
        </w:tc>
        <w:tc>
          <w:tcPr>
            <w:tcW w:w="4283" w:type="dxa"/>
            <w:tcBorders>
              <w:top w:val="nil"/>
              <w:left w:val="nil"/>
              <w:bottom w:val="single" w:sz="4" w:space="0" w:color="auto"/>
              <w:right w:val="single" w:sz="4" w:space="0" w:color="auto"/>
            </w:tcBorders>
            <w:shd w:val="clear" w:color="000000" w:fill="C6EFCE"/>
            <w:noWrap/>
            <w:vAlign w:val="center"/>
          </w:tcPr>
          <w:p w14:paraId="7B31461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16–4,5. Veicināt pētniecību un inovāciju — 16618_Pamatpētniecība un lietišķā pētniecība</w:t>
            </w:r>
          </w:p>
        </w:tc>
        <w:tc>
          <w:tcPr>
            <w:tcW w:w="1692" w:type="dxa"/>
            <w:tcBorders>
              <w:top w:val="nil"/>
              <w:left w:val="nil"/>
              <w:bottom w:val="single" w:sz="4" w:space="0" w:color="auto"/>
              <w:right w:val="single" w:sz="4" w:space="0" w:color="auto"/>
            </w:tcBorders>
            <w:shd w:val="clear" w:color="000000" w:fill="C6EFCE"/>
            <w:noWrap/>
            <w:vAlign w:val="center"/>
          </w:tcPr>
          <w:p w14:paraId="2C59BBE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0989D8D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Tiesību akti par fundamentālo un lietišķo pētniecību</w:t>
            </w:r>
          </w:p>
        </w:tc>
      </w:tr>
      <w:tr w:rsidR="00CB0FCB" w14:paraId="6D190CA6"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9270848" w14:textId="77777777" w:rsidR="00CB0FCB" w:rsidRDefault="009D2B11">
            <w:pPr>
              <w:pStyle w:val="P68B1DB1-Normal8"/>
              <w:keepNext/>
              <w:spacing w:before="40" w:after="0" w:line="259" w:lineRule="auto"/>
              <w:jc w:val="both"/>
              <w:rPr>
                <w:rFonts w:eastAsia="Times New Roman" w:cs="Times New Roman"/>
                <w:noProof/>
                <w:szCs w:val="18"/>
              </w:rPr>
            </w:pPr>
            <w:r>
              <w:rPr>
                <w:noProof/>
              </w:rPr>
              <w:t>246</w:t>
            </w:r>
          </w:p>
        </w:tc>
        <w:tc>
          <w:tcPr>
            <w:tcW w:w="4283" w:type="dxa"/>
            <w:tcBorders>
              <w:top w:val="nil"/>
              <w:left w:val="nil"/>
              <w:bottom w:val="single" w:sz="4" w:space="0" w:color="auto"/>
              <w:right w:val="single" w:sz="4" w:space="0" w:color="auto"/>
            </w:tcBorders>
            <w:shd w:val="clear" w:color="000000" w:fill="C6EFCE"/>
            <w:noWrap/>
            <w:vAlign w:val="center"/>
          </w:tcPr>
          <w:p w14:paraId="09756D5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16–4,5. Veicināt pētniecību un inovāciju — 16624_Creation — Izvēršana — Pētniecības un inovācijas ģenerālsekretariāta (GSRI) uzraudzīto pētniecības centru infrastruktūras modernizācija</w:t>
            </w:r>
          </w:p>
        </w:tc>
        <w:tc>
          <w:tcPr>
            <w:tcW w:w="1692" w:type="dxa"/>
            <w:tcBorders>
              <w:top w:val="nil"/>
              <w:left w:val="nil"/>
              <w:bottom w:val="single" w:sz="4" w:space="0" w:color="auto"/>
              <w:right w:val="single" w:sz="4" w:space="0" w:color="auto"/>
            </w:tcBorders>
            <w:shd w:val="clear" w:color="000000" w:fill="C6EFCE"/>
            <w:noWrap/>
            <w:vAlign w:val="center"/>
          </w:tcPr>
          <w:p w14:paraId="78F0DC3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4B3C8DC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Uzaicinājums iesniegt priekšlikumus pētniecības centriem</w:t>
            </w:r>
          </w:p>
        </w:tc>
      </w:tr>
      <w:tr w:rsidR="00CB0FCB" w14:paraId="2431DEC8"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5071CF6" w14:textId="77777777" w:rsidR="00CB0FCB" w:rsidRDefault="009D2B11">
            <w:pPr>
              <w:pStyle w:val="P68B1DB1-Normal8"/>
              <w:keepNext/>
              <w:spacing w:before="40" w:after="0" w:line="259" w:lineRule="auto"/>
              <w:jc w:val="both"/>
              <w:rPr>
                <w:rFonts w:eastAsia="Times New Roman" w:cs="Times New Roman"/>
                <w:noProof/>
                <w:szCs w:val="18"/>
              </w:rPr>
            </w:pPr>
            <w:r>
              <w:rPr>
                <w:noProof/>
              </w:rPr>
              <w:t>292</w:t>
            </w:r>
          </w:p>
        </w:tc>
        <w:tc>
          <w:tcPr>
            <w:tcW w:w="4283" w:type="dxa"/>
            <w:tcBorders>
              <w:top w:val="nil"/>
              <w:left w:val="nil"/>
              <w:bottom w:val="single" w:sz="4" w:space="0" w:color="auto"/>
              <w:right w:val="single" w:sz="4" w:space="0" w:color="auto"/>
            </w:tcBorders>
            <w:shd w:val="clear" w:color="000000" w:fill="C6EFCE"/>
            <w:noWrap/>
            <w:vAlign w:val="center"/>
          </w:tcPr>
          <w:p w14:paraId="2CEEEF7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16931_Tūrisma attīstība</w:t>
            </w:r>
          </w:p>
        </w:tc>
        <w:tc>
          <w:tcPr>
            <w:tcW w:w="1692" w:type="dxa"/>
            <w:tcBorders>
              <w:top w:val="nil"/>
              <w:left w:val="nil"/>
              <w:bottom w:val="single" w:sz="4" w:space="0" w:color="auto"/>
              <w:right w:val="single" w:sz="4" w:space="0" w:color="auto"/>
            </w:tcBorders>
            <w:shd w:val="clear" w:color="000000" w:fill="C6EFCE"/>
            <w:noWrap/>
            <w:vAlign w:val="center"/>
          </w:tcPr>
          <w:p w14:paraId="6566A4C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2DCCC86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Tūrisma attīstība: tūrisma ostu reformas</w:t>
            </w:r>
          </w:p>
        </w:tc>
      </w:tr>
      <w:tr w:rsidR="00CB0FCB" w14:paraId="0EFC4487"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83C68B0" w14:textId="77777777" w:rsidR="00CB0FCB" w:rsidRDefault="009D2B11">
            <w:pPr>
              <w:pStyle w:val="P68B1DB1-Normal8"/>
              <w:keepNext/>
              <w:spacing w:before="40" w:after="0" w:line="259" w:lineRule="auto"/>
              <w:jc w:val="both"/>
              <w:rPr>
                <w:rFonts w:eastAsia="Times New Roman" w:cs="Times New Roman"/>
                <w:noProof/>
                <w:szCs w:val="18"/>
              </w:rPr>
            </w:pPr>
            <w:r>
              <w:rPr>
                <w:noProof/>
              </w:rPr>
              <w:t>300</w:t>
            </w:r>
          </w:p>
        </w:tc>
        <w:tc>
          <w:tcPr>
            <w:tcW w:w="4283" w:type="dxa"/>
            <w:tcBorders>
              <w:top w:val="nil"/>
              <w:left w:val="nil"/>
              <w:bottom w:val="single" w:sz="4" w:space="0" w:color="auto"/>
              <w:right w:val="single" w:sz="4" w:space="0" w:color="auto"/>
            </w:tcBorders>
            <w:shd w:val="clear" w:color="000000" w:fill="C6EFCE"/>
            <w:noWrap/>
            <w:vAlign w:val="center"/>
          </w:tcPr>
          <w:p w14:paraId="3088ED1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16721_Viedās ražošanas paātrināšana</w:t>
            </w:r>
          </w:p>
        </w:tc>
        <w:tc>
          <w:tcPr>
            <w:tcW w:w="1692" w:type="dxa"/>
            <w:tcBorders>
              <w:top w:val="nil"/>
              <w:left w:val="nil"/>
              <w:bottom w:val="single" w:sz="4" w:space="0" w:color="auto"/>
              <w:right w:val="single" w:sz="4" w:space="0" w:color="auto"/>
            </w:tcBorders>
            <w:shd w:val="clear" w:color="000000" w:fill="C6EFCE"/>
            <w:noWrap/>
            <w:vAlign w:val="center"/>
          </w:tcPr>
          <w:p w14:paraId="0FFCA4A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6A45B34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Uzaicinājumu izsludināšana attiecībā uz ražošanu</w:t>
            </w:r>
          </w:p>
        </w:tc>
      </w:tr>
      <w:tr w:rsidR="00CB0FCB" w14:paraId="5D48DE28"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EDDA151" w14:textId="77777777" w:rsidR="00CB0FCB" w:rsidRDefault="009D2B11">
            <w:pPr>
              <w:pStyle w:val="P68B1DB1-Normal8"/>
              <w:keepNext/>
              <w:spacing w:before="40" w:after="0" w:line="259" w:lineRule="auto"/>
              <w:jc w:val="both"/>
              <w:rPr>
                <w:rFonts w:eastAsia="Times New Roman" w:cs="Times New Roman"/>
                <w:noProof/>
                <w:szCs w:val="18"/>
              </w:rPr>
            </w:pPr>
            <w:r>
              <w:rPr>
                <w:noProof/>
              </w:rPr>
              <w:t>301</w:t>
            </w:r>
          </w:p>
        </w:tc>
        <w:tc>
          <w:tcPr>
            <w:tcW w:w="4283" w:type="dxa"/>
            <w:tcBorders>
              <w:top w:val="nil"/>
              <w:left w:val="nil"/>
              <w:bottom w:val="single" w:sz="4" w:space="0" w:color="auto"/>
              <w:right w:val="single" w:sz="4" w:space="0" w:color="auto"/>
            </w:tcBorders>
            <w:shd w:val="clear" w:color="000000" w:fill="C6EFCE"/>
            <w:noWrap/>
            <w:vAlign w:val="center"/>
          </w:tcPr>
          <w:p w14:paraId="17829C0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16634_Jaunie industriālie parki</w:t>
            </w:r>
          </w:p>
        </w:tc>
        <w:tc>
          <w:tcPr>
            <w:tcW w:w="1692" w:type="dxa"/>
            <w:tcBorders>
              <w:top w:val="nil"/>
              <w:left w:val="nil"/>
              <w:bottom w:val="single" w:sz="4" w:space="0" w:color="auto"/>
              <w:right w:val="single" w:sz="4" w:space="0" w:color="auto"/>
            </w:tcBorders>
            <w:shd w:val="clear" w:color="000000" w:fill="C6EFCE"/>
            <w:noWrap/>
            <w:vAlign w:val="center"/>
          </w:tcPr>
          <w:p w14:paraId="08A9BA3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72590CB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Izsludināt uzaicinājumus izveidot industriālos parkus</w:t>
            </w:r>
          </w:p>
        </w:tc>
      </w:tr>
      <w:tr w:rsidR="00CB0FCB" w14:paraId="1450113B"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F7F881C" w14:textId="77777777" w:rsidR="00CB0FCB" w:rsidRDefault="009D2B11">
            <w:pPr>
              <w:pStyle w:val="P68B1DB1-Normal8"/>
              <w:keepNext/>
              <w:spacing w:before="40" w:after="0" w:line="259" w:lineRule="auto"/>
              <w:jc w:val="both"/>
              <w:rPr>
                <w:rFonts w:eastAsia="Times New Roman" w:cs="Times New Roman"/>
                <w:noProof/>
                <w:szCs w:val="18"/>
              </w:rPr>
            </w:pPr>
            <w:r>
              <w:rPr>
                <w:noProof/>
              </w:rPr>
              <w:t>310</w:t>
            </w:r>
          </w:p>
        </w:tc>
        <w:tc>
          <w:tcPr>
            <w:tcW w:w="4283" w:type="dxa"/>
            <w:tcBorders>
              <w:top w:val="nil"/>
              <w:left w:val="nil"/>
              <w:bottom w:val="single" w:sz="4" w:space="0" w:color="auto"/>
              <w:right w:val="single" w:sz="4" w:space="0" w:color="auto"/>
            </w:tcBorders>
            <w:shd w:val="clear" w:color="000000" w:fill="C6EFCE"/>
            <w:noWrap/>
            <w:vAlign w:val="center"/>
          </w:tcPr>
          <w:p w14:paraId="6A95835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16626_Lauksaimniecības nozares ekonomiskā pārveide</w:t>
            </w:r>
          </w:p>
        </w:tc>
        <w:tc>
          <w:tcPr>
            <w:tcW w:w="1692" w:type="dxa"/>
            <w:tcBorders>
              <w:top w:val="nil"/>
              <w:left w:val="nil"/>
              <w:bottom w:val="single" w:sz="4" w:space="0" w:color="auto"/>
              <w:right w:val="single" w:sz="4" w:space="0" w:color="auto"/>
            </w:tcBorders>
            <w:shd w:val="clear" w:color="000000" w:fill="C6EFCE"/>
            <w:noWrap/>
            <w:vAlign w:val="center"/>
          </w:tcPr>
          <w:p w14:paraId="04DDAE4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4772A5D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Lauksaimniecības ekonomiskā pārveide: Programmas uzsākšana</w:t>
            </w:r>
          </w:p>
        </w:tc>
      </w:tr>
      <w:tr w:rsidR="00CB0FCB" w14:paraId="445A46DE"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EB1B0CA" w14:textId="77777777" w:rsidR="00CB0FCB" w:rsidRDefault="009D2B11">
            <w:pPr>
              <w:pStyle w:val="P68B1DB1-Normal8"/>
              <w:keepNext/>
              <w:spacing w:before="40" w:after="0" w:line="259" w:lineRule="auto"/>
              <w:jc w:val="both"/>
              <w:rPr>
                <w:rFonts w:eastAsia="Times New Roman" w:cs="Times New Roman"/>
                <w:noProof/>
                <w:szCs w:val="18"/>
              </w:rPr>
            </w:pPr>
            <w:r>
              <w:rPr>
                <w:noProof/>
              </w:rPr>
              <w:t>4</w:t>
            </w:r>
          </w:p>
        </w:tc>
        <w:tc>
          <w:tcPr>
            <w:tcW w:w="4283" w:type="dxa"/>
            <w:tcBorders>
              <w:top w:val="nil"/>
              <w:left w:val="nil"/>
              <w:bottom w:val="single" w:sz="4" w:space="0" w:color="auto"/>
              <w:right w:val="single" w:sz="4" w:space="0" w:color="auto"/>
            </w:tcBorders>
            <w:shd w:val="clear" w:color="000000" w:fill="C6EFCE"/>
            <w:noWrap/>
            <w:vAlign w:val="center"/>
          </w:tcPr>
          <w:p w14:paraId="61D8239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Elektroenerģijas palielināšana — 16865_AER CHP konta ieņēmumu pārstrukturēšana un uzlabošana</w:t>
            </w:r>
          </w:p>
        </w:tc>
        <w:tc>
          <w:tcPr>
            <w:tcW w:w="1692" w:type="dxa"/>
            <w:tcBorders>
              <w:top w:val="nil"/>
              <w:left w:val="nil"/>
              <w:bottom w:val="single" w:sz="4" w:space="0" w:color="auto"/>
              <w:right w:val="single" w:sz="4" w:space="0" w:color="auto"/>
            </w:tcBorders>
            <w:shd w:val="clear" w:color="000000" w:fill="C6EFCE"/>
            <w:noWrap/>
            <w:vAlign w:val="center"/>
          </w:tcPr>
          <w:p w14:paraId="3BDAAC3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4F0D17E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AER konts — tiesību akti L. 4001/2011 grozīšanai; stājas spēkā visi attiecīgie lēmumi, tostarp kodeksi, ko pieņēmušas ministrijas, valsts regulatīvā iestāde (RAE) un Atjaunojamo energoresursu un izcelsmes apliecinājumu administrators (DAPEEP).</w:t>
            </w:r>
          </w:p>
        </w:tc>
      </w:tr>
      <w:tr w:rsidR="00CB0FCB" w14:paraId="58499848"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65D7F99" w14:textId="77777777" w:rsidR="00CB0FCB" w:rsidRDefault="009D2B11">
            <w:pPr>
              <w:pStyle w:val="P68B1DB1-Normal8"/>
              <w:keepNext/>
              <w:spacing w:before="40" w:after="0" w:line="259" w:lineRule="auto"/>
              <w:jc w:val="both"/>
              <w:rPr>
                <w:rFonts w:eastAsia="Times New Roman" w:cs="Times New Roman"/>
                <w:noProof/>
                <w:szCs w:val="18"/>
              </w:rPr>
            </w:pPr>
            <w:r>
              <w:rPr>
                <w:noProof/>
              </w:rPr>
              <w:t>5</w:t>
            </w:r>
          </w:p>
        </w:tc>
        <w:tc>
          <w:tcPr>
            <w:tcW w:w="4283" w:type="dxa"/>
            <w:tcBorders>
              <w:top w:val="nil"/>
              <w:left w:val="nil"/>
              <w:bottom w:val="single" w:sz="4" w:space="0" w:color="auto"/>
              <w:right w:val="single" w:sz="4" w:space="0" w:color="auto"/>
            </w:tcBorders>
            <w:shd w:val="clear" w:color="000000" w:fill="C6EFCE"/>
            <w:noWrap/>
            <w:vAlign w:val="center"/>
          </w:tcPr>
          <w:p w14:paraId="5BF4FF5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Elektroenerģijas palielināšana — 16860_Streamline nodrošināt jaunā elektroenerģijas tirgus modeļa efektīvu darbību un jaunu AER elektrostaciju attīstību, lai sasniegtu NEKP mērķus, īstenojot uzraudzības mehānismu, iesaistot pieprasījumreakciju un plaši reformējot jaunu AER licencēšanas procedūru</w:t>
            </w:r>
          </w:p>
        </w:tc>
        <w:tc>
          <w:tcPr>
            <w:tcW w:w="1692" w:type="dxa"/>
            <w:tcBorders>
              <w:top w:val="nil"/>
              <w:left w:val="nil"/>
              <w:bottom w:val="single" w:sz="4" w:space="0" w:color="auto"/>
              <w:right w:val="single" w:sz="4" w:space="0" w:color="auto"/>
            </w:tcBorders>
            <w:shd w:val="clear" w:color="000000" w:fill="C6EFCE"/>
            <w:noWrap/>
            <w:vAlign w:val="center"/>
          </w:tcPr>
          <w:p w14:paraId="60F3FED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0B83BF2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AER konts — tirgus reformas un licencēšanas vienkāršošana</w:t>
            </w:r>
          </w:p>
        </w:tc>
      </w:tr>
      <w:tr w:rsidR="00CB0FCB" w14:paraId="09A7C3F2"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A63DCD2" w14:textId="77777777" w:rsidR="00CB0FCB" w:rsidRDefault="009D2B11">
            <w:pPr>
              <w:pStyle w:val="P68B1DB1-Normal8"/>
              <w:keepNext/>
              <w:spacing w:before="40" w:after="0" w:line="259" w:lineRule="auto"/>
              <w:jc w:val="both"/>
              <w:rPr>
                <w:rFonts w:eastAsia="Times New Roman" w:cs="Times New Roman"/>
                <w:noProof/>
                <w:szCs w:val="18"/>
              </w:rPr>
            </w:pPr>
            <w:r>
              <w:rPr>
                <w:noProof/>
              </w:rPr>
              <w:t>138</w:t>
            </w:r>
          </w:p>
        </w:tc>
        <w:tc>
          <w:tcPr>
            <w:tcW w:w="4283" w:type="dxa"/>
            <w:tcBorders>
              <w:top w:val="nil"/>
              <w:left w:val="nil"/>
              <w:bottom w:val="single" w:sz="4" w:space="0" w:color="auto"/>
              <w:right w:val="single" w:sz="4" w:space="0" w:color="auto"/>
            </w:tcBorders>
            <w:shd w:val="clear" w:color="000000" w:fill="C6EFCE"/>
            <w:noWrap/>
            <w:vAlign w:val="center"/>
          </w:tcPr>
          <w:p w14:paraId="041B35E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9–3.2. Izglītība, profesionālā izglītība un apmācība un prasmes — 16913_A Jauna mūžizglītības stratēģija: Grieķijas prasmju pilnveides un pārkvalifikācijas sistēmas modernizēšana un uzlabošana</w:t>
            </w:r>
          </w:p>
        </w:tc>
        <w:tc>
          <w:tcPr>
            <w:tcW w:w="1692" w:type="dxa"/>
            <w:tcBorders>
              <w:top w:val="nil"/>
              <w:left w:val="nil"/>
              <w:bottom w:val="single" w:sz="4" w:space="0" w:color="auto"/>
              <w:right w:val="single" w:sz="4" w:space="0" w:color="auto"/>
            </w:tcBorders>
            <w:shd w:val="clear" w:color="000000" w:fill="C6EFCE"/>
            <w:noWrap/>
            <w:vAlign w:val="center"/>
          </w:tcPr>
          <w:p w14:paraId="22EF17E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497431D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Mūžizglītības stratēģijas stāšanās spēkā</w:t>
            </w:r>
          </w:p>
        </w:tc>
      </w:tr>
      <w:tr w:rsidR="00CB0FCB" w14:paraId="2026F16B"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414C40E" w14:textId="77777777" w:rsidR="00CB0FCB" w:rsidRDefault="009D2B11">
            <w:pPr>
              <w:pStyle w:val="P68B1DB1-Normal8"/>
              <w:keepNext/>
              <w:spacing w:before="40" w:after="0" w:line="259" w:lineRule="auto"/>
              <w:jc w:val="both"/>
              <w:rPr>
                <w:rFonts w:eastAsia="Times New Roman" w:cs="Times New Roman"/>
                <w:noProof/>
                <w:szCs w:val="18"/>
              </w:rPr>
            </w:pPr>
            <w:r>
              <w:rPr>
                <w:noProof/>
              </w:rPr>
              <w:t>202</w:t>
            </w:r>
          </w:p>
        </w:tc>
        <w:tc>
          <w:tcPr>
            <w:tcW w:w="4283" w:type="dxa"/>
            <w:tcBorders>
              <w:top w:val="nil"/>
              <w:left w:val="nil"/>
              <w:bottom w:val="single" w:sz="4" w:space="0" w:color="auto"/>
              <w:right w:val="single" w:sz="4" w:space="0" w:color="auto"/>
            </w:tcBorders>
            <w:shd w:val="clear" w:color="000000" w:fill="C6EFCE"/>
            <w:noWrap/>
            <w:vAlign w:val="center"/>
          </w:tcPr>
          <w:p w14:paraId="2BB1F5D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xml:space="preserve"> 4.1. Padarīt nodokļus labvēlīgākus izaugsmei un uzlabot nodokļu administrēšanu un iekasēšanu — 16643_nodokļu tiesību aktu kodifikācija un vienkāršošana</w:t>
            </w:r>
          </w:p>
        </w:tc>
        <w:tc>
          <w:tcPr>
            <w:tcW w:w="1692" w:type="dxa"/>
            <w:tcBorders>
              <w:top w:val="nil"/>
              <w:left w:val="nil"/>
              <w:bottom w:val="single" w:sz="4" w:space="0" w:color="auto"/>
              <w:right w:val="single" w:sz="4" w:space="0" w:color="auto"/>
            </w:tcBorders>
            <w:shd w:val="clear" w:color="000000" w:fill="C6EFCE"/>
            <w:noWrap/>
            <w:vAlign w:val="center"/>
          </w:tcPr>
          <w:p w14:paraId="6531587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311C279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Nodokļu kodifikācijas kapacitātes palielināšana</w:t>
            </w:r>
          </w:p>
        </w:tc>
      </w:tr>
      <w:tr w:rsidR="00CB0FCB" w14:paraId="1FA241E6"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108667F" w14:textId="77777777" w:rsidR="00CB0FCB" w:rsidRDefault="009D2B11">
            <w:pPr>
              <w:pStyle w:val="P68B1DB1-Normal8"/>
              <w:keepNext/>
              <w:spacing w:before="40" w:after="0" w:line="259" w:lineRule="auto"/>
              <w:jc w:val="both"/>
              <w:rPr>
                <w:rFonts w:eastAsia="Times New Roman" w:cs="Times New Roman"/>
                <w:noProof/>
                <w:szCs w:val="18"/>
              </w:rPr>
            </w:pPr>
            <w:r>
              <w:rPr>
                <w:noProof/>
              </w:rPr>
              <w:t>205</w:t>
            </w:r>
          </w:p>
        </w:tc>
        <w:tc>
          <w:tcPr>
            <w:tcW w:w="4283" w:type="dxa"/>
            <w:tcBorders>
              <w:top w:val="nil"/>
              <w:left w:val="nil"/>
              <w:bottom w:val="single" w:sz="4" w:space="0" w:color="auto"/>
              <w:right w:val="single" w:sz="4" w:space="0" w:color="auto"/>
            </w:tcBorders>
            <w:shd w:val="clear" w:color="000000" w:fill="C6EFCE"/>
            <w:noWrap/>
            <w:vAlign w:val="center"/>
          </w:tcPr>
          <w:p w14:paraId="0A50DAB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16972_Valsts pārvaldes reforma</w:t>
            </w:r>
          </w:p>
        </w:tc>
        <w:tc>
          <w:tcPr>
            <w:tcW w:w="1692" w:type="dxa"/>
            <w:tcBorders>
              <w:top w:val="nil"/>
              <w:left w:val="nil"/>
              <w:bottom w:val="single" w:sz="4" w:space="0" w:color="auto"/>
              <w:right w:val="single" w:sz="4" w:space="0" w:color="auto"/>
            </w:tcBorders>
            <w:shd w:val="clear" w:color="000000" w:fill="C6EFCE"/>
            <w:noWrap/>
            <w:vAlign w:val="center"/>
          </w:tcPr>
          <w:p w14:paraId="5AE2C03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47F5113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Valsts pārvalde — sistēmas “izpilde-maksāšana” ieviešana</w:t>
            </w:r>
          </w:p>
        </w:tc>
      </w:tr>
      <w:tr w:rsidR="00CB0FCB" w14:paraId="6247B211"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EC6E302" w14:textId="77777777" w:rsidR="00CB0FCB" w:rsidRDefault="009D2B11">
            <w:pPr>
              <w:pStyle w:val="P68B1DB1-Normal8"/>
              <w:keepNext/>
              <w:spacing w:before="40" w:after="0" w:line="259" w:lineRule="auto"/>
              <w:jc w:val="both"/>
              <w:rPr>
                <w:rFonts w:eastAsia="Times New Roman" w:cs="Times New Roman"/>
                <w:noProof/>
                <w:szCs w:val="18"/>
              </w:rPr>
            </w:pPr>
            <w:r>
              <w:rPr>
                <w:noProof/>
              </w:rPr>
              <w:t>254</w:t>
            </w:r>
          </w:p>
        </w:tc>
        <w:tc>
          <w:tcPr>
            <w:tcW w:w="4283" w:type="dxa"/>
            <w:tcBorders>
              <w:top w:val="nil"/>
              <w:left w:val="nil"/>
              <w:bottom w:val="single" w:sz="4" w:space="0" w:color="auto"/>
              <w:right w:val="single" w:sz="4" w:space="0" w:color="auto"/>
            </w:tcBorders>
            <w:shd w:val="clear" w:color="000000" w:fill="C6EFCE"/>
            <w:noWrap/>
            <w:vAlign w:val="center"/>
          </w:tcPr>
          <w:p w14:paraId="1EFF7E0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16628_Central Greece Highway E-65: Trikala-Egnatia nodaļa</w:t>
            </w:r>
          </w:p>
        </w:tc>
        <w:tc>
          <w:tcPr>
            <w:tcW w:w="1692" w:type="dxa"/>
            <w:tcBorders>
              <w:top w:val="nil"/>
              <w:left w:val="nil"/>
              <w:bottom w:val="single" w:sz="4" w:space="0" w:color="auto"/>
              <w:right w:val="single" w:sz="4" w:space="0" w:color="auto"/>
            </w:tcBorders>
            <w:shd w:val="clear" w:color="000000" w:fill="C6EFCE"/>
            <w:noWrap/>
            <w:vAlign w:val="center"/>
          </w:tcPr>
          <w:p w14:paraId="4A926BC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6E3E2CC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Būvdarbu sākšana E-65</w:t>
            </w:r>
          </w:p>
        </w:tc>
      </w:tr>
      <w:tr w:rsidR="00CB0FCB" w14:paraId="428FF6E1"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3871ACD" w14:textId="77777777" w:rsidR="00CB0FCB" w:rsidRDefault="009D2B11">
            <w:pPr>
              <w:pStyle w:val="P68B1DB1-Normal8"/>
              <w:keepNext/>
              <w:spacing w:before="40" w:after="0" w:line="259" w:lineRule="auto"/>
              <w:jc w:val="both"/>
              <w:rPr>
                <w:rFonts w:eastAsia="Times New Roman" w:cs="Times New Roman"/>
                <w:noProof/>
                <w:szCs w:val="18"/>
              </w:rPr>
            </w:pPr>
            <w:r>
              <w:rPr>
                <w:noProof/>
              </w:rPr>
              <w:t>264</w:t>
            </w:r>
          </w:p>
        </w:tc>
        <w:tc>
          <w:tcPr>
            <w:tcW w:w="4283" w:type="dxa"/>
            <w:tcBorders>
              <w:top w:val="nil"/>
              <w:left w:val="nil"/>
              <w:bottom w:val="single" w:sz="4" w:space="0" w:color="auto"/>
              <w:right w:val="single" w:sz="4" w:space="0" w:color="auto"/>
            </w:tcBorders>
            <w:shd w:val="clear" w:color="000000" w:fill="C6EFCE"/>
            <w:noWrap/>
            <w:vAlign w:val="center"/>
          </w:tcPr>
          <w:p w14:paraId="211C288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16982_Organizācijas reforma dzelzceļa nozarē</w:t>
            </w:r>
          </w:p>
        </w:tc>
        <w:tc>
          <w:tcPr>
            <w:tcW w:w="1692" w:type="dxa"/>
            <w:tcBorders>
              <w:top w:val="nil"/>
              <w:left w:val="nil"/>
              <w:bottom w:val="single" w:sz="4" w:space="0" w:color="auto"/>
              <w:right w:val="single" w:sz="4" w:space="0" w:color="auto"/>
            </w:tcBorders>
            <w:shd w:val="clear" w:color="000000" w:fill="C6EFCE"/>
            <w:noWrap/>
            <w:vAlign w:val="center"/>
          </w:tcPr>
          <w:p w14:paraId="504AA46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nil"/>
              <w:left w:val="nil"/>
              <w:bottom w:val="single" w:sz="4" w:space="0" w:color="auto"/>
              <w:right w:val="single" w:sz="4" w:space="0" w:color="auto"/>
            </w:tcBorders>
            <w:shd w:val="clear" w:color="000000" w:fill="C6EFCE"/>
            <w:noWrap/>
            <w:vAlign w:val="center"/>
          </w:tcPr>
          <w:p w14:paraId="5A92889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Dzelzceļa reformas likums</w:t>
            </w:r>
          </w:p>
        </w:tc>
      </w:tr>
      <w:tr w:rsidR="00CB0FCB" w14:paraId="2187A4C1"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FEFBA4"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7C089D9D" w14:textId="77777777" w:rsidR="00CB0FCB" w:rsidRDefault="00CB0FCB">
            <w:pPr>
              <w:keepNext/>
              <w:spacing w:before="40" w:after="0" w:line="240"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71938479" w14:textId="77777777" w:rsidR="00CB0FCB" w:rsidRDefault="009D2B11">
            <w:pPr>
              <w:pStyle w:val="P68B1DB1-Normal8"/>
              <w:keepNext/>
              <w:spacing w:before="40" w:after="0" w:line="240" w:lineRule="auto"/>
              <w:jc w:val="both"/>
              <w:rPr>
                <w:rFonts w:eastAsia="Times New Roman" w:cs="Times New Roman"/>
                <w:noProof/>
                <w:szCs w:val="18"/>
              </w:rPr>
            </w:pPr>
            <w:r>
              <w:rPr>
                <w:noProof/>
              </w:rPr>
              <w:t>Maksājuma summa</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14:paraId="434DFA49" w14:textId="77777777" w:rsidR="00CB0FCB" w:rsidRDefault="009D2B11">
            <w:pPr>
              <w:pStyle w:val="P68B1DB1-Normal8"/>
              <w:keepNext/>
              <w:spacing w:before="40" w:after="0" w:line="240" w:lineRule="auto"/>
              <w:jc w:val="both"/>
              <w:rPr>
                <w:rFonts w:eastAsia="Times New Roman" w:cs="Times New Roman"/>
                <w:noProof/>
                <w:szCs w:val="18"/>
              </w:rPr>
            </w:pPr>
            <w:r>
              <w:rPr>
                <w:noProof/>
              </w:rPr>
              <w:t>EUR 1974438067</w:t>
            </w:r>
          </w:p>
        </w:tc>
      </w:tr>
    </w:tbl>
    <w:p w14:paraId="00F418A6"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594A4EB5" w14:textId="6CFA6348" w:rsidR="00CB0FCB" w:rsidRDefault="009D2B11">
      <w:pPr>
        <w:pStyle w:val="P68B1DB1-Normal4"/>
        <w:keepNext/>
        <w:numPr>
          <w:ilvl w:val="1"/>
          <w:numId w:val="22"/>
        </w:numPr>
        <w:spacing w:before="40" w:after="160" w:line="259" w:lineRule="auto"/>
        <w:ind w:left="0"/>
        <w:contextualSpacing/>
        <w:jc w:val="both"/>
        <w:rPr>
          <w:noProof/>
        </w:rPr>
      </w:pPr>
      <w:r>
        <w:rPr>
          <w:noProof/>
        </w:rPr>
        <w:t xml:space="preserve"> Trešais maksājuma pieprasījums (neatmaksājams atbalsts):</w:t>
      </w:r>
    </w:p>
    <w:p w14:paraId="41FCA885" w14:textId="77777777" w:rsidR="00CB0FCB" w:rsidRDefault="00CB0FCB">
      <w:pPr>
        <w:keepNext/>
        <w:spacing w:before="40" w:after="160" w:line="259" w:lineRule="auto"/>
        <w:contextualSpacing/>
        <w:jc w:val="both"/>
        <w:rPr>
          <w:rFonts w:ascii="Times New Roman" w:hAnsi="Times New Roman"/>
          <w:noProof/>
          <w:sz w:val="24"/>
        </w:rPr>
      </w:pPr>
    </w:p>
    <w:tbl>
      <w:tblPr>
        <w:tblpPr w:leftFromText="180" w:rightFromText="180" w:vertAnchor="text" w:tblpX="-252" w:tblpY="1"/>
        <w:tblOverlap w:val="never"/>
        <w:tblW w:w="9595" w:type="dxa"/>
        <w:tblLook w:val="04A0" w:firstRow="1" w:lastRow="0" w:firstColumn="1" w:lastColumn="0" w:noHBand="0" w:noVBand="1"/>
      </w:tblPr>
      <w:tblGrid>
        <w:gridCol w:w="1795"/>
        <w:gridCol w:w="4320"/>
        <w:gridCol w:w="1807"/>
        <w:gridCol w:w="1966"/>
      </w:tblGrid>
      <w:tr w:rsidR="00CB0FCB" w14:paraId="5DD63934" w14:textId="77777777">
        <w:trPr>
          <w:trHeight w:val="906"/>
          <w:tblHeader/>
        </w:trPr>
        <w:tc>
          <w:tcPr>
            <w:tcW w:w="179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2BA555E"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3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169A1F0"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C761CCD"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800" w:type="dxa"/>
            <w:vMerge w:val="restart"/>
            <w:tcBorders>
              <w:top w:val="single" w:sz="4" w:space="0" w:color="auto"/>
              <w:left w:val="nil"/>
              <w:bottom w:val="single" w:sz="4" w:space="0" w:color="000000"/>
              <w:right w:val="single" w:sz="4" w:space="0" w:color="auto"/>
            </w:tcBorders>
            <w:shd w:val="clear" w:color="auto" w:fill="BDD7EE"/>
            <w:vAlign w:val="center"/>
            <w:hideMark/>
          </w:tcPr>
          <w:p w14:paraId="7A3BA92E"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0D8AC649" w14:textId="77777777">
        <w:trPr>
          <w:trHeight w:val="990"/>
        </w:trPr>
        <w:tc>
          <w:tcPr>
            <w:tcW w:w="1795" w:type="dxa"/>
            <w:vMerge/>
            <w:tcBorders>
              <w:top w:val="single" w:sz="4" w:space="0" w:color="auto"/>
              <w:left w:val="single" w:sz="4" w:space="0" w:color="auto"/>
              <w:bottom w:val="single" w:sz="4" w:space="0" w:color="000000"/>
              <w:right w:val="single" w:sz="4" w:space="0" w:color="auto"/>
            </w:tcBorders>
            <w:vAlign w:val="center"/>
            <w:hideMark/>
          </w:tcPr>
          <w:p w14:paraId="7E5D6484"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top w:val="single" w:sz="4" w:space="0" w:color="auto"/>
              <w:left w:val="single" w:sz="4" w:space="0" w:color="auto"/>
              <w:bottom w:val="single" w:sz="4" w:space="0" w:color="000000"/>
              <w:right w:val="single" w:sz="4" w:space="0" w:color="auto"/>
            </w:tcBorders>
            <w:vAlign w:val="center"/>
            <w:hideMark/>
          </w:tcPr>
          <w:p w14:paraId="5FE619FB"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14:paraId="197FA01B"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800" w:type="dxa"/>
            <w:vMerge/>
            <w:tcBorders>
              <w:top w:val="single" w:sz="4" w:space="0" w:color="auto"/>
              <w:left w:val="nil"/>
              <w:bottom w:val="single" w:sz="4" w:space="0" w:color="000000"/>
              <w:right w:val="single" w:sz="4" w:space="0" w:color="auto"/>
            </w:tcBorders>
            <w:vAlign w:val="center"/>
            <w:hideMark/>
          </w:tcPr>
          <w:p w14:paraId="502DF13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5B058B4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FE59E10" w14:textId="77777777" w:rsidR="00CB0FCB" w:rsidRDefault="009D2B11">
            <w:pPr>
              <w:pStyle w:val="P68B1DB1-Normal8"/>
              <w:keepNext/>
              <w:spacing w:before="40" w:after="0" w:line="240" w:lineRule="auto"/>
              <w:jc w:val="both"/>
              <w:rPr>
                <w:rFonts w:eastAsia="Times New Roman" w:cs="Times New Roman"/>
                <w:noProof/>
                <w:szCs w:val="18"/>
              </w:rPr>
            </w:pPr>
            <w:r>
              <w:rPr>
                <w:noProof/>
              </w:rPr>
              <w:t>21</w:t>
            </w:r>
          </w:p>
        </w:tc>
        <w:tc>
          <w:tcPr>
            <w:tcW w:w="4320" w:type="dxa"/>
            <w:tcBorders>
              <w:top w:val="single" w:sz="4" w:space="0" w:color="auto"/>
              <w:left w:val="nil"/>
              <w:bottom w:val="single" w:sz="4" w:space="0" w:color="auto"/>
              <w:right w:val="single" w:sz="4" w:space="0" w:color="auto"/>
            </w:tcBorders>
            <w:shd w:val="clear" w:color="000000" w:fill="C6EFCE"/>
            <w:noWrap/>
            <w:vAlign w:val="center"/>
          </w:tcPr>
          <w:p w14:paraId="46ED807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16872_dzīvojamo ēku energorenovācija</w:t>
            </w:r>
          </w:p>
        </w:tc>
        <w:tc>
          <w:tcPr>
            <w:tcW w:w="1680" w:type="dxa"/>
            <w:tcBorders>
              <w:top w:val="single" w:sz="4" w:space="0" w:color="auto"/>
              <w:left w:val="nil"/>
              <w:bottom w:val="single" w:sz="4" w:space="0" w:color="auto"/>
              <w:right w:val="single" w:sz="4" w:space="0" w:color="auto"/>
            </w:tcBorders>
            <w:shd w:val="clear" w:color="000000" w:fill="C6EFCE"/>
            <w:noWrap/>
            <w:vAlign w:val="center"/>
          </w:tcPr>
          <w:p w14:paraId="2067097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000000" w:fill="C6EFCE"/>
            <w:noWrap/>
            <w:vAlign w:val="center"/>
          </w:tcPr>
          <w:p w14:paraId="2BE3BE3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Mājokļu renovācija — 2. kārtas uzsākšana, tostarp enerģētiski nabadzīgas mājsaimniecības</w:t>
            </w:r>
          </w:p>
        </w:tc>
      </w:tr>
      <w:tr w:rsidR="00CB0FCB" w14:paraId="05E37284"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EBD7603" w14:textId="77777777" w:rsidR="00CB0FCB" w:rsidRDefault="009D2B11">
            <w:pPr>
              <w:pStyle w:val="P68B1DB1-Normal8"/>
              <w:keepNext/>
              <w:spacing w:before="40" w:after="0" w:line="240" w:lineRule="auto"/>
              <w:jc w:val="both"/>
              <w:rPr>
                <w:rFonts w:eastAsia="Times New Roman" w:cs="Times New Roman"/>
                <w:noProof/>
                <w:szCs w:val="18"/>
              </w:rPr>
            </w:pPr>
            <w:r>
              <w:rPr>
                <w:noProof/>
              </w:rPr>
              <w:t>45</w:t>
            </w:r>
          </w:p>
        </w:tc>
        <w:tc>
          <w:tcPr>
            <w:tcW w:w="4320" w:type="dxa"/>
            <w:tcBorders>
              <w:top w:val="nil"/>
              <w:left w:val="nil"/>
              <w:bottom w:val="single" w:sz="4" w:space="0" w:color="auto"/>
              <w:right w:val="single" w:sz="4" w:space="0" w:color="auto"/>
            </w:tcBorders>
            <w:shd w:val="clear" w:color="000000" w:fill="C6EFCE"/>
            <w:noWrap/>
            <w:vAlign w:val="center"/>
          </w:tcPr>
          <w:p w14:paraId="4565530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 Uzlāde un uzpilde — 16924_ Elektromobilitāte</w:t>
            </w:r>
          </w:p>
        </w:tc>
        <w:tc>
          <w:tcPr>
            <w:tcW w:w="1680" w:type="dxa"/>
            <w:tcBorders>
              <w:top w:val="nil"/>
              <w:left w:val="nil"/>
              <w:bottom w:val="single" w:sz="4" w:space="0" w:color="auto"/>
              <w:right w:val="single" w:sz="4" w:space="0" w:color="auto"/>
            </w:tcBorders>
            <w:shd w:val="clear" w:color="000000" w:fill="C6EFCE"/>
            <w:noWrap/>
            <w:vAlign w:val="center"/>
          </w:tcPr>
          <w:p w14:paraId="5B2E991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25B402F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Sabiedriskais transports — jauna tirgus regulējuma īstenošana attiecībā uz sabiedrisko pakalpojumu sniegšanas saistībām (autobusi)</w:t>
            </w:r>
          </w:p>
        </w:tc>
      </w:tr>
      <w:tr w:rsidR="00CB0FCB" w14:paraId="3157A416"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1ACD3D3" w14:textId="77777777" w:rsidR="00CB0FCB" w:rsidRDefault="009D2B11">
            <w:pPr>
              <w:pStyle w:val="P68B1DB1-Normal8"/>
              <w:keepNext/>
              <w:spacing w:before="40" w:after="0" w:line="240" w:lineRule="auto"/>
              <w:jc w:val="both"/>
              <w:rPr>
                <w:rFonts w:eastAsia="Times New Roman" w:cs="Times New Roman"/>
                <w:noProof/>
                <w:szCs w:val="18"/>
              </w:rPr>
            </w:pPr>
            <w:r>
              <w:rPr>
                <w:noProof/>
              </w:rPr>
              <w:t>57</w:t>
            </w:r>
          </w:p>
        </w:tc>
        <w:tc>
          <w:tcPr>
            <w:tcW w:w="4320" w:type="dxa"/>
            <w:tcBorders>
              <w:top w:val="nil"/>
              <w:left w:val="nil"/>
              <w:bottom w:val="single" w:sz="4" w:space="0" w:color="auto"/>
              <w:right w:val="single" w:sz="4" w:space="0" w:color="auto"/>
            </w:tcBorders>
            <w:shd w:val="clear" w:color="000000" w:fill="C6EFCE"/>
            <w:noWrap/>
            <w:vAlign w:val="center"/>
          </w:tcPr>
          <w:p w14:paraId="5E46FD0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16772_Atkritumu apsaimniekošanas likums ilgtspējīgas apglabāšanas un reciklēšanas īstenošanai</w:t>
            </w:r>
          </w:p>
        </w:tc>
        <w:tc>
          <w:tcPr>
            <w:tcW w:w="1680" w:type="dxa"/>
            <w:tcBorders>
              <w:top w:val="nil"/>
              <w:left w:val="nil"/>
              <w:bottom w:val="single" w:sz="4" w:space="0" w:color="auto"/>
              <w:right w:val="single" w:sz="4" w:space="0" w:color="auto"/>
            </w:tcBorders>
            <w:shd w:val="clear" w:color="000000" w:fill="C6EFCE"/>
            <w:noWrap/>
            <w:vAlign w:val="center"/>
          </w:tcPr>
          <w:p w14:paraId="6465B1F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2C681E1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Atkritumu apsaimniekošanas regulatora likuma stāšanās spēkā</w:t>
            </w:r>
          </w:p>
        </w:tc>
      </w:tr>
      <w:tr w:rsidR="00CB0FCB" w14:paraId="431B6715"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A3EB54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85</w:t>
            </w:r>
          </w:p>
        </w:tc>
        <w:tc>
          <w:tcPr>
            <w:tcW w:w="4320" w:type="dxa"/>
            <w:tcBorders>
              <w:top w:val="nil"/>
              <w:left w:val="nil"/>
              <w:bottom w:val="single" w:sz="4" w:space="0" w:color="auto"/>
              <w:right w:val="single" w:sz="4" w:space="0" w:color="auto"/>
            </w:tcBorders>
            <w:shd w:val="clear" w:color="000000" w:fill="C6EFCE"/>
            <w:noWrap/>
            <w:vAlign w:val="center"/>
          </w:tcPr>
          <w:p w14:paraId="22BC99F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5–2.1. Connect — 16818_Fiber optiskā infrastruktūra ēkās</w:t>
            </w:r>
          </w:p>
        </w:tc>
        <w:tc>
          <w:tcPr>
            <w:tcW w:w="1680" w:type="dxa"/>
            <w:tcBorders>
              <w:top w:val="nil"/>
              <w:left w:val="nil"/>
              <w:bottom w:val="single" w:sz="4" w:space="0" w:color="auto"/>
              <w:right w:val="single" w:sz="4" w:space="0" w:color="auto"/>
            </w:tcBorders>
            <w:shd w:val="clear" w:color="000000" w:fill="C6EFCE"/>
            <w:noWrap/>
            <w:vAlign w:val="center"/>
          </w:tcPr>
          <w:p w14:paraId="386A7AC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7F52864"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Līguma(-u) piešķiršana projektam “Fiberopiskā infrastruktūra ēkās”</w:t>
            </w:r>
          </w:p>
        </w:tc>
      </w:tr>
      <w:tr w:rsidR="00CB0FCB" w14:paraId="2A9CD0AE"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D4E79E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96</w:t>
            </w:r>
          </w:p>
        </w:tc>
        <w:tc>
          <w:tcPr>
            <w:tcW w:w="4320" w:type="dxa"/>
            <w:tcBorders>
              <w:top w:val="nil"/>
              <w:left w:val="nil"/>
              <w:bottom w:val="single" w:sz="4" w:space="0" w:color="auto"/>
              <w:right w:val="single" w:sz="4" w:space="0" w:color="auto"/>
            </w:tcBorders>
            <w:shd w:val="clear" w:color="000000" w:fill="C6EFCE"/>
            <w:noWrap/>
            <w:vAlign w:val="center"/>
          </w:tcPr>
          <w:p w14:paraId="16A774A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Modernizēt — 16929_Virzība uz valsts pārvaldes “klientu” pakalpojumiem, vienkāršojot un uzlabojot procesus, sistēmu uzlabojumus un atbilstību Eiropas stratēģijām un politikai</w:t>
            </w:r>
          </w:p>
        </w:tc>
        <w:tc>
          <w:tcPr>
            <w:tcW w:w="1680" w:type="dxa"/>
            <w:tcBorders>
              <w:top w:val="nil"/>
              <w:left w:val="nil"/>
              <w:bottom w:val="single" w:sz="4" w:space="0" w:color="auto"/>
              <w:right w:val="single" w:sz="4" w:space="0" w:color="auto"/>
            </w:tcBorders>
            <w:shd w:val="clear" w:color="000000" w:fill="C6EFCE"/>
            <w:noWrap/>
            <w:vAlign w:val="center"/>
          </w:tcPr>
          <w:p w14:paraId="3131F29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43399B6" w14:textId="77777777" w:rsidR="00CB0FCB" w:rsidRDefault="009D2B11">
            <w:pPr>
              <w:pStyle w:val="P68B1DB1-Normal8"/>
              <w:keepNext/>
              <w:spacing w:before="40" w:after="0" w:line="240" w:lineRule="auto"/>
              <w:jc w:val="both"/>
              <w:rPr>
                <w:rFonts w:eastAsia="Times New Roman" w:cs="Times New Roman"/>
                <w:noProof/>
                <w:szCs w:val="18"/>
              </w:rPr>
            </w:pPr>
            <w:r>
              <w:rPr>
                <w:noProof/>
              </w:rPr>
              <w:t>Valsts procedūru reģistra izveide un valsts procesa vienkāršošanas plāna īstenošana (pirmais posms)</w:t>
            </w:r>
          </w:p>
        </w:tc>
      </w:tr>
      <w:tr w:rsidR="00CB0FCB" w14:paraId="3CA61B48"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CFE7CD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142</w:t>
            </w:r>
          </w:p>
        </w:tc>
        <w:tc>
          <w:tcPr>
            <w:tcW w:w="4320" w:type="dxa"/>
            <w:tcBorders>
              <w:top w:val="nil"/>
              <w:left w:val="nil"/>
              <w:bottom w:val="single" w:sz="4" w:space="0" w:color="auto"/>
              <w:right w:val="single" w:sz="4" w:space="0" w:color="auto"/>
            </w:tcBorders>
            <w:shd w:val="clear" w:color="000000" w:fill="C6EFCE"/>
            <w:noWrap/>
            <w:vAlign w:val="center"/>
          </w:tcPr>
          <w:p w14:paraId="2A078DC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8–3.1. PUNKTS. Veicināt darbvietu radīšanu un līdzdalību darba tirgū — 16746_Pasīvas darba tirgus politikas reforma, lai atbalstītu pāreju uz nodarbinātību</w:t>
            </w:r>
          </w:p>
        </w:tc>
        <w:tc>
          <w:tcPr>
            <w:tcW w:w="1680" w:type="dxa"/>
            <w:tcBorders>
              <w:top w:val="nil"/>
              <w:left w:val="nil"/>
              <w:bottom w:val="single" w:sz="4" w:space="0" w:color="auto"/>
              <w:right w:val="single" w:sz="4" w:space="0" w:color="auto"/>
            </w:tcBorders>
            <w:shd w:val="clear" w:color="000000" w:fill="C6EFCE"/>
            <w:noWrap/>
            <w:vAlign w:val="center"/>
          </w:tcPr>
          <w:p w14:paraId="7ED7176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1CA9E440"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Tiesību aktu stāšanās spēkā savstarpējās saistības pamatreformā </w:t>
            </w:r>
          </w:p>
        </w:tc>
      </w:tr>
      <w:tr w:rsidR="00CB0FCB" w14:paraId="1BC2F982"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B715D3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191</w:t>
            </w:r>
          </w:p>
        </w:tc>
        <w:tc>
          <w:tcPr>
            <w:tcW w:w="4320" w:type="dxa"/>
            <w:tcBorders>
              <w:top w:val="nil"/>
              <w:left w:val="nil"/>
              <w:bottom w:val="single" w:sz="4" w:space="0" w:color="auto"/>
              <w:right w:val="single" w:sz="4" w:space="0" w:color="auto"/>
            </w:tcBorders>
            <w:shd w:val="clear" w:color="000000" w:fill="C6EFCE"/>
            <w:noWrap/>
            <w:vAlign w:val="center"/>
          </w:tcPr>
          <w:p w14:paraId="5710F7F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16656_Jauns satvars cīņai pret kontrabandu, galvenokārt attiecībā uz akcīzes precēm (tabaku, alkoholu un enerģiju)</w:t>
            </w:r>
          </w:p>
        </w:tc>
        <w:tc>
          <w:tcPr>
            <w:tcW w:w="1680" w:type="dxa"/>
            <w:tcBorders>
              <w:top w:val="nil"/>
              <w:left w:val="nil"/>
              <w:bottom w:val="single" w:sz="4" w:space="0" w:color="auto"/>
              <w:right w:val="single" w:sz="4" w:space="0" w:color="auto"/>
            </w:tcBorders>
            <w:shd w:val="clear" w:color="000000" w:fill="C6EFCE"/>
            <w:noWrap/>
            <w:vAlign w:val="center"/>
          </w:tcPr>
          <w:p w14:paraId="4104BBE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DA98793" w14:textId="77777777" w:rsidR="00CB0FCB" w:rsidRDefault="009D2B11">
            <w:pPr>
              <w:pStyle w:val="P68B1DB1-Normal8"/>
              <w:keepNext/>
              <w:spacing w:before="40" w:after="0" w:line="240" w:lineRule="auto"/>
              <w:jc w:val="both"/>
              <w:rPr>
                <w:rFonts w:eastAsia="Times New Roman" w:cs="Times New Roman"/>
                <w:noProof/>
                <w:szCs w:val="18"/>
              </w:rPr>
            </w:pPr>
            <w:r>
              <w:rPr>
                <w:noProof/>
              </w:rPr>
              <w:t>Cīņa pret kontrabandu — regulatīvu lēmumu pieņemšana</w:t>
            </w:r>
          </w:p>
        </w:tc>
      </w:tr>
      <w:tr w:rsidR="00CB0FCB" w14:paraId="152674D9"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21EAA14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206</w:t>
            </w:r>
          </w:p>
        </w:tc>
        <w:tc>
          <w:tcPr>
            <w:tcW w:w="4320" w:type="dxa"/>
            <w:tcBorders>
              <w:top w:val="nil"/>
              <w:left w:val="nil"/>
              <w:bottom w:val="single" w:sz="4" w:space="0" w:color="auto"/>
              <w:right w:val="single" w:sz="4" w:space="0" w:color="auto"/>
            </w:tcBorders>
            <w:shd w:val="clear" w:color="000000" w:fill="C6EFCE"/>
            <w:noWrap/>
            <w:vAlign w:val="center"/>
          </w:tcPr>
          <w:p w14:paraId="413B063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16972_Valsts pārvaldes reforma</w:t>
            </w:r>
          </w:p>
        </w:tc>
        <w:tc>
          <w:tcPr>
            <w:tcW w:w="1680" w:type="dxa"/>
            <w:tcBorders>
              <w:top w:val="nil"/>
              <w:left w:val="nil"/>
              <w:bottom w:val="single" w:sz="4" w:space="0" w:color="auto"/>
              <w:right w:val="single" w:sz="4" w:space="0" w:color="auto"/>
            </w:tcBorders>
            <w:shd w:val="clear" w:color="000000" w:fill="C6EFCE"/>
            <w:noWrap/>
            <w:vAlign w:val="center"/>
          </w:tcPr>
          <w:p w14:paraId="1069BCB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437907A1" w14:textId="77777777" w:rsidR="00CB0FCB" w:rsidRDefault="009D2B11">
            <w:pPr>
              <w:pStyle w:val="P68B1DB1-Normal8"/>
              <w:keepNext/>
              <w:spacing w:before="40" w:after="0" w:line="240" w:lineRule="auto"/>
              <w:jc w:val="both"/>
              <w:rPr>
                <w:rFonts w:eastAsia="Times New Roman" w:cs="Times New Roman"/>
                <w:noProof/>
                <w:szCs w:val="18"/>
              </w:rPr>
            </w:pPr>
            <w:r>
              <w:rPr>
                <w:noProof/>
              </w:rPr>
              <w:t>Valsts pārvalde — tiesiskais regulējums pilnvaru precizēšanai</w:t>
            </w:r>
          </w:p>
        </w:tc>
      </w:tr>
      <w:tr w:rsidR="00CB0FCB" w14:paraId="656BFE3E"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F5D55A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209</w:t>
            </w:r>
          </w:p>
        </w:tc>
        <w:tc>
          <w:tcPr>
            <w:tcW w:w="4320" w:type="dxa"/>
            <w:tcBorders>
              <w:top w:val="nil"/>
              <w:left w:val="nil"/>
              <w:bottom w:val="single" w:sz="4" w:space="0" w:color="auto"/>
              <w:right w:val="single" w:sz="4" w:space="0" w:color="auto"/>
            </w:tcBorders>
            <w:shd w:val="clear" w:color="000000" w:fill="C6EFCE"/>
            <w:noWrap/>
            <w:vAlign w:val="center"/>
          </w:tcPr>
          <w:p w14:paraId="3AAB3FE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16978_Efektīva korupcijas apkarošana</w:t>
            </w:r>
          </w:p>
        </w:tc>
        <w:tc>
          <w:tcPr>
            <w:tcW w:w="1680" w:type="dxa"/>
            <w:tcBorders>
              <w:top w:val="nil"/>
              <w:left w:val="nil"/>
              <w:bottom w:val="single" w:sz="4" w:space="0" w:color="auto"/>
              <w:right w:val="single" w:sz="4" w:space="0" w:color="auto"/>
            </w:tcBorders>
            <w:shd w:val="clear" w:color="000000" w:fill="C6EFCE"/>
            <w:noWrap/>
            <w:vAlign w:val="center"/>
          </w:tcPr>
          <w:p w14:paraId="56BE89B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6B5BEF7" w14:textId="77777777" w:rsidR="00CB0FCB" w:rsidRDefault="009D2B11">
            <w:pPr>
              <w:pStyle w:val="P68B1DB1-Normal8"/>
              <w:keepNext/>
              <w:spacing w:before="40" w:after="0" w:line="240" w:lineRule="auto"/>
              <w:jc w:val="both"/>
              <w:rPr>
                <w:rFonts w:eastAsia="Times New Roman" w:cs="Times New Roman"/>
                <w:noProof/>
                <w:szCs w:val="18"/>
              </w:rPr>
            </w:pPr>
            <w:r>
              <w:rPr>
                <w:noProof/>
              </w:rPr>
              <w:t>Aktīvu deklarācijas un politiskās partijas</w:t>
            </w:r>
          </w:p>
        </w:tc>
      </w:tr>
      <w:tr w:rsidR="00CB0FCB" w14:paraId="59144FC0"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B057BA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210</w:t>
            </w:r>
          </w:p>
        </w:tc>
        <w:tc>
          <w:tcPr>
            <w:tcW w:w="4320" w:type="dxa"/>
            <w:tcBorders>
              <w:top w:val="nil"/>
              <w:left w:val="nil"/>
              <w:bottom w:val="single" w:sz="4" w:space="0" w:color="auto"/>
              <w:right w:val="single" w:sz="4" w:space="0" w:color="auto"/>
            </w:tcBorders>
            <w:shd w:val="clear" w:color="000000" w:fill="C6EFCE"/>
            <w:noWrap/>
            <w:vAlign w:val="center"/>
          </w:tcPr>
          <w:p w14:paraId="1C66459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16952_ Valsts pretkorupcijas regulējuma stiprināšana, veicot mērķtiecīgus pasākumus atklāšanas, novēršanas un izpratnes veicināšanas jomā</w:t>
            </w:r>
          </w:p>
        </w:tc>
        <w:tc>
          <w:tcPr>
            <w:tcW w:w="1680" w:type="dxa"/>
            <w:tcBorders>
              <w:top w:val="nil"/>
              <w:left w:val="nil"/>
              <w:bottom w:val="single" w:sz="4" w:space="0" w:color="auto"/>
              <w:right w:val="single" w:sz="4" w:space="0" w:color="auto"/>
            </w:tcBorders>
            <w:shd w:val="clear" w:color="000000" w:fill="C6EFCE"/>
            <w:noWrap/>
            <w:vAlign w:val="center"/>
          </w:tcPr>
          <w:p w14:paraId="1A8845B7"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78E73620" w14:textId="77777777" w:rsidR="00CB0FCB" w:rsidRDefault="009D2B11">
            <w:pPr>
              <w:pStyle w:val="P68B1DB1-Normal8"/>
              <w:keepNext/>
              <w:spacing w:before="40" w:after="0" w:line="240" w:lineRule="auto"/>
              <w:jc w:val="both"/>
              <w:rPr>
                <w:rFonts w:eastAsia="Times New Roman" w:cs="Times New Roman"/>
                <w:noProof/>
                <w:szCs w:val="18"/>
              </w:rPr>
            </w:pPr>
            <w:r>
              <w:rPr>
                <w:noProof/>
              </w:rPr>
              <w:t>Valsts pretkorupcijas rīcības plāns</w:t>
            </w:r>
          </w:p>
        </w:tc>
      </w:tr>
      <w:tr w:rsidR="00CB0FCB" w14:paraId="0D3C55FC"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B4468C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223</w:t>
            </w:r>
          </w:p>
        </w:tc>
        <w:tc>
          <w:tcPr>
            <w:tcW w:w="4320" w:type="dxa"/>
            <w:tcBorders>
              <w:top w:val="nil"/>
              <w:left w:val="nil"/>
              <w:bottom w:val="single" w:sz="4" w:space="0" w:color="auto"/>
              <w:right w:val="single" w:sz="4" w:space="0" w:color="auto"/>
            </w:tcBorders>
            <w:shd w:val="clear" w:color="000000" w:fill="C6EFCE"/>
            <w:noWrap/>
            <w:vAlign w:val="center"/>
          </w:tcPr>
          <w:p w14:paraId="0A74164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16575 tiesvedības paātrināšana</w:t>
            </w:r>
          </w:p>
        </w:tc>
        <w:tc>
          <w:tcPr>
            <w:tcW w:w="1680" w:type="dxa"/>
            <w:tcBorders>
              <w:top w:val="nil"/>
              <w:left w:val="nil"/>
              <w:bottom w:val="single" w:sz="4" w:space="0" w:color="auto"/>
              <w:right w:val="single" w:sz="4" w:space="0" w:color="auto"/>
            </w:tcBorders>
            <w:shd w:val="clear" w:color="000000" w:fill="C6EFCE"/>
            <w:noWrap/>
            <w:vAlign w:val="center"/>
          </w:tcPr>
          <w:p w14:paraId="2286503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15C04C50" w14:textId="77777777" w:rsidR="00CB0FCB" w:rsidRDefault="009D2B11">
            <w:pPr>
              <w:pStyle w:val="P68B1DB1-Normal8"/>
              <w:keepNext/>
              <w:spacing w:before="40" w:after="0" w:line="240" w:lineRule="auto"/>
              <w:jc w:val="both"/>
              <w:rPr>
                <w:rFonts w:eastAsia="Times New Roman" w:cs="Times New Roman"/>
                <w:noProof/>
                <w:szCs w:val="18"/>
              </w:rPr>
            </w:pPr>
            <w:r>
              <w:rPr>
                <w:noProof/>
              </w:rPr>
              <w:t>Tehniskais atbalsts — Tiesu iestāžu darbības instruments</w:t>
            </w:r>
          </w:p>
        </w:tc>
      </w:tr>
      <w:tr w:rsidR="00CB0FCB" w14:paraId="188516FA"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EBB4B8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225</w:t>
            </w:r>
          </w:p>
        </w:tc>
        <w:tc>
          <w:tcPr>
            <w:tcW w:w="4320" w:type="dxa"/>
            <w:tcBorders>
              <w:top w:val="nil"/>
              <w:left w:val="nil"/>
              <w:bottom w:val="single" w:sz="4" w:space="0" w:color="auto"/>
              <w:right w:val="single" w:sz="4" w:space="0" w:color="auto"/>
            </w:tcBorders>
            <w:shd w:val="clear" w:color="000000" w:fill="C6EFCE"/>
            <w:noWrap/>
            <w:vAlign w:val="center"/>
          </w:tcPr>
          <w:p w14:paraId="524CA57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16575 tiesvedības paātrināšana</w:t>
            </w:r>
          </w:p>
        </w:tc>
        <w:tc>
          <w:tcPr>
            <w:tcW w:w="1680" w:type="dxa"/>
            <w:tcBorders>
              <w:top w:val="nil"/>
              <w:left w:val="nil"/>
              <w:bottom w:val="single" w:sz="4" w:space="0" w:color="auto"/>
              <w:right w:val="single" w:sz="4" w:space="0" w:color="auto"/>
            </w:tcBorders>
            <w:shd w:val="clear" w:color="000000" w:fill="C6EFCE"/>
            <w:noWrap/>
            <w:vAlign w:val="center"/>
          </w:tcPr>
          <w:p w14:paraId="617403D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3AC451DB"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Tiesu policija — sekundārie tiesību akti </w:t>
            </w:r>
          </w:p>
        </w:tc>
      </w:tr>
      <w:tr w:rsidR="00CB0FCB" w14:paraId="6A3B7C36"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4CF352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278</w:t>
            </w:r>
          </w:p>
        </w:tc>
        <w:tc>
          <w:tcPr>
            <w:tcW w:w="4320" w:type="dxa"/>
            <w:tcBorders>
              <w:top w:val="nil"/>
              <w:left w:val="nil"/>
              <w:bottom w:val="single" w:sz="4" w:space="0" w:color="auto"/>
              <w:right w:val="single" w:sz="4" w:space="0" w:color="auto"/>
            </w:tcBorders>
            <w:shd w:val="clear" w:color="000000" w:fill="C6EFCE"/>
            <w:noWrap/>
            <w:vAlign w:val="center"/>
          </w:tcPr>
          <w:p w14:paraId="5C38270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16715_Labor reforma kultūras nozarē</w:t>
            </w:r>
          </w:p>
        </w:tc>
        <w:tc>
          <w:tcPr>
            <w:tcW w:w="1680" w:type="dxa"/>
            <w:tcBorders>
              <w:top w:val="nil"/>
              <w:left w:val="nil"/>
              <w:bottom w:val="single" w:sz="4" w:space="0" w:color="auto"/>
              <w:right w:val="single" w:sz="4" w:space="0" w:color="auto"/>
            </w:tcBorders>
            <w:shd w:val="clear" w:color="000000" w:fill="C6EFCE"/>
            <w:noWrap/>
            <w:vAlign w:val="center"/>
          </w:tcPr>
          <w:p w14:paraId="713E71B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039E47F7" w14:textId="77777777" w:rsidR="00CB0FCB" w:rsidRDefault="009D2B11">
            <w:pPr>
              <w:pStyle w:val="P68B1DB1-Normal8"/>
              <w:keepNext/>
              <w:spacing w:before="40" w:after="0" w:line="240" w:lineRule="auto"/>
              <w:jc w:val="both"/>
              <w:rPr>
                <w:rFonts w:eastAsia="Times New Roman" w:cs="Times New Roman"/>
                <w:noProof/>
                <w:szCs w:val="18"/>
              </w:rPr>
            </w:pPr>
            <w:r>
              <w:rPr>
                <w:noProof/>
              </w:rPr>
              <w:t>Tiesību akti par darba reformu kultūras nozarē</w:t>
            </w:r>
          </w:p>
        </w:tc>
      </w:tr>
      <w:tr w:rsidR="00CB0FCB" w14:paraId="3F23838E"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719074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302</w:t>
            </w:r>
          </w:p>
        </w:tc>
        <w:tc>
          <w:tcPr>
            <w:tcW w:w="4320" w:type="dxa"/>
            <w:tcBorders>
              <w:top w:val="nil"/>
              <w:left w:val="nil"/>
              <w:bottom w:val="single" w:sz="4" w:space="0" w:color="auto"/>
              <w:right w:val="single" w:sz="4" w:space="0" w:color="auto"/>
            </w:tcBorders>
            <w:shd w:val="clear" w:color="000000" w:fill="C6EFCE"/>
            <w:noWrap/>
            <w:vAlign w:val="center"/>
          </w:tcPr>
          <w:p w14:paraId="6638D23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16634_Jaunie industriālie parki</w:t>
            </w:r>
          </w:p>
        </w:tc>
        <w:tc>
          <w:tcPr>
            <w:tcW w:w="1680" w:type="dxa"/>
            <w:tcBorders>
              <w:top w:val="nil"/>
              <w:left w:val="nil"/>
              <w:bottom w:val="single" w:sz="4" w:space="0" w:color="auto"/>
              <w:right w:val="single" w:sz="4" w:space="0" w:color="auto"/>
            </w:tcBorders>
            <w:shd w:val="clear" w:color="000000" w:fill="C6EFCE"/>
            <w:noWrap/>
            <w:vAlign w:val="center"/>
          </w:tcPr>
          <w:p w14:paraId="2CE61E6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1329A173" w14:textId="77777777" w:rsidR="00CB0FCB" w:rsidRDefault="009D2B11">
            <w:pPr>
              <w:pStyle w:val="P68B1DB1-Normal8"/>
              <w:keepNext/>
              <w:spacing w:before="40" w:after="0" w:line="240" w:lineRule="auto"/>
              <w:jc w:val="both"/>
              <w:rPr>
                <w:rFonts w:eastAsia="Times New Roman" w:cs="Times New Roman"/>
                <w:noProof/>
                <w:szCs w:val="18"/>
              </w:rPr>
            </w:pPr>
            <w:r>
              <w:rPr>
                <w:noProof/>
              </w:rPr>
              <w:t>Industriālie parki — likumdošanas reforma (primārais likums)</w:t>
            </w:r>
          </w:p>
        </w:tc>
      </w:tr>
      <w:tr w:rsidR="00CB0FCB" w14:paraId="5E103115"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07AC31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311</w:t>
            </w:r>
          </w:p>
        </w:tc>
        <w:tc>
          <w:tcPr>
            <w:tcW w:w="4320" w:type="dxa"/>
            <w:tcBorders>
              <w:top w:val="nil"/>
              <w:left w:val="nil"/>
              <w:bottom w:val="single" w:sz="4" w:space="0" w:color="auto"/>
              <w:right w:val="single" w:sz="4" w:space="0" w:color="auto"/>
            </w:tcBorders>
            <w:shd w:val="clear" w:color="000000" w:fill="C6EFCE"/>
            <w:noWrap/>
            <w:vAlign w:val="center"/>
          </w:tcPr>
          <w:p w14:paraId="109A2CE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xml:space="preserve"> 17–4.6. Modernizēt un uzlabot galveno ekonomikas nozaru noturību — 16653_Lauksaimniecības un pārtikas nozares digitālā pārveide </w:t>
            </w:r>
          </w:p>
        </w:tc>
        <w:tc>
          <w:tcPr>
            <w:tcW w:w="1680" w:type="dxa"/>
            <w:tcBorders>
              <w:top w:val="nil"/>
              <w:left w:val="nil"/>
              <w:bottom w:val="single" w:sz="4" w:space="0" w:color="auto"/>
              <w:right w:val="single" w:sz="4" w:space="0" w:color="auto"/>
            </w:tcBorders>
            <w:shd w:val="clear" w:color="000000" w:fill="C6EFCE"/>
            <w:noWrap/>
            <w:vAlign w:val="center"/>
          </w:tcPr>
          <w:p w14:paraId="05B98FEF" w14:textId="77777777" w:rsidR="00CB0FCB" w:rsidRDefault="009D2B11">
            <w:pPr>
              <w:pStyle w:val="P68B1DB1-Normal8"/>
              <w:keepNext/>
              <w:spacing w:before="40" w:after="0" w:line="240" w:lineRule="auto"/>
              <w:jc w:val="both"/>
              <w:rPr>
                <w:rFonts w:eastAsia="Times New Roman" w:cs="Times New Roman"/>
                <w:noProof/>
                <w:szCs w:val="18"/>
              </w:rPr>
            </w:pPr>
            <w:r>
              <w:rPr>
                <w:noProof/>
              </w:rPr>
              <w:t> Atskaites punkts</w:t>
            </w:r>
          </w:p>
        </w:tc>
        <w:tc>
          <w:tcPr>
            <w:tcW w:w="1800" w:type="dxa"/>
            <w:tcBorders>
              <w:top w:val="nil"/>
              <w:left w:val="nil"/>
              <w:bottom w:val="single" w:sz="4" w:space="0" w:color="auto"/>
              <w:right w:val="single" w:sz="4" w:space="0" w:color="auto"/>
            </w:tcBorders>
            <w:shd w:val="clear" w:color="000000" w:fill="C6EFCE"/>
            <w:noWrap/>
            <w:vAlign w:val="center"/>
          </w:tcPr>
          <w:p w14:paraId="3AD37A86"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Izsludināts uzaicinājums uz lauksaimniecības pārtikas nozares digitālo pārveidi </w:t>
            </w:r>
          </w:p>
        </w:tc>
      </w:tr>
      <w:tr w:rsidR="00CB0FCB" w14:paraId="3EE58568"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2E37DAA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22</w:t>
            </w:r>
          </w:p>
        </w:tc>
        <w:tc>
          <w:tcPr>
            <w:tcW w:w="4320" w:type="dxa"/>
            <w:tcBorders>
              <w:top w:val="nil"/>
              <w:left w:val="nil"/>
              <w:bottom w:val="single" w:sz="4" w:space="0" w:color="auto"/>
              <w:right w:val="single" w:sz="4" w:space="0" w:color="auto"/>
            </w:tcBorders>
            <w:shd w:val="clear" w:color="000000" w:fill="C6EFCE"/>
            <w:noWrap/>
            <w:vAlign w:val="center"/>
          </w:tcPr>
          <w:p w14:paraId="2FCB30D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16872_dzīvojamo ēku energorenovācija</w:t>
            </w:r>
          </w:p>
        </w:tc>
        <w:tc>
          <w:tcPr>
            <w:tcW w:w="1680" w:type="dxa"/>
            <w:tcBorders>
              <w:top w:val="nil"/>
              <w:left w:val="nil"/>
              <w:bottom w:val="single" w:sz="4" w:space="0" w:color="auto"/>
              <w:right w:val="single" w:sz="4" w:space="0" w:color="auto"/>
            </w:tcBorders>
            <w:shd w:val="clear" w:color="000000" w:fill="C6EFCE"/>
            <w:noWrap/>
            <w:vAlign w:val="center"/>
          </w:tcPr>
          <w:p w14:paraId="211CDC6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B413044" w14:textId="77777777" w:rsidR="00CB0FCB" w:rsidRDefault="009D2B11">
            <w:pPr>
              <w:pStyle w:val="P68B1DB1-Normal8"/>
              <w:keepNext/>
              <w:spacing w:before="40" w:after="0" w:line="240" w:lineRule="auto"/>
              <w:jc w:val="both"/>
              <w:rPr>
                <w:rFonts w:eastAsia="Times New Roman" w:cs="Times New Roman"/>
                <w:noProof/>
                <w:szCs w:val="18"/>
              </w:rPr>
            </w:pPr>
            <w:r>
              <w:rPr>
                <w:noProof/>
              </w:rPr>
              <w:t>Mājokļu renovācija — 3. kārtas uzsākšana, tostarp enerģētiski nabadzīgas mājsaimniecības</w:t>
            </w:r>
          </w:p>
        </w:tc>
      </w:tr>
      <w:tr w:rsidR="00CB0FCB" w14:paraId="35326120"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63BC56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27</w:t>
            </w:r>
          </w:p>
        </w:tc>
        <w:tc>
          <w:tcPr>
            <w:tcW w:w="4320" w:type="dxa"/>
            <w:tcBorders>
              <w:top w:val="nil"/>
              <w:left w:val="nil"/>
              <w:bottom w:val="single" w:sz="4" w:space="0" w:color="auto"/>
              <w:right w:val="single" w:sz="4" w:space="0" w:color="auto"/>
            </w:tcBorders>
            <w:shd w:val="clear" w:color="000000" w:fill="C6EFCE"/>
            <w:noWrap/>
            <w:vAlign w:val="center"/>
          </w:tcPr>
          <w:p w14:paraId="3E115D2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16879_Pilsētvides plānu sagatavošana pilsētpolitikas reformas īstenošanai</w:t>
            </w:r>
          </w:p>
        </w:tc>
        <w:tc>
          <w:tcPr>
            <w:tcW w:w="1680" w:type="dxa"/>
            <w:tcBorders>
              <w:top w:val="nil"/>
              <w:left w:val="nil"/>
              <w:bottom w:val="single" w:sz="4" w:space="0" w:color="auto"/>
              <w:right w:val="single" w:sz="4" w:space="0" w:color="auto"/>
            </w:tcBorders>
            <w:shd w:val="clear" w:color="000000" w:fill="C6EFCE"/>
            <w:noWrap/>
            <w:vAlign w:val="center"/>
          </w:tcPr>
          <w:p w14:paraId="3B2FA5B7"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2DF543AF" w14:textId="77777777" w:rsidR="00CB0FCB" w:rsidRDefault="009D2B11">
            <w:pPr>
              <w:pStyle w:val="P68B1DB1-Normal8"/>
              <w:keepNext/>
              <w:spacing w:before="40" w:after="0" w:line="240" w:lineRule="auto"/>
              <w:jc w:val="both"/>
              <w:rPr>
                <w:rFonts w:eastAsia="Times New Roman" w:cs="Times New Roman"/>
                <w:noProof/>
                <w:szCs w:val="18"/>
              </w:rPr>
            </w:pPr>
            <w:r>
              <w:rPr>
                <w:noProof/>
              </w:rPr>
              <w:t>Balva “Pilsētvides plāni”</w:t>
            </w:r>
          </w:p>
        </w:tc>
      </w:tr>
      <w:tr w:rsidR="00CB0FCB" w14:paraId="4FB1E8BD"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68C4C63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43</w:t>
            </w:r>
          </w:p>
        </w:tc>
        <w:tc>
          <w:tcPr>
            <w:tcW w:w="4320" w:type="dxa"/>
            <w:tcBorders>
              <w:top w:val="nil"/>
              <w:left w:val="nil"/>
              <w:bottom w:val="single" w:sz="4" w:space="0" w:color="auto"/>
              <w:right w:val="single" w:sz="4" w:space="0" w:color="auto"/>
            </w:tcBorders>
            <w:shd w:val="clear" w:color="000000" w:fill="C6EFCE"/>
            <w:noWrap/>
            <w:vAlign w:val="center"/>
          </w:tcPr>
          <w:p w14:paraId="5FF511A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 Uzlāde un uzpilde — 16281_ET uzlādes infrastruktūras uzstādīšanas un ekspluatācijas pamats</w:t>
            </w:r>
          </w:p>
        </w:tc>
        <w:tc>
          <w:tcPr>
            <w:tcW w:w="1680" w:type="dxa"/>
            <w:tcBorders>
              <w:top w:val="nil"/>
              <w:left w:val="nil"/>
              <w:bottom w:val="single" w:sz="4" w:space="0" w:color="auto"/>
              <w:right w:val="single" w:sz="4" w:space="0" w:color="auto"/>
            </w:tcBorders>
            <w:shd w:val="clear" w:color="000000" w:fill="C6EFCE"/>
            <w:noWrap/>
            <w:vAlign w:val="center"/>
          </w:tcPr>
          <w:p w14:paraId="57B34687"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000000" w:fill="C6EFCE"/>
            <w:noWrap/>
            <w:vAlign w:val="center"/>
          </w:tcPr>
          <w:p w14:paraId="13A5837C" w14:textId="77777777" w:rsidR="00CB0FCB" w:rsidRDefault="009D2B11">
            <w:pPr>
              <w:pStyle w:val="P68B1DB1-Normal8"/>
              <w:keepNext/>
              <w:spacing w:before="40" w:after="0" w:line="240" w:lineRule="auto"/>
              <w:jc w:val="both"/>
              <w:rPr>
                <w:rFonts w:eastAsia="Times New Roman" w:cs="Times New Roman"/>
                <w:noProof/>
                <w:szCs w:val="18"/>
              </w:rPr>
            </w:pPr>
            <w:r>
              <w:rPr>
                <w:noProof/>
              </w:rPr>
              <w:t>Elektrotransportlīdzekļu uzlādes punkti — apstiprināti vietējie plāni</w:t>
            </w:r>
          </w:p>
        </w:tc>
      </w:tr>
      <w:tr w:rsidR="00CB0FCB" w14:paraId="016471B5"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73A797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46</w:t>
            </w:r>
          </w:p>
        </w:tc>
        <w:tc>
          <w:tcPr>
            <w:tcW w:w="4320" w:type="dxa"/>
            <w:tcBorders>
              <w:top w:val="nil"/>
              <w:left w:val="nil"/>
              <w:bottom w:val="single" w:sz="4" w:space="0" w:color="auto"/>
              <w:right w:val="single" w:sz="4" w:space="0" w:color="auto"/>
            </w:tcBorders>
            <w:shd w:val="clear" w:color="000000" w:fill="C6EFCE"/>
            <w:noWrap/>
            <w:vAlign w:val="center"/>
          </w:tcPr>
          <w:p w14:paraId="1951DBA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xml:space="preserve">3–1.3. Uzlāde un uzpilde — 16831_Produc- E Green </w:t>
            </w:r>
          </w:p>
        </w:tc>
        <w:tc>
          <w:tcPr>
            <w:tcW w:w="1680" w:type="dxa"/>
            <w:tcBorders>
              <w:top w:val="nil"/>
              <w:left w:val="nil"/>
              <w:bottom w:val="single" w:sz="4" w:space="0" w:color="auto"/>
              <w:right w:val="single" w:sz="4" w:space="0" w:color="auto"/>
            </w:tcBorders>
            <w:shd w:val="clear" w:color="000000" w:fill="C6EFCE"/>
            <w:noWrap/>
            <w:vAlign w:val="center"/>
          </w:tcPr>
          <w:p w14:paraId="7463D22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34822F7C" w14:textId="77777777" w:rsidR="00CB0FCB" w:rsidRDefault="009D2B11">
            <w:pPr>
              <w:pStyle w:val="P68B1DB1-Normal8"/>
              <w:keepNext/>
              <w:spacing w:before="40" w:after="0" w:line="240" w:lineRule="auto"/>
              <w:jc w:val="both"/>
              <w:rPr>
                <w:rFonts w:eastAsia="Times New Roman" w:cs="Times New Roman"/>
                <w:noProof/>
                <w:szCs w:val="18"/>
              </w:rPr>
            </w:pPr>
            <w:r>
              <w:rPr>
                <w:noProof/>
              </w:rPr>
              <w:t>Rūpnieciskās vienības — programmas uzsākšana</w:t>
            </w:r>
          </w:p>
        </w:tc>
      </w:tr>
      <w:tr w:rsidR="00CB0FCB" w14:paraId="642171EC"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56ACF1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w:t>
            </w:r>
          </w:p>
        </w:tc>
        <w:tc>
          <w:tcPr>
            <w:tcW w:w="4320" w:type="dxa"/>
            <w:tcBorders>
              <w:top w:val="nil"/>
              <w:left w:val="nil"/>
              <w:bottom w:val="single" w:sz="4" w:space="0" w:color="auto"/>
              <w:right w:val="single" w:sz="4" w:space="0" w:color="auto"/>
            </w:tcBorders>
            <w:shd w:val="clear" w:color="000000" w:fill="C6EFCE"/>
            <w:noWrap/>
            <w:vAlign w:val="center"/>
          </w:tcPr>
          <w:p w14:paraId="6D96C6B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 Uzlāde un uzpilde — 16924_ Elektromobilitāte</w:t>
            </w:r>
          </w:p>
        </w:tc>
        <w:tc>
          <w:tcPr>
            <w:tcW w:w="1680" w:type="dxa"/>
            <w:tcBorders>
              <w:top w:val="nil"/>
              <w:left w:val="nil"/>
              <w:bottom w:val="single" w:sz="4" w:space="0" w:color="auto"/>
              <w:right w:val="single" w:sz="4" w:space="0" w:color="auto"/>
            </w:tcBorders>
            <w:shd w:val="clear" w:color="000000" w:fill="C6EFCE"/>
            <w:noWrap/>
            <w:vAlign w:val="center"/>
          </w:tcPr>
          <w:p w14:paraId="4C527CB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13880481"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 Elektrotransportlīdzekļu uzlādes punkti — programmu uzsākšana</w:t>
            </w:r>
          </w:p>
        </w:tc>
      </w:tr>
      <w:tr w:rsidR="00CB0FCB" w14:paraId="4ED47555"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21C594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48</w:t>
            </w:r>
          </w:p>
        </w:tc>
        <w:tc>
          <w:tcPr>
            <w:tcW w:w="4320" w:type="dxa"/>
            <w:tcBorders>
              <w:top w:val="nil"/>
              <w:left w:val="nil"/>
              <w:bottom w:val="single" w:sz="4" w:space="0" w:color="auto"/>
              <w:right w:val="single" w:sz="4" w:space="0" w:color="auto"/>
            </w:tcBorders>
            <w:shd w:val="clear" w:color="000000" w:fill="C6EFCE"/>
            <w:noWrap/>
            <w:vAlign w:val="center"/>
          </w:tcPr>
          <w:p w14:paraId="4498E96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 Uzlāde un uzpilde — 16924_ Elektromobilitāte</w:t>
            </w:r>
          </w:p>
        </w:tc>
        <w:tc>
          <w:tcPr>
            <w:tcW w:w="1680" w:type="dxa"/>
            <w:tcBorders>
              <w:top w:val="nil"/>
              <w:left w:val="nil"/>
              <w:bottom w:val="single" w:sz="4" w:space="0" w:color="auto"/>
              <w:right w:val="single" w:sz="4" w:space="0" w:color="auto"/>
            </w:tcBorders>
            <w:shd w:val="clear" w:color="000000" w:fill="C6EFCE"/>
            <w:noWrap/>
            <w:vAlign w:val="center"/>
          </w:tcPr>
          <w:p w14:paraId="393E154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1DC2A22E" w14:textId="77777777" w:rsidR="00CB0FCB" w:rsidRDefault="009D2B11">
            <w:pPr>
              <w:pStyle w:val="P68B1DB1-Normal8"/>
              <w:keepNext/>
              <w:spacing w:before="40" w:after="0" w:line="240" w:lineRule="auto"/>
              <w:jc w:val="both"/>
              <w:rPr>
                <w:rFonts w:eastAsia="Times New Roman" w:cs="Times New Roman"/>
                <w:noProof/>
                <w:szCs w:val="18"/>
              </w:rPr>
            </w:pPr>
            <w:r>
              <w:rPr>
                <w:noProof/>
              </w:rPr>
              <w:t>Ilgtspējīgs transports — priekšizpēte</w:t>
            </w:r>
          </w:p>
        </w:tc>
      </w:tr>
      <w:tr w:rsidR="00CB0FCB" w14:paraId="094BE584"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7A627A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58</w:t>
            </w:r>
          </w:p>
        </w:tc>
        <w:tc>
          <w:tcPr>
            <w:tcW w:w="4320" w:type="dxa"/>
            <w:tcBorders>
              <w:top w:val="nil"/>
              <w:left w:val="nil"/>
              <w:bottom w:val="single" w:sz="4" w:space="0" w:color="auto"/>
              <w:right w:val="single" w:sz="4" w:space="0" w:color="auto"/>
            </w:tcBorders>
            <w:shd w:val="clear" w:color="000000" w:fill="C6EFCE"/>
            <w:noWrap/>
            <w:vAlign w:val="center"/>
          </w:tcPr>
          <w:p w14:paraId="4C4D03F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16979_Jaunas ūdens un notekūdeņu regulatīvās iestādes izveide</w:t>
            </w:r>
          </w:p>
        </w:tc>
        <w:tc>
          <w:tcPr>
            <w:tcW w:w="1680" w:type="dxa"/>
            <w:tcBorders>
              <w:top w:val="nil"/>
              <w:left w:val="nil"/>
              <w:bottom w:val="single" w:sz="4" w:space="0" w:color="auto"/>
              <w:right w:val="single" w:sz="4" w:space="0" w:color="auto"/>
            </w:tcBorders>
            <w:shd w:val="clear" w:color="000000" w:fill="C6EFCE"/>
            <w:noWrap/>
            <w:vAlign w:val="center"/>
          </w:tcPr>
          <w:p w14:paraId="419E1F0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A1A2D62" w14:textId="77777777" w:rsidR="00CB0FCB" w:rsidRDefault="009D2B11">
            <w:pPr>
              <w:pStyle w:val="P68B1DB1-Normal8"/>
              <w:keepNext/>
              <w:spacing w:before="40" w:after="0" w:line="240" w:lineRule="auto"/>
              <w:jc w:val="both"/>
              <w:rPr>
                <w:rFonts w:eastAsia="Times New Roman" w:cs="Times New Roman"/>
                <w:noProof/>
                <w:szCs w:val="18"/>
              </w:rPr>
            </w:pPr>
            <w:r>
              <w:rPr>
                <w:noProof/>
              </w:rPr>
              <w:t>Ūdens regulatora likuma stāšanās spēkā</w:t>
            </w:r>
          </w:p>
        </w:tc>
      </w:tr>
      <w:tr w:rsidR="00CB0FCB" w14:paraId="65192AA7"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3FB0B56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78</w:t>
            </w:r>
          </w:p>
        </w:tc>
        <w:tc>
          <w:tcPr>
            <w:tcW w:w="4320" w:type="dxa"/>
            <w:tcBorders>
              <w:top w:val="nil"/>
              <w:left w:val="nil"/>
              <w:bottom w:val="single" w:sz="4" w:space="0" w:color="auto"/>
              <w:right w:val="single" w:sz="4" w:space="0" w:color="auto"/>
            </w:tcBorders>
            <w:shd w:val="clear" w:color="000000" w:fill="C6EFCE"/>
            <w:noWrap/>
            <w:vAlign w:val="center"/>
          </w:tcPr>
          <w:p w14:paraId="792CBA1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16910_Uzraudzības un pārvaldības sistēma</w:t>
            </w:r>
          </w:p>
        </w:tc>
        <w:tc>
          <w:tcPr>
            <w:tcW w:w="1680" w:type="dxa"/>
            <w:tcBorders>
              <w:top w:val="nil"/>
              <w:left w:val="nil"/>
              <w:bottom w:val="single" w:sz="4" w:space="0" w:color="auto"/>
              <w:right w:val="single" w:sz="4" w:space="0" w:color="auto"/>
            </w:tcBorders>
            <w:shd w:val="clear" w:color="000000" w:fill="C6EFCE"/>
            <w:noWrap/>
            <w:vAlign w:val="center"/>
          </w:tcPr>
          <w:p w14:paraId="43ECC81F"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DC62227"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Līgums par GPS</w:t>
            </w:r>
          </w:p>
        </w:tc>
      </w:tr>
      <w:tr w:rsidR="00CB0FCB" w14:paraId="311A6F97"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1186258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93</w:t>
            </w:r>
          </w:p>
        </w:tc>
        <w:tc>
          <w:tcPr>
            <w:tcW w:w="4320" w:type="dxa"/>
            <w:tcBorders>
              <w:top w:val="nil"/>
              <w:left w:val="nil"/>
              <w:bottom w:val="single" w:sz="4" w:space="0" w:color="auto"/>
              <w:right w:val="single" w:sz="4" w:space="0" w:color="auto"/>
            </w:tcBorders>
            <w:shd w:val="clear" w:color="000000" w:fill="C6EFCE"/>
            <w:noWrap/>
            <w:vAlign w:val="center"/>
          </w:tcPr>
          <w:p w14:paraId="6259A1B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16778_Arhīvu un saistīto pakalpojumu digitalizācija</w:t>
            </w:r>
          </w:p>
        </w:tc>
        <w:tc>
          <w:tcPr>
            <w:tcW w:w="1680" w:type="dxa"/>
            <w:tcBorders>
              <w:top w:val="nil"/>
              <w:left w:val="nil"/>
              <w:bottom w:val="single" w:sz="4" w:space="0" w:color="auto"/>
              <w:right w:val="single" w:sz="4" w:space="0" w:color="auto"/>
            </w:tcBorders>
            <w:shd w:val="clear" w:color="000000" w:fill="C6EFCE"/>
            <w:noWrap/>
            <w:vAlign w:val="center"/>
          </w:tcPr>
          <w:p w14:paraId="239E2A93"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05D40041"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Līgumu slēgšanas tiesību piešķiršana par arhīvu digitalizāciju</w:t>
            </w:r>
          </w:p>
        </w:tc>
      </w:tr>
      <w:tr w:rsidR="00CB0FCB" w14:paraId="4A88513E"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E37D39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100</w:t>
            </w:r>
          </w:p>
        </w:tc>
        <w:tc>
          <w:tcPr>
            <w:tcW w:w="4320" w:type="dxa"/>
            <w:tcBorders>
              <w:top w:val="nil"/>
              <w:left w:val="nil"/>
              <w:bottom w:val="single" w:sz="4" w:space="0" w:color="auto"/>
              <w:right w:val="single" w:sz="4" w:space="0" w:color="auto"/>
            </w:tcBorders>
            <w:shd w:val="clear" w:color="000000" w:fill="C6EFCE"/>
            <w:noWrap/>
            <w:vAlign w:val="center"/>
          </w:tcPr>
          <w:p w14:paraId="1EBE0D1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16779_ Sadarbspēja un tīmekļa pakalpojumu izstrāde</w:t>
            </w:r>
          </w:p>
        </w:tc>
        <w:tc>
          <w:tcPr>
            <w:tcW w:w="1680" w:type="dxa"/>
            <w:tcBorders>
              <w:top w:val="nil"/>
              <w:left w:val="nil"/>
              <w:bottom w:val="single" w:sz="4" w:space="0" w:color="auto"/>
              <w:right w:val="single" w:sz="4" w:space="0" w:color="auto"/>
            </w:tcBorders>
            <w:shd w:val="clear" w:color="000000" w:fill="C6EFCE"/>
            <w:noWrap/>
            <w:vAlign w:val="center"/>
          </w:tcPr>
          <w:p w14:paraId="7C0A24F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2C3A1019"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sadarbspējas un tīmekļa pakalpojumu izstrādes projektam</w:t>
            </w:r>
          </w:p>
        </w:tc>
      </w:tr>
      <w:tr w:rsidR="00CB0FCB" w14:paraId="68DFD10D"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6AA1A04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101</w:t>
            </w:r>
          </w:p>
        </w:tc>
        <w:tc>
          <w:tcPr>
            <w:tcW w:w="4320" w:type="dxa"/>
            <w:tcBorders>
              <w:top w:val="nil"/>
              <w:left w:val="nil"/>
              <w:bottom w:val="single" w:sz="4" w:space="0" w:color="auto"/>
              <w:right w:val="single" w:sz="4" w:space="0" w:color="auto"/>
            </w:tcBorders>
            <w:shd w:val="clear" w:color="000000" w:fill="C6EFCE"/>
            <w:noWrap/>
            <w:vAlign w:val="center"/>
          </w:tcPr>
          <w:p w14:paraId="558E74B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16810_CRM Vispārējai valdībai</w:t>
            </w:r>
          </w:p>
        </w:tc>
        <w:tc>
          <w:tcPr>
            <w:tcW w:w="1680" w:type="dxa"/>
            <w:tcBorders>
              <w:top w:val="nil"/>
              <w:left w:val="nil"/>
              <w:bottom w:val="single" w:sz="4" w:space="0" w:color="auto"/>
              <w:right w:val="single" w:sz="4" w:space="0" w:color="auto"/>
            </w:tcBorders>
            <w:shd w:val="clear" w:color="000000" w:fill="C6EFCE"/>
            <w:noWrap/>
            <w:vAlign w:val="center"/>
          </w:tcPr>
          <w:p w14:paraId="5520A82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0DF12C4"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Līguma slēgšanas tiesību piešķiršana CRM vispārējās valdības vārdā </w:t>
            </w:r>
          </w:p>
        </w:tc>
      </w:tr>
      <w:tr w:rsidR="00CB0FCB" w14:paraId="06EC79B2"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6D63D67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102</w:t>
            </w:r>
          </w:p>
        </w:tc>
        <w:tc>
          <w:tcPr>
            <w:tcW w:w="4320" w:type="dxa"/>
            <w:tcBorders>
              <w:top w:val="nil"/>
              <w:left w:val="nil"/>
              <w:bottom w:val="single" w:sz="4" w:space="0" w:color="auto"/>
              <w:right w:val="single" w:sz="4" w:space="0" w:color="auto"/>
            </w:tcBorders>
            <w:shd w:val="clear" w:color="000000" w:fill="C6EFCE"/>
            <w:noWrap/>
            <w:vAlign w:val="center"/>
          </w:tcPr>
          <w:p w14:paraId="2A28291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16780_Valsts pārvaldes vienas pieturas aģentūru turpmāka modernizācija</w:t>
            </w:r>
          </w:p>
        </w:tc>
        <w:tc>
          <w:tcPr>
            <w:tcW w:w="1680" w:type="dxa"/>
            <w:tcBorders>
              <w:top w:val="nil"/>
              <w:left w:val="nil"/>
              <w:bottom w:val="single" w:sz="4" w:space="0" w:color="auto"/>
              <w:right w:val="single" w:sz="4" w:space="0" w:color="auto"/>
            </w:tcBorders>
            <w:shd w:val="clear" w:color="000000" w:fill="C6EFCE"/>
            <w:noWrap/>
            <w:vAlign w:val="center"/>
          </w:tcPr>
          <w:p w14:paraId="61BC38B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0CD949AF"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par valsts pārvaldes vienas pieturas aģentūru turpmāku modernizāciju</w:t>
            </w:r>
          </w:p>
        </w:tc>
      </w:tr>
      <w:tr w:rsidR="00CB0FCB" w14:paraId="1497BF80"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3905613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w:t>
            </w:r>
          </w:p>
        </w:tc>
        <w:tc>
          <w:tcPr>
            <w:tcW w:w="4320" w:type="dxa"/>
            <w:tcBorders>
              <w:top w:val="nil"/>
              <w:left w:val="nil"/>
              <w:bottom w:val="single" w:sz="4" w:space="0" w:color="auto"/>
              <w:right w:val="single" w:sz="4" w:space="0" w:color="auto"/>
            </w:tcBorders>
            <w:shd w:val="clear" w:color="000000" w:fill="C6EFCE"/>
            <w:noWrap/>
            <w:vAlign w:val="center"/>
          </w:tcPr>
          <w:p w14:paraId="1E6EE2E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16736_Jauna publiskā iepirkuma sistēma</w:t>
            </w:r>
          </w:p>
        </w:tc>
        <w:tc>
          <w:tcPr>
            <w:tcW w:w="1680" w:type="dxa"/>
            <w:tcBorders>
              <w:top w:val="nil"/>
              <w:left w:val="nil"/>
              <w:bottom w:val="single" w:sz="4" w:space="0" w:color="auto"/>
              <w:right w:val="single" w:sz="4" w:space="0" w:color="auto"/>
            </w:tcBorders>
            <w:shd w:val="clear" w:color="000000" w:fill="C6EFCE"/>
            <w:noWrap/>
            <w:vAlign w:val="center"/>
          </w:tcPr>
          <w:p w14:paraId="1F04928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0D7675F4"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jaunajai publiskā iepirkuma sistēmai</w:t>
            </w:r>
          </w:p>
        </w:tc>
      </w:tr>
      <w:tr w:rsidR="00CB0FCB" w14:paraId="450DDFCC"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1C9A4B4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104</w:t>
            </w:r>
          </w:p>
        </w:tc>
        <w:tc>
          <w:tcPr>
            <w:tcW w:w="4320" w:type="dxa"/>
            <w:tcBorders>
              <w:top w:val="nil"/>
              <w:left w:val="nil"/>
              <w:bottom w:val="single" w:sz="4" w:space="0" w:color="auto"/>
              <w:right w:val="single" w:sz="4" w:space="0" w:color="auto"/>
            </w:tcBorders>
            <w:shd w:val="clear" w:color="000000" w:fill="C6EFCE"/>
            <w:noWrap/>
            <w:vAlign w:val="center"/>
          </w:tcPr>
          <w:p w14:paraId="664671A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16823_Kiberdrošības stratēģija un politika publiskajam sektoram un progresīviem drošības pakalpojumiem valstu kritiskajām infrastruktūrām</w:t>
            </w:r>
          </w:p>
        </w:tc>
        <w:tc>
          <w:tcPr>
            <w:tcW w:w="1680" w:type="dxa"/>
            <w:tcBorders>
              <w:top w:val="nil"/>
              <w:left w:val="nil"/>
              <w:bottom w:val="single" w:sz="4" w:space="0" w:color="auto"/>
              <w:right w:val="single" w:sz="4" w:space="0" w:color="auto"/>
            </w:tcBorders>
            <w:shd w:val="clear" w:color="000000" w:fill="C6EFCE"/>
            <w:noWrap/>
            <w:vAlign w:val="center"/>
          </w:tcPr>
          <w:p w14:paraId="378205F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122C3585"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kiberdrošības stratēģijai</w:t>
            </w:r>
          </w:p>
        </w:tc>
      </w:tr>
      <w:tr w:rsidR="00CB0FCB" w14:paraId="5EC38AC1"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04F5C9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105</w:t>
            </w:r>
          </w:p>
        </w:tc>
        <w:tc>
          <w:tcPr>
            <w:tcW w:w="4320" w:type="dxa"/>
            <w:tcBorders>
              <w:top w:val="nil"/>
              <w:left w:val="nil"/>
              <w:bottom w:val="single" w:sz="4" w:space="0" w:color="auto"/>
              <w:right w:val="single" w:sz="4" w:space="0" w:color="auto"/>
            </w:tcBorders>
            <w:shd w:val="clear" w:color="000000" w:fill="C6EFCE"/>
            <w:noWrap/>
            <w:vAlign w:val="center"/>
          </w:tcPr>
          <w:p w14:paraId="3F9FF1A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16826_Iesaukto digitālo prasmju uzlabošanas programmas</w:t>
            </w:r>
          </w:p>
        </w:tc>
        <w:tc>
          <w:tcPr>
            <w:tcW w:w="1680" w:type="dxa"/>
            <w:tcBorders>
              <w:top w:val="nil"/>
              <w:left w:val="nil"/>
              <w:bottom w:val="single" w:sz="4" w:space="0" w:color="auto"/>
              <w:right w:val="single" w:sz="4" w:space="0" w:color="auto"/>
            </w:tcBorders>
            <w:shd w:val="clear" w:color="000000" w:fill="C6EFCE"/>
            <w:noWrap/>
            <w:vAlign w:val="center"/>
          </w:tcPr>
          <w:p w14:paraId="7605B97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54A87CAB"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par iesaukto digitālo prasmju uzlabošanas programmām</w:t>
            </w:r>
          </w:p>
        </w:tc>
      </w:tr>
      <w:tr w:rsidR="00CB0FCB" w14:paraId="4B845BC2"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EAEF7C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106</w:t>
            </w:r>
          </w:p>
        </w:tc>
        <w:tc>
          <w:tcPr>
            <w:tcW w:w="4320" w:type="dxa"/>
            <w:tcBorders>
              <w:top w:val="nil"/>
              <w:left w:val="nil"/>
              <w:bottom w:val="single" w:sz="4" w:space="0" w:color="auto"/>
              <w:right w:val="single" w:sz="4" w:space="0" w:color="auto"/>
            </w:tcBorders>
            <w:shd w:val="clear" w:color="000000" w:fill="C6EFCE"/>
            <w:noWrap/>
            <w:vAlign w:val="center"/>
          </w:tcPr>
          <w:p w14:paraId="6963D20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16742_Ārlietu ministrijas digitālā pārveide</w:t>
            </w:r>
          </w:p>
        </w:tc>
        <w:tc>
          <w:tcPr>
            <w:tcW w:w="1680" w:type="dxa"/>
            <w:tcBorders>
              <w:top w:val="nil"/>
              <w:left w:val="nil"/>
              <w:bottom w:val="single" w:sz="4" w:space="0" w:color="auto"/>
              <w:right w:val="single" w:sz="4" w:space="0" w:color="auto"/>
            </w:tcBorders>
            <w:shd w:val="clear" w:color="000000" w:fill="C6EFCE"/>
            <w:noWrap/>
            <w:vAlign w:val="center"/>
          </w:tcPr>
          <w:p w14:paraId="357D166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1AD07E27"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Ārlietu ministrijas digitālajai pārveidei</w:t>
            </w:r>
          </w:p>
        </w:tc>
      </w:tr>
      <w:tr w:rsidR="00CB0FCB" w14:paraId="03E3FF48"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2FC1072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107</w:t>
            </w:r>
          </w:p>
        </w:tc>
        <w:tc>
          <w:tcPr>
            <w:tcW w:w="4320" w:type="dxa"/>
            <w:tcBorders>
              <w:top w:val="nil"/>
              <w:left w:val="nil"/>
              <w:bottom w:val="single" w:sz="4" w:space="0" w:color="auto"/>
              <w:right w:val="single" w:sz="4" w:space="0" w:color="auto"/>
            </w:tcBorders>
            <w:shd w:val="clear" w:color="000000" w:fill="C6EFCE"/>
            <w:noWrap/>
            <w:vAlign w:val="center"/>
          </w:tcPr>
          <w:p w14:paraId="1B3C4FA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16824_ERegistry</w:t>
            </w:r>
          </w:p>
        </w:tc>
        <w:tc>
          <w:tcPr>
            <w:tcW w:w="1680" w:type="dxa"/>
            <w:tcBorders>
              <w:top w:val="nil"/>
              <w:left w:val="nil"/>
              <w:bottom w:val="single" w:sz="4" w:space="0" w:color="auto"/>
              <w:right w:val="single" w:sz="4" w:space="0" w:color="auto"/>
            </w:tcBorders>
            <w:shd w:val="clear" w:color="000000" w:fill="C6EFCE"/>
            <w:noWrap/>
            <w:vAlign w:val="center"/>
          </w:tcPr>
          <w:p w14:paraId="73C9073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0225EC39"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e-reģistriem</w:t>
            </w:r>
          </w:p>
        </w:tc>
      </w:tr>
      <w:tr w:rsidR="00CB0FCB" w14:paraId="140118AC"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CC525F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121</w:t>
            </w:r>
          </w:p>
        </w:tc>
        <w:tc>
          <w:tcPr>
            <w:tcW w:w="4320" w:type="dxa"/>
            <w:tcBorders>
              <w:top w:val="nil"/>
              <w:left w:val="nil"/>
              <w:bottom w:val="single" w:sz="4" w:space="0" w:color="auto"/>
              <w:right w:val="single" w:sz="4" w:space="0" w:color="auto"/>
            </w:tcBorders>
            <w:shd w:val="clear" w:color="000000" w:fill="C6EFCE"/>
            <w:noWrap/>
            <w:vAlign w:val="center"/>
          </w:tcPr>
          <w:p w14:paraId="124DE65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16842_Centrālā BI — datu analīze</w:t>
            </w:r>
          </w:p>
        </w:tc>
        <w:tc>
          <w:tcPr>
            <w:tcW w:w="1680" w:type="dxa"/>
            <w:tcBorders>
              <w:top w:val="nil"/>
              <w:left w:val="nil"/>
              <w:bottom w:val="single" w:sz="4" w:space="0" w:color="auto"/>
              <w:right w:val="single" w:sz="4" w:space="0" w:color="auto"/>
            </w:tcBorders>
            <w:shd w:val="clear" w:color="000000" w:fill="C6EFCE"/>
            <w:noWrap/>
            <w:vAlign w:val="center"/>
          </w:tcPr>
          <w:p w14:paraId="518A4097"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3FDCC868"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Līguma slēgšanas tiesību piešķiršana Central Business Intelligence (BI) </w:t>
            </w:r>
          </w:p>
        </w:tc>
      </w:tr>
      <w:tr w:rsidR="00CB0FCB" w14:paraId="12613FE6"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91C3EA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w:t>
            </w:r>
          </w:p>
        </w:tc>
        <w:tc>
          <w:tcPr>
            <w:tcW w:w="4320" w:type="dxa"/>
            <w:tcBorders>
              <w:top w:val="nil"/>
              <w:left w:val="nil"/>
              <w:bottom w:val="single" w:sz="4" w:space="0" w:color="auto"/>
              <w:right w:val="single" w:sz="4" w:space="0" w:color="auto"/>
            </w:tcBorders>
            <w:shd w:val="clear" w:color="000000" w:fill="C6EFCE"/>
            <w:noWrap/>
            <w:vAlign w:val="center"/>
          </w:tcPr>
          <w:p w14:paraId="1B9B462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8–3.1. PUNKTS. Veicināt darbvietu radīšanu un līdzdalību darba tirgū — 16750_Darba sistēmu digitālā pārveide</w:t>
            </w:r>
          </w:p>
        </w:tc>
        <w:tc>
          <w:tcPr>
            <w:tcW w:w="1680" w:type="dxa"/>
            <w:tcBorders>
              <w:top w:val="nil"/>
              <w:left w:val="nil"/>
              <w:bottom w:val="single" w:sz="4" w:space="0" w:color="auto"/>
              <w:right w:val="single" w:sz="4" w:space="0" w:color="auto"/>
            </w:tcBorders>
            <w:shd w:val="clear" w:color="000000" w:fill="C6EFCE"/>
            <w:noWrap/>
            <w:vAlign w:val="center"/>
          </w:tcPr>
          <w:p w14:paraId="2EE04C8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6DE557AB"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darba IT sistēmām</w:t>
            </w:r>
          </w:p>
        </w:tc>
      </w:tr>
      <w:tr w:rsidR="00CB0FCB" w14:paraId="6EB8C623"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37DD08F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139</w:t>
            </w:r>
          </w:p>
        </w:tc>
        <w:tc>
          <w:tcPr>
            <w:tcW w:w="4320" w:type="dxa"/>
            <w:tcBorders>
              <w:top w:val="nil"/>
              <w:left w:val="nil"/>
              <w:bottom w:val="single" w:sz="4" w:space="0" w:color="auto"/>
              <w:right w:val="single" w:sz="4" w:space="0" w:color="auto"/>
            </w:tcBorders>
            <w:shd w:val="clear" w:color="000000" w:fill="C6EFCE"/>
            <w:noWrap/>
            <w:vAlign w:val="center"/>
          </w:tcPr>
          <w:p w14:paraId="35ACA36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9–3.2. Izglītība, profesionālā izglītība un apmācība un prasmes — 16913_A Jauna mūžizglītības stratēģija: Grieķijas prasmju pilnveides un pārkvalifikācijas sistēmas modernizēšana un uzlabošana</w:t>
            </w:r>
          </w:p>
        </w:tc>
        <w:tc>
          <w:tcPr>
            <w:tcW w:w="1680" w:type="dxa"/>
            <w:tcBorders>
              <w:top w:val="nil"/>
              <w:left w:val="nil"/>
              <w:bottom w:val="single" w:sz="4" w:space="0" w:color="auto"/>
              <w:right w:val="single" w:sz="4" w:space="0" w:color="auto"/>
            </w:tcBorders>
            <w:shd w:val="clear" w:color="000000" w:fill="C6EFCE"/>
            <w:noWrap/>
            <w:vAlign w:val="center"/>
          </w:tcPr>
          <w:p w14:paraId="3B045897"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000000" w:fill="C6EFCE"/>
            <w:noWrap/>
            <w:vAlign w:val="center"/>
          </w:tcPr>
          <w:p w14:paraId="30C773F8" w14:textId="77777777" w:rsidR="00CB0FCB" w:rsidRDefault="009D2B11">
            <w:pPr>
              <w:pStyle w:val="P68B1DB1-Normal8"/>
              <w:keepNext/>
              <w:spacing w:before="40" w:after="0" w:line="240" w:lineRule="auto"/>
              <w:jc w:val="both"/>
              <w:rPr>
                <w:rFonts w:eastAsia="Times New Roman" w:cs="Times New Roman"/>
                <w:noProof/>
                <w:szCs w:val="18"/>
              </w:rPr>
            </w:pPr>
            <w:r>
              <w:rPr>
                <w:noProof/>
              </w:rPr>
              <w:t>Apmācības programmu mūžizglītības stratēģijas pabeigšanas validācija</w:t>
            </w:r>
          </w:p>
        </w:tc>
      </w:tr>
      <w:tr w:rsidR="00CB0FCB" w14:paraId="1DF13EAA"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1960CC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159</w:t>
            </w:r>
          </w:p>
        </w:tc>
        <w:tc>
          <w:tcPr>
            <w:tcW w:w="4320" w:type="dxa"/>
            <w:tcBorders>
              <w:top w:val="nil"/>
              <w:left w:val="nil"/>
              <w:bottom w:val="single" w:sz="4" w:space="0" w:color="auto"/>
              <w:right w:val="single" w:sz="4" w:space="0" w:color="auto"/>
            </w:tcBorders>
            <w:shd w:val="clear" w:color="000000" w:fill="C6EFCE"/>
            <w:noWrap/>
            <w:vAlign w:val="center"/>
          </w:tcPr>
          <w:p w14:paraId="3474DCA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16755_Primārās veselības aprūpes sistēmas reforma</w:t>
            </w:r>
          </w:p>
        </w:tc>
        <w:tc>
          <w:tcPr>
            <w:tcW w:w="1680" w:type="dxa"/>
            <w:tcBorders>
              <w:top w:val="nil"/>
              <w:left w:val="nil"/>
              <w:bottom w:val="single" w:sz="4" w:space="0" w:color="auto"/>
              <w:right w:val="single" w:sz="4" w:space="0" w:color="auto"/>
            </w:tcBorders>
            <w:shd w:val="clear" w:color="000000" w:fill="C6EFCE"/>
            <w:noWrap/>
            <w:vAlign w:val="center"/>
          </w:tcPr>
          <w:p w14:paraId="02429D09"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508F20FC"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Primārās veselības aprūpes ģimenes medicīnas mācību programmu aktivizēšana </w:t>
            </w:r>
          </w:p>
        </w:tc>
      </w:tr>
      <w:tr w:rsidR="00CB0FCB" w14:paraId="5CBD3559"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AFDC57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160</w:t>
            </w:r>
          </w:p>
        </w:tc>
        <w:tc>
          <w:tcPr>
            <w:tcW w:w="4320" w:type="dxa"/>
            <w:tcBorders>
              <w:top w:val="nil"/>
              <w:left w:val="nil"/>
              <w:bottom w:val="single" w:sz="4" w:space="0" w:color="auto"/>
              <w:right w:val="single" w:sz="4" w:space="0" w:color="auto"/>
            </w:tcBorders>
            <w:shd w:val="clear" w:color="000000" w:fill="C6EFCE"/>
            <w:noWrap/>
            <w:vAlign w:val="center"/>
          </w:tcPr>
          <w:p w14:paraId="048C570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16820_Reforma garīgās veselības un atkarības jomā</w:t>
            </w:r>
          </w:p>
        </w:tc>
        <w:tc>
          <w:tcPr>
            <w:tcW w:w="1680" w:type="dxa"/>
            <w:tcBorders>
              <w:top w:val="nil"/>
              <w:left w:val="nil"/>
              <w:bottom w:val="single" w:sz="4" w:space="0" w:color="auto"/>
              <w:right w:val="single" w:sz="4" w:space="0" w:color="auto"/>
            </w:tcBorders>
            <w:shd w:val="clear" w:color="000000" w:fill="C6EFCE"/>
            <w:noWrap/>
            <w:vAlign w:val="center"/>
          </w:tcPr>
          <w:p w14:paraId="16F4166B"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000000" w:fill="C6EFCE"/>
            <w:noWrap/>
            <w:vAlign w:val="center"/>
          </w:tcPr>
          <w:p w14:paraId="2D0CBD0C" w14:textId="77777777" w:rsidR="00CB0FCB" w:rsidRDefault="009D2B11">
            <w:pPr>
              <w:pStyle w:val="P68B1DB1-Normal8"/>
              <w:keepNext/>
              <w:spacing w:before="40" w:after="0" w:line="240" w:lineRule="auto"/>
              <w:jc w:val="both"/>
              <w:rPr>
                <w:rFonts w:eastAsia="Times New Roman" w:cs="Times New Roman"/>
                <w:noProof/>
                <w:szCs w:val="18"/>
              </w:rPr>
            </w:pPr>
            <w:r>
              <w:rPr>
                <w:noProof/>
              </w:rPr>
              <w:t>Garīgā veselība — 50 vienības atvērtas — 1. posms no 2.</w:t>
            </w:r>
          </w:p>
        </w:tc>
      </w:tr>
      <w:tr w:rsidR="00CB0FCB" w14:paraId="74A1907F"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61B475D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211</w:t>
            </w:r>
          </w:p>
        </w:tc>
        <w:tc>
          <w:tcPr>
            <w:tcW w:w="4320" w:type="dxa"/>
            <w:tcBorders>
              <w:top w:val="nil"/>
              <w:left w:val="nil"/>
              <w:bottom w:val="single" w:sz="4" w:space="0" w:color="auto"/>
              <w:right w:val="single" w:sz="4" w:space="0" w:color="auto"/>
            </w:tcBorders>
            <w:shd w:val="clear" w:color="000000" w:fill="C6EFCE"/>
            <w:noWrap/>
            <w:vAlign w:val="center"/>
          </w:tcPr>
          <w:p w14:paraId="6318AEA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16952_ Valsts pretkorupcijas regulējuma stiprināšana, veicot mērķtiecīgus pasākumus atklāšanas, novēršanas un izpratnes veicināšanas jomā</w:t>
            </w:r>
          </w:p>
        </w:tc>
        <w:tc>
          <w:tcPr>
            <w:tcW w:w="1680" w:type="dxa"/>
            <w:tcBorders>
              <w:top w:val="nil"/>
              <w:left w:val="nil"/>
              <w:bottom w:val="single" w:sz="4" w:space="0" w:color="auto"/>
              <w:right w:val="single" w:sz="4" w:space="0" w:color="auto"/>
            </w:tcBorders>
            <w:shd w:val="clear" w:color="000000" w:fill="C6EFCE"/>
            <w:noWrap/>
            <w:vAlign w:val="center"/>
          </w:tcPr>
          <w:p w14:paraId="44F089A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5ADD3E08" w14:textId="77777777" w:rsidR="00CB0FCB" w:rsidRDefault="009D2B11">
            <w:pPr>
              <w:pStyle w:val="P68B1DB1-Normal8"/>
              <w:keepNext/>
              <w:spacing w:before="40" w:after="0" w:line="240" w:lineRule="auto"/>
              <w:jc w:val="both"/>
              <w:rPr>
                <w:rFonts w:eastAsia="Times New Roman" w:cs="Times New Roman"/>
                <w:noProof/>
                <w:szCs w:val="18"/>
              </w:rPr>
            </w:pPr>
            <w:r>
              <w:rPr>
                <w:noProof/>
              </w:rPr>
              <w:t>Iekšējās kontroles tiesību aktu īstenošana</w:t>
            </w:r>
          </w:p>
        </w:tc>
      </w:tr>
      <w:tr w:rsidR="00CB0FCB" w14:paraId="2DD48666"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5313EE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214</w:t>
            </w:r>
          </w:p>
        </w:tc>
        <w:tc>
          <w:tcPr>
            <w:tcW w:w="4320" w:type="dxa"/>
            <w:tcBorders>
              <w:top w:val="nil"/>
              <w:left w:val="nil"/>
              <w:bottom w:val="single" w:sz="4" w:space="0" w:color="auto"/>
              <w:right w:val="single" w:sz="4" w:space="0" w:color="auto"/>
            </w:tcBorders>
            <w:shd w:val="clear" w:color="000000" w:fill="C6EFCE"/>
            <w:noWrap/>
            <w:vAlign w:val="center"/>
          </w:tcPr>
          <w:p w14:paraId="7D485F1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16701_Uzlabot valsts atbalsta tīklu</w:t>
            </w:r>
          </w:p>
        </w:tc>
        <w:tc>
          <w:tcPr>
            <w:tcW w:w="1680" w:type="dxa"/>
            <w:tcBorders>
              <w:top w:val="nil"/>
              <w:left w:val="nil"/>
              <w:bottom w:val="single" w:sz="4" w:space="0" w:color="auto"/>
              <w:right w:val="single" w:sz="4" w:space="0" w:color="auto"/>
            </w:tcBorders>
            <w:shd w:val="clear" w:color="000000" w:fill="C6EFCE"/>
            <w:noWrap/>
            <w:vAlign w:val="center"/>
          </w:tcPr>
          <w:p w14:paraId="5C75EB5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32D19882" w14:textId="77777777" w:rsidR="00CB0FCB" w:rsidRDefault="009D2B11">
            <w:pPr>
              <w:pStyle w:val="P68B1DB1-Normal8"/>
              <w:keepNext/>
              <w:spacing w:before="40" w:after="0" w:line="240" w:lineRule="auto"/>
              <w:jc w:val="both"/>
              <w:rPr>
                <w:rFonts w:eastAsia="Times New Roman" w:cs="Times New Roman"/>
                <w:noProof/>
                <w:szCs w:val="18"/>
              </w:rPr>
            </w:pPr>
            <w:r>
              <w:rPr>
                <w:noProof/>
              </w:rPr>
              <w:t>Uzlabots valsts atbalsta tīkls</w:t>
            </w:r>
          </w:p>
        </w:tc>
      </w:tr>
      <w:tr w:rsidR="00CB0FCB" w14:paraId="69BEA6F0"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D34C25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215</w:t>
            </w:r>
          </w:p>
        </w:tc>
        <w:tc>
          <w:tcPr>
            <w:tcW w:w="4320" w:type="dxa"/>
            <w:tcBorders>
              <w:top w:val="nil"/>
              <w:left w:val="nil"/>
              <w:bottom w:val="single" w:sz="4" w:space="0" w:color="auto"/>
              <w:right w:val="single" w:sz="4" w:space="0" w:color="auto"/>
            </w:tcBorders>
            <w:shd w:val="clear" w:color="000000" w:fill="C6EFCE"/>
            <w:noWrap/>
            <w:vAlign w:val="center"/>
          </w:tcPr>
          <w:p w14:paraId="7C110BF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16981_Politikas plānošanas un koordinācijas uzlabošana</w:t>
            </w:r>
          </w:p>
        </w:tc>
        <w:tc>
          <w:tcPr>
            <w:tcW w:w="1680" w:type="dxa"/>
            <w:tcBorders>
              <w:top w:val="nil"/>
              <w:left w:val="nil"/>
              <w:bottom w:val="single" w:sz="4" w:space="0" w:color="auto"/>
              <w:right w:val="single" w:sz="4" w:space="0" w:color="auto"/>
            </w:tcBorders>
            <w:shd w:val="clear" w:color="000000" w:fill="C6EFCE"/>
            <w:noWrap/>
            <w:vAlign w:val="center"/>
          </w:tcPr>
          <w:p w14:paraId="350462E3"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045270D1" w14:textId="77777777" w:rsidR="00CB0FCB" w:rsidRDefault="009D2B11">
            <w:pPr>
              <w:pStyle w:val="P68B1DB1-Normal8"/>
              <w:keepNext/>
              <w:spacing w:before="40" w:after="0" w:line="240" w:lineRule="auto"/>
              <w:jc w:val="both"/>
              <w:rPr>
                <w:rFonts w:eastAsia="Times New Roman" w:cs="Times New Roman"/>
                <w:noProof/>
                <w:szCs w:val="18"/>
              </w:rPr>
            </w:pPr>
            <w:r>
              <w:rPr>
                <w:noProof/>
              </w:rPr>
              <w:t>Politikas plānošana un koordinācija — ietekmes novērtējums</w:t>
            </w:r>
          </w:p>
        </w:tc>
      </w:tr>
      <w:tr w:rsidR="00CB0FCB" w14:paraId="2E0B186B"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2173B0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226</w:t>
            </w:r>
          </w:p>
        </w:tc>
        <w:tc>
          <w:tcPr>
            <w:tcW w:w="4320" w:type="dxa"/>
            <w:tcBorders>
              <w:top w:val="nil"/>
              <w:left w:val="nil"/>
              <w:bottom w:val="single" w:sz="4" w:space="0" w:color="auto"/>
              <w:right w:val="single" w:sz="4" w:space="0" w:color="auto"/>
            </w:tcBorders>
            <w:shd w:val="clear" w:color="000000" w:fill="C6EFCE"/>
            <w:noWrap/>
            <w:vAlign w:val="center"/>
          </w:tcPr>
          <w:p w14:paraId="604130D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16575 tiesvedības paātrināšana</w:t>
            </w:r>
          </w:p>
        </w:tc>
        <w:tc>
          <w:tcPr>
            <w:tcW w:w="1680" w:type="dxa"/>
            <w:tcBorders>
              <w:top w:val="nil"/>
              <w:left w:val="nil"/>
              <w:bottom w:val="single" w:sz="4" w:space="0" w:color="auto"/>
              <w:right w:val="single" w:sz="4" w:space="0" w:color="auto"/>
            </w:tcBorders>
            <w:shd w:val="clear" w:color="000000" w:fill="C6EFCE"/>
            <w:noWrap/>
            <w:vAlign w:val="center"/>
          </w:tcPr>
          <w:p w14:paraId="3FFBC77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39207A92" w14:textId="77777777" w:rsidR="00CB0FCB" w:rsidRDefault="009D2B11">
            <w:pPr>
              <w:pStyle w:val="P68B1DB1-Normal8"/>
              <w:keepNext/>
              <w:spacing w:before="40" w:after="0" w:line="240" w:lineRule="auto"/>
              <w:jc w:val="both"/>
              <w:rPr>
                <w:rFonts w:eastAsia="Times New Roman" w:cs="Times New Roman"/>
                <w:noProof/>
                <w:szCs w:val="18"/>
              </w:rPr>
            </w:pPr>
            <w:r>
              <w:rPr>
                <w:noProof/>
              </w:rPr>
              <w:t>Tiesu karte — primārie tiesību akti — administratīvie</w:t>
            </w:r>
          </w:p>
        </w:tc>
      </w:tr>
      <w:tr w:rsidR="00CB0FCB" w14:paraId="78C7A6A8"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AB4917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227</w:t>
            </w:r>
          </w:p>
        </w:tc>
        <w:tc>
          <w:tcPr>
            <w:tcW w:w="4320" w:type="dxa"/>
            <w:tcBorders>
              <w:top w:val="nil"/>
              <w:left w:val="nil"/>
              <w:bottom w:val="single" w:sz="4" w:space="0" w:color="auto"/>
              <w:right w:val="single" w:sz="4" w:space="0" w:color="auto"/>
            </w:tcBorders>
            <w:shd w:val="clear" w:color="000000" w:fill="C6EFCE"/>
            <w:noWrap/>
            <w:vAlign w:val="center"/>
          </w:tcPr>
          <w:p w14:paraId="7C3E79B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16292_Jaunas tiesu ēkas</w:t>
            </w:r>
          </w:p>
        </w:tc>
        <w:tc>
          <w:tcPr>
            <w:tcW w:w="1680" w:type="dxa"/>
            <w:tcBorders>
              <w:top w:val="nil"/>
              <w:left w:val="nil"/>
              <w:bottom w:val="single" w:sz="4" w:space="0" w:color="auto"/>
              <w:right w:val="single" w:sz="4" w:space="0" w:color="auto"/>
            </w:tcBorders>
            <w:shd w:val="clear" w:color="000000" w:fill="C6EFCE"/>
            <w:noWrap/>
            <w:vAlign w:val="center"/>
          </w:tcPr>
          <w:p w14:paraId="03CF834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000000" w:fill="C6EFCE"/>
            <w:noWrap/>
            <w:vAlign w:val="center"/>
          </w:tcPr>
          <w:p w14:paraId="4AECC829" w14:textId="77777777" w:rsidR="00CB0FCB" w:rsidRDefault="009D2B11">
            <w:pPr>
              <w:pStyle w:val="P68B1DB1-Normal8"/>
              <w:keepNext/>
              <w:spacing w:before="40" w:after="0" w:line="240" w:lineRule="auto"/>
              <w:jc w:val="both"/>
              <w:rPr>
                <w:rFonts w:eastAsia="Times New Roman" w:cs="Times New Roman"/>
                <w:noProof/>
                <w:szCs w:val="18"/>
              </w:rPr>
            </w:pPr>
            <w:r>
              <w:rPr>
                <w:noProof/>
              </w:rPr>
              <w:t>Tiesu iestāžu ēku būvniecība un renovācija — Pielāgošana sarakstā — iepirkumu izsludināšana</w:t>
            </w:r>
          </w:p>
        </w:tc>
      </w:tr>
      <w:tr w:rsidR="00CB0FCB" w14:paraId="17516E5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E516C1A" w14:textId="77777777" w:rsidR="00CB0FCB" w:rsidRDefault="00CB0FCB">
            <w:pPr>
              <w:keepNext/>
              <w:spacing w:before="40" w:after="0" w:line="240"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34ACD8AB" w14:textId="77777777" w:rsidR="00CB0FCB" w:rsidRDefault="00CB0FCB">
            <w:pPr>
              <w:keepNext/>
              <w:spacing w:before="40" w:after="0" w:line="240"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tcPr>
          <w:p w14:paraId="6600ECF0" w14:textId="77777777" w:rsidR="00CB0FCB" w:rsidRDefault="009D2B11">
            <w:pPr>
              <w:pStyle w:val="P68B1DB1-Normal8"/>
              <w:keepNext/>
              <w:spacing w:before="40" w:after="0" w:line="240" w:lineRule="auto"/>
              <w:jc w:val="both"/>
              <w:rPr>
                <w:rFonts w:eastAsia="Times New Roman" w:cs="Times New Roman"/>
                <w:noProof/>
                <w:szCs w:val="18"/>
              </w:rPr>
            </w:pPr>
            <w:r>
              <w:rPr>
                <w:noProof/>
              </w:rPr>
              <w:t>Maksājuma summa</w:t>
            </w:r>
          </w:p>
        </w:tc>
        <w:tc>
          <w:tcPr>
            <w:tcW w:w="1800" w:type="dxa"/>
            <w:tcBorders>
              <w:top w:val="single" w:sz="4" w:space="0" w:color="auto"/>
              <w:left w:val="nil"/>
              <w:bottom w:val="single" w:sz="4" w:space="0" w:color="auto"/>
              <w:right w:val="single" w:sz="4" w:space="0" w:color="auto"/>
            </w:tcBorders>
            <w:shd w:val="clear" w:color="auto" w:fill="C6EFCE"/>
            <w:noWrap/>
            <w:vAlign w:val="bottom"/>
          </w:tcPr>
          <w:p w14:paraId="4C8EA4B4" w14:textId="77777777" w:rsidR="00CB0FCB" w:rsidRDefault="009D2B11">
            <w:pPr>
              <w:pStyle w:val="P68B1DB1-Normal8"/>
              <w:keepNext/>
              <w:spacing w:before="40" w:after="0" w:line="240" w:lineRule="auto"/>
              <w:jc w:val="both"/>
              <w:rPr>
                <w:rFonts w:eastAsia="Times New Roman" w:cs="Times New Roman"/>
                <w:noProof/>
                <w:szCs w:val="18"/>
              </w:rPr>
            </w:pPr>
            <w:r>
              <w:rPr>
                <w:noProof/>
              </w:rPr>
              <w:t>EUR 1974438067</w:t>
            </w:r>
          </w:p>
        </w:tc>
      </w:tr>
    </w:tbl>
    <w:p w14:paraId="59235CDB"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074ACF41" w14:textId="07EA229A" w:rsidR="00CB0FCB" w:rsidRDefault="009D2B11">
      <w:pPr>
        <w:pStyle w:val="P68B1DB1-Normal4"/>
        <w:keepNext/>
        <w:numPr>
          <w:ilvl w:val="1"/>
          <w:numId w:val="22"/>
        </w:numPr>
        <w:spacing w:before="40" w:after="0" w:line="259" w:lineRule="auto"/>
        <w:ind w:left="0"/>
        <w:contextualSpacing/>
        <w:jc w:val="both"/>
        <w:rPr>
          <w:rFonts w:eastAsia="Times New Roman" w:cs="Times New Roman"/>
          <w:i/>
          <w:noProof/>
          <w:color w:val="4F81BD"/>
        </w:rPr>
      </w:pPr>
      <w:r>
        <w:rPr>
          <w:noProof/>
        </w:rPr>
        <w:t xml:space="preserve"> Ceturtais maksājuma pieprasījums (neatmaksājams atbalsts): </w:t>
      </w:r>
    </w:p>
    <w:p w14:paraId="37CE66CE" w14:textId="77777777" w:rsidR="00CB0FCB" w:rsidRDefault="00CB0FCB">
      <w:pPr>
        <w:keepNext/>
        <w:spacing w:before="40" w:after="0" w:line="259" w:lineRule="auto"/>
        <w:contextualSpacing/>
        <w:jc w:val="both"/>
        <w:rPr>
          <w:rFonts w:ascii="Times New Roman" w:eastAsia="Times New Roman" w:hAnsi="Times New Roman" w:cs="Times New Roman"/>
          <w:i/>
          <w:noProof/>
          <w:color w:val="4F81BD"/>
          <w:sz w:val="24"/>
        </w:rPr>
      </w:pPr>
    </w:p>
    <w:tbl>
      <w:tblPr>
        <w:tblpPr w:leftFromText="180" w:rightFromText="180" w:vertAnchor="text" w:tblpX="-252" w:tblpY="1"/>
        <w:tblOverlap w:val="never"/>
        <w:tblW w:w="9595" w:type="dxa"/>
        <w:tblLayout w:type="fixed"/>
        <w:tblLook w:val="04A0" w:firstRow="1" w:lastRow="0" w:firstColumn="1" w:lastColumn="0" w:noHBand="0" w:noVBand="1"/>
      </w:tblPr>
      <w:tblGrid>
        <w:gridCol w:w="1795"/>
        <w:gridCol w:w="4320"/>
        <w:gridCol w:w="1680"/>
        <w:gridCol w:w="1800"/>
      </w:tblGrid>
      <w:tr w:rsidR="00CB0FCB" w14:paraId="6B21D3DA"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1F9CF1" w14:textId="77777777" w:rsidR="00CB0FCB" w:rsidRDefault="009D2B11">
            <w:pPr>
              <w:pStyle w:val="P68B1DB1-Normal7"/>
              <w:keepNext/>
              <w:spacing w:before="40" w:after="0" w:line="259" w:lineRule="auto"/>
              <w:jc w:val="both"/>
              <w:rPr>
                <w:rFonts w:eastAsia="Times New Roman" w:cs="Times New Roman"/>
                <w:bCs/>
                <w:noProof/>
                <w:szCs w:val="18"/>
              </w:rPr>
            </w:pPr>
            <w:r>
              <w:rPr>
                <w:noProof/>
              </w:rPr>
              <w:t>Kārtas numurs</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D4A616" w14:textId="77777777" w:rsidR="00CB0FCB" w:rsidRDefault="009D2B11">
            <w:pPr>
              <w:pStyle w:val="P68B1DB1-Normal7"/>
              <w:keepNext/>
              <w:spacing w:before="40" w:after="0" w:line="259" w:lineRule="auto"/>
              <w:jc w:val="both"/>
              <w:rPr>
                <w:rFonts w:eastAsia="Times New Roman" w:cs="Times New Roman"/>
                <w:bCs/>
                <w:noProof/>
                <w:szCs w:val="18"/>
              </w:rPr>
            </w:pPr>
            <w:r>
              <w:rPr>
                <w:noProof/>
              </w:rPr>
              <w:t>Saistītais pasākums (reforma vai ieguldījums)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F48059" w14:textId="77777777" w:rsidR="00CB0FCB" w:rsidRDefault="009D2B11">
            <w:pPr>
              <w:pStyle w:val="P68B1DB1-Normal7"/>
              <w:keepNext/>
              <w:spacing w:before="40" w:after="0" w:line="259" w:lineRule="auto"/>
              <w:jc w:val="both"/>
              <w:rPr>
                <w:rFonts w:eastAsia="Times New Roman" w:cs="Times New Roman"/>
                <w:bCs/>
                <w:noProof/>
                <w:szCs w:val="18"/>
              </w:rPr>
            </w:pPr>
            <w:r>
              <w:rPr>
                <w:noProof/>
              </w:rPr>
              <w:t>Atskaites punkts/mērķrādītājs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EC8E75" w14:textId="77777777" w:rsidR="00CB0FCB" w:rsidRDefault="009D2B11">
            <w:pPr>
              <w:pStyle w:val="P68B1DB1-Normal7"/>
              <w:keepNext/>
              <w:spacing w:before="40" w:after="0" w:line="259" w:lineRule="auto"/>
              <w:jc w:val="both"/>
              <w:rPr>
                <w:rFonts w:eastAsia="Times New Roman" w:cs="Times New Roman"/>
                <w:bCs/>
                <w:noProof/>
                <w:szCs w:val="18"/>
              </w:rPr>
            </w:pPr>
            <w:r>
              <w:rPr>
                <w:noProof/>
              </w:rPr>
              <w:t>Nosaukums</w:t>
            </w:r>
          </w:p>
        </w:tc>
      </w:tr>
      <w:tr w:rsidR="00CB0FCB" w14:paraId="5BFA6549" w14:textId="77777777">
        <w:trPr>
          <w:trHeight w:val="509"/>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0BC938A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left w:val="single" w:sz="4" w:space="0" w:color="auto"/>
              <w:right w:val="single" w:sz="4" w:space="0" w:color="auto"/>
            </w:tcBorders>
            <w:vAlign w:val="center"/>
            <w:hideMark/>
          </w:tcPr>
          <w:p w14:paraId="418E2838"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05A9BADF"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B72BE46"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0D49D0BF"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0C83E7" w14:textId="77777777" w:rsidR="00CB0FCB" w:rsidRDefault="009D2B11">
            <w:pPr>
              <w:pStyle w:val="P68B1DB1-Normal8"/>
              <w:keepNext/>
              <w:spacing w:before="40" w:after="0" w:line="240" w:lineRule="auto"/>
              <w:jc w:val="both"/>
              <w:rPr>
                <w:noProof/>
              </w:rPr>
            </w:pPr>
            <w:r>
              <w:rPr>
                <w:noProof/>
              </w:rPr>
              <w:t>7</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6B2CFB59" w14:textId="77777777" w:rsidR="00CB0FCB" w:rsidRDefault="009D2B11">
            <w:pPr>
              <w:pStyle w:val="P68B1DB1-Normal8"/>
              <w:keepNext/>
              <w:spacing w:before="40" w:after="0" w:line="240" w:lineRule="auto"/>
              <w:jc w:val="both"/>
              <w:rPr>
                <w:noProof/>
              </w:rPr>
            </w:pPr>
            <w:r>
              <w:rPr>
                <w:noProof/>
              </w:rPr>
              <w:t>1–1.1. Elektroenerģijas palielināšana — 16865_AER CHP konta ieņēmumu pārstrukturēšana un uzlabošana</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37B37BA5" w14:textId="77777777" w:rsidR="00CB0FCB" w:rsidRDefault="009D2B11">
            <w:pPr>
              <w:pStyle w:val="P68B1DB1-Normal8"/>
              <w:keepNext/>
              <w:spacing w:before="40" w:after="0" w:line="240" w:lineRule="auto"/>
              <w:jc w:val="both"/>
              <w:rPr>
                <w:noProof/>
              </w:rPr>
            </w:pPr>
            <w:r>
              <w:rPr>
                <w:noProof/>
              </w:rPr>
              <w:t>Mērķa</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7B9B3B96" w14:textId="77777777" w:rsidR="00CB0FCB" w:rsidRDefault="009D2B11">
            <w:pPr>
              <w:pStyle w:val="P68B1DB1-Normal8"/>
              <w:keepNext/>
              <w:spacing w:before="40" w:after="0" w:line="240" w:lineRule="auto"/>
              <w:jc w:val="both"/>
              <w:rPr>
                <w:noProof/>
              </w:rPr>
            </w:pPr>
            <w:r>
              <w:rPr>
                <w:noProof/>
              </w:rPr>
              <w:t>AER konts — jaudas palielināšanas 2. mērķis</w:t>
            </w:r>
          </w:p>
        </w:tc>
      </w:tr>
      <w:tr w:rsidR="00CB0FCB" w14:paraId="5BA0ADB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3D9EE8D" w14:textId="77777777" w:rsidR="00CB0FCB" w:rsidRDefault="009D2B11">
            <w:pPr>
              <w:pStyle w:val="P68B1DB1-Normal8"/>
              <w:keepNext/>
              <w:spacing w:before="40" w:after="0" w:line="240" w:lineRule="auto"/>
              <w:jc w:val="both"/>
              <w:rPr>
                <w:rFonts w:eastAsia="Times New Roman" w:cs="Times New Roman"/>
                <w:noProof/>
                <w:szCs w:val="18"/>
              </w:rPr>
            </w:pPr>
            <w:r>
              <w:rPr>
                <w:noProof/>
              </w:rPr>
              <w:t>37</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3AA175C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Renovate — 16932_Olympic Atēnu vieglatlētikas centrs</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5F305C5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5D53318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OAKA — Līguma slēgšanas tiesību piešķiršana</w:t>
            </w:r>
          </w:p>
        </w:tc>
      </w:tr>
      <w:tr w:rsidR="00CB0FCB" w14:paraId="4264ECC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E340D02" w14:textId="77777777" w:rsidR="00CB0FCB" w:rsidRDefault="009D2B11">
            <w:pPr>
              <w:pStyle w:val="P68B1DB1-Normal8"/>
              <w:keepNext/>
              <w:spacing w:before="40" w:after="0" w:line="240" w:lineRule="auto"/>
              <w:jc w:val="both"/>
              <w:rPr>
                <w:rFonts w:eastAsia="Times New Roman" w:cs="Times New Roman"/>
                <w:noProof/>
                <w:szCs w:val="18"/>
              </w:rPr>
            </w:pPr>
            <w:r>
              <w:rPr>
                <w:noProof/>
              </w:rPr>
              <w:t>228</w:t>
            </w:r>
          </w:p>
        </w:tc>
        <w:tc>
          <w:tcPr>
            <w:tcW w:w="4320" w:type="dxa"/>
            <w:tcBorders>
              <w:top w:val="nil"/>
              <w:left w:val="nil"/>
              <w:bottom w:val="single" w:sz="4" w:space="0" w:color="auto"/>
              <w:right w:val="single" w:sz="4" w:space="0" w:color="auto"/>
            </w:tcBorders>
            <w:shd w:val="clear" w:color="auto" w:fill="C6EFCE"/>
            <w:noWrap/>
            <w:vAlign w:val="center"/>
          </w:tcPr>
          <w:p w14:paraId="6DE3D7E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16733_Prasmes un digitālās prasmes tiesnešiem un tiesu iestāžu darbiniekiem (tiesu iestāžu darbiniekiem)</w:t>
            </w:r>
          </w:p>
        </w:tc>
        <w:tc>
          <w:tcPr>
            <w:tcW w:w="1680" w:type="dxa"/>
            <w:tcBorders>
              <w:top w:val="nil"/>
              <w:left w:val="nil"/>
              <w:bottom w:val="single" w:sz="4" w:space="0" w:color="auto"/>
              <w:right w:val="single" w:sz="4" w:space="0" w:color="auto"/>
            </w:tcBorders>
            <w:shd w:val="clear" w:color="auto" w:fill="C6EFCE"/>
            <w:noWrap/>
            <w:vAlign w:val="center"/>
          </w:tcPr>
          <w:p w14:paraId="58DF5C8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0BEDF1E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Mācības — Tiesneši un ierēdņi</w:t>
            </w:r>
          </w:p>
        </w:tc>
      </w:tr>
      <w:tr w:rsidR="00CB0FCB" w14:paraId="6262273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4DB5B7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w:t>
            </w:r>
          </w:p>
        </w:tc>
        <w:tc>
          <w:tcPr>
            <w:tcW w:w="4320" w:type="dxa"/>
            <w:tcBorders>
              <w:top w:val="nil"/>
              <w:left w:val="nil"/>
              <w:bottom w:val="single" w:sz="4" w:space="0" w:color="auto"/>
              <w:right w:val="single" w:sz="4" w:space="0" w:color="auto"/>
            </w:tcBorders>
            <w:shd w:val="clear" w:color="auto" w:fill="C6EFCE"/>
            <w:noWrap/>
            <w:vAlign w:val="center"/>
          </w:tcPr>
          <w:p w14:paraId="5E4FC1C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Elektroenerģijas palielināšana — 16870_Intervences salu elektrotīklu starpsavienojumiem un elektroenerģijas tīkla modernizācijai</w:t>
            </w:r>
          </w:p>
        </w:tc>
        <w:tc>
          <w:tcPr>
            <w:tcW w:w="1680" w:type="dxa"/>
            <w:tcBorders>
              <w:top w:val="nil"/>
              <w:left w:val="nil"/>
              <w:bottom w:val="single" w:sz="4" w:space="0" w:color="auto"/>
              <w:right w:val="single" w:sz="4" w:space="0" w:color="auto"/>
            </w:tcBorders>
            <w:shd w:val="clear" w:color="auto" w:fill="C6EFCE"/>
            <w:noWrap/>
            <w:vAlign w:val="center"/>
          </w:tcPr>
          <w:p w14:paraId="34CA1DA7"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48E05D25" w14:textId="77777777" w:rsidR="00CB0FCB" w:rsidRDefault="009D2B11">
            <w:pPr>
              <w:pStyle w:val="P68B1DB1-Normal8"/>
              <w:keepNext/>
              <w:spacing w:before="40" w:after="0" w:line="240" w:lineRule="auto"/>
              <w:jc w:val="both"/>
              <w:rPr>
                <w:rFonts w:eastAsia="Times New Roman" w:cs="Times New Roman"/>
                <w:noProof/>
                <w:szCs w:val="18"/>
              </w:rPr>
            </w:pPr>
            <w:r>
              <w:rPr>
                <w:noProof/>
              </w:rPr>
              <w:t>Salu starpsavienojums — līgumu slēgšanas tiesību piešķiršana</w:t>
            </w:r>
          </w:p>
        </w:tc>
      </w:tr>
      <w:tr w:rsidR="00CB0FCB" w14:paraId="33A1337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A881DF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w:t>
            </w:r>
          </w:p>
        </w:tc>
        <w:tc>
          <w:tcPr>
            <w:tcW w:w="4320" w:type="dxa"/>
            <w:tcBorders>
              <w:top w:val="nil"/>
              <w:left w:val="nil"/>
              <w:bottom w:val="single" w:sz="4" w:space="0" w:color="auto"/>
              <w:right w:val="single" w:sz="4" w:space="0" w:color="auto"/>
            </w:tcBorders>
            <w:shd w:val="clear" w:color="auto" w:fill="C6EFCE"/>
            <w:noWrap/>
            <w:vAlign w:val="center"/>
          </w:tcPr>
          <w:p w14:paraId="02F329B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Elektroenerģijas palielināšana — 16865_AER CHP konta ieņēmumu pārstrukturēšana un uzlabošana</w:t>
            </w:r>
          </w:p>
        </w:tc>
        <w:tc>
          <w:tcPr>
            <w:tcW w:w="1680" w:type="dxa"/>
            <w:tcBorders>
              <w:top w:val="nil"/>
              <w:left w:val="nil"/>
              <w:bottom w:val="single" w:sz="4" w:space="0" w:color="auto"/>
              <w:right w:val="single" w:sz="4" w:space="0" w:color="auto"/>
            </w:tcBorders>
            <w:shd w:val="clear" w:color="auto" w:fill="C6EFCE"/>
            <w:noWrap/>
            <w:vAlign w:val="center"/>
          </w:tcPr>
          <w:p w14:paraId="4592EFF2"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310BFACC" w14:textId="77777777" w:rsidR="00CB0FCB" w:rsidRDefault="009D2B11">
            <w:pPr>
              <w:pStyle w:val="P68B1DB1-Normal8"/>
              <w:keepNext/>
              <w:spacing w:before="40" w:after="0" w:line="240" w:lineRule="auto"/>
              <w:jc w:val="both"/>
              <w:rPr>
                <w:rFonts w:eastAsia="Times New Roman" w:cs="Times New Roman"/>
                <w:noProof/>
                <w:szCs w:val="18"/>
              </w:rPr>
            </w:pPr>
            <w:r>
              <w:rPr>
                <w:noProof/>
              </w:rPr>
              <w:t>AER konts — jaudas palielināšanas mērķis Nr. 1</w:t>
            </w:r>
          </w:p>
        </w:tc>
      </w:tr>
      <w:tr w:rsidR="00CB0FCB" w14:paraId="495E2C2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A3FF70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w:t>
            </w:r>
          </w:p>
        </w:tc>
        <w:tc>
          <w:tcPr>
            <w:tcW w:w="4320" w:type="dxa"/>
            <w:tcBorders>
              <w:top w:val="nil"/>
              <w:left w:val="nil"/>
              <w:bottom w:val="single" w:sz="4" w:space="0" w:color="auto"/>
              <w:right w:val="single" w:sz="4" w:space="0" w:color="auto"/>
            </w:tcBorders>
            <w:shd w:val="clear" w:color="auto" w:fill="C6EFCE"/>
            <w:noWrap/>
            <w:vAlign w:val="center"/>
          </w:tcPr>
          <w:p w14:paraId="12F5AEF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Jaudas palielināšana — 16926_Atbalsts uzglabāšanas sistēmu uzstādīšanai, lai veicinātu AER iekļūšanu</w:t>
            </w:r>
          </w:p>
        </w:tc>
        <w:tc>
          <w:tcPr>
            <w:tcW w:w="1680" w:type="dxa"/>
            <w:tcBorders>
              <w:top w:val="nil"/>
              <w:left w:val="nil"/>
              <w:bottom w:val="single" w:sz="4" w:space="0" w:color="auto"/>
              <w:right w:val="single" w:sz="4" w:space="0" w:color="auto"/>
            </w:tcBorders>
            <w:shd w:val="clear" w:color="auto" w:fill="C6EFCE"/>
            <w:noWrap/>
            <w:vAlign w:val="center"/>
          </w:tcPr>
          <w:p w14:paraId="76466CF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6CEDF6E" w14:textId="77777777" w:rsidR="00CB0FCB" w:rsidRDefault="009D2B11">
            <w:pPr>
              <w:pStyle w:val="P68B1DB1-Normal8"/>
              <w:keepNext/>
              <w:spacing w:before="40" w:after="0" w:line="240" w:lineRule="auto"/>
              <w:jc w:val="both"/>
              <w:rPr>
                <w:rFonts w:eastAsia="Times New Roman" w:cs="Times New Roman"/>
                <w:noProof/>
                <w:szCs w:val="18"/>
              </w:rPr>
            </w:pPr>
            <w:r>
              <w:rPr>
                <w:noProof/>
              </w:rPr>
              <w:t>Uzglabāšana — līgumi</w:t>
            </w:r>
          </w:p>
        </w:tc>
      </w:tr>
      <w:tr w:rsidR="00CB0FCB" w14:paraId="6D2CF28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CD04F3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34</w:t>
            </w:r>
          </w:p>
        </w:tc>
        <w:tc>
          <w:tcPr>
            <w:tcW w:w="4320" w:type="dxa"/>
            <w:tcBorders>
              <w:top w:val="nil"/>
              <w:left w:val="nil"/>
              <w:bottom w:val="single" w:sz="4" w:space="0" w:color="auto"/>
              <w:right w:val="single" w:sz="4" w:space="0" w:color="auto"/>
            </w:tcBorders>
            <w:shd w:val="clear" w:color="auto" w:fill="C6EFCE"/>
            <w:noWrap/>
            <w:vAlign w:val="center"/>
          </w:tcPr>
          <w:p w14:paraId="1E7C17F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xml:space="preserve">2–1.2. Renovācija — 16876_Publiskā sektora ēku energomodernizācija </w:t>
            </w:r>
          </w:p>
        </w:tc>
        <w:tc>
          <w:tcPr>
            <w:tcW w:w="1680" w:type="dxa"/>
            <w:tcBorders>
              <w:top w:val="nil"/>
              <w:left w:val="nil"/>
              <w:bottom w:val="single" w:sz="4" w:space="0" w:color="auto"/>
              <w:right w:val="single" w:sz="4" w:space="0" w:color="auto"/>
            </w:tcBorders>
            <w:shd w:val="clear" w:color="auto" w:fill="C6EFCE"/>
            <w:noWrap/>
            <w:vAlign w:val="center"/>
          </w:tcPr>
          <w:p w14:paraId="19B166C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45BFE124" w14:textId="77777777" w:rsidR="00CB0FCB" w:rsidRDefault="009D2B11">
            <w:pPr>
              <w:pStyle w:val="P68B1DB1-Normal8"/>
              <w:keepNext/>
              <w:spacing w:before="40" w:after="0" w:line="240" w:lineRule="auto"/>
              <w:jc w:val="both"/>
              <w:rPr>
                <w:rFonts w:eastAsia="Times New Roman" w:cs="Times New Roman"/>
                <w:noProof/>
                <w:szCs w:val="18"/>
              </w:rPr>
            </w:pPr>
            <w:r>
              <w:rPr>
                <w:noProof/>
              </w:rPr>
              <w:t>Sabiedrisko ēku energoefektivitāte — apstiprinātie pieteikumi</w:t>
            </w:r>
          </w:p>
        </w:tc>
      </w:tr>
      <w:tr w:rsidR="00CB0FCB" w14:paraId="7562B03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061E83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61</w:t>
            </w:r>
          </w:p>
        </w:tc>
        <w:tc>
          <w:tcPr>
            <w:tcW w:w="4320" w:type="dxa"/>
            <w:tcBorders>
              <w:top w:val="nil"/>
              <w:left w:val="nil"/>
              <w:bottom w:val="single" w:sz="4" w:space="0" w:color="auto"/>
              <w:right w:val="single" w:sz="4" w:space="0" w:color="auto"/>
            </w:tcBorders>
            <w:shd w:val="clear" w:color="auto" w:fill="C6EFCE"/>
            <w:noWrap/>
            <w:vAlign w:val="center"/>
          </w:tcPr>
          <w:p w14:paraId="77162320" w14:textId="77777777" w:rsidR="00CB0FCB" w:rsidRDefault="009D2B11">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4–1.4. Resursu ilgtspējīga izmantošana, klimatnoturība un vides aizsardzība — 16849_Nacionālais meža atjaunošanas plāns, </w:t>
            </w:r>
            <w:r>
              <w:rPr>
                <w:noProof/>
              </w:rPr>
              <w:t xml:space="preserve"> </w:t>
            </w:r>
            <w:r>
              <w:rPr>
                <w:rFonts w:ascii="Times New Roman" w:hAnsi="Times New Roman"/>
                <w:noProof/>
                <w:sz w:val="18"/>
              </w:rPr>
              <w:t>atjaunošana un novēršana (“antiNERO”), preterozijas un pretplūdu aizsardzības pasākumi</w:t>
            </w:r>
          </w:p>
        </w:tc>
        <w:tc>
          <w:tcPr>
            <w:tcW w:w="1680" w:type="dxa"/>
            <w:tcBorders>
              <w:top w:val="nil"/>
              <w:left w:val="nil"/>
              <w:bottom w:val="single" w:sz="4" w:space="0" w:color="auto"/>
              <w:right w:val="single" w:sz="4" w:space="0" w:color="auto"/>
            </w:tcBorders>
            <w:shd w:val="clear" w:color="auto" w:fill="C6EFCE"/>
            <w:noWrap/>
            <w:vAlign w:val="center"/>
          </w:tcPr>
          <w:p w14:paraId="274E75C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809A745" w14:textId="77777777" w:rsidR="00CB0FCB" w:rsidRDefault="009D2B11">
            <w:pPr>
              <w:pStyle w:val="P68B1DB1-Normal8"/>
              <w:keepNext/>
              <w:spacing w:before="40" w:after="0" w:line="240" w:lineRule="auto"/>
              <w:jc w:val="both"/>
              <w:rPr>
                <w:rFonts w:eastAsia="Times New Roman" w:cs="Times New Roman"/>
                <w:noProof/>
                <w:szCs w:val="18"/>
              </w:rPr>
            </w:pPr>
            <w:r>
              <w:rPr>
                <w:noProof/>
              </w:rPr>
              <w:t>Meža atjaunošana, atjaunošana un profilakse — līgumi 1</w:t>
            </w:r>
          </w:p>
        </w:tc>
      </w:tr>
      <w:tr w:rsidR="00CB0FCB" w14:paraId="257F9C5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60F505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66</w:t>
            </w:r>
          </w:p>
        </w:tc>
        <w:tc>
          <w:tcPr>
            <w:tcW w:w="4320" w:type="dxa"/>
            <w:tcBorders>
              <w:top w:val="nil"/>
              <w:left w:val="nil"/>
              <w:bottom w:val="single" w:sz="4" w:space="0" w:color="auto"/>
              <w:right w:val="single" w:sz="4" w:space="0" w:color="auto"/>
            </w:tcBorders>
            <w:shd w:val="clear" w:color="auto" w:fill="C6EFCE"/>
            <w:noWrap/>
            <w:vAlign w:val="center"/>
          </w:tcPr>
          <w:p w14:paraId="748A57D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16850_Ūdensapgādes un taupīšanas infrastruktūras</w:t>
            </w:r>
          </w:p>
        </w:tc>
        <w:tc>
          <w:tcPr>
            <w:tcW w:w="1680" w:type="dxa"/>
            <w:tcBorders>
              <w:top w:val="nil"/>
              <w:left w:val="nil"/>
              <w:bottom w:val="single" w:sz="4" w:space="0" w:color="auto"/>
              <w:right w:val="single" w:sz="4" w:space="0" w:color="auto"/>
            </w:tcBorders>
            <w:shd w:val="clear" w:color="auto" w:fill="C6EFCE"/>
            <w:noWrap/>
            <w:vAlign w:val="center"/>
          </w:tcPr>
          <w:p w14:paraId="7A5900C9"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43802105" w14:textId="77777777" w:rsidR="00CB0FCB" w:rsidRDefault="009D2B11">
            <w:pPr>
              <w:pStyle w:val="P68B1DB1-Normal8"/>
              <w:keepNext/>
              <w:spacing w:before="40" w:after="0" w:line="240" w:lineRule="auto"/>
              <w:jc w:val="both"/>
              <w:rPr>
                <w:rFonts w:eastAsia="Times New Roman" w:cs="Times New Roman"/>
                <w:noProof/>
                <w:szCs w:val="18"/>
              </w:rPr>
            </w:pPr>
            <w:r>
              <w:rPr>
                <w:noProof/>
              </w:rPr>
              <w:t>Ūdens infrastruktūras pieteikumu apstiprināšana</w:t>
            </w:r>
          </w:p>
        </w:tc>
      </w:tr>
      <w:tr w:rsidR="00CB0FCB" w14:paraId="53A9AB6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B9DF2E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87</w:t>
            </w:r>
          </w:p>
        </w:tc>
        <w:tc>
          <w:tcPr>
            <w:tcW w:w="4320" w:type="dxa"/>
            <w:tcBorders>
              <w:top w:val="nil"/>
              <w:left w:val="nil"/>
              <w:bottom w:val="single" w:sz="4" w:space="0" w:color="auto"/>
              <w:right w:val="single" w:sz="4" w:space="0" w:color="auto"/>
            </w:tcBorders>
            <w:shd w:val="clear" w:color="auto" w:fill="C6EFCE"/>
            <w:noWrap/>
            <w:vAlign w:val="center"/>
          </w:tcPr>
          <w:p w14:paraId="657B4E7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5–2.1. Connect — 16855_mazsatelīti</w:t>
            </w:r>
          </w:p>
        </w:tc>
        <w:tc>
          <w:tcPr>
            <w:tcW w:w="1680" w:type="dxa"/>
            <w:tcBorders>
              <w:top w:val="nil"/>
              <w:left w:val="nil"/>
              <w:bottom w:val="single" w:sz="4" w:space="0" w:color="auto"/>
              <w:right w:val="single" w:sz="4" w:space="0" w:color="auto"/>
            </w:tcBorders>
            <w:shd w:val="clear" w:color="auto" w:fill="C6EFCE"/>
            <w:noWrap/>
            <w:vAlign w:val="center"/>
          </w:tcPr>
          <w:p w14:paraId="467E3C4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73DBD5E5"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Līguma(-u) piešķiršana projektam “Mazi satelīti”</w:t>
            </w:r>
          </w:p>
        </w:tc>
      </w:tr>
      <w:tr w:rsidR="00CB0FCB" w14:paraId="1639A8F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F224A8B" w14:textId="77777777" w:rsidR="00CB0FCB" w:rsidRDefault="009D2B11">
            <w:pPr>
              <w:pStyle w:val="P68B1DB1-Normal8"/>
              <w:keepNext/>
              <w:spacing w:before="40" w:after="0" w:line="240" w:lineRule="auto"/>
              <w:jc w:val="both"/>
              <w:rPr>
                <w:noProof/>
              </w:rPr>
            </w:pPr>
            <w:r>
              <w:rPr>
                <w:noProof/>
              </w:rPr>
              <w:t>135</w:t>
            </w:r>
          </w:p>
        </w:tc>
        <w:tc>
          <w:tcPr>
            <w:tcW w:w="4320" w:type="dxa"/>
            <w:tcBorders>
              <w:top w:val="nil"/>
              <w:left w:val="nil"/>
              <w:bottom w:val="single" w:sz="4" w:space="0" w:color="auto"/>
              <w:right w:val="single" w:sz="4" w:space="0" w:color="auto"/>
            </w:tcBorders>
            <w:shd w:val="clear" w:color="auto" w:fill="C6EFCE"/>
            <w:noWrap/>
            <w:vAlign w:val="center"/>
          </w:tcPr>
          <w:p w14:paraId="51927715" w14:textId="77777777" w:rsidR="00CB0FCB" w:rsidRDefault="009D2B11">
            <w:pPr>
              <w:pStyle w:val="P68B1DB1-Normal8"/>
              <w:keepNext/>
              <w:spacing w:before="40" w:after="0" w:line="240" w:lineRule="auto"/>
              <w:jc w:val="both"/>
              <w:rPr>
                <w:noProof/>
              </w:rPr>
            </w:pPr>
            <w:r>
              <w:rPr>
                <w:noProof/>
              </w:rPr>
              <w:t>8–3.1. PUNKTS. Veicināt darbvietu radīšanu un līdzdalību darba tirgū — 16942_Valsts nodarbinātības dienesta (DYPA) digitālā pārveide</w:t>
            </w:r>
          </w:p>
        </w:tc>
        <w:tc>
          <w:tcPr>
            <w:tcW w:w="1680" w:type="dxa"/>
            <w:tcBorders>
              <w:top w:val="nil"/>
              <w:left w:val="nil"/>
              <w:bottom w:val="single" w:sz="4" w:space="0" w:color="auto"/>
              <w:right w:val="single" w:sz="4" w:space="0" w:color="auto"/>
            </w:tcBorders>
            <w:shd w:val="clear" w:color="auto" w:fill="C6EFCE"/>
            <w:noWrap/>
            <w:vAlign w:val="center"/>
          </w:tcPr>
          <w:p w14:paraId="7AEF507E" w14:textId="77777777" w:rsidR="00CB0FCB" w:rsidRDefault="009D2B11">
            <w:pPr>
              <w:pStyle w:val="P68B1DB1-Normal49"/>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49EFF93E" w14:textId="77777777" w:rsidR="00CB0FCB" w:rsidRDefault="009D2B11">
            <w:pPr>
              <w:pStyle w:val="P68B1DB1-Normal24"/>
              <w:keepNext/>
              <w:spacing w:before="40" w:after="0" w:line="240" w:lineRule="auto"/>
              <w:jc w:val="both"/>
              <w:rPr>
                <w:rFonts w:ascii="Times New Roman" w:hAnsi="Times New Roman"/>
                <w:noProof/>
              </w:rPr>
            </w:pPr>
            <w:r>
              <w:rPr>
                <w:rFonts w:ascii="Times New Roman" w:hAnsi="Times New Roman"/>
                <w:noProof/>
              </w:rPr>
              <w:t xml:space="preserve">DYPA </w:t>
            </w:r>
            <w:r>
              <w:rPr>
                <w:rFonts w:asciiTheme="minorHAnsi" w:eastAsiaTheme="minorEastAsia" w:hAnsiTheme="minorHAnsi" w:cstheme="minorBidi"/>
                <w:noProof/>
              </w:rPr>
              <w:t>arhīvu digitalizācija, glabāšana un glabāšana</w:t>
            </w:r>
          </w:p>
        </w:tc>
      </w:tr>
      <w:tr w:rsidR="00CB0FCB" w14:paraId="6A9B98A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D133B8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143</w:t>
            </w:r>
          </w:p>
        </w:tc>
        <w:tc>
          <w:tcPr>
            <w:tcW w:w="4320" w:type="dxa"/>
            <w:tcBorders>
              <w:top w:val="nil"/>
              <w:left w:val="nil"/>
              <w:bottom w:val="single" w:sz="4" w:space="0" w:color="auto"/>
              <w:right w:val="single" w:sz="4" w:space="0" w:color="auto"/>
            </w:tcBorders>
            <w:shd w:val="clear" w:color="auto" w:fill="C6EFCE"/>
            <w:noWrap/>
            <w:vAlign w:val="center"/>
          </w:tcPr>
          <w:p w14:paraId="25E0A92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9–3.2. Izglītība, profesionālā izglītība un apmācība un prasmes — 16792_Labor spēku prasmju pilnveide, pārkvalifikācija un prasmju pilnveide, izmantojot reformētu apmācības modeli (profesionālās izglītības un apmācības reforma)</w:t>
            </w:r>
          </w:p>
        </w:tc>
        <w:tc>
          <w:tcPr>
            <w:tcW w:w="1680" w:type="dxa"/>
            <w:tcBorders>
              <w:top w:val="nil"/>
              <w:left w:val="nil"/>
              <w:bottom w:val="single" w:sz="4" w:space="0" w:color="auto"/>
              <w:right w:val="single" w:sz="4" w:space="0" w:color="auto"/>
            </w:tcBorders>
            <w:shd w:val="clear" w:color="auto" w:fill="C6EFCE"/>
            <w:noWrap/>
            <w:vAlign w:val="center"/>
          </w:tcPr>
          <w:p w14:paraId="36C60C9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66DDEB5F" w14:textId="77777777" w:rsidR="00CB0FCB" w:rsidRDefault="009D2B11">
            <w:pPr>
              <w:pStyle w:val="P68B1DB1-Normal8"/>
              <w:keepNext/>
              <w:spacing w:before="40" w:after="0" w:line="240" w:lineRule="auto"/>
              <w:jc w:val="both"/>
              <w:rPr>
                <w:rFonts w:eastAsia="Times New Roman" w:cs="Times New Roman"/>
                <w:noProof/>
                <w:szCs w:val="18"/>
              </w:rPr>
            </w:pPr>
            <w:r>
              <w:rPr>
                <w:noProof/>
              </w:rPr>
              <w:t>PIA kvalitātes kontroles sistēmas līguma slēgšanas tiesību piešķiršana</w:t>
            </w:r>
          </w:p>
        </w:tc>
      </w:tr>
      <w:tr w:rsidR="00CB0FCB" w14:paraId="0AC6E14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E3BB27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154</w:t>
            </w:r>
          </w:p>
        </w:tc>
        <w:tc>
          <w:tcPr>
            <w:tcW w:w="4320" w:type="dxa"/>
            <w:tcBorders>
              <w:top w:val="nil"/>
              <w:left w:val="nil"/>
              <w:bottom w:val="single" w:sz="4" w:space="0" w:color="auto"/>
              <w:right w:val="single" w:sz="4" w:space="0" w:color="auto"/>
            </w:tcBorders>
            <w:shd w:val="clear" w:color="auto" w:fill="C6EFCE"/>
            <w:noWrap/>
            <w:vAlign w:val="center"/>
          </w:tcPr>
          <w:p w14:paraId="0339F50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1680" w:type="dxa"/>
            <w:tcBorders>
              <w:top w:val="nil"/>
              <w:left w:val="nil"/>
              <w:bottom w:val="single" w:sz="4" w:space="0" w:color="auto"/>
              <w:right w:val="single" w:sz="4" w:space="0" w:color="auto"/>
            </w:tcBorders>
            <w:shd w:val="clear" w:color="auto" w:fill="C6EFCE"/>
            <w:noWrap/>
            <w:vAlign w:val="center"/>
          </w:tcPr>
          <w:p w14:paraId="617A65DC"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2FA291FA" w14:textId="77777777" w:rsidR="00CB0FCB" w:rsidRDefault="009D2B11">
            <w:pPr>
              <w:pStyle w:val="P68B1DB1-Normal8"/>
              <w:keepNext/>
              <w:spacing w:before="40" w:after="0" w:line="240" w:lineRule="auto"/>
              <w:jc w:val="both"/>
              <w:rPr>
                <w:rFonts w:eastAsia="Times New Roman" w:cs="Times New Roman"/>
                <w:noProof/>
                <w:szCs w:val="18"/>
              </w:rPr>
            </w:pPr>
            <w:r>
              <w:rPr>
                <w:noProof/>
              </w:rPr>
              <w:t>Atgūšanas samazinājums 50000000–1. solis</w:t>
            </w:r>
          </w:p>
        </w:tc>
      </w:tr>
      <w:tr w:rsidR="00CB0FCB" w14:paraId="1C55E46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ABC9F1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203</w:t>
            </w:r>
          </w:p>
        </w:tc>
        <w:tc>
          <w:tcPr>
            <w:tcW w:w="4320" w:type="dxa"/>
            <w:tcBorders>
              <w:top w:val="nil"/>
              <w:left w:val="nil"/>
              <w:bottom w:val="single" w:sz="4" w:space="0" w:color="auto"/>
              <w:right w:val="single" w:sz="4" w:space="0" w:color="auto"/>
            </w:tcBorders>
            <w:shd w:val="clear" w:color="auto" w:fill="C6EFCE"/>
            <w:noWrap/>
            <w:vAlign w:val="center"/>
          </w:tcPr>
          <w:p w14:paraId="012FB70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16643_nodokļu tiesību aktu kodifikācija un vienkāršošana</w:t>
            </w:r>
          </w:p>
        </w:tc>
        <w:tc>
          <w:tcPr>
            <w:tcW w:w="1680" w:type="dxa"/>
            <w:tcBorders>
              <w:top w:val="nil"/>
              <w:left w:val="nil"/>
              <w:bottom w:val="single" w:sz="4" w:space="0" w:color="auto"/>
              <w:right w:val="single" w:sz="4" w:space="0" w:color="auto"/>
            </w:tcBorders>
            <w:shd w:val="clear" w:color="auto" w:fill="C6EFCE"/>
            <w:noWrap/>
            <w:vAlign w:val="center"/>
          </w:tcPr>
          <w:p w14:paraId="1E8C7B0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E598BD3" w14:textId="77777777" w:rsidR="00CB0FCB" w:rsidRDefault="009D2B11">
            <w:pPr>
              <w:pStyle w:val="P68B1DB1-Normal8"/>
              <w:keepNext/>
              <w:spacing w:before="40" w:after="0" w:line="240" w:lineRule="auto"/>
              <w:jc w:val="both"/>
              <w:rPr>
                <w:rFonts w:eastAsia="Times New Roman" w:cs="Times New Roman"/>
                <w:noProof/>
                <w:szCs w:val="18"/>
              </w:rPr>
            </w:pPr>
            <w:r>
              <w:rPr>
                <w:noProof/>
              </w:rPr>
              <w:t>Ienākuma nodokļa un nodokļu procedūras kodu pārformulēšana</w:t>
            </w:r>
          </w:p>
        </w:tc>
      </w:tr>
      <w:tr w:rsidR="00CB0FCB" w14:paraId="76AD190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628DF5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229</w:t>
            </w:r>
          </w:p>
        </w:tc>
        <w:tc>
          <w:tcPr>
            <w:tcW w:w="4320" w:type="dxa"/>
            <w:tcBorders>
              <w:top w:val="nil"/>
              <w:left w:val="nil"/>
              <w:bottom w:val="single" w:sz="4" w:space="0" w:color="auto"/>
              <w:right w:val="single" w:sz="4" w:space="0" w:color="auto"/>
            </w:tcBorders>
            <w:shd w:val="clear" w:color="auto" w:fill="C6EFCE"/>
            <w:noWrap/>
            <w:vAlign w:val="center"/>
          </w:tcPr>
          <w:p w14:paraId="090D9FA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14–4.3. Uzlabot tiesu sistēmas efektivitāti — 16727 Tiesu sistēmas digitālā pārveide (e-tiesiskums)</w:t>
            </w:r>
          </w:p>
        </w:tc>
        <w:tc>
          <w:tcPr>
            <w:tcW w:w="1680" w:type="dxa"/>
            <w:tcBorders>
              <w:top w:val="nil"/>
              <w:left w:val="nil"/>
              <w:bottom w:val="single" w:sz="4" w:space="0" w:color="auto"/>
              <w:right w:val="single" w:sz="4" w:space="0" w:color="auto"/>
            </w:tcBorders>
            <w:shd w:val="clear" w:color="auto" w:fill="C6EFCE"/>
            <w:noWrap/>
            <w:vAlign w:val="center"/>
          </w:tcPr>
          <w:p w14:paraId="6AB1C57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40F0F328" w14:textId="77777777" w:rsidR="00CB0FCB" w:rsidRDefault="009D2B11">
            <w:pPr>
              <w:pStyle w:val="P68B1DB1-Normal8"/>
              <w:keepNext/>
              <w:spacing w:before="40" w:after="0" w:line="240" w:lineRule="auto"/>
              <w:jc w:val="both"/>
              <w:rPr>
                <w:rFonts w:eastAsia="Times New Roman" w:cs="Times New Roman"/>
                <w:noProof/>
                <w:szCs w:val="18"/>
              </w:rPr>
            </w:pPr>
            <w:r>
              <w:rPr>
                <w:noProof/>
              </w:rPr>
              <w:t>Modernizēt reģistra sistēmas un IT tiesu sistēmas</w:t>
            </w:r>
          </w:p>
        </w:tc>
      </w:tr>
      <w:tr w:rsidR="00CB0FCB" w14:paraId="4995DD1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9A4FC2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230</w:t>
            </w:r>
          </w:p>
        </w:tc>
        <w:tc>
          <w:tcPr>
            <w:tcW w:w="4320" w:type="dxa"/>
            <w:tcBorders>
              <w:top w:val="nil"/>
              <w:left w:val="nil"/>
              <w:bottom w:val="single" w:sz="4" w:space="0" w:color="auto"/>
              <w:right w:val="single" w:sz="4" w:space="0" w:color="auto"/>
            </w:tcBorders>
            <w:shd w:val="clear" w:color="auto" w:fill="C6EFCE"/>
            <w:noWrap/>
            <w:vAlign w:val="center"/>
          </w:tcPr>
          <w:p w14:paraId="796B28D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14–4.3. Uzlabot tiesu sistēmas efektivitāti — 16575 tiesvedības paātrināšana</w:t>
            </w:r>
          </w:p>
        </w:tc>
        <w:tc>
          <w:tcPr>
            <w:tcW w:w="1680" w:type="dxa"/>
            <w:tcBorders>
              <w:top w:val="nil"/>
              <w:left w:val="nil"/>
              <w:bottom w:val="single" w:sz="4" w:space="0" w:color="auto"/>
              <w:right w:val="single" w:sz="4" w:space="0" w:color="auto"/>
            </w:tcBorders>
            <w:shd w:val="clear" w:color="auto" w:fill="C6EFCE"/>
            <w:noWrap/>
            <w:vAlign w:val="center"/>
          </w:tcPr>
          <w:p w14:paraId="1F0A4F1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69890BC8" w14:textId="77777777" w:rsidR="00CB0FCB" w:rsidRDefault="009D2B11">
            <w:pPr>
              <w:pStyle w:val="P68B1DB1-Normal8"/>
              <w:keepNext/>
              <w:spacing w:before="40" w:after="0" w:line="240" w:lineRule="auto"/>
              <w:jc w:val="both"/>
              <w:rPr>
                <w:rFonts w:eastAsia="Times New Roman" w:cs="Times New Roman"/>
                <w:noProof/>
                <w:szCs w:val="18"/>
              </w:rPr>
            </w:pPr>
            <w:r>
              <w:rPr>
                <w:noProof/>
              </w:rPr>
              <w:t>Stāšanās spēkā — Tiesu sekretāru snieguma rīks</w:t>
            </w:r>
          </w:p>
        </w:tc>
      </w:tr>
      <w:tr w:rsidR="00CB0FCB" w14:paraId="7C24AE3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55052C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231</w:t>
            </w:r>
          </w:p>
        </w:tc>
        <w:tc>
          <w:tcPr>
            <w:tcW w:w="4320" w:type="dxa"/>
            <w:tcBorders>
              <w:top w:val="nil"/>
              <w:left w:val="nil"/>
              <w:bottom w:val="single" w:sz="4" w:space="0" w:color="auto"/>
              <w:right w:val="single" w:sz="4" w:space="0" w:color="auto"/>
            </w:tcBorders>
            <w:shd w:val="clear" w:color="auto" w:fill="C6EFCE"/>
            <w:noWrap/>
            <w:vAlign w:val="center"/>
          </w:tcPr>
          <w:p w14:paraId="4583E9A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14–4.3. Uzlabot tiesu sistēmas efektivitāti — 16292_Jaunas tiesu ēkas</w:t>
            </w:r>
          </w:p>
        </w:tc>
        <w:tc>
          <w:tcPr>
            <w:tcW w:w="1680" w:type="dxa"/>
            <w:tcBorders>
              <w:top w:val="nil"/>
              <w:left w:val="nil"/>
              <w:bottom w:val="single" w:sz="4" w:space="0" w:color="auto"/>
              <w:right w:val="single" w:sz="4" w:space="0" w:color="auto"/>
            </w:tcBorders>
            <w:shd w:val="clear" w:color="auto" w:fill="C6EFCE"/>
            <w:noWrap/>
            <w:vAlign w:val="center"/>
          </w:tcPr>
          <w:p w14:paraId="70A71A8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55B0D693"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Līgumi </w:t>
            </w:r>
          </w:p>
        </w:tc>
      </w:tr>
      <w:tr w:rsidR="00CB0FCB" w14:paraId="40D5CF1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63CC55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257</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046B14D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16631_Ceļu satiksmes drošības modernizācija</w:t>
            </w:r>
          </w:p>
        </w:tc>
        <w:tc>
          <w:tcPr>
            <w:tcW w:w="1680" w:type="dxa"/>
            <w:tcBorders>
              <w:top w:val="nil"/>
              <w:left w:val="nil"/>
              <w:bottom w:val="single" w:sz="4" w:space="0" w:color="auto"/>
              <w:right w:val="single" w:sz="4" w:space="0" w:color="auto"/>
            </w:tcBorders>
            <w:shd w:val="clear" w:color="auto" w:fill="C6EFCE"/>
            <w:noWrap/>
            <w:vAlign w:val="center"/>
          </w:tcPr>
          <w:p w14:paraId="1B0B301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174157E6"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ceļu satiksmes drošības jomā — līgumu pirmā kārta</w:t>
            </w:r>
          </w:p>
        </w:tc>
      </w:tr>
      <w:tr w:rsidR="00CB0FCB" w14:paraId="3A77CA1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576C2E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260</w:t>
            </w:r>
          </w:p>
        </w:tc>
        <w:tc>
          <w:tcPr>
            <w:tcW w:w="4320" w:type="dxa"/>
            <w:tcBorders>
              <w:top w:val="nil"/>
              <w:left w:val="nil"/>
              <w:bottom w:val="single" w:sz="4" w:space="0" w:color="auto"/>
              <w:right w:val="single" w:sz="4" w:space="0" w:color="auto"/>
            </w:tcBorders>
            <w:shd w:val="clear" w:color="auto" w:fill="C6EFCE"/>
            <w:noWrap/>
            <w:vAlign w:val="center"/>
          </w:tcPr>
          <w:p w14:paraId="1820FDE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16630_Kreānas Ziemeļu automaģistrāle (θ.θ.Α.Κ.)</w:t>
            </w:r>
          </w:p>
        </w:tc>
        <w:tc>
          <w:tcPr>
            <w:tcW w:w="1680" w:type="dxa"/>
            <w:tcBorders>
              <w:top w:val="nil"/>
              <w:left w:val="nil"/>
              <w:bottom w:val="single" w:sz="4" w:space="0" w:color="auto"/>
              <w:right w:val="single" w:sz="4" w:space="0" w:color="auto"/>
            </w:tcBorders>
            <w:shd w:val="clear" w:color="auto" w:fill="C6EFCE"/>
            <w:noWrap/>
            <w:vAlign w:val="center"/>
          </w:tcPr>
          <w:p w14:paraId="44BA424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388DFEE1" w14:textId="77777777" w:rsidR="00CB0FCB" w:rsidRDefault="009D2B11">
            <w:pPr>
              <w:pStyle w:val="P68B1DB1-Normal8"/>
              <w:keepNext/>
              <w:spacing w:before="40" w:after="0" w:line="240" w:lineRule="auto"/>
              <w:jc w:val="both"/>
              <w:rPr>
                <w:rFonts w:eastAsia="Times New Roman" w:cs="Times New Roman"/>
                <w:noProof/>
                <w:szCs w:val="18"/>
              </w:rPr>
            </w:pPr>
            <w:r>
              <w:rPr>
                <w:noProof/>
              </w:rPr>
              <w:t>Paziņojums par līgumu slēgšanas tiesību piešķiršanu trim BOAK apakšprojektiem</w:t>
            </w:r>
          </w:p>
        </w:tc>
      </w:tr>
      <w:tr w:rsidR="00CB0FCB" w14:paraId="33502DD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090B1B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267</w:t>
            </w:r>
          </w:p>
        </w:tc>
        <w:tc>
          <w:tcPr>
            <w:tcW w:w="4320" w:type="dxa"/>
            <w:tcBorders>
              <w:top w:val="nil"/>
              <w:left w:val="nil"/>
              <w:bottom w:val="single" w:sz="4" w:space="0" w:color="auto"/>
              <w:right w:val="single" w:sz="4" w:space="0" w:color="auto"/>
            </w:tcBorders>
            <w:shd w:val="clear" w:color="auto" w:fill="C6EFCE"/>
            <w:noWrap/>
            <w:vAlign w:val="center"/>
          </w:tcPr>
          <w:p w14:paraId="69FE9FC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16833_EASA atbilstības labošanas darbu īstenošana</w:t>
            </w:r>
          </w:p>
        </w:tc>
        <w:tc>
          <w:tcPr>
            <w:tcW w:w="1680" w:type="dxa"/>
            <w:tcBorders>
              <w:top w:val="nil"/>
              <w:left w:val="nil"/>
              <w:bottom w:val="single" w:sz="4" w:space="0" w:color="auto"/>
              <w:right w:val="single" w:sz="4" w:space="0" w:color="auto"/>
            </w:tcBorders>
            <w:shd w:val="clear" w:color="auto" w:fill="C6EFCE"/>
            <w:noWrap/>
            <w:vAlign w:val="center"/>
          </w:tcPr>
          <w:p w14:paraId="6843ACF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7506C1C" w14:textId="77777777" w:rsidR="00CB0FCB" w:rsidRDefault="009D2B11">
            <w:pPr>
              <w:pStyle w:val="P68B1DB1-Normal8"/>
              <w:keepNext/>
              <w:spacing w:before="40" w:after="0" w:line="240" w:lineRule="auto"/>
              <w:jc w:val="both"/>
              <w:rPr>
                <w:rFonts w:eastAsia="Times New Roman" w:cs="Times New Roman"/>
                <w:noProof/>
                <w:szCs w:val="18"/>
              </w:rPr>
            </w:pPr>
            <w:r>
              <w:rPr>
                <w:noProof/>
              </w:rPr>
              <w:t>Paziņojums par balvu Eiropas Savienības Aviācijas drošības aģentūras (EASA) darbiem reģionālajās lidostās</w:t>
            </w:r>
          </w:p>
        </w:tc>
      </w:tr>
      <w:tr w:rsidR="00CB0FCB" w14:paraId="55319D6F"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5FC39E6"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5845F263"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tcPr>
          <w:p w14:paraId="0E70A4E6" w14:textId="77777777" w:rsidR="00CB0FCB" w:rsidRDefault="009D2B11">
            <w:pPr>
              <w:pStyle w:val="P68B1DB1-Normal8"/>
              <w:keepNext/>
              <w:spacing w:before="40" w:after="0" w:line="259" w:lineRule="auto"/>
              <w:jc w:val="both"/>
              <w:rPr>
                <w:rFonts w:eastAsia="Times New Roman" w:cs="Times New Roman"/>
                <w:noProof/>
                <w:szCs w:val="18"/>
              </w:rPr>
            </w:pPr>
            <w:r>
              <w:rPr>
                <w:noProof/>
              </w:rPr>
              <w:t>Maksājuma summa</w:t>
            </w:r>
          </w:p>
        </w:tc>
        <w:tc>
          <w:tcPr>
            <w:tcW w:w="1800" w:type="dxa"/>
            <w:tcBorders>
              <w:top w:val="single" w:sz="4" w:space="0" w:color="auto"/>
              <w:left w:val="nil"/>
              <w:bottom w:val="single" w:sz="4" w:space="0" w:color="auto"/>
              <w:right w:val="single" w:sz="4" w:space="0" w:color="auto"/>
            </w:tcBorders>
            <w:shd w:val="clear" w:color="auto" w:fill="C6EFCE"/>
            <w:noWrap/>
            <w:vAlign w:val="bottom"/>
          </w:tcPr>
          <w:p w14:paraId="1272B25F" w14:textId="47FCF559" w:rsidR="00CB0FCB" w:rsidRDefault="009D2B11">
            <w:pPr>
              <w:pStyle w:val="P68B1DB1-Normal8"/>
              <w:keepNext/>
              <w:spacing w:before="40" w:after="0" w:line="259" w:lineRule="auto"/>
              <w:jc w:val="both"/>
              <w:rPr>
                <w:rFonts w:eastAsia="Times New Roman" w:cs="Times New Roman"/>
                <w:noProof/>
                <w:szCs w:val="18"/>
              </w:rPr>
            </w:pPr>
            <w:r>
              <w:rPr>
                <w:noProof/>
              </w:rPr>
              <w:t>EUR 1155362463</w:t>
            </w:r>
          </w:p>
        </w:tc>
      </w:tr>
    </w:tbl>
    <w:p w14:paraId="6B718AA1"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7DE0447C"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Piektais maksājuma pieprasījums (neatmaksājams atbalsts):</w:t>
      </w:r>
    </w:p>
    <w:p w14:paraId="5255ED44" w14:textId="77777777" w:rsidR="00CB0FCB" w:rsidRDefault="00CB0FCB">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252" w:tblpY="1"/>
        <w:tblOverlap w:val="never"/>
        <w:tblW w:w="9595" w:type="dxa"/>
        <w:tblLayout w:type="fixed"/>
        <w:tblLook w:val="04A0" w:firstRow="1" w:lastRow="0" w:firstColumn="1" w:lastColumn="0" w:noHBand="0" w:noVBand="1"/>
      </w:tblPr>
      <w:tblGrid>
        <w:gridCol w:w="1795"/>
        <w:gridCol w:w="4320"/>
        <w:gridCol w:w="1680"/>
        <w:gridCol w:w="1800"/>
      </w:tblGrid>
      <w:tr w:rsidR="00CB0FCB" w14:paraId="2FC51C32"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B04EF2"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D1642B"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FC9FB0"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800" w:type="dxa"/>
            <w:vMerge w:val="restart"/>
            <w:tcBorders>
              <w:top w:val="single" w:sz="4" w:space="0" w:color="auto"/>
              <w:left w:val="nil"/>
              <w:bottom w:val="single" w:sz="4" w:space="0" w:color="auto"/>
              <w:right w:val="single" w:sz="4" w:space="0" w:color="auto"/>
            </w:tcBorders>
            <w:shd w:val="clear" w:color="auto" w:fill="BDD7EE"/>
            <w:vAlign w:val="center"/>
            <w:hideMark/>
          </w:tcPr>
          <w:p w14:paraId="7686E326"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62CF41AE" w14:textId="77777777">
        <w:trPr>
          <w:trHeight w:val="990"/>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37D7850E"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2182A39"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418B92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382FA75"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448A8FD2"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4178E9F" w14:textId="77777777" w:rsidR="00CB0FCB" w:rsidRDefault="009D2B11">
            <w:pPr>
              <w:pStyle w:val="P68B1DB1-Normal8"/>
              <w:keepNext/>
              <w:spacing w:before="40" w:after="0" w:line="240" w:lineRule="auto"/>
              <w:jc w:val="both"/>
              <w:rPr>
                <w:rFonts w:eastAsia="Times New Roman" w:cs="Times New Roman"/>
                <w:noProof/>
                <w:szCs w:val="18"/>
              </w:rPr>
            </w:pPr>
            <w:r>
              <w:rPr>
                <w:noProof/>
              </w:rPr>
              <w:t>12</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56C73E8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Jaudas palielināšana — 16901_HEDNO tīkla modernizācija, kuras mērķis ir uzlabot noturību un aizsargāt vidi</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34B5C56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3C63323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HEDNO — līgumi 1</w:t>
            </w:r>
          </w:p>
        </w:tc>
      </w:tr>
      <w:tr w:rsidR="00CB0FCB" w14:paraId="50432E0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2BC4056" w14:textId="77777777" w:rsidR="00CB0FCB" w:rsidRDefault="009D2B11">
            <w:pPr>
              <w:pStyle w:val="P68B1DB1-Normal8"/>
              <w:keepNext/>
              <w:spacing w:before="40" w:after="0" w:line="240" w:lineRule="auto"/>
              <w:jc w:val="both"/>
              <w:rPr>
                <w:rFonts w:eastAsia="Times New Roman" w:cs="Times New Roman"/>
                <w:noProof/>
                <w:szCs w:val="18"/>
              </w:rPr>
            </w:pPr>
            <w:r>
              <w:rPr>
                <w:noProof/>
              </w:rPr>
              <w:t>13</w:t>
            </w:r>
          </w:p>
        </w:tc>
        <w:tc>
          <w:tcPr>
            <w:tcW w:w="4320" w:type="dxa"/>
            <w:tcBorders>
              <w:top w:val="nil"/>
              <w:left w:val="nil"/>
              <w:bottom w:val="single" w:sz="4" w:space="0" w:color="auto"/>
              <w:right w:val="single" w:sz="4" w:space="0" w:color="auto"/>
            </w:tcBorders>
            <w:shd w:val="clear" w:color="auto" w:fill="C6EFCE"/>
            <w:noWrap/>
            <w:vAlign w:val="center"/>
          </w:tcPr>
          <w:p w14:paraId="5AFCDCF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Jaudas palielināšana — 16900_HEDNO gaisvadu tīkla modernizācija meža teritorijās</w:t>
            </w:r>
          </w:p>
        </w:tc>
        <w:tc>
          <w:tcPr>
            <w:tcW w:w="1680" w:type="dxa"/>
            <w:tcBorders>
              <w:top w:val="nil"/>
              <w:left w:val="nil"/>
              <w:bottom w:val="single" w:sz="4" w:space="0" w:color="auto"/>
              <w:right w:val="single" w:sz="4" w:space="0" w:color="auto"/>
            </w:tcBorders>
            <w:shd w:val="clear" w:color="auto" w:fill="C6EFCE"/>
            <w:noWrap/>
            <w:vAlign w:val="center"/>
          </w:tcPr>
          <w:p w14:paraId="31B4B7C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7CFB504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HEDNO — līgumi 2</w:t>
            </w:r>
          </w:p>
        </w:tc>
      </w:tr>
      <w:tr w:rsidR="00CB0FCB" w14:paraId="56F066B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C49769E" w14:textId="77777777" w:rsidR="00CB0FCB" w:rsidRDefault="009D2B11">
            <w:pPr>
              <w:pStyle w:val="P68B1DB1-Normal8"/>
              <w:keepNext/>
              <w:spacing w:before="40" w:after="0" w:line="240" w:lineRule="auto"/>
              <w:jc w:val="both"/>
              <w:rPr>
                <w:rFonts w:eastAsia="Times New Roman" w:cs="Times New Roman"/>
                <w:noProof/>
                <w:szCs w:val="18"/>
              </w:rPr>
            </w:pPr>
            <w:r>
              <w:rPr>
                <w:noProof/>
              </w:rPr>
              <w:t>14</w:t>
            </w:r>
          </w:p>
        </w:tc>
        <w:tc>
          <w:tcPr>
            <w:tcW w:w="4320" w:type="dxa"/>
            <w:tcBorders>
              <w:top w:val="nil"/>
              <w:left w:val="nil"/>
              <w:bottom w:val="single" w:sz="4" w:space="0" w:color="auto"/>
              <w:right w:val="single" w:sz="4" w:space="0" w:color="auto"/>
            </w:tcBorders>
            <w:shd w:val="clear" w:color="auto" w:fill="C6EFCE"/>
            <w:noWrap/>
            <w:vAlign w:val="center"/>
          </w:tcPr>
          <w:p w14:paraId="69586E7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Elektroenerģijas ražošana — 16899_uzstādītais jaudas palielinājums Grieķijas elektroenerģijas sadales tīkla operatora (HEDNO) HV/MV apakšstacijās jaunam AER pieslēgumam</w:t>
            </w:r>
          </w:p>
        </w:tc>
        <w:tc>
          <w:tcPr>
            <w:tcW w:w="1680" w:type="dxa"/>
            <w:tcBorders>
              <w:top w:val="nil"/>
              <w:left w:val="nil"/>
              <w:bottom w:val="single" w:sz="4" w:space="0" w:color="auto"/>
              <w:right w:val="single" w:sz="4" w:space="0" w:color="auto"/>
            </w:tcBorders>
            <w:shd w:val="clear" w:color="auto" w:fill="C6EFCE"/>
            <w:noWrap/>
            <w:vAlign w:val="center"/>
          </w:tcPr>
          <w:p w14:paraId="009236E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451F35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HEDNO — līgumi 3</w:t>
            </w:r>
          </w:p>
        </w:tc>
      </w:tr>
      <w:tr w:rsidR="00CB0FCB" w14:paraId="5FF43FA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FA2066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w:t>
            </w:r>
          </w:p>
        </w:tc>
        <w:tc>
          <w:tcPr>
            <w:tcW w:w="4320" w:type="dxa"/>
            <w:tcBorders>
              <w:top w:val="nil"/>
              <w:left w:val="nil"/>
              <w:bottom w:val="single" w:sz="4" w:space="0" w:color="auto"/>
              <w:right w:val="single" w:sz="4" w:space="0" w:color="auto"/>
            </w:tcBorders>
            <w:shd w:val="clear" w:color="auto" w:fill="C6EFCE"/>
            <w:noWrap/>
            <w:vAlign w:val="center"/>
          </w:tcPr>
          <w:p w14:paraId="65DBAE2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16872_dzīvojamo ēku energorenovācija</w:t>
            </w:r>
          </w:p>
        </w:tc>
        <w:tc>
          <w:tcPr>
            <w:tcW w:w="1680" w:type="dxa"/>
            <w:tcBorders>
              <w:top w:val="nil"/>
              <w:left w:val="nil"/>
              <w:bottom w:val="single" w:sz="4" w:space="0" w:color="auto"/>
              <w:right w:val="single" w:sz="4" w:space="0" w:color="auto"/>
            </w:tcBorders>
            <w:shd w:val="clear" w:color="auto" w:fill="C6EFCE"/>
            <w:noWrap/>
            <w:vAlign w:val="center"/>
          </w:tcPr>
          <w:p w14:paraId="37B4CBC3"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2DF9B728" w14:textId="77777777" w:rsidR="00CB0FCB" w:rsidRDefault="009D2B11">
            <w:pPr>
              <w:pStyle w:val="P68B1DB1-Normal8"/>
              <w:keepNext/>
              <w:spacing w:before="40" w:after="0" w:line="240" w:lineRule="auto"/>
              <w:jc w:val="both"/>
              <w:rPr>
                <w:rFonts w:eastAsia="Times New Roman" w:cs="Times New Roman"/>
                <w:noProof/>
                <w:szCs w:val="18"/>
              </w:rPr>
            </w:pPr>
            <w:r>
              <w:rPr>
                <w:noProof/>
              </w:rPr>
              <w:t>Dzīvojamo ēku renovācija — mājokļu renovācija #1</w:t>
            </w:r>
          </w:p>
        </w:tc>
      </w:tr>
      <w:tr w:rsidR="00CB0FCB" w14:paraId="084A2B9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83B373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28</w:t>
            </w:r>
          </w:p>
        </w:tc>
        <w:tc>
          <w:tcPr>
            <w:tcW w:w="4320" w:type="dxa"/>
            <w:tcBorders>
              <w:top w:val="nil"/>
              <w:left w:val="nil"/>
              <w:bottom w:val="single" w:sz="4" w:space="0" w:color="auto"/>
              <w:right w:val="single" w:sz="4" w:space="0" w:color="auto"/>
            </w:tcBorders>
            <w:shd w:val="clear" w:color="auto" w:fill="C6EFCE"/>
            <w:noWrap/>
            <w:vAlign w:val="center"/>
          </w:tcPr>
          <w:p w14:paraId="52C15C3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16879_Pilsētvides plānu sagatavošana pilsētpolitikas reformas īstenošanai</w:t>
            </w:r>
          </w:p>
        </w:tc>
        <w:tc>
          <w:tcPr>
            <w:tcW w:w="1680" w:type="dxa"/>
            <w:tcBorders>
              <w:top w:val="nil"/>
              <w:left w:val="nil"/>
              <w:bottom w:val="single" w:sz="4" w:space="0" w:color="auto"/>
              <w:right w:val="single" w:sz="4" w:space="0" w:color="auto"/>
            </w:tcBorders>
            <w:shd w:val="clear" w:color="auto" w:fill="C6EFCE"/>
            <w:noWrap/>
            <w:vAlign w:val="center"/>
          </w:tcPr>
          <w:p w14:paraId="5EFBAF2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787A5635" w14:textId="77777777" w:rsidR="00CB0FCB" w:rsidRDefault="009D2B11">
            <w:pPr>
              <w:pStyle w:val="P68B1DB1-Normal8"/>
              <w:keepNext/>
              <w:spacing w:before="40" w:after="0" w:line="240" w:lineRule="auto"/>
              <w:jc w:val="both"/>
              <w:rPr>
                <w:rFonts w:eastAsia="Times New Roman" w:cs="Times New Roman"/>
                <w:noProof/>
                <w:szCs w:val="18"/>
              </w:rPr>
            </w:pPr>
            <w:r>
              <w:rPr>
                <w:noProof/>
              </w:rPr>
              <w:t>Balva “Pilsētvides plāni”</w:t>
            </w:r>
          </w:p>
        </w:tc>
      </w:tr>
      <w:tr w:rsidR="00CB0FCB" w14:paraId="4D45108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075F3FA" w14:textId="77777777" w:rsidR="00CB0FCB" w:rsidRDefault="009D2B11">
            <w:pPr>
              <w:pStyle w:val="P68B1DB1-Normal8"/>
              <w:keepNext/>
              <w:spacing w:before="40" w:after="0" w:line="240" w:lineRule="auto"/>
              <w:jc w:val="both"/>
              <w:rPr>
                <w:noProof/>
              </w:rPr>
            </w:pPr>
            <w:r>
              <w:rPr>
                <w:noProof/>
              </w:rPr>
              <w:t>33</w:t>
            </w:r>
          </w:p>
        </w:tc>
        <w:tc>
          <w:tcPr>
            <w:tcW w:w="4320" w:type="dxa"/>
            <w:tcBorders>
              <w:top w:val="nil"/>
              <w:left w:val="nil"/>
              <w:bottom w:val="single" w:sz="4" w:space="0" w:color="auto"/>
              <w:right w:val="single" w:sz="4" w:space="0" w:color="auto"/>
            </w:tcBorders>
            <w:shd w:val="clear" w:color="auto" w:fill="C6EFCE"/>
            <w:noWrap/>
            <w:vAlign w:val="center"/>
          </w:tcPr>
          <w:p w14:paraId="681D8E4B" w14:textId="77777777" w:rsidR="00CB0FCB" w:rsidRDefault="009D2B11">
            <w:pPr>
              <w:pStyle w:val="P68B1DB1-Normal8"/>
              <w:keepNext/>
              <w:spacing w:before="40" w:after="0" w:line="240" w:lineRule="auto"/>
              <w:jc w:val="both"/>
              <w:rPr>
                <w:noProof/>
              </w:rPr>
            </w:pPr>
            <w:r>
              <w:rPr>
                <w:noProof/>
              </w:rPr>
              <w:t>2–1.2. Renovate — 16874_Enerģētika un uzņēmējdarbība</w:t>
            </w:r>
          </w:p>
        </w:tc>
        <w:tc>
          <w:tcPr>
            <w:tcW w:w="1680" w:type="dxa"/>
            <w:tcBorders>
              <w:top w:val="nil"/>
              <w:left w:val="nil"/>
              <w:bottom w:val="single" w:sz="4" w:space="0" w:color="auto"/>
              <w:right w:val="single" w:sz="4" w:space="0" w:color="auto"/>
            </w:tcBorders>
            <w:shd w:val="clear" w:color="auto" w:fill="C6EFCE"/>
            <w:noWrap/>
            <w:vAlign w:val="center"/>
          </w:tcPr>
          <w:p w14:paraId="50E8B03B" w14:textId="77777777" w:rsidR="00CB0FCB" w:rsidRDefault="009D2B11">
            <w:pPr>
              <w:pStyle w:val="P68B1DB1-Normal8"/>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9BDB13C" w14:textId="77777777" w:rsidR="00CB0FCB" w:rsidRDefault="009D2B11">
            <w:pPr>
              <w:pStyle w:val="P68B1DB1-Normal8"/>
              <w:keepNext/>
              <w:spacing w:before="40" w:after="0" w:line="240" w:lineRule="auto"/>
              <w:jc w:val="both"/>
              <w:rPr>
                <w:noProof/>
              </w:rPr>
            </w:pPr>
            <w:r>
              <w:rPr>
                <w:noProof/>
              </w:rPr>
              <w:t>Energoefektivitātes privātais sektors — apstiprinātie pieteikumi</w:t>
            </w:r>
          </w:p>
        </w:tc>
      </w:tr>
      <w:tr w:rsidR="00CB0FCB" w14:paraId="1A48F2E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D98F58B" w14:textId="77777777" w:rsidR="00CB0FCB" w:rsidRDefault="009D2B11">
            <w:pPr>
              <w:pStyle w:val="P68B1DB1-Normal8"/>
              <w:keepNext/>
              <w:spacing w:before="40" w:after="0" w:line="240" w:lineRule="auto"/>
              <w:jc w:val="both"/>
              <w:rPr>
                <w:noProof/>
              </w:rPr>
            </w:pPr>
            <w:r>
              <w:rPr>
                <w:noProof/>
              </w:rPr>
              <w:t>38</w:t>
            </w:r>
          </w:p>
        </w:tc>
        <w:tc>
          <w:tcPr>
            <w:tcW w:w="4320" w:type="dxa"/>
            <w:tcBorders>
              <w:top w:val="nil"/>
              <w:left w:val="nil"/>
              <w:bottom w:val="single" w:sz="4" w:space="0" w:color="auto"/>
              <w:right w:val="single" w:sz="4" w:space="0" w:color="auto"/>
            </w:tcBorders>
            <w:shd w:val="clear" w:color="auto" w:fill="C6EFCE"/>
            <w:noWrap/>
            <w:vAlign w:val="center"/>
          </w:tcPr>
          <w:p w14:paraId="2010CD29" w14:textId="77777777" w:rsidR="00CB0FCB" w:rsidRDefault="009D2B11">
            <w:pPr>
              <w:pStyle w:val="P68B1DB1-Normal8"/>
              <w:keepNext/>
              <w:spacing w:before="40" w:after="0" w:line="240" w:lineRule="auto"/>
              <w:jc w:val="both"/>
              <w:rPr>
                <w:noProof/>
              </w:rPr>
            </w:pPr>
            <w:r>
              <w:rPr>
                <w:noProof/>
              </w:rPr>
              <w:t>2–1.2. Renovācija — 16873_ Intervences dzīvojamos rajonos un ēku fondā</w:t>
            </w:r>
          </w:p>
        </w:tc>
        <w:tc>
          <w:tcPr>
            <w:tcW w:w="1680" w:type="dxa"/>
            <w:tcBorders>
              <w:top w:val="nil"/>
              <w:left w:val="nil"/>
              <w:bottom w:val="single" w:sz="4" w:space="0" w:color="auto"/>
              <w:right w:val="single" w:sz="4" w:space="0" w:color="auto"/>
            </w:tcBorders>
            <w:shd w:val="clear" w:color="auto" w:fill="C6EFCE"/>
            <w:noWrap/>
            <w:vAlign w:val="center"/>
          </w:tcPr>
          <w:p w14:paraId="3F9B5485" w14:textId="77777777" w:rsidR="00CB0FCB" w:rsidRDefault="009D2B11">
            <w:pPr>
              <w:pStyle w:val="P68B1DB1-Normal8"/>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450635C0" w14:textId="77777777" w:rsidR="00CB0FCB" w:rsidRDefault="009D2B11">
            <w:pPr>
              <w:pStyle w:val="P68B1DB1-Normal8"/>
              <w:keepNext/>
              <w:spacing w:before="40" w:after="0" w:line="240" w:lineRule="auto"/>
              <w:jc w:val="both"/>
              <w:rPr>
                <w:noProof/>
              </w:rPr>
            </w:pPr>
            <w:r>
              <w:rPr>
                <w:noProof/>
              </w:rPr>
              <w:t>Pilsētu intervences — līgumu slēgšanas tiesību piešķiršana</w:t>
            </w:r>
          </w:p>
        </w:tc>
      </w:tr>
      <w:tr w:rsidR="00CB0FCB" w14:paraId="2522F3D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B9A32F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50</w:t>
            </w:r>
          </w:p>
        </w:tc>
        <w:tc>
          <w:tcPr>
            <w:tcW w:w="4320" w:type="dxa"/>
            <w:tcBorders>
              <w:top w:val="nil"/>
              <w:left w:val="nil"/>
              <w:bottom w:val="single" w:sz="4" w:space="0" w:color="auto"/>
              <w:right w:val="single" w:sz="4" w:space="0" w:color="auto"/>
            </w:tcBorders>
            <w:shd w:val="clear" w:color="auto" w:fill="C6EFCE"/>
            <w:noWrap/>
            <w:vAlign w:val="center"/>
          </w:tcPr>
          <w:p w14:paraId="65A24BC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 Uzlāde un uzpilde — 16831_Produc- E Green</w:t>
            </w:r>
          </w:p>
        </w:tc>
        <w:tc>
          <w:tcPr>
            <w:tcW w:w="1680" w:type="dxa"/>
            <w:tcBorders>
              <w:top w:val="nil"/>
              <w:left w:val="nil"/>
              <w:bottom w:val="single" w:sz="4" w:space="0" w:color="auto"/>
              <w:right w:val="single" w:sz="4" w:space="0" w:color="auto"/>
            </w:tcBorders>
            <w:shd w:val="clear" w:color="auto" w:fill="C6EFCE"/>
            <w:noWrap/>
            <w:vAlign w:val="center"/>
          </w:tcPr>
          <w:p w14:paraId="1E41081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3FE090E2" w14:textId="77777777" w:rsidR="00CB0FCB" w:rsidRDefault="009D2B11">
            <w:pPr>
              <w:pStyle w:val="P68B1DB1-Normal8"/>
              <w:keepNext/>
              <w:spacing w:before="40" w:after="0" w:line="240" w:lineRule="auto"/>
              <w:jc w:val="both"/>
              <w:rPr>
                <w:rFonts w:eastAsia="Times New Roman" w:cs="Times New Roman"/>
                <w:noProof/>
                <w:szCs w:val="18"/>
              </w:rPr>
            </w:pPr>
            <w:r>
              <w:rPr>
                <w:noProof/>
              </w:rPr>
              <w:t>Rūpniecības vienības — atlasītie uzņēmumi</w:t>
            </w:r>
          </w:p>
        </w:tc>
      </w:tr>
      <w:tr w:rsidR="00CB0FCB" w14:paraId="445F403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8F21CE2" w14:textId="77777777" w:rsidR="00CB0FCB" w:rsidRDefault="009D2B11">
            <w:pPr>
              <w:pStyle w:val="P68B1DB1-Normal8"/>
              <w:keepNext/>
              <w:spacing w:before="40" w:after="0" w:line="240" w:lineRule="auto"/>
              <w:jc w:val="both"/>
              <w:rPr>
                <w:rFonts w:cs="Times New Roman"/>
                <w:noProof/>
                <w:szCs w:val="18"/>
              </w:rPr>
            </w:pPr>
            <w:r>
              <w:rPr>
                <w:noProof/>
              </w:rPr>
              <w:t>59</w:t>
            </w:r>
          </w:p>
        </w:tc>
        <w:tc>
          <w:tcPr>
            <w:tcW w:w="4320" w:type="dxa"/>
            <w:tcBorders>
              <w:top w:val="nil"/>
              <w:left w:val="nil"/>
              <w:bottom w:val="single" w:sz="4" w:space="0" w:color="auto"/>
              <w:right w:val="single" w:sz="4" w:space="0" w:color="auto"/>
            </w:tcBorders>
            <w:shd w:val="clear" w:color="auto" w:fill="C6EFCE"/>
            <w:noWrap/>
            <w:vAlign w:val="center"/>
          </w:tcPr>
          <w:p w14:paraId="0B4ADB67" w14:textId="77777777" w:rsidR="00CB0FCB" w:rsidRDefault="009D2B11">
            <w:pPr>
              <w:pStyle w:val="P68B1DB1-Normal8"/>
              <w:keepNext/>
              <w:spacing w:before="40" w:after="0" w:line="240" w:lineRule="auto"/>
              <w:jc w:val="both"/>
              <w:rPr>
                <w:rFonts w:cs="Times New Roman"/>
                <w:noProof/>
                <w:szCs w:val="18"/>
              </w:rPr>
            </w:pPr>
            <w:r>
              <w:rPr>
                <w:noProof/>
              </w:rPr>
              <w:t>4–1.4. Resursu ilgtspējīga izmantošana, klimatnoturība un vides aizsardzība — 16772_Atkritumu apsaimniekošanas likums ilgtspējīgas apglabāšanas un reciklēšanas īstenošanai</w:t>
            </w:r>
          </w:p>
        </w:tc>
        <w:tc>
          <w:tcPr>
            <w:tcW w:w="1680" w:type="dxa"/>
            <w:tcBorders>
              <w:top w:val="nil"/>
              <w:left w:val="nil"/>
              <w:bottom w:val="single" w:sz="4" w:space="0" w:color="auto"/>
              <w:right w:val="single" w:sz="4" w:space="0" w:color="auto"/>
            </w:tcBorders>
            <w:shd w:val="clear" w:color="auto" w:fill="C6EFCE"/>
            <w:noWrap/>
            <w:vAlign w:val="center"/>
          </w:tcPr>
          <w:p w14:paraId="51CFB4F7"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285E4A90" w14:textId="77777777" w:rsidR="00CB0FCB" w:rsidRDefault="009D2B11">
            <w:pPr>
              <w:pStyle w:val="P68B1DB1-Normal8"/>
              <w:keepNext/>
              <w:spacing w:before="40" w:after="0" w:line="240" w:lineRule="auto"/>
              <w:jc w:val="both"/>
              <w:rPr>
                <w:rFonts w:cs="Times New Roman"/>
                <w:noProof/>
                <w:szCs w:val="18"/>
              </w:rPr>
            </w:pPr>
            <w:r>
              <w:rPr>
                <w:noProof/>
              </w:rPr>
              <w:t>Atkritumu apsaimniekošanas regulatora izveide un darbība</w:t>
            </w:r>
          </w:p>
        </w:tc>
      </w:tr>
      <w:tr w:rsidR="00CB0FCB" w14:paraId="4CE2220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52E756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60</w:t>
            </w:r>
          </w:p>
        </w:tc>
        <w:tc>
          <w:tcPr>
            <w:tcW w:w="4320" w:type="dxa"/>
            <w:tcBorders>
              <w:top w:val="nil"/>
              <w:left w:val="nil"/>
              <w:bottom w:val="single" w:sz="4" w:space="0" w:color="auto"/>
              <w:right w:val="single" w:sz="4" w:space="0" w:color="auto"/>
            </w:tcBorders>
            <w:shd w:val="clear" w:color="auto" w:fill="C6EFCE"/>
            <w:noWrap/>
            <w:vAlign w:val="center"/>
          </w:tcPr>
          <w:p w14:paraId="325A2BC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16979_Jaunas ūdens un notekūdeņu regulatīvās iestādes izveide</w:t>
            </w:r>
          </w:p>
        </w:tc>
        <w:tc>
          <w:tcPr>
            <w:tcW w:w="1680" w:type="dxa"/>
            <w:tcBorders>
              <w:top w:val="nil"/>
              <w:left w:val="nil"/>
              <w:bottom w:val="single" w:sz="4" w:space="0" w:color="auto"/>
              <w:right w:val="single" w:sz="4" w:space="0" w:color="auto"/>
            </w:tcBorders>
            <w:shd w:val="clear" w:color="auto" w:fill="C6EFCE"/>
            <w:noWrap/>
            <w:vAlign w:val="center"/>
          </w:tcPr>
          <w:p w14:paraId="484E892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7F13DF2" w14:textId="77777777" w:rsidR="00CB0FCB" w:rsidRDefault="009D2B11">
            <w:pPr>
              <w:pStyle w:val="P68B1DB1-Normal8"/>
              <w:keepNext/>
              <w:spacing w:before="40" w:after="0" w:line="240" w:lineRule="auto"/>
              <w:jc w:val="both"/>
              <w:rPr>
                <w:rFonts w:eastAsia="Times New Roman" w:cs="Times New Roman"/>
                <w:noProof/>
                <w:szCs w:val="18"/>
              </w:rPr>
            </w:pPr>
            <w:r>
              <w:rPr>
                <w:noProof/>
              </w:rPr>
              <w:t>Ūdens apsaimniekošanas regulatora izveide un darbība</w:t>
            </w:r>
          </w:p>
        </w:tc>
      </w:tr>
      <w:tr w:rsidR="00CB0FCB" w14:paraId="3B3F218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A40AB28" w14:textId="77777777" w:rsidR="00CB0FCB" w:rsidRDefault="009D2B11">
            <w:pPr>
              <w:pStyle w:val="P68B1DB1-Normal8"/>
              <w:keepNext/>
              <w:spacing w:before="40" w:after="0" w:line="240" w:lineRule="auto"/>
              <w:jc w:val="both"/>
              <w:rPr>
                <w:rFonts w:cs="Times New Roman"/>
                <w:noProof/>
                <w:szCs w:val="18"/>
              </w:rPr>
            </w:pPr>
            <w:r>
              <w:rPr>
                <w:noProof/>
              </w:rPr>
              <w:t>62</w:t>
            </w:r>
          </w:p>
        </w:tc>
        <w:tc>
          <w:tcPr>
            <w:tcW w:w="4320" w:type="dxa"/>
            <w:tcBorders>
              <w:top w:val="nil"/>
              <w:left w:val="nil"/>
              <w:bottom w:val="single" w:sz="4" w:space="0" w:color="auto"/>
              <w:right w:val="single" w:sz="4" w:space="0" w:color="auto"/>
            </w:tcBorders>
            <w:shd w:val="clear" w:color="auto" w:fill="C6EFCE"/>
            <w:noWrap/>
            <w:vAlign w:val="center"/>
          </w:tcPr>
          <w:p w14:paraId="3DF2E8FC" w14:textId="77777777" w:rsidR="00CB0FCB" w:rsidRDefault="009D2B11">
            <w:pPr>
              <w:pStyle w:val="P68B1DB1-Normal8"/>
              <w:keepNext/>
              <w:spacing w:before="40" w:after="0" w:line="240" w:lineRule="auto"/>
              <w:jc w:val="both"/>
              <w:rPr>
                <w:rFonts w:cs="Times New Roman"/>
                <w:noProof/>
                <w:szCs w:val="18"/>
              </w:rPr>
            </w:pPr>
            <w:r>
              <w:rPr>
                <w:noProof/>
              </w:rPr>
              <w:t>4–1.4. Resursu ilgtspējīga izmantošana, klimatnoturība un vides aizsardzība — 16849_Nacionālais meža atjaunošanas plāns, atjaunošana un novēršana (“antiNERO”), preterozijas un pretplūdu aizsardzības pasākumi</w:t>
            </w:r>
          </w:p>
        </w:tc>
        <w:tc>
          <w:tcPr>
            <w:tcW w:w="1680" w:type="dxa"/>
            <w:tcBorders>
              <w:top w:val="nil"/>
              <w:left w:val="nil"/>
              <w:bottom w:val="single" w:sz="4" w:space="0" w:color="auto"/>
              <w:right w:val="single" w:sz="4" w:space="0" w:color="auto"/>
            </w:tcBorders>
            <w:shd w:val="clear" w:color="auto" w:fill="C6EFCE"/>
            <w:noWrap/>
            <w:vAlign w:val="center"/>
          </w:tcPr>
          <w:p w14:paraId="2AE0E204"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104B7E76" w14:textId="77777777" w:rsidR="00CB0FCB" w:rsidRDefault="009D2B11">
            <w:pPr>
              <w:pStyle w:val="P68B1DB1-Normal8"/>
              <w:keepNext/>
              <w:spacing w:before="40" w:after="0" w:line="240" w:lineRule="auto"/>
              <w:jc w:val="both"/>
              <w:rPr>
                <w:rFonts w:cs="Times New Roman"/>
                <w:noProof/>
                <w:szCs w:val="18"/>
              </w:rPr>
            </w:pPr>
            <w:r>
              <w:rPr>
                <w:noProof/>
              </w:rPr>
              <w:t>Meža atjaunošana, atjaunošana un profilakse — līgumi 2</w:t>
            </w:r>
          </w:p>
        </w:tc>
      </w:tr>
      <w:tr w:rsidR="00CB0FCB" w14:paraId="7C77F9C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FF5F56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68</w:t>
            </w:r>
          </w:p>
        </w:tc>
        <w:tc>
          <w:tcPr>
            <w:tcW w:w="4320" w:type="dxa"/>
            <w:tcBorders>
              <w:top w:val="nil"/>
              <w:left w:val="nil"/>
              <w:bottom w:val="single" w:sz="4" w:space="0" w:color="auto"/>
              <w:right w:val="single" w:sz="4" w:space="0" w:color="auto"/>
            </w:tcBorders>
            <w:shd w:val="clear" w:color="auto" w:fill="C6EFCE"/>
            <w:noWrap/>
            <w:vAlign w:val="center"/>
          </w:tcPr>
          <w:p w14:paraId="19D48DE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Ilgtspējīga resursu izmantošana, klimatnoturība un vides aizsardzība — 16846_ Komunālo notekūdeņu un dūņu apsaimniekošanas infrastruktūras no notekūdeņu attīrīšanas</w:t>
            </w:r>
          </w:p>
        </w:tc>
        <w:tc>
          <w:tcPr>
            <w:tcW w:w="1680" w:type="dxa"/>
            <w:tcBorders>
              <w:top w:val="nil"/>
              <w:left w:val="nil"/>
              <w:bottom w:val="single" w:sz="4" w:space="0" w:color="auto"/>
              <w:right w:val="single" w:sz="4" w:space="0" w:color="auto"/>
            </w:tcBorders>
            <w:shd w:val="clear" w:color="auto" w:fill="C6EFCE"/>
            <w:noWrap/>
            <w:vAlign w:val="center"/>
          </w:tcPr>
          <w:p w14:paraId="0A55430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3F8D7B5" w14:textId="77777777" w:rsidR="00CB0FCB" w:rsidRDefault="009D2B11">
            <w:pPr>
              <w:pStyle w:val="P68B1DB1-Normal8"/>
              <w:keepNext/>
              <w:spacing w:before="40" w:after="0" w:line="240" w:lineRule="auto"/>
              <w:jc w:val="both"/>
              <w:rPr>
                <w:rFonts w:eastAsia="Times New Roman" w:cs="Times New Roman"/>
                <w:noProof/>
                <w:szCs w:val="18"/>
              </w:rPr>
            </w:pPr>
            <w:r>
              <w:rPr>
                <w:noProof/>
              </w:rPr>
              <w:t>Paziņojums par līguma slēgšanas tiesību piešķiršanu notekūdeņu projektiem</w:t>
            </w:r>
          </w:p>
        </w:tc>
      </w:tr>
      <w:tr w:rsidR="00CB0FCB" w14:paraId="1FF5153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1B5CB3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79</w:t>
            </w:r>
          </w:p>
        </w:tc>
        <w:tc>
          <w:tcPr>
            <w:tcW w:w="4320" w:type="dxa"/>
            <w:tcBorders>
              <w:top w:val="nil"/>
              <w:left w:val="nil"/>
              <w:bottom w:val="single" w:sz="4" w:space="0" w:color="auto"/>
              <w:right w:val="single" w:sz="4" w:space="0" w:color="auto"/>
            </w:tcBorders>
            <w:shd w:val="clear" w:color="auto" w:fill="C6EFCE"/>
            <w:noWrap/>
            <w:vAlign w:val="center"/>
          </w:tcPr>
          <w:p w14:paraId="5640DB5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16911_Krīžu pārvarēšanas līdzekļi</w:t>
            </w:r>
          </w:p>
        </w:tc>
        <w:tc>
          <w:tcPr>
            <w:tcW w:w="1680" w:type="dxa"/>
            <w:tcBorders>
              <w:top w:val="nil"/>
              <w:left w:val="nil"/>
              <w:bottom w:val="single" w:sz="4" w:space="0" w:color="auto"/>
              <w:right w:val="single" w:sz="4" w:space="0" w:color="auto"/>
            </w:tcBorders>
            <w:shd w:val="clear" w:color="auto" w:fill="C6EFCE"/>
            <w:noWrap/>
            <w:vAlign w:val="center"/>
          </w:tcPr>
          <w:p w14:paraId="112C39F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68B918B0" w14:textId="77777777" w:rsidR="00CB0FCB" w:rsidRDefault="009D2B11">
            <w:pPr>
              <w:pStyle w:val="P68B1DB1-Normal8"/>
              <w:keepNext/>
              <w:spacing w:before="40" w:after="0" w:line="240" w:lineRule="auto"/>
              <w:jc w:val="both"/>
              <w:rPr>
                <w:rFonts w:eastAsia="Times New Roman" w:cs="Times New Roman"/>
                <w:noProof/>
                <w:szCs w:val="18"/>
              </w:rPr>
            </w:pPr>
            <w:r>
              <w:rPr>
                <w:noProof/>
              </w:rPr>
              <w:t>Divu vidēja lieluma ugunsdzēsības helikopteru iegāde</w:t>
            </w:r>
          </w:p>
        </w:tc>
      </w:tr>
      <w:tr w:rsidR="00CB0FCB" w14:paraId="75E18CF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183BD3CC" w14:textId="77777777" w:rsidR="00CB0FCB" w:rsidRDefault="009D2B11">
            <w:pPr>
              <w:pStyle w:val="P68B1DB1-Normal8"/>
              <w:keepNext/>
              <w:spacing w:before="40" w:after="0" w:line="240" w:lineRule="auto"/>
              <w:jc w:val="both"/>
              <w:rPr>
                <w:noProof/>
              </w:rPr>
            </w:pPr>
            <w:r>
              <w:rPr>
                <w:noProof/>
              </w:rPr>
              <w:t>334</w:t>
            </w:r>
          </w:p>
        </w:tc>
        <w:tc>
          <w:tcPr>
            <w:tcW w:w="4320" w:type="dxa"/>
            <w:tcBorders>
              <w:top w:val="nil"/>
              <w:left w:val="nil"/>
              <w:bottom w:val="single" w:sz="4" w:space="0" w:color="auto"/>
              <w:right w:val="single" w:sz="4" w:space="0" w:color="auto"/>
            </w:tcBorders>
            <w:shd w:val="clear" w:color="auto" w:fill="C6EFCE"/>
            <w:noWrap/>
          </w:tcPr>
          <w:p w14:paraId="4A38F367" w14:textId="77777777" w:rsidR="00CB0FCB" w:rsidRDefault="009D2B11">
            <w:pPr>
              <w:pStyle w:val="P68B1DB1-Normal8"/>
              <w:keepNext/>
              <w:spacing w:before="40" w:after="0" w:line="240" w:lineRule="auto"/>
              <w:jc w:val="both"/>
              <w:rPr>
                <w:noProof/>
              </w:rPr>
            </w:pPr>
            <w:r>
              <w:rPr>
                <w:noProof/>
              </w:rPr>
              <w:t>16857_Pāreja uz gigabitu platjoslas savienojumiem — pāreja uz gigabitu platjoslas savienojumiem un gigabitu platjoslas pieprasījuma stiprināšana</w:t>
            </w:r>
          </w:p>
        </w:tc>
        <w:tc>
          <w:tcPr>
            <w:tcW w:w="1680" w:type="dxa"/>
            <w:tcBorders>
              <w:top w:val="nil"/>
              <w:left w:val="nil"/>
              <w:bottom w:val="single" w:sz="4" w:space="0" w:color="auto"/>
              <w:right w:val="single" w:sz="4" w:space="0" w:color="auto"/>
            </w:tcBorders>
            <w:shd w:val="clear" w:color="auto" w:fill="C6EFCE"/>
            <w:noWrap/>
          </w:tcPr>
          <w:p w14:paraId="05DE9C66" w14:textId="77777777" w:rsidR="00CB0FCB" w:rsidRDefault="009D2B11">
            <w:pPr>
              <w:pStyle w:val="P68B1DB1-Normal8"/>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tcPr>
          <w:p w14:paraId="4822B0B3" w14:textId="77777777" w:rsidR="00CB0FCB" w:rsidRDefault="009D2B11">
            <w:pPr>
              <w:pStyle w:val="P68B1DB1-Normal8"/>
              <w:keepNext/>
              <w:spacing w:before="40" w:after="0" w:line="240" w:lineRule="auto"/>
              <w:jc w:val="both"/>
              <w:rPr>
                <w:noProof/>
              </w:rPr>
            </w:pPr>
            <w:r>
              <w:rPr>
                <w:noProof/>
              </w:rPr>
              <w:t>Reformas “Pāreja uz gigabitu platjoslas savienojumiem” stāšanās spēkā</w:t>
            </w:r>
          </w:p>
        </w:tc>
      </w:tr>
      <w:tr w:rsidR="00CB0FCB" w14:paraId="3D3A85C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8EA5DB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97</w:t>
            </w:r>
          </w:p>
        </w:tc>
        <w:tc>
          <w:tcPr>
            <w:tcW w:w="4320" w:type="dxa"/>
            <w:tcBorders>
              <w:top w:val="nil"/>
              <w:left w:val="nil"/>
              <w:bottom w:val="single" w:sz="4" w:space="0" w:color="auto"/>
              <w:right w:val="single" w:sz="4" w:space="0" w:color="auto"/>
            </w:tcBorders>
            <w:shd w:val="clear" w:color="auto" w:fill="C6EFCE"/>
            <w:noWrap/>
            <w:vAlign w:val="center"/>
          </w:tcPr>
          <w:p w14:paraId="021AEC8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Modernizēt — 16929_Virzība uz valsts pārvaldes “klientu” pakalpojumiem, vienkāršojot un uzlabojot procesus, sistēmu uzlabojumus un atbilstību Eiropas stratēģijām un politikai</w:t>
            </w:r>
          </w:p>
        </w:tc>
        <w:tc>
          <w:tcPr>
            <w:tcW w:w="1680" w:type="dxa"/>
            <w:tcBorders>
              <w:top w:val="nil"/>
              <w:left w:val="nil"/>
              <w:bottom w:val="single" w:sz="4" w:space="0" w:color="auto"/>
              <w:right w:val="single" w:sz="4" w:space="0" w:color="auto"/>
            </w:tcBorders>
            <w:shd w:val="clear" w:color="auto" w:fill="C6EFCE"/>
            <w:noWrap/>
            <w:vAlign w:val="center"/>
          </w:tcPr>
          <w:p w14:paraId="5DF010B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5DBD2B7F" w14:textId="77777777" w:rsidR="00CB0FCB" w:rsidRDefault="009D2B11">
            <w:pPr>
              <w:pStyle w:val="P68B1DB1-Normal8"/>
              <w:keepNext/>
              <w:spacing w:before="40" w:after="0" w:line="240" w:lineRule="auto"/>
              <w:jc w:val="both"/>
              <w:rPr>
                <w:rFonts w:eastAsia="Times New Roman" w:cs="Times New Roman"/>
                <w:noProof/>
                <w:szCs w:val="18"/>
              </w:rPr>
            </w:pPr>
            <w:r>
              <w:rPr>
                <w:noProof/>
              </w:rPr>
              <w:t>Valsts procesa vienkāršošanas plāna īstenošana (otrais posms)</w:t>
            </w:r>
          </w:p>
        </w:tc>
      </w:tr>
      <w:tr w:rsidR="00CB0FCB" w14:paraId="40B9AE7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92AC038" w14:textId="77777777" w:rsidR="00CB0FCB" w:rsidRDefault="009D2B11">
            <w:pPr>
              <w:pStyle w:val="P68B1DB1-Normal49"/>
              <w:keepNext/>
              <w:spacing w:before="40" w:after="0" w:line="240" w:lineRule="auto"/>
              <w:jc w:val="both"/>
              <w:rPr>
                <w:rFonts w:eastAsia="Times New Roman" w:cs="Times New Roman"/>
                <w:bCs/>
                <w:noProof/>
              </w:rPr>
            </w:pPr>
            <w:r>
              <w:rPr>
                <w:noProof/>
              </w:rPr>
              <w:t>147</w:t>
            </w:r>
          </w:p>
        </w:tc>
        <w:tc>
          <w:tcPr>
            <w:tcW w:w="4320" w:type="dxa"/>
            <w:tcBorders>
              <w:top w:val="nil"/>
              <w:left w:val="nil"/>
              <w:bottom w:val="single" w:sz="4" w:space="0" w:color="auto"/>
              <w:right w:val="single" w:sz="4" w:space="0" w:color="auto"/>
            </w:tcBorders>
            <w:shd w:val="clear" w:color="auto" w:fill="C6EFCE"/>
            <w:noWrap/>
            <w:vAlign w:val="center"/>
          </w:tcPr>
          <w:p w14:paraId="481CDC2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9–3.2. Izglītība, profesionālā izglītība un apmācība un prasmes — 16289_Stratēģija izcilībai universitātēs un inovācijā</w:t>
            </w:r>
          </w:p>
        </w:tc>
        <w:tc>
          <w:tcPr>
            <w:tcW w:w="1680" w:type="dxa"/>
            <w:tcBorders>
              <w:top w:val="nil"/>
              <w:left w:val="nil"/>
              <w:bottom w:val="single" w:sz="4" w:space="0" w:color="auto"/>
              <w:right w:val="single" w:sz="4" w:space="0" w:color="auto"/>
            </w:tcBorders>
            <w:shd w:val="clear" w:color="auto" w:fill="C6EFCE"/>
            <w:noWrap/>
            <w:vAlign w:val="center"/>
          </w:tcPr>
          <w:p w14:paraId="16371D76"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5B72086A" w14:textId="54AF5724" w:rsidR="00CB0FCB" w:rsidRDefault="009D2B11">
            <w:pPr>
              <w:pStyle w:val="P68B1DB1-Normal8"/>
              <w:keepNext/>
              <w:spacing w:before="40" w:after="0" w:line="240" w:lineRule="auto"/>
              <w:jc w:val="both"/>
              <w:rPr>
                <w:rFonts w:eastAsia="Times New Roman" w:cs="Times New Roman"/>
                <w:noProof/>
                <w:szCs w:val="18"/>
              </w:rPr>
            </w:pPr>
            <w:r>
              <w:rPr>
                <w:noProof/>
              </w:rPr>
              <w:t>Izcilības universitāšu un pētniecības izcilības kopu apstiprināšanas lēmumi</w:t>
            </w:r>
          </w:p>
        </w:tc>
      </w:tr>
      <w:tr w:rsidR="00CB0FCB" w14:paraId="1955BFC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E66CA8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162</w:t>
            </w:r>
          </w:p>
        </w:tc>
        <w:tc>
          <w:tcPr>
            <w:tcW w:w="4320" w:type="dxa"/>
            <w:tcBorders>
              <w:top w:val="nil"/>
              <w:left w:val="nil"/>
              <w:bottom w:val="single" w:sz="4" w:space="0" w:color="auto"/>
              <w:right w:val="single" w:sz="4" w:space="0" w:color="auto"/>
            </w:tcBorders>
            <w:shd w:val="clear" w:color="auto" w:fill="C6EFCE"/>
            <w:noWrap/>
            <w:vAlign w:val="center"/>
          </w:tcPr>
          <w:p w14:paraId="387522F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16820_Reforma garīgās veselības un atkarības jomā</w:t>
            </w:r>
          </w:p>
        </w:tc>
        <w:tc>
          <w:tcPr>
            <w:tcW w:w="1680" w:type="dxa"/>
            <w:tcBorders>
              <w:top w:val="nil"/>
              <w:left w:val="nil"/>
              <w:bottom w:val="single" w:sz="4" w:space="0" w:color="auto"/>
              <w:right w:val="single" w:sz="4" w:space="0" w:color="auto"/>
            </w:tcBorders>
            <w:shd w:val="clear" w:color="auto" w:fill="C6EFCE"/>
            <w:noWrap/>
            <w:vAlign w:val="center"/>
          </w:tcPr>
          <w:p w14:paraId="00CC44B7"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3774DD2C" w14:textId="77777777" w:rsidR="00CB0FCB" w:rsidRDefault="009D2B11">
            <w:pPr>
              <w:pStyle w:val="P68B1DB1-Normal8"/>
              <w:keepNext/>
              <w:spacing w:before="40" w:after="0" w:line="240" w:lineRule="auto"/>
              <w:jc w:val="both"/>
              <w:rPr>
                <w:rFonts w:eastAsia="Times New Roman" w:cs="Times New Roman"/>
                <w:noProof/>
                <w:szCs w:val="18"/>
              </w:rPr>
            </w:pPr>
            <w:r>
              <w:rPr>
                <w:noProof/>
              </w:rPr>
              <w:t>Garīgā veselība — 106 vienības atvērtas — 2. posms no 2.</w:t>
            </w:r>
          </w:p>
        </w:tc>
      </w:tr>
      <w:tr w:rsidR="00CB0FCB" w14:paraId="75D7B59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9AAC542" w14:textId="77777777" w:rsidR="00CB0FCB" w:rsidRDefault="009D2B11">
            <w:pPr>
              <w:pStyle w:val="P68B1DB1-Normal8"/>
              <w:keepNext/>
              <w:spacing w:before="40" w:after="0" w:line="240" w:lineRule="auto"/>
              <w:jc w:val="both"/>
              <w:rPr>
                <w:rFonts w:cs="Times New Roman"/>
                <w:noProof/>
                <w:szCs w:val="18"/>
              </w:rPr>
            </w:pPr>
            <w:r>
              <w:rPr>
                <w:noProof/>
              </w:rPr>
              <w:t>192</w:t>
            </w:r>
          </w:p>
        </w:tc>
        <w:tc>
          <w:tcPr>
            <w:tcW w:w="4320" w:type="dxa"/>
            <w:tcBorders>
              <w:top w:val="nil"/>
              <w:left w:val="nil"/>
              <w:bottom w:val="single" w:sz="4" w:space="0" w:color="auto"/>
              <w:right w:val="single" w:sz="4" w:space="0" w:color="auto"/>
            </w:tcBorders>
            <w:shd w:val="clear" w:color="auto" w:fill="C6EFCE"/>
            <w:noWrap/>
            <w:vAlign w:val="center"/>
          </w:tcPr>
          <w:p w14:paraId="775E1C89" w14:textId="77777777" w:rsidR="00CB0FCB" w:rsidRDefault="009D2B11">
            <w:pPr>
              <w:pStyle w:val="P68B1DB1-Normal8"/>
              <w:keepNext/>
              <w:spacing w:before="40" w:after="0" w:line="240" w:lineRule="auto"/>
              <w:jc w:val="both"/>
              <w:rPr>
                <w:rFonts w:cs="Times New Roman"/>
                <w:noProof/>
                <w:szCs w:val="18"/>
              </w:rPr>
            </w:pPr>
            <w:r>
              <w:rPr>
                <w:noProof/>
              </w:rPr>
              <w:t>12–4.1. PUNKTS. Padarīt nodokļus labvēlīgākus izaugsmei un uzlabot nodokļu administrēšanu un nodokļu iekasēšanu — 16611_Nodokļu revīziju digitālā pārveide</w:t>
            </w:r>
          </w:p>
        </w:tc>
        <w:tc>
          <w:tcPr>
            <w:tcW w:w="1680" w:type="dxa"/>
            <w:tcBorders>
              <w:top w:val="nil"/>
              <w:left w:val="nil"/>
              <w:bottom w:val="single" w:sz="4" w:space="0" w:color="auto"/>
              <w:right w:val="single" w:sz="4" w:space="0" w:color="auto"/>
            </w:tcBorders>
            <w:shd w:val="clear" w:color="auto" w:fill="C6EFCE"/>
            <w:noWrap/>
            <w:vAlign w:val="center"/>
          </w:tcPr>
          <w:p w14:paraId="7079B05F"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7702F6A" w14:textId="77777777" w:rsidR="00CB0FCB" w:rsidRDefault="009D2B11">
            <w:pPr>
              <w:pStyle w:val="P68B1DB1-Normal8"/>
              <w:keepNext/>
              <w:spacing w:before="40" w:after="0" w:line="240" w:lineRule="auto"/>
              <w:jc w:val="both"/>
              <w:rPr>
                <w:rFonts w:cs="Times New Roman"/>
                <w:noProof/>
                <w:szCs w:val="18"/>
              </w:rPr>
            </w:pPr>
            <w:r>
              <w:rPr>
                <w:noProof/>
              </w:rPr>
              <w:t>Nodokļu revīzijas — Mani dati un bankas informācija</w:t>
            </w:r>
          </w:p>
        </w:tc>
      </w:tr>
      <w:tr w:rsidR="00CB0FCB" w14:paraId="256248C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F5D877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193</w:t>
            </w:r>
          </w:p>
        </w:tc>
        <w:tc>
          <w:tcPr>
            <w:tcW w:w="4320" w:type="dxa"/>
            <w:tcBorders>
              <w:top w:val="nil"/>
              <w:left w:val="nil"/>
              <w:bottom w:val="single" w:sz="4" w:space="0" w:color="auto"/>
              <w:right w:val="single" w:sz="4" w:space="0" w:color="auto"/>
            </w:tcBorders>
            <w:shd w:val="clear" w:color="auto" w:fill="C6EFCE"/>
            <w:noWrap/>
            <w:vAlign w:val="center"/>
          </w:tcPr>
          <w:p w14:paraId="7223C48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16610_Veicināt PVN atmaksas paātrināšanu</w:t>
            </w:r>
          </w:p>
        </w:tc>
        <w:tc>
          <w:tcPr>
            <w:tcW w:w="1680" w:type="dxa"/>
            <w:tcBorders>
              <w:top w:val="nil"/>
              <w:left w:val="nil"/>
              <w:bottom w:val="single" w:sz="4" w:space="0" w:color="auto"/>
              <w:right w:val="single" w:sz="4" w:space="0" w:color="auto"/>
            </w:tcBorders>
            <w:shd w:val="clear" w:color="auto" w:fill="C6EFCE"/>
            <w:noWrap/>
            <w:vAlign w:val="center"/>
          </w:tcPr>
          <w:p w14:paraId="6136CA67"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DFFB227" w14:textId="77777777" w:rsidR="00CB0FCB" w:rsidRDefault="009D2B11">
            <w:pPr>
              <w:pStyle w:val="P68B1DB1-Normal8"/>
              <w:keepNext/>
              <w:spacing w:before="40" w:after="0" w:line="240" w:lineRule="auto"/>
              <w:jc w:val="both"/>
              <w:rPr>
                <w:rFonts w:eastAsia="Times New Roman" w:cs="Times New Roman"/>
                <w:noProof/>
                <w:szCs w:val="18"/>
              </w:rPr>
            </w:pPr>
            <w:r>
              <w:rPr>
                <w:noProof/>
              </w:rPr>
              <w:t>Pilnībā automatizēta PVN atmaksa — IT sistēmas darbības uzsākšana</w:t>
            </w:r>
          </w:p>
        </w:tc>
      </w:tr>
      <w:tr w:rsidR="00CB0FCB" w14:paraId="11AF6FE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68DCBA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207</w:t>
            </w:r>
          </w:p>
        </w:tc>
        <w:tc>
          <w:tcPr>
            <w:tcW w:w="4320" w:type="dxa"/>
            <w:tcBorders>
              <w:top w:val="nil"/>
              <w:left w:val="nil"/>
              <w:bottom w:val="single" w:sz="4" w:space="0" w:color="auto"/>
              <w:right w:val="single" w:sz="4" w:space="0" w:color="auto"/>
            </w:tcBorders>
            <w:shd w:val="clear" w:color="auto" w:fill="C6EFCE"/>
            <w:noWrap/>
            <w:vAlign w:val="center"/>
          </w:tcPr>
          <w:p w14:paraId="48C9F68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16972_Valsts pārvaldes reforma</w:t>
            </w:r>
          </w:p>
        </w:tc>
        <w:tc>
          <w:tcPr>
            <w:tcW w:w="1680" w:type="dxa"/>
            <w:tcBorders>
              <w:top w:val="nil"/>
              <w:left w:val="nil"/>
              <w:bottom w:val="single" w:sz="4" w:space="0" w:color="auto"/>
              <w:right w:val="single" w:sz="4" w:space="0" w:color="auto"/>
            </w:tcBorders>
            <w:shd w:val="clear" w:color="auto" w:fill="C6EFCE"/>
            <w:noWrap/>
            <w:vAlign w:val="center"/>
          </w:tcPr>
          <w:p w14:paraId="0704138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426E0480" w14:textId="77777777" w:rsidR="00CB0FCB" w:rsidRDefault="009D2B11">
            <w:pPr>
              <w:pStyle w:val="P68B1DB1-Normal8"/>
              <w:keepNext/>
              <w:spacing w:before="40" w:after="0" w:line="240" w:lineRule="auto"/>
              <w:jc w:val="both"/>
              <w:rPr>
                <w:rFonts w:eastAsia="Times New Roman" w:cs="Times New Roman"/>
                <w:noProof/>
                <w:szCs w:val="18"/>
              </w:rPr>
            </w:pPr>
            <w:r>
              <w:rPr>
                <w:noProof/>
              </w:rPr>
              <w:t>Valsts pārvalde — jauna atalgošanas sistēma</w:t>
            </w:r>
          </w:p>
        </w:tc>
      </w:tr>
      <w:tr w:rsidR="00CB0FCB" w14:paraId="43F4931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1264BCC0" w14:textId="77777777" w:rsidR="00CB0FCB" w:rsidRDefault="009D2B11">
            <w:pPr>
              <w:pStyle w:val="P68B1DB1-Normal8"/>
              <w:keepNext/>
              <w:spacing w:before="40" w:after="0" w:line="240" w:lineRule="auto"/>
              <w:jc w:val="both"/>
              <w:rPr>
                <w:rFonts w:cs="Times New Roman"/>
                <w:noProof/>
                <w:szCs w:val="18"/>
              </w:rPr>
            </w:pPr>
            <w:r>
              <w:rPr>
                <w:noProof/>
              </w:rPr>
              <w:t>216.a</w:t>
            </w:r>
          </w:p>
        </w:tc>
        <w:tc>
          <w:tcPr>
            <w:tcW w:w="4320" w:type="dxa"/>
            <w:tcBorders>
              <w:top w:val="nil"/>
              <w:left w:val="nil"/>
              <w:bottom w:val="single" w:sz="4" w:space="0" w:color="auto"/>
              <w:right w:val="single" w:sz="4" w:space="0" w:color="auto"/>
            </w:tcBorders>
            <w:shd w:val="clear" w:color="auto" w:fill="C6EFCE"/>
            <w:noWrap/>
          </w:tcPr>
          <w:p w14:paraId="3DA9BE55" w14:textId="77777777" w:rsidR="00CB0FCB" w:rsidRDefault="009D2B11">
            <w:pPr>
              <w:pStyle w:val="P68B1DB1-Normal8"/>
              <w:keepNext/>
              <w:spacing w:before="40" w:after="0" w:line="240" w:lineRule="auto"/>
              <w:jc w:val="both"/>
              <w:rPr>
                <w:rFonts w:cs="Times New Roman"/>
                <w:noProof/>
                <w:szCs w:val="18"/>
              </w:rPr>
            </w:pPr>
            <w:r>
              <w:rPr>
                <w:noProof/>
              </w:rPr>
              <w:t xml:space="preserve">13–4.2. Modernizēt valsts pārvaldi, tostarp paātrinot publisko investīciju īstenošanu, uzlabojot publiskā iepirkuma regulējumu, spēju veidošanas pasākumus un korupcijas apkarošanu — 16711_Publiskā iepirkuma jomas profesionalizācija  </w:t>
            </w:r>
          </w:p>
        </w:tc>
        <w:tc>
          <w:tcPr>
            <w:tcW w:w="1680" w:type="dxa"/>
            <w:tcBorders>
              <w:top w:val="nil"/>
              <w:left w:val="nil"/>
              <w:bottom w:val="single" w:sz="4" w:space="0" w:color="auto"/>
              <w:right w:val="single" w:sz="4" w:space="0" w:color="auto"/>
            </w:tcBorders>
            <w:shd w:val="clear" w:color="auto" w:fill="C6EFCE"/>
            <w:noWrap/>
          </w:tcPr>
          <w:p w14:paraId="33F79FA4"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tcPr>
          <w:p w14:paraId="3DB42B79" w14:textId="77777777" w:rsidR="00CB0FCB" w:rsidRDefault="009D2B11">
            <w:pPr>
              <w:pStyle w:val="P68B1DB1-Normal8"/>
              <w:keepNext/>
              <w:spacing w:before="40" w:after="0" w:line="240" w:lineRule="auto"/>
              <w:jc w:val="both"/>
              <w:rPr>
                <w:rFonts w:cs="Times New Roman"/>
                <w:noProof/>
                <w:szCs w:val="18"/>
              </w:rPr>
            </w:pPr>
            <w:r>
              <w:rPr>
                <w:noProof/>
              </w:rPr>
              <w:t>Grozījumi Valsts publiskā iepirkuma stratēģijā 2021.–2025. gadam</w:t>
            </w:r>
          </w:p>
        </w:tc>
      </w:tr>
      <w:tr w:rsidR="00CB0FCB" w14:paraId="4A00288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8BB431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232</w:t>
            </w:r>
          </w:p>
        </w:tc>
        <w:tc>
          <w:tcPr>
            <w:tcW w:w="4320" w:type="dxa"/>
            <w:tcBorders>
              <w:top w:val="nil"/>
              <w:left w:val="nil"/>
              <w:bottom w:val="single" w:sz="4" w:space="0" w:color="auto"/>
              <w:right w:val="single" w:sz="4" w:space="0" w:color="auto"/>
            </w:tcBorders>
            <w:shd w:val="clear" w:color="auto" w:fill="C6EFCE"/>
            <w:noWrap/>
            <w:vAlign w:val="center"/>
          </w:tcPr>
          <w:p w14:paraId="630A184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16575 tiesvedības paātrināšana</w:t>
            </w:r>
          </w:p>
        </w:tc>
        <w:tc>
          <w:tcPr>
            <w:tcW w:w="1680" w:type="dxa"/>
            <w:tcBorders>
              <w:top w:val="nil"/>
              <w:left w:val="nil"/>
              <w:bottom w:val="single" w:sz="4" w:space="0" w:color="auto"/>
              <w:right w:val="single" w:sz="4" w:space="0" w:color="auto"/>
            </w:tcBorders>
            <w:shd w:val="clear" w:color="auto" w:fill="C6EFCE"/>
            <w:noWrap/>
            <w:vAlign w:val="center"/>
          </w:tcPr>
          <w:p w14:paraId="15535CB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3A181C3D" w14:textId="77777777" w:rsidR="00CB0FCB" w:rsidRDefault="009D2B11">
            <w:pPr>
              <w:pStyle w:val="P68B1DB1-Normal8"/>
              <w:keepNext/>
              <w:spacing w:before="40" w:after="0" w:line="240" w:lineRule="auto"/>
              <w:jc w:val="both"/>
              <w:rPr>
                <w:rFonts w:eastAsia="Times New Roman" w:cs="Times New Roman"/>
                <w:noProof/>
                <w:szCs w:val="18"/>
              </w:rPr>
            </w:pPr>
            <w:r>
              <w:rPr>
                <w:noProof/>
              </w:rPr>
              <w:t>Tiesu kartes pārskatīšana — primārie tiesību akti — Civiltiesības un kriminālsods</w:t>
            </w:r>
          </w:p>
        </w:tc>
      </w:tr>
      <w:tr w:rsidR="00CB0FCB" w14:paraId="65D0152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31E964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233</w:t>
            </w:r>
          </w:p>
        </w:tc>
        <w:tc>
          <w:tcPr>
            <w:tcW w:w="4320" w:type="dxa"/>
            <w:tcBorders>
              <w:top w:val="nil"/>
              <w:left w:val="nil"/>
              <w:bottom w:val="single" w:sz="4" w:space="0" w:color="auto"/>
              <w:right w:val="single" w:sz="4" w:space="0" w:color="auto"/>
            </w:tcBorders>
            <w:shd w:val="clear" w:color="auto" w:fill="C6EFCE"/>
            <w:noWrap/>
            <w:vAlign w:val="center"/>
          </w:tcPr>
          <w:p w14:paraId="4777410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16292_Jaunas tiesu ēkas</w:t>
            </w:r>
          </w:p>
        </w:tc>
        <w:tc>
          <w:tcPr>
            <w:tcW w:w="1680" w:type="dxa"/>
            <w:tcBorders>
              <w:top w:val="nil"/>
              <w:left w:val="nil"/>
              <w:bottom w:val="single" w:sz="4" w:space="0" w:color="auto"/>
              <w:right w:val="single" w:sz="4" w:space="0" w:color="auto"/>
            </w:tcBorders>
            <w:shd w:val="clear" w:color="auto" w:fill="C6EFCE"/>
            <w:noWrap/>
            <w:vAlign w:val="center"/>
          </w:tcPr>
          <w:p w14:paraId="4507C98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56CBDC52" w14:textId="77777777" w:rsidR="00CB0FCB" w:rsidRDefault="009D2B11">
            <w:pPr>
              <w:pStyle w:val="P68B1DB1-Normal8"/>
              <w:keepNext/>
              <w:spacing w:before="40" w:after="0" w:line="240" w:lineRule="auto"/>
              <w:jc w:val="both"/>
              <w:rPr>
                <w:rFonts w:eastAsia="Times New Roman" w:cs="Times New Roman"/>
                <w:noProof/>
                <w:szCs w:val="18"/>
              </w:rPr>
            </w:pPr>
            <w:r>
              <w:rPr>
                <w:noProof/>
              </w:rPr>
              <w:t>Tiesu iestāžu ēku būvniecība un renovācija — iepirkumu izsludināšana</w:t>
            </w:r>
          </w:p>
        </w:tc>
      </w:tr>
      <w:tr w:rsidR="00CB0FCB" w14:paraId="46B86A0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AC91B9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279</w:t>
            </w:r>
          </w:p>
        </w:tc>
        <w:tc>
          <w:tcPr>
            <w:tcW w:w="4320" w:type="dxa"/>
            <w:tcBorders>
              <w:top w:val="nil"/>
              <w:left w:val="nil"/>
              <w:bottom w:val="single" w:sz="4" w:space="0" w:color="auto"/>
              <w:right w:val="single" w:sz="4" w:space="0" w:color="auto"/>
            </w:tcBorders>
            <w:shd w:val="clear" w:color="auto" w:fill="C6EFCE"/>
            <w:noWrap/>
            <w:vAlign w:val="center"/>
          </w:tcPr>
          <w:p w14:paraId="10344B3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16486_zemūdens senlietu muzejs</w:t>
            </w:r>
          </w:p>
        </w:tc>
        <w:tc>
          <w:tcPr>
            <w:tcW w:w="1680" w:type="dxa"/>
            <w:tcBorders>
              <w:top w:val="nil"/>
              <w:left w:val="nil"/>
              <w:bottom w:val="single" w:sz="4" w:space="0" w:color="auto"/>
              <w:right w:val="single" w:sz="4" w:space="0" w:color="auto"/>
            </w:tcBorders>
            <w:shd w:val="clear" w:color="auto" w:fill="C6EFCE"/>
            <w:noWrap/>
            <w:vAlign w:val="center"/>
          </w:tcPr>
          <w:p w14:paraId="413580D3"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3C9BF951"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zemūdens senlietu muzejam</w:t>
            </w:r>
          </w:p>
        </w:tc>
      </w:tr>
      <w:tr w:rsidR="00CB0FCB" w14:paraId="1C4EEE4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BC83A9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303</w:t>
            </w:r>
          </w:p>
        </w:tc>
        <w:tc>
          <w:tcPr>
            <w:tcW w:w="4320" w:type="dxa"/>
            <w:tcBorders>
              <w:top w:val="nil"/>
              <w:left w:val="nil"/>
              <w:bottom w:val="single" w:sz="4" w:space="0" w:color="auto"/>
              <w:right w:val="single" w:sz="4" w:space="0" w:color="auto"/>
            </w:tcBorders>
            <w:shd w:val="clear" w:color="auto" w:fill="C6EFCE"/>
            <w:noWrap/>
            <w:vAlign w:val="center"/>
          </w:tcPr>
          <w:p w14:paraId="3B7CF84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16593_Grozījums tiesiskajā regulējumā stratēģisko investīciju piesaistīšanai</w:t>
            </w:r>
          </w:p>
        </w:tc>
        <w:tc>
          <w:tcPr>
            <w:tcW w:w="1680" w:type="dxa"/>
            <w:tcBorders>
              <w:top w:val="nil"/>
              <w:left w:val="nil"/>
              <w:bottom w:val="single" w:sz="4" w:space="0" w:color="auto"/>
              <w:right w:val="single" w:sz="4" w:space="0" w:color="auto"/>
            </w:tcBorders>
            <w:shd w:val="clear" w:color="auto" w:fill="C6EFCE"/>
            <w:noWrap/>
            <w:vAlign w:val="center"/>
          </w:tcPr>
          <w:p w14:paraId="444E20A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44669A1" w14:textId="77777777" w:rsidR="00CB0FCB" w:rsidRDefault="009D2B11">
            <w:pPr>
              <w:pStyle w:val="P68B1DB1-Normal8"/>
              <w:keepNext/>
              <w:spacing w:before="40" w:after="0" w:line="240" w:lineRule="auto"/>
              <w:jc w:val="both"/>
              <w:rPr>
                <w:rFonts w:eastAsia="Times New Roman" w:cs="Times New Roman"/>
                <w:noProof/>
                <w:szCs w:val="18"/>
              </w:rPr>
            </w:pPr>
            <w:r>
              <w:rPr>
                <w:noProof/>
              </w:rPr>
              <w:t>Stratēģiskās investīcijas — atbalsttiesīgo projektu atlase</w:t>
            </w:r>
          </w:p>
        </w:tc>
      </w:tr>
      <w:tr w:rsidR="00CB0FCB" w14:paraId="0F10760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1B16DFE6" w14:textId="77777777" w:rsidR="00CB0FCB" w:rsidRDefault="009D2B11">
            <w:pPr>
              <w:pStyle w:val="P68B1DB1-Normal8"/>
              <w:keepNext/>
              <w:spacing w:before="40" w:after="0" w:line="240" w:lineRule="auto"/>
              <w:jc w:val="both"/>
              <w:rPr>
                <w:rFonts w:cs="Times New Roman"/>
                <w:noProof/>
                <w:szCs w:val="18"/>
              </w:rPr>
            </w:pPr>
            <w:r>
              <w:rPr>
                <w:noProof/>
              </w:rPr>
              <w:t>337</w:t>
            </w:r>
          </w:p>
        </w:tc>
        <w:tc>
          <w:tcPr>
            <w:tcW w:w="4320" w:type="dxa"/>
            <w:tcBorders>
              <w:top w:val="nil"/>
              <w:left w:val="nil"/>
              <w:bottom w:val="single" w:sz="4" w:space="0" w:color="auto"/>
              <w:right w:val="single" w:sz="4" w:space="0" w:color="auto"/>
            </w:tcBorders>
            <w:shd w:val="clear" w:color="auto" w:fill="C6EFCE"/>
            <w:noWrap/>
          </w:tcPr>
          <w:p w14:paraId="57983B71" w14:textId="77777777" w:rsidR="00CB0FCB" w:rsidRDefault="009D2B11">
            <w:pPr>
              <w:pStyle w:val="P68B1DB1-Normal8"/>
              <w:keepNext/>
              <w:spacing w:before="40" w:after="0" w:line="240" w:lineRule="auto"/>
              <w:jc w:val="both"/>
              <w:rPr>
                <w:rFonts w:cs="Times New Roman"/>
                <w:noProof/>
                <w:szCs w:val="18"/>
              </w:rPr>
            </w:pPr>
            <w:r>
              <w:rPr>
                <w:noProof/>
              </w:rPr>
              <w:t>12–4.1. PUNKTS. Padarīt nodokļus labvēlīgākus izaugsmei un uzlabot nodokļu administrēšanu un iekasēšanu — 16985_Grozījumi Grieķijas nodokļu politikas satvarā</w:t>
            </w:r>
          </w:p>
        </w:tc>
        <w:tc>
          <w:tcPr>
            <w:tcW w:w="1680" w:type="dxa"/>
            <w:tcBorders>
              <w:top w:val="nil"/>
              <w:left w:val="nil"/>
              <w:bottom w:val="single" w:sz="4" w:space="0" w:color="auto"/>
              <w:right w:val="single" w:sz="4" w:space="0" w:color="auto"/>
            </w:tcBorders>
            <w:shd w:val="clear" w:color="auto" w:fill="C6EFCE"/>
            <w:noWrap/>
          </w:tcPr>
          <w:p w14:paraId="062D436F"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tcPr>
          <w:p w14:paraId="1180A396" w14:textId="77777777" w:rsidR="00CB0FCB" w:rsidRDefault="009D2B11">
            <w:pPr>
              <w:pStyle w:val="P68B1DB1-Normal8"/>
              <w:keepNext/>
              <w:spacing w:before="40" w:after="0" w:line="240" w:lineRule="auto"/>
              <w:jc w:val="both"/>
              <w:rPr>
                <w:rFonts w:cs="Times New Roman"/>
                <w:noProof/>
                <w:szCs w:val="18"/>
              </w:rPr>
            </w:pPr>
            <w:r>
              <w:rPr>
                <w:noProof/>
              </w:rPr>
              <w:t>Apkarot izvairīšanos no nodokļu maksāšanas un veicināt elektroniskos maksājumus</w:t>
            </w:r>
          </w:p>
        </w:tc>
      </w:tr>
      <w:tr w:rsidR="00CB0FCB" w14:paraId="6D53254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058DB248" w14:textId="77777777" w:rsidR="00CB0FCB" w:rsidRDefault="009D2B11">
            <w:pPr>
              <w:pStyle w:val="P68B1DB1-Normal8"/>
              <w:keepNext/>
              <w:spacing w:before="40" w:after="0" w:line="240" w:lineRule="auto"/>
              <w:jc w:val="both"/>
              <w:rPr>
                <w:noProof/>
              </w:rPr>
            </w:pPr>
            <w:r>
              <w:rPr>
                <w:noProof/>
              </w:rPr>
              <w:t>338</w:t>
            </w:r>
          </w:p>
        </w:tc>
        <w:tc>
          <w:tcPr>
            <w:tcW w:w="4320" w:type="dxa"/>
            <w:tcBorders>
              <w:top w:val="nil"/>
              <w:left w:val="nil"/>
              <w:bottom w:val="single" w:sz="4" w:space="0" w:color="auto"/>
              <w:right w:val="single" w:sz="4" w:space="0" w:color="auto"/>
            </w:tcBorders>
            <w:shd w:val="clear" w:color="auto" w:fill="C6EFCE"/>
            <w:noWrap/>
          </w:tcPr>
          <w:p w14:paraId="27FD3AAA" w14:textId="77777777" w:rsidR="00CB0FCB" w:rsidRDefault="009D2B11">
            <w:pPr>
              <w:pStyle w:val="P68B1DB1-Normal8"/>
              <w:keepNext/>
              <w:spacing w:before="40" w:after="0" w:line="240" w:lineRule="auto"/>
              <w:jc w:val="both"/>
              <w:rPr>
                <w:noProof/>
              </w:rPr>
            </w:pPr>
            <w:r>
              <w:rPr>
                <w:noProof/>
              </w:rPr>
              <w:t>12–4.1. PUNKTS. Padarīt nodokļus labvēlīgākus izaugsmei un uzlabot nodokļu administrēšanu un iekasēšanu — 16985_Grozījumi Grieķijas nodokļu politikas satvarā</w:t>
            </w:r>
          </w:p>
        </w:tc>
        <w:tc>
          <w:tcPr>
            <w:tcW w:w="1680" w:type="dxa"/>
            <w:tcBorders>
              <w:top w:val="nil"/>
              <w:left w:val="nil"/>
              <w:bottom w:val="single" w:sz="4" w:space="0" w:color="auto"/>
              <w:right w:val="single" w:sz="4" w:space="0" w:color="auto"/>
            </w:tcBorders>
            <w:shd w:val="clear" w:color="auto" w:fill="C6EFCE"/>
            <w:noWrap/>
          </w:tcPr>
          <w:p w14:paraId="38C062AD" w14:textId="77777777" w:rsidR="00CB0FCB" w:rsidRDefault="009D2B11">
            <w:pPr>
              <w:pStyle w:val="P68B1DB1-Normal8"/>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tcPr>
          <w:p w14:paraId="4796554C" w14:textId="77777777" w:rsidR="00CB0FCB" w:rsidRDefault="009D2B11">
            <w:pPr>
              <w:pStyle w:val="P68B1DB1-Normal8"/>
              <w:keepNext/>
              <w:spacing w:before="40" w:after="0" w:line="240" w:lineRule="auto"/>
              <w:jc w:val="both"/>
              <w:rPr>
                <w:noProof/>
              </w:rPr>
            </w:pPr>
            <w:r>
              <w:rPr>
                <w:noProof/>
              </w:rPr>
              <w:t>Reformēt nodokļu uzlikšanu pašnodarbinātām personām un zīmognodevu</w:t>
            </w:r>
          </w:p>
        </w:tc>
      </w:tr>
      <w:tr w:rsidR="00CB0FCB" w14:paraId="427BB229"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29C987AF"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341</w:t>
            </w:r>
          </w:p>
        </w:tc>
        <w:tc>
          <w:tcPr>
            <w:tcW w:w="4320" w:type="dxa"/>
            <w:tcBorders>
              <w:top w:val="single" w:sz="4" w:space="0" w:color="auto"/>
              <w:left w:val="nil"/>
              <w:bottom w:val="single" w:sz="4" w:space="0" w:color="auto"/>
              <w:right w:val="single" w:sz="4" w:space="0" w:color="auto"/>
            </w:tcBorders>
            <w:shd w:val="clear" w:color="auto" w:fill="C6EFCE"/>
            <w:noWrap/>
          </w:tcPr>
          <w:p w14:paraId="3367004B"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16986_Valsts kadastra pabeigšana</w:t>
            </w:r>
          </w:p>
        </w:tc>
        <w:tc>
          <w:tcPr>
            <w:tcW w:w="1680" w:type="dxa"/>
            <w:tcBorders>
              <w:top w:val="single" w:sz="4" w:space="0" w:color="auto"/>
              <w:left w:val="nil"/>
              <w:bottom w:val="single" w:sz="4" w:space="0" w:color="auto"/>
              <w:right w:val="single" w:sz="4" w:space="0" w:color="auto"/>
            </w:tcBorders>
            <w:shd w:val="clear" w:color="auto" w:fill="C6EFCE"/>
            <w:noWrap/>
          </w:tcPr>
          <w:p w14:paraId="11830E2C" w14:textId="77777777" w:rsidR="00CB0FCB" w:rsidRDefault="009D2B11">
            <w:pPr>
              <w:pStyle w:val="P68B1DB1-Normal8"/>
              <w:keepNext/>
              <w:spacing w:before="40" w:after="0" w:line="259" w:lineRule="auto"/>
              <w:jc w:val="both"/>
              <w:rPr>
                <w:rFonts w:eastAsia="Times New Roman" w:cs="Times New Roman"/>
                <w:noProof/>
                <w:szCs w:val="18"/>
              </w:rPr>
            </w:pPr>
            <w:r>
              <w:rPr>
                <w:noProof/>
              </w:rPr>
              <w:t>Mērķa</w:t>
            </w:r>
          </w:p>
        </w:tc>
        <w:tc>
          <w:tcPr>
            <w:tcW w:w="1800" w:type="dxa"/>
            <w:tcBorders>
              <w:top w:val="single" w:sz="4" w:space="0" w:color="auto"/>
              <w:left w:val="nil"/>
              <w:bottom w:val="single" w:sz="4" w:space="0" w:color="auto"/>
              <w:right w:val="single" w:sz="4" w:space="0" w:color="auto"/>
            </w:tcBorders>
            <w:shd w:val="clear" w:color="auto" w:fill="C6EFCE"/>
            <w:noWrap/>
          </w:tcPr>
          <w:p w14:paraId="6BC3680D" w14:textId="77777777" w:rsidR="00CB0FCB" w:rsidRDefault="009D2B11">
            <w:pPr>
              <w:pStyle w:val="P68B1DB1-Normal8"/>
              <w:keepNext/>
              <w:spacing w:before="40" w:after="0" w:line="259" w:lineRule="auto"/>
              <w:jc w:val="both"/>
              <w:rPr>
                <w:rFonts w:eastAsia="Times New Roman" w:cs="Times New Roman"/>
                <w:noProof/>
                <w:szCs w:val="18"/>
              </w:rPr>
            </w:pPr>
            <w:r>
              <w:rPr>
                <w:noProof/>
              </w:rPr>
              <w:t>Kadastrālā kartēšana — 85 % pabeigšana</w:t>
            </w:r>
          </w:p>
        </w:tc>
      </w:tr>
      <w:tr w:rsidR="00CB0FCB" w14:paraId="77C92919"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1E6E970E" w14:textId="77777777" w:rsidR="00CB0FCB" w:rsidRDefault="009D2B11">
            <w:pPr>
              <w:pStyle w:val="P68B1DB1-Normal50"/>
              <w:keepNext/>
              <w:spacing w:before="40" w:after="0" w:line="259" w:lineRule="auto"/>
              <w:jc w:val="both"/>
              <w:rPr>
                <w:rFonts w:eastAsia="Times New Roman" w:cs="Times New Roman"/>
                <w:bCs/>
                <w:noProof/>
                <w:szCs w:val="18"/>
              </w:rPr>
            </w:pPr>
            <w:r>
              <w:rPr>
                <w:noProof/>
              </w:rPr>
              <w:t>367</w:t>
            </w:r>
          </w:p>
        </w:tc>
        <w:tc>
          <w:tcPr>
            <w:tcW w:w="4320" w:type="dxa"/>
            <w:tcBorders>
              <w:top w:val="single" w:sz="4" w:space="0" w:color="auto"/>
              <w:left w:val="nil"/>
              <w:bottom w:val="single" w:sz="4" w:space="0" w:color="auto"/>
              <w:right w:val="single" w:sz="4" w:space="0" w:color="auto"/>
            </w:tcBorders>
            <w:shd w:val="clear" w:color="auto" w:fill="C6EFCE"/>
            <w:noWrap/>
          </w:tcPr>
          <w:p w14:paraId="13A5A47E" w14:textId="77777777" w:rsidR="00CB0FCB" w:rsidRDefault="009D2B11">
            <w:pPr>
              <w:pStyle w:val="P68B1DB1-Normal50"/>
              <w:keepNext/>
              <w:spacing w:before="40" w:after="0" w:line="259" w:lineRule="auto"/>
              <w:jc w:val="both"/>
              <w:rPr>
                <w:rFonts w:eastAsia="Times New Roman" w:cs="Times New Roman"/>
                <w:bCs/>
                <w:noProof/>
                <w:szCs w:val="18"/>
              </w:rPr>
            </w:pPr>
            <w:r>
              <w:rPr>
                <w:noProof/>
              </w:rPr>
              <w:t xml:space="preserve">21–5,2 REPowerEU investīcijas — 16994_Energoefektivitāte un AER veicināšana pašpatēriņam </w:t>
            </w:r>
          </w:p>
        </w:tc>
        <w:tc>
          <w:tcPr>
            <w:tcW w:w="1680" w:type="dxa"/>
            <w:tcBorders>
              <w:top w:val="single" w:sz="4" w:space="0" w:color="auto"/>
              <w:left w:val="nil"/>
              <w:bottom w:val="single" w:sz="4" w:space="0" w:color="auto"/>
              <w:right w:val="single" w:sz="4" w:space="0" w:color="auto"/>
            </w:tcBorders>
            <w:shd w:val="clear" w:color="auto" w:fill="C6EFCE"/>
            <w:noWrap/>
          </w:tcPr>
          <w:p w14:paraId="54A43649" w14:textId="77777777" w:rsidR="00CB0FCB" w:rsidRDefault="009D2B11">
            <w:pPr>
              <w:pStyle w:val="P68B1DB1-Normal50"/>
              <w:keepNext/>
              <w:spacing w:before="40" w:after="0" w:line="259" w:lineRule="auto"/>
              <w:jc w:val="both"/>
              <w:rPr>
                <w:rFonts w:eastAsia="Times New Roman" w:cs="Times New Roman"/>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3AC3776B" w14:textId="77777777" w:rsidR="00CB0FCB" w:rsidRDefault="009D2B11">
            <w:pPr>
              <w:pStyle w:val="P68B1DB1-Normal50"/>
              <w:keepNext/>
              <w:spacing w:before="40" w:after="0" w:line="259" w:lineRule="auto"/>
              <w:jc w:val="both"/>
              <w:rPr>
                <w:rFonts w:eastAsia="Times New Roman" w:cs="Times New Roman"/>
                <w:noProof/>
                <w:szCs w:val="18"/>
              </w:rPr>
            </w:pPr>
            <w:r>
              <w:rPr>
                <w:noProof/>
              </w:rPr>
              <w:t>Atbalsta programmu uzsākšana</w:t>
            </w:r>
          </w:p>
        </w:tc>
      </w:tr>
      <w:tr w:rsidR="00CB0FCB" w14:paraId="4DA8E292"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B3A8D2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10451E4E"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tcPr>
          <w:p w14:paraId="46A85ECB" w14:textId="77777777" w:rsidR="00CB0FCB" w:rsidRDefault="009D2B11">
            <w:pPr>
              <w:pStyle w:val="P68B1DB1-Normal8"/>
              <w:keepNext/>
              <w:spacing w:before="40" w:after="0" w:line="259" w:lineRule="auto"/>
              <w:jc w:val="both"/>
              <w:rPr>
                <w:rFonts w:eastAsia="Times New Roman" w:cs="Times New Roman"/>
                <w:noProof/>
                <w:szCs w:val="18"/>
              </w:rPr>
            </w:pPr>
            <w:r>
              <w:rPr>
                <w:noProof/>
              </w:rPr>
              <w:t>Maksājuma summa</w:t>
            </w:r>
          </w:p>
        </w:tc>
        <w:tc>
          <w:tcPr>
            <w:tcW w:w="1800" w:type="dxa"/>
            <w:tcBorders>
              <w:top w:val="single" w:sz="4" w:space="0" w:color="auto"/>
              <w:left w:val="nil"/>
              <w:bottom w:val="single" w:sz="4" w:space="0" w:color="auto"/>
              <w:right w:val="single" w:sz="4" w:space="0" w:color="auto"/>
            </w:tcBorders>
            <w:shd w:val="clear" w:color="auto" w:fill="C6EFCE"/>
            <w:noWrap/>
            <w:vAlign w:val="bottom"/>
          </w:tcPr>
          <w:p w14:paraId="44495E06" w14:textId="165BBEBA" w:rsidR="00CB0FCB" w:rsidRDefault="009D2B11">
            <w:pPr>
              <w:pStyle w:val="P68B1DB1-Normal8"/>
              <w:keepNext/>
              <w:spacing w:before="40" w:after="0" w:line="259" w:lineRule="auto"/>
              <w:jc w:val="both"/>
              <w:rPr>
                <w:rFonts w:eastAsia="Times New Roman" w:cs="Times New Roman"/>
                <w:noProof/>
                <w:szCs w:val="18"/>
              </w:rPr>
            </w:pPr>
            <w:r>
              <w:rPr>
                <w:noProof/>
              </w:rPr>
              <w:t>EUR 1557198947</w:t>
            </w:r>
          </w:p>
        </w:tc>
      </w:tr>
    </w:tbl>
    <w:p w14:paraId="6308E56F" w14:textId="77777777" w:rsidR="00CB0FCB" w:rsidRDefault="00CB0FCB">
      <w:pPr>
        <w:keepNext/>
        <w:spacing w:before="40" w:line="259" w:lineRule="auto"/>
        <w:jc w:val="both"/>
        <w:rPr>
          <w:rFonts w:eastAsia="Times New Roman"/>
          <w:i/>
          <w:noProof/>
          <w:color w:val="4F81BD"/>
        </w:rPr>
      </w:pPr>
    </w:p>
    <w:p w14:paraId="6756D0D4"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Sestā maksājuma pieprasījums (neatmaksājams atbalsts): </w:t>
      </w:r>
    </w:p>
    <w:p w14:paraId="5943ADC4" w14:textId="77777777" w:rsidR="00CB0FCB" w:rsidRDefault="00CB0FCB">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252" w:tblpY="1"/>
        <w:tblOverlap w:val="never"/>
        <w:tblW w:w="9595" w:type="dxa"/>
        <w:tblLook w:val="04A0" w:firstRow="1" w:lastRow="0" w:firstColumn="1" w:lastColumn="0" w:noHBand="0" w:noVBand="1"/>
      </w:tblPr>
      <w:tblGrid>
        <w:gridCol w:w="1795"/>
        <w:gridCol w:w="4320"/>
        <w:gridCol w:w="1807"/>
        <w:gridCol w:w="1800"/>
      </w:tblGrid>
      <w:tr w:rsidR="00CB0FCB" w14:paraId="2A75845B"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963860"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FD68CF"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AA8DEF"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1407A1"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3FFB8DDC" w14:textId="77777777">
        <w:trPr>
          <w:trHeight w:val="990"/>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79635ADE"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3A1DF3F"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23FE639B"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140048D"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085A5C1C"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1EFA90" w14:textId="50CC13FF" w:rsidR="00CB0FCB" w:rsidRDefault="009D2B11">
            <w:pPr>
              <w:pStyle w:val="P68B1DB1-Normal8"/>
              <w:keepNext/>
              <w:spacing w:before="40" w:after="0" w:line="240" w:lineRule="auto"/>
              <w:jc w:val="both"/>
              <w:rPr>
                <w:noProof/>
              </w:rPr>
            </w:pPr>
            <w:r>
              <w:rPr>
                <w:noProof/>
              </w:rPr>
              <w:t>8</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4F7F4ED6" w14:textId="4027F0BC" w:rsidR="00CB0FCB" w:rsidRDefault="009D2B11">
            <w:pPr>
              <w:pStyle w:val="P68B1DB1-Normal8"/>
              <w:keepNext/>
              <w:spacing w:before="40" w:after="0" w:line="240" w:lineRule="auto"/>
              <w:jc w:val="both"/>
              <w:rPr>
                <w:noProof/>
              </w:rPr>
            </w:pPr>
            <w:r>
              <w:rPr>
                <w:noProof/>
              </w:rPr>
              <w:t>1–1.1. Elektroenerģijas palielināšana — 16865_AER CHP konta ieņēmumu pārstrukturēšana un uzlabošana</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6200507D" w14:textId="574B20A1" w:rsidR="00CB0FCB" w:rsidRDefault="009D2B11">
            <w:pPr>
              <w:pStyle w:val="P68B1DB1-Normal8"/>
              <w:keepNext/>
              <w:spacing w:before="40" w:after="0" w:line="240" w:lineRule="auto"/>
              <w:jc w:val="both"/>
              <w:rPr>
                <w:noProof/>
              </w:rPr>
            </w:pPr>
            <w:r>
              <w:rPr>
                <w:noProof/>
              </w:rPr>
              <w:t>Mērķa</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411CC911" w14:textId="782FB380" w:rsidR="00CB0FCB" w:rsidRDefault="009D2B11">
            <w:pPr>
              <w:pStyle w:val="P68B1DB1-Normal8"/>
              <w:keepNext/>
              <w:spacing w:before="40" w:after="0" w:line="240" w:lineRule="auto"/>
              <w:jc w:val="both"/>
              <w:rPr>
                <w:noProof/>
              </w:rPr>
            </w:pPr>
            <w:r>
              <w:rPr>
                <w:noProof/>
              </w:rPr>
              <w:t>AER konts — jaudas palielināšanas mērķis Nr. 3 </w:t>
            </w:r>
          </w:p>
        </w:tc>
      </w:tr>
      <w:tr w:rsidR="00CB0FCB" w14:paraId="215289F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542FDD" w14:textId="77777777" w:rsidR="00CB0FCB" w:rsidRDefault="009D2B11">
            <w:pPr>
              <w:pStyle w:val="P68B1DB1-Normal8"/>
              <w:keepNext/>
              <w:spacing w:before="40" w:after="0" w:line="240" w:lineRule="auto"/>
              <w:jc w:val="both"/>
              <w:rPr>
                <w:rFonts w:cs="Times New Roman"/>
                <w:noProof/>
                <w:szCs w:val="18"/>
              </w:rPr>
            </w:pPr>
            <w:r>
              <w:rPr>
                <w:noProof/>
              </w:rPr>
              <w:t>10</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32BD1384" w14:textId="77777777" w:rsidR="00CB0FCB" w:rsidRDefault="009D2B11">
            <w:pPr>
              <w:pStyle w:val="P68B1DB1-Normal8"/>
              <w:keepNext/>
              <w:spacing w:before="40" w:after="0" w:line="240" w:lineRule="auto"/>
              <w:jc w:val="both"/>
              <w:rPr>
                <w:rFonts w:cs="Times New Roman"/>
                <w:noProof/>
                <w:szCs w:val="18"/>
              </w:rPr>
            </w:pPr>
            <w:r>
              <w:rPr>
                <w:noProof/>
              </w:rPr>
              <w:t>1–1.1. Power up — 16871_Atdzīvināšanas darbības visvairāk skartajās teritorijās (taisnīgas pārkārtošanās teritorijas)</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1AA28DD1"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69273CC0" w14:textId="77777777" w:rsidR="00CB0FCB" w:rsidRDefault="009D2B11">
            <w:pPr>
              <w:pStyle w:val="P68B1DB1-Normal8"/>
              <w:keepNext/>
              <w:spacing w:before="40" w:after="0" w:line="240" w:lineRule="auto"/>
              <w:jc w:val="both"/>
              <w:rPr>
                <w:rFonts w:cs="Times New Roman"/>
                <w:noProof/>
                <w:szCs w:val="18"/>
              </w:rPr>
            </w:pPr>
            <w:r>
              <w:rPr>
                <w:noProof/>
              </w:rPr>
              <w:t>Zemes rehabilitācija — pilsētplānojumi</w:t>
            </w:r>
          </w:p>
        </w:tc>
      </w:tr>
      <w:tr w:rsidR="00CB0FCB" w14:paraId="676A921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7409D9F" w14:textId="6A0C4A01" w:rsidR="00CB0FCB" w:rsidRDefault="009D2B11">
            <w:pPr>
              <w:pStyle w:val="P68B1DB1-Normal49"/>
              <w:keepNext/>
              <w:spacing w:before="40" w:after="0" w:line="240" w:lineRule="auto"/>
              <w:jc w:val="both"/>
              <w:rPr>
                <w:noProof/>
              </w:rPr>
            </w:pPr>
            <w:r>
              <w:rPr>
                <w:noProof/>
              </w:rPr>
              <w:t>31</w:t>
            </w:r>
          </w:p>
        </w:tc>
        <w:tc>
          <w:tcPr>
            <w:tcW w:w="4320" w:type="dxa"/>
            <w:tcBorders>
              <w:top w:val="nil"/>
              <w:left w:val="nil"/>
              <w:bottom w:val="single" w:sz="4" w:space="0" w:color="auto"/>
              <w:right w:val="single" w:sz="4" w:space="0" w:color="auto"/>
            </w:tcBorders>
            <w:shd w:val="clear" w:color="auto" w:fill="C6EFCE"/>
            <w:noWrap/>
            <w:vAlign w:val="center"/>
          </w:tcPr>
          <w:p w14:paraId="44EBB8A0" w14:textId="2948D0FF" w:rsidR="00CB0FCB" w:rsidRDefault="009D2B11">
            <w:pPr>
              <w:pStyle w:val="P68B1DB1-Normal8"/>
              <w:keepNext/>
              <w:spacing w:before="40" w:after="0" w:line="240" w:lineRule="auto"/>
              <w:jc w:val="both"/>
              <w:rPr>
                <w:noProof/>
              </w:rPr>
            </w:pPr>
            <w:r>
              <w:rPr>
                <w:noProof/>
              </w:rPr>
              <w:t>2–1.2. Renovācija — 16891_Jaunās jūras telpiskās plānošanas izveide</w:t>
            </w:r>
          </w:p>
        </w:tc>
        <w:tc>
          <w:tcPr>
            <w:tcW w:w="1680" w:type="dxa"/>
            <w:tcBorders>
              <w:top w:val="nil"/>
              <w:left w:val="nil"/>
              <w:bottom w:val="single" w:sz="4" w:space="0" w:color="auto"/>
              <w:right w:val="single" w:sz="4" w:space="0" w:color="auto"/>
            </w:tcBorders>
            <w:shd w:val="clear" w:color="auto" w:fill="C6EFCE"/>
            <w:noWrap/>
            <w:vAlign w:val="center"/>
          </w:tcPr>
          <w:p w14:paraId="2216A021" w14:textId="69868E43" w:rsidR="00CB0FCB" w:rsidRDefault="009D2B11">
            <w:pPr>
              <w:pStyle w:val="P68B1DB1-Normal8"/>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5909C8D6" w14:textId="2994B8A4" w:rsidR="00CB0FCB" w:rsidRDefault="009D2B11">
            <w:pPr>
              <w:pStyle w:val="P68B1DB1-Normal49"/>
              <w:keepNext/>
              <w:spacing w:before="40" w:after="0" w:line="240" w:lineRule="auto"/>
              <w:jc w:val="both"/>
              <w:rPr>
                <w:noProof/>
              </w:rPr>
            </w:pPr>
            <w:r>
              <w:rPr>
                <w:noProof/>
              </w:rPr>
              <w:t>Jūrniecības stratēģijas pieņemšana</w:t>
            </w:r>
          </w:p>
        </w:tc>
      </w:tr>
      <w:tr w:rsidR="00CB0FCB" w14:paraId="6CEC7A7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A43156A" w14:textId="2E7FDFF3" w:rsidR="00CB0FCB" w:rsidRDefault="009D2B11">
            <w:pPr>
              <w:pStyle w:val="P68B1DB1-Normal49"/>
              <w:keepNext/>
              <w:spacing w:before="40" w:after="0" w:line="240" w:lineRule="auto"/>
              <w:jc w:val="both"/>
              <w:rPr>
                <w:rFonts w:eastAsia="Times New Roman" w:cs="Times New Roman"/>
                <w:noProof/>
              </w:rPr>
            </w:pPr>
            <w:r>
              <w:rPr>
                <w:noProof/>
              </w:rPr>
              <w:t>113</w:t>
            </w:r>
          </w:p>
        </w:tc>
        <w:tc>
          <w:tcPr>
            <w:tcW w:w="4320" w:type="dxa"/>
            <w:tcBorders>
              <w:top w:val="nil"/>
              <w:left w:val="nil"/>
              <w:bottom w:val="single" w:sz="4" w:space="0" w:color="auto"/>
              <w:right w:val="single" w:sz="4" w:space="0" w:color="auto"/>
            </w:tcBorders>
            <w:shd w:val="clear" w:color="auto" w:fill="C6EFCE"/>
            <w:noWrap/>
            <w:vAlign w:val="center"/>
          </w:tcPr>
          <w:p w14:paraId="6FAE7572" w14:textId="7ABF331B" w:rsidR="00CB0FCB" w:rsidRDefault="009D2B11">
            <w:pPr>
              <w:pStyle w:val="P68B1DB1-Normal49"/>
              <w:keepNext/>
              <w:spacing w:before="40" w:after="0" w:line="240" w:lineRule="auto"/>
              <w:jc w:val="both"/>
              <w:rPr>
                <w:rFonts w:eastAsia="Times New Roman" w:cs="Times New Roman"/>
                <w:noProof/>
              </w:rPr>
            </w:pPr>
            <w:r>
              <w:rPr>
                <w:noProof/>
              </w:rPr>
              <w:t>6–2.2. Modernizācija — 16738_Centrālā dokumentu pārvaldības sistēma</w:t>
            </w:r>
          </w:p>
        </w:tc>
        <w:tc>
          <w:tcPr>
            <w:tcW w:w="1680" w:type="dxa"/>
            <w:tcBorders>
              <w:top w:val="nil"/>
              <w:left w:val="nil"/>
              <w:bottom w:val="single" w:sz="4" w:space="0" w:color="auto"/>
              <w:right w:val="single" w:sz="4" w:space="0" w:color="auto"/>
            </w:tcBorders>
            <w:shd w:val="clear" w:color="auto" w:fill="C6EFCE"/>
            <w:noWrap/>
            <w:vAlign w:val="center"/>
          </w:tcPr>
          <w:p w14:paraId="59BF0E81" w14:textId="14189E1A" w:rsidR="00CB0FCB" w:rsidRDefault="009D2B11">
            <w:pPr>
              <w:pStyle w:val="P68B1DB1-Normal49"/>
              <w:keepNext/>
              <w:spacing w:before="40" w:after="0" w:line="240" w:lineRule="auto"/>
              <w:jc w:val="both"/>
              <w:rPr>
                <w:rFonts w:eastAsia="Times New Roman" w:cs="Times New Roman"/>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4C668B02" w14:textId="0F7618B3" w:rsidR="00CB0FCB" w:rsidRDefault="009D2B11">
            <w:pPr>
              <w:pStyle w:val="P68B1DB1-Normal49"/>
              <w:keepNext/>
              <w:spacing w:before="40" w:after="0" w:line="240" w:lineRule="auto"/>
              <w:jc w:val="both"/>
              <w:rPr>
                <w:rFonts w:eastAsia="Times New Roman" w:cs="Times New Roman"/>
                <w:noProof/>
              </w:rPr>
            </w:pPr>
            <w:r>
              <w:rPr>
                <w:noProof/>
              </w:rPr>
              <w:t xml:space="preserve">Centrālās dokumentu pārvaldības sistēmas projekta pabeigšana </w:t>
            </w:r>
          </w:p>
        </w:tc>
      </w:tr>
      <w:tr w:rsidR="00CB0FCB" w14:paraId="4048DA0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378AF7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122</w:t>
            </w:r>
          </w:p>
        </w:tc>
        <w:tc>
          <w:tcPr>
            <w:tcW w:w="4320" w:type="dxa"/>
            <w:tcBorders>
              <w:top w:val="nil"/>
              <w:left w:val="nil"/>
              <w:bottom w:val="single" w:sz="4" w:space="0" w:color="auto"/>
              <w:right w:val="single" w:sz="4" w:space="0" w:color="auto"/>
            </w:tcBorders>
            <w:shd w:val="clear" w:color="auto" w:fill="C6EFCE"/>
            <w:noWrap/>
            <w:vAlign w:val="center"/>
          </w:tcPr>
          <w:p w14:paraId="07F0439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16853 Centrālās mākoņdatošanas infrastruktūras un pakalpojumu piegāde</w:t>
            </w:r>
          </w:p>
        </w:tc>
        <w:tc>
          <w:tcPr>
            <w:tcW w:w="1680" w:type="dxa"/>
            <w:tcBorders>
              <w:top w:val="nil"/>
              <w:left w:val="nil"/>
              <w:bottom w:val="single" w:sz="4" w:space="0" w:color="auto"/>
              <w:right w:val="single" w:sz="4" w:space="0" w:color="auto"/>
            </w:tcBorders>
            <w:shd w:val="clear" w:color="auto" w:fill="C6EFCE"/>
            <w:noWrap/>
            <w:vAlign w:val="center"/>
          </w:tcPr>
          <w:p w14:paraId="275CFBA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352DFCD2" w14:textId="77777777" w:rsidR="00CB0FCB" w:rsidRDefault="009D2B11">
            <w:pPr>
              <w:pStyle w:val="P68B1DB1-Normal8"/>
              <w:keepNext/>
              <w:spacing w:before="40" w:after="0" w:line="240" w:lineRule="auto"/>
              <w:jc w:val="both"/>
              <w:rPr>
                <w:rFonts w:eastAsia="Times New Roman" w:cs="Times New Roman"/>
                <w:noProof/>
                <w:szCs w:val="18"/>
              </w:rPr>
            </w:pPr>
            <w:r>
              <w:rPr>
                <w:noProof/>
              </w:rPr>
              <w:t>Centrālās mākoņdatošanas infrastruktūras un pakalpojuma pabeigšana</w:t>
            </w:r>
          </w:p>
        </w:tc>
      </w:tr>
      <w:tr w:rsidR="00CB0FCB" w14:paraId="316775B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5E050C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155</w:t>
            </w:r>
          </w:p>
        </w:tc>
        <w:tc>
          <w:tcPr>
            <w:tcW w:w="4320" w:type="dxa"/>
            <w:tcBorders>
              <w:top w:val="nil"/>
              <w:left w:val="nil"/>
              <w:bottom w:val="single" w:sz="4" w:space="0" w:color="auto"/>
              <w:right w:val="single" w:sz="4" w:space="0" w:color="auto"/>
            </w:tcBorders>
            <w:shd w:val="clear" w:color="auto" w:fill="C6EFCE"/>
            <w:noWrap/>
            <w:vAlign w:val="center"/>
          </w:tcPr>
          <w:p w14:paraId="498791C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1680" w:type="dxa"/>
            <w:tcBorders>
              <w:top w:val="nil"/>
              <w:left w:val="nil"/>
              <w:bottom w:val="single" w:sz="4" w:space="0" w:color="auto"/>
              <w:right w:val="single" w:sz="4" w:space="0" w:color="auto"/>
            </w:tcBorders>
            <w:shd w:val="clear" w:color="auto" w:fill="C6EFCE"/>
            <w:noWrap/>
            <w:vAlign w:val="center"/>
          </w:tcPr>
          <w:p w14:paraId="70F11F17"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6D42A958" w14:textId="77777777" w:rsidR="00CB0FCB" w:rsidRDefault="009D2B11">
            <w:pPr>
              <w:pStyle w:val="P68B1DB1-Normal8"/>
              <w:keepNext/>
              <w:spacing w:before="40" w:after="0" w:line="240" w:lineRule="auto"/>
              <w:jc w:val="both"/>
              <w:rPr>
                <w:rFonts w:eastAsia="Times New Roman" w:cs="Times New Roman"/>
                <w:noProof/>
                <w:szCs w:val="18"/>
              </w:rPr>
            </w:pPr>
            <w:r>
              <w:rPr>
                <w:noProof/>
              </w:rPr>
              <w:t>Atgūšanas samazinājums 150000000–2. posms</w:t>
            </w:r>
          </w:p>
        </w:tc>
      </w:tr>
      <w:tr w:rsidR="00CB0FCB" w14:paraId="418DD1F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C3A4FF8" w14:textId="7C4E1B03" w:rsidR="00CB0FCB" w:rsidRDefault="009D2B11">
            <w:pPr>
              <w:pStyle w:val="P68B1DB1-Normal8"/>
              <w:keepNext/>
              <w:spacing w:before="40" w:after="0" w:line="240" w:lineRule="auto"/>
              <w:jc w:val="both"/>
              <w:rPr>
                <w:noProof/>
              </w:rPr>
            </w:pPr>
            <w:r>
              <w:rPr>
                <w:noProof/>
              </w:rPr>
              <w:t>148</w:t>
            </w:r>
          </w:p>
        </w:tc>
        <w:tc>
          <w:tcPr>
            <w:tcW w:w="4320" w:type="dxa"/>
            <w:tcBorders>
              <w:top w:val="nil"/>
              <w:left w:val="nil"/>
              <w:bottom w:val="single" w:sz="4" w:space="0" w:color="auto"/>
              <w:right w:val="single" w:sz="4" w:space="0" w:color="auto"/>
            </w:tcBorders>
            <w:shd w:val="clear" w:color="auto" w:fill="C6EFCE"/>
            <w:noWrap/>
            <w:vAlign w:val="center"/>
          </w:tcPr>
          <w:p w14:paraId="741ACD09" w14:textId="1540E36B" w:rsidR="00CB0FCB" w:rsidRDefault="009D2B11">
            <w:pPr>
              <w:pStyle w:val="P68B1DB1-Normal8"/>
              <w:keepNext/>
              <w:spacing w:before="40" w:after="0" w:line="240" w:lineRule="auto"/>
              <w:jc w:val="both"/>
              <w:rPr>
                <w:noProof/>
              </w:rPr>
            </w:pPr>
            <w:r>
              <w:rPr>
                <w:noProof/>
              </w:rPr>
              <w:t>9–3.2. Izglītība, profesionālā izglītība un apmācība un prasmes — 16676_Izglītības digitālā pārveide</w:t>
            </w:r>
          </w:p>
        </w:tc>
        <w:tc>
          <w:tcPr>
            <w:tcW w:w="1680" w:type="dxa"/>
            <w:tcBorders>
              <w:top w:val="nil"/>
              <w:left w:val="nil"/>
              <w:bottom w:val="single" w:sz="4" w:space="0" w:color="auto"/>
              <w:right w:val="single" w:sz="4" w:space="0" w:color="auto"/>
            </w:tcBorders>
            <w:shd w:val="clear" w:color="auto" w:fill="C6EFCE"/>
            <w:noWrap/>
            <w:vAlign w:val="center"/>
          </w:tcPr>
          <w:p w14:paraId="4338BA58" w14:textId="75614DDE" w:rsidR="00CB0FCB" w:rsidRDefault="009D2B11">
            <w:pPr>
              <w:pStyle w:val="P68B1DB1-Normal8"/>
              <w:keepNext/>
              <w:spacing w:before="40" w:after="0" w:line="240" w:lineRule="auto"/>
              <w:jc w:val="both"/>
              <w:rPr>
                <w:noProof/>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7251A758" w14:textId="1C82FE70" w:rsidR="00CB0FCB" w:rsidRDefault="009D2B11">
            <w:pPr>
              <w:pStyle w:val="P68B1DB1-Normal8"/>
              <w:keepNext/>
              <w:spacing w:before="40" w:after="0" w:line="240" w:lineRule="auto"/>
              <w:jc w:val="both"/>
              <w:rPr>
                <w:noProof/>
              </w:rPr>
            </w:pPr>
            <w:r>
              <w:rPr>
                <w:noProof/>
              </w:rPr>
              <w:t>Interaktīvo sistēmu uzstādīšanas pabeigšana</w:t>
            </w:r>
          </w:p>
        </w:tc>
      </w:tr>
      <w:tr w:rsidR="00CB0FCB" w14:paraId="125B5B9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91B410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156</w:t>
            </w:r>
          </w:p>
        </w:tc>
        <w:tc>
          <w:tcPr>
            <w:tcW w:w="4320" w:type="dxa"/>
            <w:tcBorders>
              <w:top w:val="nil"/>
              <w:left w:val="nil"/>
              <w:bottom w:val="single" w:sz="4" w:space="0" w:color="auto"/>
              <w:right w:val="single" w:sz="4" w:space="0" w:color="auto"/>
            </w:tcBorders>
            <w:shd w:val="clear" w:color="auto" w:fill="C6EFCE"/>
            <w:noWrap/>
            <w:vAlign w:val="center"/>
          </w:tcPr>
          <w:p w14:paraId="559B4E3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1680" w:type="dxa"/>
            <w:tcBorders>
              <w:top w:val="nil"/>
              <w:left w:val="nil"/>
              <w:bottom w:val="single" w:sz="4" w:space="0" w:color="auto"/>
              <w:right w:val="single" w:sz="4" w:space="0" w:color="auto"/>
            </w:tcBorders>
            <w:shd w:val="clear" w:color="auto" w:fill="C6EFCE"/>
            <w:noWrap/>
            <w:vAlign w:val="center"/>
          </w:tcPr>
          <w:p w14:paraId="42145A30"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21D4C4D9" w14:textId="77777777" w:rsidR="00CB0FCB" w:rsidRDefault="009D2B11">
            <w:pPr>
              <w:pStyle w:val="P68B1DB1-Normal8"/>
              <w:keepNext/>
              <w:spacing w:before="40" w:after="0" w:line="240" w:lineRule="auto"/>
              <w:jc w:val="both"/>
              <w:rPr>
                <w:rFonts w:cs="Times New Roman"/>
                <w:noProof/>
                <w:szCs w:val="18"/>
              </w:rPr>
            </w:pPr>
            <w:r>
              <w:rPr>
                <w:noProof/>
              </w:rPr>
              <w:t>Pētniecība un izstrāde farmācijas jomā</w:t>
            </w:r>
          </w:p>
          <w:p w14:paraId="7A907166" w14:textId="41935109" w:rsidR="00CB0FCB" w:rsidRDefault="009D2B11">
            <w:pPr>
              <w:pStyle w:val="P68B1DB1-Normal49"/>
              <w:keepNext/>
              <w:spacing w:before="40" w:after="0" w:line="240" w:lineRule="auto"/>
              <w:jc w:val="both"/>
              <w:rPr>
                <w:rFonts w:eastAsia="Times New Roman" w:cs="Times New Roman"/>
                <w:noProof/>
              </w:rPr>
            </w:pPr>
            <w:r>
              <w:rPr>
                <w:noProof/>
              </w:rPr>
              <w:t>pierādījums par ieguldījumiem — 1. posms</w:t>
            </w:r>
          </w:p>
        </w:tc>
      </w:tr>
      <w:tr w:rsidR="00CB0FCB" w14:paraId="29B83AB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8ABE578" w14:textId="77777777" w:rsidR="00CB0FCB" w:rsidRDefault="009D2B11">
            <w:pPr>
              <w:pStyle w:val="P68B1DB1-Normal8"/>
              <w:keepNext/>
              <w:spacing w:before="40" w:after="0" w:line="240" w:lineRule="auto"/>
              <w:jc w:val="both"/>
              <w:rPr>
                <w:rFonts w:cs="Times New Roman"/>
                <w:noProof/>
                <w:szCs w:val="18"/>
              </w:rPr>
            </w:pPr>
            <w:r>
              <w:rPr>
                <w:noProof/>
              </w:rPr>
              <w:t>167</w:t>
            </w:r>
          </w:p>
        </w:tc>
        <w:tc>
          <w:tcPr>
            <w:tcW w:w="4320" w:type="dxa"/>
            <w:tcBorders>
              <w:top w:val="nil"/>
              <w:left w:val="nil"/>
              <w:bottom w:val="single" w:sz="4" w:space="0" w:color="auto"/>
              <w:right w:val="single" w:sz="4" w:space="0" w:color="auto"/>
            </w:tcBorders>
            <w:shd w:val="clear" w:color="auto" w:fill="C6EFCE"/>
            <w:noWrap/>
            <w:vAlign w:val="center"/>
          </w:tcPr>
          <w:p w14:paraId="058F14D3" w14:textId="77777777" w:rsidR="00CB0FCB" w:rsidRDefault="009D2B11">
            <w:pPr>
              <w:pStyle w:val="P68B1DB1-Normal8"/>
              <w:keepNext/>
              <w:spacing w:before="40" w:after="0" w:line="240" w:lineRule="auto"/>
              <w:jc w:val="both"/>
              <w:rPr>
                <w:rFonts w:cs="Times New Roman"/>
                <w:noProof/>
                <w:szCs w:val="18"/>
              </w:rPr>
            </w:pPr>
            <w:r>
              <w:rPr>
                <w:noProof/>
              </w:rPr>
              <w:t>10–3.3. Uzlabot veselības aprūpes noturību, pieejamību un ilgtspēju — 16752_Veselības digitālā pārveide (DigHealth)</w:t>
            </w:r>
          </w:p>
        </w:tc>
        <w:tc>
          <w:tcPr>
            <w:tcW w:w="1680" w:type="dxa"/>
            <w:tcBorders>
              <w:top w:val="nil"/>
              <w:left w:val="nil"/>
              <w:bottom w:val="single" w:sz="4" w:space="0" w:color="auto"/>
              <w:right w:val="single" w:sz="4" w:space="0" w:color="auto"/>
            </w:tcBorders>
            <w:shd w:val="clear" w:color="auto" w:fill="C6EFCE"/>
            <w:noWrap/>
            <w:vAlign w:val="center"/>
          </w:tcPr>
          <w:p w14:paraId="5D1E892A"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7780F808" w14:textId="77777777" w:rsidR="00CB0FCB" w:rsidRDefault="009D2B11">
            <w:pPr>
              <w:pStyle w:val="P68B1DB1-Normal8"/>
              <w:keepNext/>
              <w:spacing w:before="40" w:after="0" w:line="240" w:lineRule="auto"/>
              <w:jc w:val="both"/>
              <w:rPr>
                <w:rFonts w:cs="Times New Roman"/>
                <w:noProof/>
                <w:szCs w:val="18"/>
              </w:rPr>
            </w:pPr>
            <w:r>
              <w:rPr>
                <w:noProof/>
              </w:rPr>
              <w:t>Veselības aprūpes digitālā pārveide — Valsts digitālā veselības karte (1. apakšprojekts)</w:t>
            </w:r>
          </w:p>
        </w:tc>
      </w:tr>
      <w:tr w:rsidR="00CB0FCB" w14:paraId="0DAED16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BB0BF2B" w14:textId="4B989B03" w:rsidR="00CB0FCB" w:rsidRDefault="009D2B11">
            <w:pPr>
              <w:pStyle w:val="P68B1DB1-Normal8"/>
              <w:keepNext/>
              <w:spacing w:before="40" w:after="0" w:line="240" w:lineRule="auto"/>
              <w:jc w:val="both"/>
              <w:rPr>
                <w:rFonts w:cs="Times New Roman"/>
                <w:noProof/>
                <w:szCs w:val="18"/>
              </w:rPr>
            </w:pPr>
            <w:r>
              <w:rPr>
                <w:noProof/>
              </w:rPr>
              <w:t>175.a</w:t>
            </w:r>
          </w:p>
        </w:tc>
        <w:tc>
          <w:tcPr>
            <w:tcW w:w="4320" w:type="dxa"/>
            <w:tcBorders>
              <w:top w:val="nil"/>
              <w:left w:val="nil"/>
              <w:bottom w:val="single" w:sz="4" w:space="0" w:color="auto"/>
              <w:right w:val="single" w:sz="4" w:space="0" w:color="auto"/>
            </w:tcBorders>
            <w:shd w:val="clear" w:color="auto" w:fill="C6EFCE"/>
            <w:noWrap/>
            <w:vAlign w:val="center"/>
          </w:tcPr>
          <w:p w14:paraId="66A29BCD" w14:textId="150ECE4C"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16726 Sociālo pabalstu optimizācija</w:t>
            </w:r>
          </w:p>
        </w:tc>
        <w:tc>
          <w:tcPr>
            <w:tcW w:w="1680" w:type="dxa"/>
            <w:tcBorders>
              <w:top w:val="nil"/>
              <w:left w:val="nil"/>
              <w:bottom w:val="single" w:sz="4" w:space="0" w:color="auto"/>
              <w:right w:val="single" w:sz="4" w:space="0" w:color="auto"/>
            </w:tcBorders>
            <w:shd w:val="clear" w:color="auto" w:fill="C6EFCE"/>
            <w:noWrap/>
            <w:vAlign w:val="center"/>
          </w:tcPr>
          <w:p w14:paraId="073FF6BF" w14:textId="740CEE5B"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3BE9A6BF" w14:textId="231AF95E" w:rsidR="00CB0FCB" w:rsidRDefault="009D2B11">
            <w:pPr>
              <w:pStyle w:val="P68B1DB1-Normal8"/>
              <w:keepNext/>
              <w:spacing w:before="40" w:after="0" w:line="240" w:lineRule="auto"/>
              <w:jc w:val="both"/>
              <w:rPr>
                <w:rFonts w:cs="Times New Roman"/>
                <w:noProof/>
                <w:szCs w:val="18"/>
              </w:rPr>
            </w:pPr>
            <w:r>
              <w:rPr>
                <w:noProof/>
              </w:rPr>
              <w:t>Sociālie pabalsti — priekšapmaksas karšu optimizācija</w:t>
            </w:r>
          </w:p>
        </w:tc>
      </w:tr>
      <w:tr w:rsidR="00CB0FCB" w14:paraId="7C3888F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6A4BC2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189</w:t>
            </w:r>
          </w:p>
        </w:tc>
        <w:tc>
          <w:tcPr>
            <w:tcW w:w="4320" w:type="dxa"/>
            <w:tcBorders>
              <w:top w:val="nil"/>
              <w:left w:val="nil"/>
              <w:bottom w:val="single" w:sz="4" w:space="0" w:color="auto"/>
              <w:right w:val="single" w:sz="4" w:space="0" w:color="auto"/>
            </w:tcBorders>
            <w:shd w:val="clear" w:color="auto" w:fill="C6EFCE"/>
            <w:noWrap/>
            <w:vAlign w:val="center"/>
          </w:tcPr>
          <w:p w14:paraId="78D30C8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16614_Tiešsaistes kases aparāti un POS (reforma)</w:t>
            </w:r>
          </w:p>
        </w:tc>
        <w:tc>
          <w:tcPr>
            <w:tcW w:w="1680" w:type="dxa"/>
            <w:tcBorders>
              <w:top w:val="nil"/>
              <w:left w:val="nil"/>
              <w:bottom w:val="single" w:sz="4" w:space="0" w:color="auto"/>
              <w:right w:val="single" w:sz="4" w:space="0" w:color="auto"/>
            </w:tcBorders>
            <w:shd w:val="clear" w:color="auto" w:fill="C6EFCE"/>
            <w:noWrap/>
            <w:vAlign w:val="center"/>
          </w:tcPr>
          <w:p w14:paraId="53950B4F"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800" w:type="dxa"/>
            <w:tcBorders>
              <w:top w:val="nil"/>
              <w:left w:val="nil"/>
              <w:bottom w:val="single" w:sz="4" w:space="0" w:color="auto"/>
              <w:right w:val="single" w:sz="4" w:space="0" w:color="auto"/>
            </w:tcBorders>
            <w:shd w:val="clear" w:color="auto" w:fill="C6EFCE"/>
            <w:noWrap/>
            <w:vAlign w:val="center"/>
          </w:tcPr>
          <w:p w14:paraId="17DFB53C" w14:textId="5CDD4059" w:rsidR="00CB0FCB" w:rsidRDefault="009D2B11">
            <w:pPr>
              <w:pStyle w:val="P68B1DB1-Normal8"/>
              <w:keepNext/>
              <w:spacing w:before="40" w:after="0" w:line="240" w:lineRule="auto"/>
              <w:jc w:val="both"/>
              <w:rPr>
                <w:rFonts w:eastAsia="Times New Roman" w:cs="Times New Roman"/>
                <w:noProof/>
                <w:szCs w:val="18"/>
              </w:rPr>
            </w:pPr>
            <w:r>
              <w:rPr>
                <w:noProof/>
              </w:rPr>
              <w:t xml:space="preserve">Neatkarīga valsts ieņēmumu iestāde: Tiešsaistes kases reģistri un pārdošanas vietas (POS) — </w:t>
            </w:r>
            <w:r>
              <w:rPr>
                <w:noProof/>
                <w:szCs w:val="18"/>
              </w:rPr>
              <w:t xml:space="preserve">integrācija </w:t>
            </w:r>
            <w:r>
              <w:rPr>
                <w:noProof/>
              </w:rPr>
              <w:t xml:space="preserve">un starpsavienojums </w:t>
            </w:r>
          </w:p>
        </w:tc>
      </w:tr>
      <w:tr w:rsidR="00CB0FCB" w14:paraId="7772A8A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FEBB1E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204</w:t>
            </w:r>
          </w:p>
        </w:tc>
        <w:tc>
          <w:tcPr>
            <w:tcW w:w="4320" w:type="dxa"/>
            <w:tcBorders>
              <w:top w:val="nil"/>
              <w:left w:val="nil"/>
              <w:bottom w:val="single" w:sz="4" w:space="0" w:color="auto"/>
              <w:right w:val="single" w:sz="4" w:space="0" w:color="auto"/>
            </w:tcBorders>
            <w:shd w:val="clear" w:color="auto" w:fill="C6EFCE"/>
            <w:noWrap/>
            <w:vAlign w:val="center"/>
          </w:tcPr>
          <w:p w14:paraId="301548C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16643_nodokļu tiesību aktu kodifikācija un vienkāršošana</w:t>
            </w:r>
          </w:p>
        </w:tc>
        <w:tc>
          <w:tcPr>
            <w:tcW w:w="1680" w:type="dxa"/>
            <w:tcBorders>
              <w:top w:val="nil"/>
              <w:left w:val="nil"/>
              <w:bottom w:val="single" w:sz="4" w:space="0" w:color="auto"/>
              <w:right w:val="single" w:sz="4" w:space="0" w:color="auto"/>
            </w:tcBorders>
            <w:shd w:val="clear" w:color="auto" w:fill="C6EFCE"/>
            <w:noWrap/>
            <w:vAlign w:val="center"/>
          </w:tcPr>
          <w:p w14:paraId="3B95F447"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2C9168C" w14:textId="77777777" w:rsidR="00CB0FCB" w:rsidRDefault="009D2B11">
            <w:pPr>
              <w:pStyle w:val="P68B1DB1-Normal8"/>
              <w:keepNext/>
              <w:spacing w:before="40" w:after="0" w:line="240" w:lineRule="auto"/>
              <w:jc w:val="both"/>
              <w:rPr>
                <w:rFonts w:eastAsia="Times New Roman" w:cs="Times New Roman"/>
                <w:noProof/>
                <w:szCs w:val="18"/>
              </w:rPr>
            </w:pPr>
            <w:r>
              <w:rPr>
                <w:noProof/>
              </w:rPr>
              <w:t>Sākotnējās nodokļu kodifikācijas un nodokļu maksātāju informācijas sistēmas pabeigšana</w:t>
            </w:r>
          </w:p>
        </w:tc>
      </w:tr>
      <w:tr w:rsidR="00CB0FCB" w14:paraId="2DD36E6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1D956256" w14:textId="573A46C8" w:rsidR="00CB0FCB" w:rsidRDefault="009D2B11">
            <w:pPr>
              <w:pStyle w:val="P68B1DB1-Normal8"/>
              <w:keepNext/>
              <w:spacing w:before="40" w:after="0" w:line="240" w:lineRule="auto"/>
              <w:jc w:val="both"/>
              <w:rPr>
                <w:noProof/>
              </w:rPr>
            </w:pPr>
            <w:r>
              <w:rPr>
                <w:noProof/>
              </w:rPr>
              <w:t>340</w:t>
            </w:r>
          </w:p>
        </w:tc>
        <w:tc>
          <w:tcPr>
            <w:tcW w:w="4320" w:type="dxa"/>
            <w:tcBorders>
              <w:top w:val="nil"/>
              <w:left w:val="nil"/>
              <w:bottom w:val="single" w:sz="4" w:space="0" w:color="auto"/>
              <w:right w:val="single" w:sz="4" w:space="0" w:color="auto"/>
            </w:tcBorders>
            <w:shd w:val="clear" w:color="auto" w:fill="C6EFCE"/>
            <w:noWrap/>
          </w:tcPr>
          <w:p w14:paraId="06EA3657" w14:textId="71BA49DC" w:rsidR="00CB0FCB" w:rsidRDefault="009D2B11">
            <w:pPr>
              <w:pStyle w:val="P68B1DB1-Normal8"/>
              <w:keepNext/>
              <w:spacing w:before="40" w:after="0" w:line="240" w:lineRule="auto"/>
              <w:jc w:val="both"/>
              <w:rPr>
                <w:noProof/>
              </w:rPr>
            </w:pPr>
            <w:r>
              <w:rPr>
                <w:noProof/>
              </w:rPr>
              <w:t>12–4.1. PUNKTS. Padarīt nodokļus labvēlīgākus izaugsmei un uzlabot nodokļu administrēšanu un iekasēšanu — 16985_Grozījumi Grieķijas nodokļu politikas satvarā</w:t>
            </w:r>
          </w:p>
        </w:tc>
        <w:tc>
          <w:tcPr>
            <w:tcW w:w="1680" w:type="dxa"/>
            <w:tcBorders>
              <w:top w:val="nil"/>
              <w:left w:val="nil"/>
              <w:bottom w:val="single" w:sz="4" w:space="0" w:color="auto"/>
              <w:right w:val="single" w:sz="4" w:space="0" w:color="auto"/>
            </w:tcBorders>
            <w:shd w:val="clear" w:color="auto" w:fill="C6EFCE"/>
            <w:noWrap/>
          </w:tcPr>
          <w:p w14:paraId="62336AD0" w14:textId="12B069A5" w:rsidR="00CB0FCB" w:rsidRDefault="009D2B11">
            <w:pPr>
              <w:pStyle w:val="P68B1DB1-Normal8"/>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tcPr>
          <w:p w14:paraId="6995AB24" w14:textId="14D1A800" w:rsidR="00CB0FCB" w:rsidRDefault="009D2B11">
            <w:pPr>
              <w:pStyle w:val="P68B1DB1-Normal8"/>
              <w:keepNext/>
              <w:spacing w:before="40" w:after="0" w:line="240" w:lineRule="auto"/>
              <w:jc w:val="both"/>
              <w:rPr>
                <w:noProof/>
              </w:rPr>
            </w:pPr>
            <w:r>
              <w:rPr>
                <w:noProof/>
              </w:rPr>
              <w:t>Apkarot izvairīšanos no nodokļu maksāšanas, izmantojot miDATA ienākuma nodokļa vajadzībām</w:t>
            </w:r>
          </w:p>
        </w:tc>
      </w:tr>
      <w:tr w:rsidR="00CB0FCB" w14:paraId="3A7FC83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4BD5742" w14:textId="77777777" w:rsidR="00CB0FCB" w:rsidRDefault="009D2B11">
            <w:pPr>
              <w:pStyle w:val="P68B1DB1-Normal8"/>
              <w:keepNext/>
              <w:spacing w:before="40" w:after="0" w:line="240" w:lineRule="auto"/>
              <w:jc w:val="both"/>
              <w:rPr>
                <w:rFonts w:cs="Times New Roman"/>
                <w:noProof/>
                <w:szCs w:val="18"/>
              </w:rPr>
            </w:pPr>
            <w:r>
              <w:rPr>
                <w:noProof/>
              </w:rPr>
              <w:t>212</w:t>
            </w:r>
          </w:p>
        </w:tc>
        <w:tc>
          <w:tcPr>
            <w:tcW w:w="4320" w:type="dxa"/>
            <w:tcBorders>
              <w:top w:val="nil"/>
              <w:left w:val="nil"/>
              <w:bottom w:val="single" w:sz="4" w:space="0" w:color="auto"/>
              <w:right w:val="single" w:sz="4" w:space="0" w:color="auto"/>
            </w:tcBorders>
            <w:shd w:val="clear" w:color="auto" w:fill="C6EFCE"/>
            <w:noWrap/>
            <w:vAlign w:val="center"/>
          </w:tcPr>
          <w:p w14:paraId="6EC92CC1" w14:textId="77777777" w:rsidR="00CB0FCB" w:rsidRDefault="009D2B11">
            <w:pPr>
              <w:pStyle w:val="P68B1DB1-Normal8"/>
              <w:keepNext/>
              <w:spacing w:before="40" w:after="0" w:line="240" w:lineRule="auto"/>
              <w:jc w:val="both"/>
              <w:rPr>
                <w:rFonts w:cs="Times New Roman"/>
                <w:noProof/>
                <w:szCs w:val="18"/>
              </w:rPr>
            </w:pPr>
            <w:r>
              <w:rPr>
                <w:noProof/>
              </w:rPr>
              <w:t>13–4.2. Modernizēt valsts pārvaldi, tostarp paātrinot publisko investīciju īstenošanu, uzlabojot publiskā iepirkuma regulējumu, spēju veidošanas pasākumus un korupcijas apkarošanu — 16702_Uzlabot NILL/TFN regulējumu</w:t>
            </w:r>
          </w:p>
        </w:tc>
        <w:tc>
          <w:tcPr>
            <w:tcW w:w="1680" w:type="dxa"/>
            <w:tcBorders>
              <w:top w:val="nil"/>
              <w:left w:val="nil"/>
              <w:bottom w:val="single" w:sz="4" w:space="0" w:color="auto"/>
              <w:right w:val="single" w:sz="4" w:space="0" w:color="auto"/>
            </w:tcBorders>
            <w:shd w:val="clear" w:color="auto" w:fill="C6EFCE"/>
            <w:noWrap/>
            <w:vAlign w:val="center"/>
          </w:tcPr>
          <w:p w14:paraId="36C6E7A4"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7B15E6A" w14:textId="77777777" w:rsidR="00CB0FCB" w:rsidRDefault="009D2B11">
            <w:pPr>
              <w:pStyle w:val="P68B1DB1-Normal8"/>
              <w:keepNext/>
              <w:spacing w:before="40" w:after="0" w:line="240" w:lineRule="auto"/>
              <w:jc w:val="both"/>
              <w:rPr>
                <w:rFonts w:cs="Times New Roman"/>
                <w:noProof/>
                <w:szCs w:val="18"/>
              </w:rPr>
            </w:pPr>
            <w:r>
              <w:rPr>
                <w:noProof/>
              </w:rPr>
              <w:t>Uzlabots regulējums nelikumīgi iegūtu līdzekļu legalizācijas novēršanai un terorisma finansēšanas apkarošanai (CFT)</w:t>
            </w:r>
          </w:p>
        </w:tc>
      </w:tr>
      <w:tr w:rsidR="00CB0FCB" w14:paraId="2E1186E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3300F2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216</w:t>
            </w:r>
          </w:p>
        </w:tc>
        <w:tc>
          <w:tcPr>
            <w:tcW w:w="4320" w:type="dxa"/>
            <w:tcBorders>
              <w:top w:val="nil"/>
              <w:left w:val="nil"/>
              <w:bottom w:val="single" w:sz="4" w:space="0" w:color="auto"/>
              <w:right w:val="single" w:sz="4" w:space="0" w:color="auto"/>
            </w:tcBorders>
            <w:shd w:val="clear" w:color="auto" w:fill="C6EFCE"/>
            <w:noWrap/>
            <w:vAlign w:val="center"/>
          </w:tcPr>
          <w:p w14:paraId="75C19DE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16711_Publiskā iepirkuma jomas profesionalizācija</w:t>
            </w:r>
          </w:p>
        </w:tc>
        <w:tc>
          <w:tcPr>
            <w:tcW w:w="1680" w:type="dxa"/>
            <w:tcBorders>
              <w:top w:val="nil"/>
              <w:left w:val="nil"/>
              <w:bottom w:val="single" w:sz="4" w:space="0" w:color="auto"/>
              <w:right w:val="single" w:sz="4" w:space="0" w:color="auto"/>
            </w:tcBorders>
            <w:shd w:val="clear" w:color="auto" w:fill="C6EFCE"/>
            <w:noWrap/>
            <w:vAlign w:val="center"/>
          </w:tcPr>
          <w:p w14:paraId="1FD3D893"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1D284CA8" w14:textId="77777777" w:rsidR="00CB0FCB" w:rsidRDefault="009D2B11">
            <w:pPr>
              <w:pStyle w:val="P68B1DB1-Normal8"/>
              <w:keepNext/>
              <w:spacing w:before="40" w:after="0" w:line="240" w:lineRule="auto"/>
              <w:jc w:val="both"/>
              <w:rPr>
                <w:rFonts w:eastAsia="Times New Roman" w:cs="Times New Roman"/>
                <w:noProof/>
                <w:szCs w:val="18"/>
              </w:rPr>
            </w:pPr>
            <w:r>
              <w:rPr>
                <w:noProof/>
              </w:rPr>
              <w:t>Publiskā iepirkuma jomas profesionalizācija — jauni tiesību akti</w:t>
            </w:r>
          </w:p>
        </w:tc>
      </w:tr>
      <w:tr w:rsidR="00CB0FCB" w14:paraId="4CDE055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171E6EB" w14:textId="77777777" w:rsidR="00CB0FCB" w:rsidRDefault="009D2B11">
            <w:pPr>
              <w:pStyle w:val="P68B1DB1-Normal8"/>
              <w:keepNext/>
              <w:spacing w:before="40" w:after="0" w:line="240" w:lineRule="auto"/>
              <w:jc w:val="both"/>
              <w:rPr>
                <w:noProof/>
              </w:rPr>
            </w:pPr>
            <w:r>
              <w:rPr>
                <w:noProof/>
              </w:rPr>
              <w:t>234</w:t>
            </w:r>
          </w:p>
        </w:tc>
        <w:tc>
          <w:tcPr>
            <w:tcW w:w="4320" w:type="dxa"/>
            <w:tcBorders>
              <w:top w:val="nil"/>
              <w:left w:val="nil"/>
              <w:bottom w:val="single" w:sz="4" w:space="0" w:color="auto"/>
              <w:right w:val="single" w:sz="4" w:space="0" w:color="auto"/>
            </w:tcBorders>
            <w:shd w:val="clear" w:color="auto" w:fill="C6EFCE"/>
            <w:noWrap/>
            <w:vAlign w:val="center"/>
          </w:tcPr>
          <w:p w14:paraId="39B4C7BF" w14:textId="77777777" w:rsidR="00CB0FCB" w:rsidRDefault="009D2B11">
            <w:pPr>
              <w:pStyle w:val="P68B1DB1-Normal8"/>
              <w:keepNext/>
              <w:spacing w:before="40" w:after="0" w:line="240" w:lineRule="auto"/>
              <w:jc w:val="both"/>
              <w:rPr>
                <w:noProof/>
              </w:rPr>
            </w:pPr>
            <w:r>
              <w:rPr>
                <w:noProof/>
              </w:rPr>
              <w:t>14–4.3. Uzlabot tiesu sistēmas efektivitāti — 16575 tiesvedības paātrināšana</w:t>
            </w:r>
          </w:p>
        </w:tc>
        <w:tc>
          <w:tcPr>
            <w:tcW w:w="1680" w:type="dxa"/>
            <w:tcBorders>
              <w:top w:val="nil"/>
              <w:left w:val="nil"/>
              <w:bottom w:val="single" w:sz="4" w:space="0" w:color="auto"/>
              <w:right w:val="single" w:sz="4" w:space="0" w:color="auto"/>
            </w:tcBorders>
            <w:shd w:val="clear" w:color="auto" w:fill="C6EFCE"/>
            <w:noWrap/>
            <w:vAlign w:val="center"/>
          </w:tcPr>
          <w:p w14:paraId="675FC652" w14:textId="77777777" w:rsidR="00CB0FCB" w:rsidRDefault="009D2B11">
            <w:pPr>
              <w:pStyle w:val="P68B1DB1-Normal8"/>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6048331F" w14:textId="77777777" w:rsidR="00CB0FCB" w:rsidRDefault="009D2B11">
            <w:pPr>
              <w:pStyle w:val="P68B1DB1-Normal8"/>
              <w:keepNext/>
              <w:spacing w:before="40" w:after="0" w:line="240" w:lineRule="auto"/>
              <w:jc w:val="both"/>
              <w:rPr>
                <w:noProof/>
              </w:rPr>
            </w:pPr>
            <w:r>
              <w:rPr>
                <w:noProof/>
              </w:rPr>
              <w:t>Tieslietu policijas darbība</w:t>
            </w:r>
          </w:p>
        </w:tc>
      </w:tr>
      <w:tr w:rsidR="00CB0FCB" w14:paraId="6D567FE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7C802668" w14:textId="77777777" w:rsidR="00CB0FCB" w:rsidRDefault="009D2B11">
            <w:pPr>
              <w:pStyle w:val="P68B1DB1-Normal8"/>
              <w:keepNext/>
              <w:spacing w:before="40" w:after="0" w:line="240" w:lineRule="auto"/>
              <w:jc w:val="both"/>
              <w:rPr>
                <w:rFonts w:cs="Times New Roman"/>
                <w:noProof/>
                <w:szCs w:val="18"/>
              </w:rPr>
            </w:pPr>
            <w:r>
              <w:rPr>
                <w:noProof/>
              </w:rPr>
              <w:t>244a</w:t>
            </w:r>
          </w:p>
        </w:tc>
        <w:tc>
          <w:tcPr>
            <w:tcW w:w="4320" w:type="dxa"/>
            <w:tcBorders>
              <w:top w:val="nil"/>
              <w:left w:val="nil"/>
              <w:bottom w:val="single" w:sz="4" w:space="0" w:color="auto"/>
              <w:right w:val="single" w:sz="4" w:space="0" w:color="auto"/>
            </w:tcBorders>
            <w:shd w:val="clear" w:color="auto" w:fill="C6EFCE"/>
            <w:noWrap/>
          </w:tcPr>
          <w:p w14:paraId="5B4E6661" w14:textId="77777777" w:rsidR="00CB0FCB" w:rsidRDefault="009D2B11">
            <w:pPr>
              <w:pStyle w:val="P68B1DB1-Normal8"/>
              <w:keepNext/>
              <w:spacing w:before="40" w:after="0" w:line="240" w:lineRule="auto"/>
              <w:jc w:val="both"/>
              <w:rPr>
                <w:rFonts w:cs="Times New Roman"/>
                <w:noProof/>
                <w:szCs w:val="18"/>
              </w:rPr>
            </w:pPr>
            <w:r>
              <w:rPr>
                <w:noProof/>
              </w:rPr>
              <w:t>15–4.4. Stiprināt finanšu nozari un kapitāla tirgus — 16957_Stiprināt finanšu sistēmas spēju pārvarēt mantotās problēmas un finansēt reālo ekonomiku</w:t>
            </w:r>
          </w:p>
        </w:tc>
        <w:tc>
          <w:tcPr>
            <w:tcW w:w="1680" w:type="dxa"/>
            <w:tcBorders>
              <w:top w:val="nil"/>
              <w:left w:val="nil"/>
              <w:bottom w:val="single" w:sz="4" w:space="0" w:color="auto"/>
              <w:right w:val="single" w:sz="4" w:space="0" w:color="auto"/>
            </w:tcBorders>
            <w:shd w:val="clear" w:color="auto" w:fill="C6EFCE"/>
            <w:noWrap/>
          </w:tcPr>
          <w:p w14:paraId="69BA8827"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tcPr>
          <w:p w14:paraId="3406361B" w14:textId="77777777" w:rsidR="00CB0FCB" w:rsidRDefault="009D2B11">
            <w:pPr>
              <w:pStyle w:val="P68B1DB1-Normal8"/>
              <w:keepNext/>
              <w:spacing w:before="40" w:after="0" w:line="240" w:lineRule="auto"/>
              <w:jc w:val="both"/>
              <w:rPr>
                <w:rFonts w:cs="Times New Roman"/>
                <w:noProof/>
                <w:szCs w:val="18"/>
              </w:rPr>
            </w:pPr>
            <w:r>
              <w:rPr>
                <w:noProof/>
              </w:rPr>
              <w:t>E-izsoles parāda piedziņai</w:t>
            </w:r>
          </w:p>
        </w:tc>
      </w:tr>
      <w:tr w:rsidR="00CB0FCB" w14:paraId="1B34399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8459CE1" w14:textId="392B6261" w:rsidR="00CB0FCB" w:rsidRDefault="009D2B11">
            <w:pPr>
              <w:pStyle w:val="P68B1DB1-Normal8"/>
              <w:keepNext/>
              <w:spacing w:before="40" w:after="0" w:line="240" w:lineRule="auto"/>
              <w:jc w:val="both"/>
              <w:rPr>
                <w:noProof/>
              </w:rPr>
            </w:pPr>
            <w:r>
              <w:rPr>
                <w:noProof/>
              </w:rPr>
              <w:t>235</w:t>
            </w:r>
          </w:p>
        </w:tc>
        <w:tc>
          <w:tcPr>
            <w:tcW w:w="4320" w:type="dxa"/>
            <w:tcBorders>
              <w:top w:val="nil"/>
              <w:left w:val="nil"/>
              <w:bottom w:val="single" w:sz="4" w:space="0" w:color="auto"/>
              <w:right w:val="single" w:sz="4" w:space="0" w:color="auto"/>
            </w:tcBorders>
            <w:shd w:val="clear" w:color="auto" w:fill="C6EFCE"/>
            <w:noWrap/>
            <w:vAlign w:val="center"/>
          </w:tcPr>
          <w:p w14:paraId="41A0357C" w14:textId="385FF89A" w:rsidR="00CB0FCB" w:rsidRDefault="009D2B11">
            <w:pPr>
              <w:pStyle w:val="P68B1DB1-Normal8"/>
              <w:keepNext/>
              <w:spacing w:before="40" w:after="0" w:line="240" w:lineRule="auto"/>
              <w:jc w:val="both"/>
              <w:rPr>
                <w:noProof/>
              </w:rPr>
            </w:pPr>
            <w:r>
              <w:rPr>
                <w:noProof/>
              </w:rPr>
              <w:t>14–4.3. Uzlabot tiesu sistēmas efektivitāti — 16733_Prasmes un digitālās prasmes tiesnešiem un tiesu iestāžu darbiniekiem (tiesu iestāžu darbiniekiem)</w:t>
            </w:r>
          </w:p>
        </w:tc>
        <w:tc>
          <w:tcPr>
            <w:tcW w:w="1680" w:type="dxa"/>
            <w:tcBorders>
              <w:top w:val="nil"/>
              <w:left w:val="nil"/>
              <w:bottom w:val="single" w:sz="4" w:space="0" w:color="auto"/>
              <w:right w:val="single" w:sz="4" w:space="0" w:color="auto"/>
            </w:tcBorders>
            <w:shd w:val="clear" w:color="auto" w:fill="C6EFCE"/>
            <w:noWrap/>
            <w:vAlign w:val="center"/>
          </w:tcPr>
          <w:p w14:paraId="3A30B668" w14:textId="54D0F72C" w:rsidR="00CB0FCB" w:rsidRDefault="009D2B11">
            <w:pPr>
              <w:pStyle w:val="P68B1DB1-Normal8"/>
              <w:keepNext/>
              <w:spacing w:before="40" w:after="0" w:line="240" w:lineRule="auto"/>
              <w:jc w:val="both"/>
              <w:rPr>
                <w:noProof/>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79D27DE2" w14:textId="08AF8713" w:rsidR="00CB0FCB" w:rsidRDefault="009D2B11">
            <w:pPr>
              <w:pStyle w:val="P68B1DB1-Normal8"/>
              <w:keepNext/>
              <w:spacing w:before="40" w:after="0" w:line="240" w:lineRule="auto"/>
              <w:jc w:val="both"/>
              <w:rPr>
                <w:noProof/>
              </w:rPr>
            </w:pPr>
            <w:r>
              <w:rPr>
                <w:noProof/>
              </w:rPr>
              <w:t>Mācības — Tiesneši un ierēdņi</w:t>
            </w:r>
          </w:p>
        </w:tc>
      </w:tr>
      <w:tr w:rsidR="00CB0FCB" w14:paraId="1C026C1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A758F72" w14:textId="77777777" w:rsidR="00CB0FCB" w:rsidRDefault="009D2B11">
            <w:pPr>
              <w:pStyle w:val="P68B1DB1-Normal8"/>
              <w:keepNext/>
              <w:spacing w:before="40" w:after="0" w:line="240" w:lineRule="auto"/>
              <w:jc w:val="both"/>
              <w:rPr>
                <w:rFonts w:cs="Times New Roman"/>
                <w:noProof/>
                <w:szCs w:val="18"/>
              </w:rPr>
            </w:pPr>
            <w:r>
              <w:rPr>
                <w:noProof/>
              </w:rPr>
              <w:t>244b</w:t>
            </w:r>
          </w:p>
        </w:tc>
        <w:tc>
          <w:tcPr>
            <w:tcW w:w="4320" w:type="dxa"/>
            <w:tcBorders>
              <w:top w:val="nil"/>
              <w:left w:val="nil"/>
              <w:bottom w:val="single" w:sz="4" w:space="0" w:color="auto"/>
              <w:right w:val="single" w:sz="4" w:space="0" w:color="auto"/>
            </w:tcBorders>
            <w:shd w:val="clear" w:color="auto" w:fill="C6EFCE"/>
            <w:noWrap/>
          </w:tcPr>
          <w:p w14:paraId="7B0CC9AC" w14:textId="77777777" w:rsidR="00CB0FCB" w:rsidRDefault="009D2B11">
            <w:pPr>
              <w:pStyle w:val="P68B1DB1-Normal8"/>
              <w:keepNext/>
              <w:spacing w:before="40" w:after="0" w:line="240" w:lineRule="auto"/>
              <w:jc w:val="both"/>
              <w:rPr>
                <w:rFonts w:cs="Times New Roman"/>
                <w:noProof/>
                <w:szCs w:val="18"/>
              </w:rPr>
            </w:pPr>
            <w:r>
              <w:rPr>
                <w:noProof/>
              </w:rPr>
              <w:t>15–4.4. Stiprināt finanšu nozari un kapitāla tirgus — 16957_Stiprināt finanšu sistēmas spēju pārvarēt mantotās problēmas un finansēt reālo ekonomiku</w:t>
            </w:r>
          </w:p>
        </w:tc>
        <w:tc>
          <w:tcPr>
            <w:tcW w:w="1680" w:type="dxa"/>
            <w:tcBorders>
              <w:top w:val="nil"/>
              <w:left w:val="nil"/>
              <w:bottom w:val="single" w:sz="4" w:space="0" w:color="auto"/>
              <w:right w:val="single" w:sz="4" w:space="0" w:color="auto"/>
            </w:tcBorders>
            <w:shd w:val="clear" w:color="auto" w:fill="C6EFCE"/>
            <w:noWrap/>
          </w:tcPr>
          <w:p w14:paraId="34A1D3B4"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tcPr>
          <w:p w14:paraId="3F4382EC" w14:textId="77777777" w:rsidR="00CB0FCB" w:rsidRDefault="009D2B11">
            <w:pPr>
              <w:pStyle w:val="P68B1DB1-Normal8"/>
              <w:keepNext/>
              <w:spacing w:before="40" w:after="0" w:line="240" w:lineRule="auto"/>
              <w:jc w:val="both"/>
              <w:rPr>
                <w:rFonts w:cs="Times New Roman"/>
                <w:noProof/>
                <w:szCs w:val="18"/>
              </w:rPr>
            </w:pPr>
            <w:r>
              <w:rPr>
                <w:noProof/>
              </w:rPr>
              <w:t xml:space="preserve">Līguma slēgšanas tiesību piešķiršana finanšu nozares pasākumiem </w:t>
            </w:r>
          </w:p>
        </w:tc>
      </w:tr>
      <w:tr w:rsidR="00CB0FCB" w14:paraId="76C7F9E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3FA0F84" w14:textId="77777777" w:rsidR="00CB0FCB" w:rsidRDefault="009D2B11">
            <w:pPr>
              <w:pStyle w:val="P68B1DB1-Normal8"/>
              <w:keepNext/>
              <w:spacing w:before="40" w:after="0" w:line="240" w:lineRule="auto"/>
              <w:jc w:val="both"/>
              <w:rPr>
                <w:rFonts w:cs="Times New Roman"/>
                <w:noProof/>
                <w:szCs w:val="18"/>
              </w:rPr>
            </w:pPr>
            <w:r>
              <w:rPr>
                <w:noProof/>
              </w:rPr>
              <w:t>247</w:t>
            </w:r>
          </w:p>
        </w:tc>
        <w:tc>
          <w:tcPr>
            <w:tcW w:w="4320" w:type="dxa"/>
            <w:tcBorders>
              <w:top w:val="nil"/>
              <w:left w:val="nil"/>
              <w:bottom w:val="single" w:sz="4" w:space="0" w:color="auto"/>
              <w:right w:val="single" w:sz="4" w:space="0" w:color="auto"/>
            </w:tcBorders>
            <w:shd w:val="clear" w:color="auto" w:fill="C6EFCE"/>
            <w:noWrap/>
            <w:vAlign w:val="center"/>
          </w:tcPr>
          <w:p w14:paraId="4B320E46" w14:textId="77777777" w:rsidR="00CB0FCB" w:rsidRDefault="009D2B11">
            <w:pPr>
              <w:pStyle w:val="P68B1DB1-Normal8"/>
              <w:keepNext/>
              <w:spacing w:before="40" w:after="0" w:line="240" w:lineRule="auto"/>
              <w:jc w:val="both"/>
              <w:rPr>
                <w:rFonts w:cs="Times New Roman"/>
                <w:noProof/>
                <w:szCs w:val="18"/>
              </w:rPr>
            </w:pPr>
            <w:r>
              <w:rPr>
                <w:noProof/>
              </w:rPr>
              <w:t>16–4,5. Veicināt pētniecību un inovāciju — 16624_Creation — Izvēršana — Pētniecības un inovācijas ģenerālsekretariāta (GSRI) uzraudzīto pētniecības centru infrastruktūras modernizācija</w:t>
            </w:r>
          </w:p>
        </w:tc>
        <w:tc>
          <w:tcPr>
            <w:tcW w:w="1680" w:type="dxa"/>
            <w:tcBorders>
              <w:top w:val="nil"/>
              <w:left w:val="nil"/>
              <w:bottom w:val="single" w:sz="4" w:space="0" w:color="auto"/>
              <w:right w:val="single" w:sz="4" w:space="0" w:color="auto"/>
            </w:tcBorders>
            <w:shd w:val="clear" w:color="auto" w:fill="C6EFCE"/>
            <w:noWrap/>
            <w:vAlign w:val="center"/>
          </w:tcPr>
          <w:p w14:paraId="5A5A6CAB"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5A07C2C6" w14:textId="77777777" w:rsidR="00CB0FCB" w:rsidRDefault="009D2B11">
            <w:pPr>
              <w:pStyle w:val="P68B1DB1-Normal8"/>
              <w:keepNext/>
              <w:spacing w:before="40" w:after="0" w:line="240" w:lineRule="auto"/>
              <w:jc w:val="both"/>
              <w:rPr>
                <w:rFonts w:cs="Times New Roman"/>
                <w:noProof/>
                <w:szCs w:val="18"/>
              </w:rPr>
            </w:pPr>
            <w:r>
              <w:rPr>
                <w:noProof/>
              </w:rPr>
              <w:t>Līgumu slēgšanas tiesību piešķiršana pētniecības centriem — būvdarbi</w:t>
            </w:r>
          </w:p>
        </w:tc>
      </w:tr>
      <w:tr w:rsidR="00CB0FCB" w14:paraId="705C71B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0CBC453" w14:textId="77777777" w:rsidR="00CB0FCB" w:rsidRDefault="009D2B11">
            <w:pPr>
              <w:pStyle w:val="P68B1DB1-Normal8"/>
              <w:keepNext/>
              <w:spacing w:before="40" w:after="0" w:line="240" w:lineRule="auto"/>
              <w:jc w:val="both"/>
              <w:rPr>
                <w:rFonts w:cs="Times New Roman"/>
                <w:noProof/>
                <w:szCs w:val="18"/>
              </w:rPr>
            </w:pPr>
            <w:r>
              <w:rPr>
                <w:noProof/>
              </w:rPr>
              <w:t>248</w:t>
            </w:r>
          </w:p>
        </w:tc>
        <w:tc>
          <w:tcPr>
            <w:tcW w:w="4320" w:type="dxa"/>
            <w:tcBorders>
              <w:top w:val="nil"/>
              <w:left w:val="nil"/>
              <w:bottom w:val="single" w:sz="4" w:space="0" w:color="auto"/>
              <w:right w:val="single" w:sz="4" w:space="0" w:color="auto"/>
            </w:tcBorders>
            <w:shd w:val="clear" w:color="auto" w:fill="C6EFCE"/>
            <w:noWrap/>
            <w:vAlign w:val="center"/>
          </w:tcPr>
          <w:p w14:paraId="54378C14" w14:textId="77777777" w:rsidR="00CB0FCB" w:rsidRDefault="009D2B11">
            <w:pPr>
              <w:pStyle w:val="P68B1DB1-Normal8"/>
              <w:keepNext/>
              <w:spacing w:before="40" w:after="0" w:line="240" w:lineRule="auto"/>
              <w:jc w:val="both"/>
              <w:rPr>
                <w:rFonts w:cs="Times New Roman"/>
                <w:noProof/>
                <w:szCs w:val="18"/>
              </w:rPr>
            </w:pPr>
            <w:r>
              <w:rPr>
                <w:noProof/>
              </w:rPr>
              <w:t>16–4,5. Veicināt pētniecību un inovāciju — 16654_TH 2 ORAX: Trellis Holistic &amp; Hybrid Operation Rackggedised Autonomā eXemplary sistēma</w:t>
            </w:r>
          </w:p>
        </w:tc>
        <w:tc>
          <w:tcPr>
            <w:tcW w:w="1680" w:type="dxa"/>
            <w:tcBorders>
              <w:top w:val="nil"/>
              <w:left w:val="nil"/>
              <w:bottom w:val="single" w:sz="4" w:space="0" w:color="auto"/>
              <w:right w:val="single" w:sz="4" w:space="0" w:color="auto"/>
            </w:tcBorders>
            <w:shd w:val="clear" w:color="auto" w:fill="C6EFCE"/>
            <w:noWrap/>
            <w:vAlign w:val="center"/>
          </w:tcPr>
          <w:p w14:paraId="7205B2B4"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5FA5A29E" w14:textId="77777777" w:rsidR="00CB0FCB" w:rsidRDefault="009D2B11">
            <w:pPr>
              <w:pStyle w:val="P68B1DB1-Normal8"/>
              <w:keepNext/>
              <w:spacing w:before="40" w:after="0" w:line="240" w:lineRule="auto"/>
              <w:jc w:val="both"/>
              <w:rPr>
                <w:rFonts w:cs="Times New Roman"/>
                <w:noProof/>
                <w:szCs w:val="18"/>
              </w:rPr>
            </w:pPr>
            <w:r>
              <w:rPr>
                <w:noProof/>
              </w:rPr>
              <w:t>Līgumu slēgšanas tiesību piešķiršana TH2ORAX</w:t>
            </w:r>
          </w:p>
        </w:tc>
      </w:tr>
      <w:tr w:rsidR="00CB0FCB" w14:paraId="5AE65CC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7A1E7E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258</w:t>
            </w:r>
          </w:p>
        </w:tc>
        <w:tc>
          <w:tcPr>
            <w:tcW w:w="4320" w:type="dxa"/>
            <w:tcBorders>
              <w:top w:val="nil"/>
              <w:left w:val="nil"/>
              <w:bottom w:val="single" w:sz="4" w:space="0" w:color="auto"/>
              <w:right w:val="single" w:sz="4" w:space="0" w:color="auto"/>
            </w:tcBorders>
            <w:shd w:val="clear" w:color="auto" w:fill="C6EFCE"/>
            <w:noWrap/>
            <w:vAlign w:val="center"/>
          </w:tcPr>
          <w:p w14:paraId="094B1B4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16631_Ceļu satiksmes drošības modernizācija</w:t>
            </w:r>
          </w:p>
        </w:tc>
        <w:tc>
          <w:tcPr>
            <w:tcW w:w="1680" w:type="dxa"/>
            <w:tcBorders>
              <w:top w:val="nil"/>
              <w:left w:val="nil"/>
              <w:bottom w:val="single" w:sz="4" w:space="0" w:color="auto"/>
              <w:right w:val="single" w:sz="4" w:space="0" w:color="auto"/>
            </w:tcBorders>
            <w:shd w:val="clear" w:color="auto" w:fill="C6EFCE"/>
            <w:noWrap/>
            <w:vAlign w:val="center"/>
          </w:tcPr>
          <w:p w14:paraId="21635F9F"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7C5819E5" w14:textId="77777777" w:rsidR="00CB0FCB" w:rsidRDefault="009D2B11">
            <w:pPr>
              <w:pStyle w:val="P68B1DB1-Normal8"/>
              <w:keepNext/>
              <w:spacing w:before="40" w:after="0" w:line="240" w:lineRule="auto"/>
              <w:jc w:val="both"/>
              <w:rPr>
                <w:rFonts w:eastAsia="Times New Roman" w:cs="Times New Roman"/>
                <w:noProof/>
                <w:szCs w:val="18"/>
              </w:rPr>
            </w:pPr>
            <w:r>
              <w:rPr>
                <w:noProof/>
              </w:rPr>
              <w:t>Līguma slēgšanas tiesību piešķiršana ceļu satiksmes drošības jomā — visi līgumi</w:t>
            </w:r>
          </w:p>
        </w:tc>
      </w:tr>
      <w:tr w:rsidR="00CB0FCB" w14:paraId="49004FD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28312FE" w14:textId="77777777" w:rsidR="00CB0FCB" w:rsidRDefault="009D2B11">
            <w:pPr>
              <w:pStyle w:val="P68B1DB1-Normal8"/>
              <w:keepNext/>
              <w:spacing w:before="40" w:after="0" w:line="240" w:lineRule="auto"/>
              <w:jc w:val="both"/>
              <w:rPr>
                <w:rFonts w:cs="Times New Roman"/>
                <w:noProof/>
                <w:szCs w:val="18"/>
              </w:rPr>
            </w:pPr>
            <w:r>
              <w:rPr>
                <w:noProof/>
              </w:rPr>
              <w:t>268</w:t>
            </w:r>
          </w:p>
        </w:tc>
        <w:tc>
          <w:tcPr>
            <w:tcW w:w="4320" w:type="dxa"/>
            <w:tcBorders>
              <w:top w:val="nil"/>
              <w:left w:val="nil"/>
              <w:bottom w:val="single" w:sz="4" w:space="0" w:color="auto"/>
              <w:right w:val="single" w:sz="4" w:space="0" w:color="auto"/>
            </w:tcBorders>
            <w:shd w:val="clear" w:color="auto" w:fill="C6EFCE"/>
            <w:noWrap/>
            <w:vAlign w:val="center"/>
          </w:tcPr>
          <w:p w14:paraId="097C710B"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16982_Organizācijas reforma dzelzceļa nozarē</w:t>
            </w:r>
          </w:p>
        </w:tc>
        <w:tc>
          <w:tcPr>
            <w:tcW w:w="1680" w:type="dxa"/>
            <w:tcBorders>
              <w:top w:val="nil"/>
              <w:left w:val="nil"/>
              <w:bottom w:val="single" w:sz="4" w:space="0" w:color="auto"/>
              <w:right w:val="single" w:sz="4" w:space="0" w:color="auto"/>
            </w:tcBorders>
            <w:shd w:val="clear" w:color="auto" w:fill="C6EFCE"/>
            <w:noWrap/>
            <w:vAlign w:val="center"/>
          </w:tcPr>
          <w:p w14:paraId="06097383"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33A12B21" w14:textId="6927A963" w:rsidR="00CB0FCB" w:rsidRDefault="009D2B11">
            <w:pPr>
              <w:pStyle w:val="P68B1DB1-Normal49"/>
              <w:keepNext/>
              <w:spacing w:before="40" w:after="0" w:line="240" w:lineRule="auto"/>
              <w:jc w:val="both"/>
              <w:rPr>
                <w:rFonts w:cs="Times New Roman"/>
                <w:noProof/>
              </w:rPr>
            </w:pPr>
            <w:r>
              <w:rPr>
                <w:noProof/>
              </w:rPr>
              <w:t xml:space="preserve">Grieķijas Dzelzceļa īstenošanas plāns </w:t>
            </w:r>
          </w:p>
        </w:tc>
      </w:tr>
      <w:tr w:rsidR="00CB0FCB" w14:paraId="438DDA6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EA25F36" w14:textId="77777777" w:rsidR="00CB0FCB" w:rsidRDefault="009D2B11">
            <w:pPr>
              <w:pStyle w:val="P68B1DB1-Normal8"/>
              <w:keepNext/>
              <w:spacing w:before="40" w:after="0" w:line="240" w:lineRule="auto"/>
              <w:jc w:val="both"/>
              <w:rPr>
                <w:rFonts w:cs="Times New Roman"/>
                <w:noProof/>
                <w:szCs w:val="18"/>
              </w:rPr>
            </w:pPr>
            <w:r>
              <w:rPr>
                <w:noProof/>
              </w:rPr>
              <w:t>295</w:t>
            </w:r>
          </w:p>
        </w:tc>
        <w:tc>
          <w:tcPr>
            <w:tcW w:w="4320" w:type="dxa"/>
            <w:tcBorders>
              <w:top w:val="nil"/>
              <w:left w:val="nil"/>
              <w:bottom w:val="single" w:sz="4" w:space="0" w:color="auto"/>
              <w:right w:val="single" w:sz="4" w:space="0" w:color="auto"/>
            </w:tcBorders>
            <w:shd w:val="clear" w:color="auto" w:fill="C6EFCE"/>
            <w:noWrap/>
            <w:vAlign w:val="center"/>
          </w:tcPr>
          <w:p w14:paraId="362B9A5F"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16931_Tūrisma attīstība</w:t>
            </w:r>
          </w:p>
        </w:tc>
        <w:tc>
          <w:tcPr>
            <w:tcW w:w="1680" w:type="dxa"/>
            <w:tcBorders>
              <w:top w:val="nil"/>
              <w:left w:val="nil"/>
              <w:bottom w:val="single" w:sz="4" w:space="0" w:color="auto"/>
              <w:right w:val="single" w:sz="4" w:space="0" w:color="auto"/>
            </w:tcBorders>
            <w:shd w:val="clear" w:color="auto" w:fill="C6EFCE"/>
            <w:noWrap/>
            <w:vAlign w:val="center"/>
          </w:tcPr>
          <w:p w14:paraId="41CDFCD0"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16688A49" w14:textId="319A28D0" w:rsidR="00CB0FCB" w:rsidRDefault="009D2B11">
            <w:pPr>
              <w:pStyle w:val="P68B1DB1-Normal35"/>
              <w:keepNext/>
              <w:spacing w:before="40" w:after="0" w:line="240" w:lineRule="auto"/>
              <w:jc w:val="both"/>
              <w:rPr>
                <w:rFonts w:ascii="Times New Roman" w:hAnsi="Times New Roman" w:cs="Times New Roman"/>
                <w:noProof/>
                <w:szCs w:val="18"/>
              </w:rPr>
            </w:pPr>
            <w:r>
              <w:rPr>
                <w:rFonts w:ascii="Times New Roman" w:hAnsi="Times New Roman"/>
                <w:noProof/>
              </w:rPr>
              <w:t xml:space="preserve">Tūrisma attīstība: Tūrisma ostu </w:t>
            </w:r>
            <w:r>
              <w:rPr>
                <w:noProof/>
                <w:color w:val="006100"/>
              </w:rPr>
              <w:t xml:space="preserve">apstiprinājuma lēmumu publicēšana </w:t>
            </w:r>
          </w:p>
        </w:tc>
      </w:tr>
      <w:tr w:rsidR="00CB0FCB" w14:paraId="43FC9CA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3FF7622" w14:textId="77777777" w:rsidR="00CB0FCB" w:rsidRDefault="009D2B11">
            <w:pPr>
              <w:pStyle w:val="P68B1DB1-Normal8"/>
              <w:keepNext/>
              <w:spacing w:before="40" w:after="0" w:line="240" w:lineRule="auto"/>
              <w:jc w:val="both"/>
              <w:rPr>
                <w:rFonts w:cs="Times New Roman"/>
                <w:noProof/>
                <w:szCs w:val="18"/>
              </w:rPr>
            </w:pPr>
            <w:r>
              <w:rPr>
                <w:noProof/>
              </w:rPr>
              <w:t>304</w:t>
            </w:r>
          </w:p>
        </w:tc>
        <w:tc>
          <w:tcPr>
            <w:tcW w:w="4320" w:type="dxa"/>
            <w:tcBorders>
              <w:top w:val="nil"/>
              <w:left w:val="nil"/>
              <w:bottom w:val="single" w:sz="4" w:space="0" w:color="auto"/>
              <w:right w:val="single" w:sz="4" w:space="0" w:color="auto"/>
            </w:tcBorders>
            <w:shd w:val="clear" w:color="auto" w:fill="C6EFCE"/>
            <w:noWrap/>
            <w:vAlign w:val="center"/>
          </w:tcPr>
          <w:p w14:paraId="6A63C759"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16634_Jaunie industriālie parki</w:t>
            </w:r>
          </w:p>
        </w:tc>
        <w:tc>
          <w:tcPr>
            <w:tcW w:w="1680" w:type="dxa"/>
            <w:tcBorders>
              <w:top w:val="nil"/>
              <w:left w:val="nil"/>
              <w:bottom w:val="single" w:sz="4" w:space="0" w:color="auto"/>
              <w:right w:val="single" w:sz="4" w:space="0" w:color="auto"/>
            </w:tcBorders>
            <w:shd w:val="clear" w:color="auto" w:fill="C6EFCE"/>
            <w:noWrap/>
            <w:vAlign w:val="center"/>
          </w:tcPr>
          <w:p w14:paraId="10E388BC"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04016141" w14:textId="77777777" w:rsidR="00CB0FCB" w:rsidRDefault="009D2B11">
            <w:pPr>
              <w:pStyle w:val="P68B1DB1-Normal8"/>
              <w:keepNext/>
              <w:spacing w:before="40" w:after="0" w:line="240" w:lineRule="auto"/>
              <w:jc w:val="both"/>
              <w:rPr>
                <w:rFonts w:cs="Times New Roman"/>
                <w:noProof/>
                <w:szCs w:val="18"/>
              </w:rPr>
            </w:pPr>
            <w:r>
              <w:rPr>
                <w:noProof/>
              </w:rPr>
              <w:t>Industriālie parki — likumdošanas reforma (sekundārie tiesību akti)</w:t>
            </w:r>
          </w:p>
        </w:tc>
      </w:tr>
      <w:tr w:rsidR="00CB0FCB" w14:paraId="397284D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D02D480" w14:textId="77777777" w:rsidR="00CB0FCB" w:rsidRDefault="009D2B11">
            <w:pPr>
              <w:pStyle w:val="P68B1DB1-Normal8"/>
              <w:keepNext/>
              <w:spacing w:before="40" w:after="0" w:line="240" w:lineRule="auto"/>
              <w:jc w:val="both"/>
              <w:rPr>
                <w:rFonts w:cs="Times New Roman"/>
                <w:noProof/>
                <w:szCs w:val="18"/>
              </w:rPr>
            </w:pPr>
            <w:r>
              <w:rPr>
                <w:noProof/>
              </w:rPr>
              <w:t>317</w:t>
            </w:r>
          </w:p>
        </w:tc>
        <w:tc>
          <w:tcPr>
            <w:tcW w:w="4320" w:type="dxa"/>
            <w:tcBorders>
              <w:top w:val="nil"/>
              <w:left w:val="nil"/>
              <w:bottom w:val="single" w:sz="4" w:space="0" w:color="auto"/>
              <w:right w:val="single" w:sz="4" w:space="0" w:color="auto"/>
            </w:tcBorders>
            <w:shd w:val="clear" w:color="auto" w:fill="C6EFCE"/>
            <w:noWrap/>
            <w:vAlign w:val="center"/>
          </w:tcPr>
          <w:p w14:paraId="509F2B35" w14:textId="77777777" w:rsidR="00CB0FCB" w:rsidRDefault="009D2B11">
            <w:pPr>
              <w:pStyle w:val="P68B1DB1-Normal8"/>
              <w:keepNext/>
              <w:spacing w:before="40" w:after="0" w:line="240" w:lineRule="auto"/>
              <w:jc w:val="both"/>
              <w:rPr>
                <w:rFonts w:cs="Times New Roman"/>
                <w:noProof/>
                <w:szCs w:val="18"/>
              </w:rPr>
            </w:pPr>
            <w:r>
              <w:rPr>
                <w:noProof/>
              </w:rPr>
              <w:t>18–4.7. Uzlabot konkurētspēju un veicināt privātos ieguldījumus un eksportu — 16543_Darbības uzņēmējdarbības vides vienkāršošanai un tās kvalitātes un drošības uzlabošanai</w:t>
            </w:r>
          </w:p>
        </w:tc>
        <w:tc>
          <w:tcPr>
            <w:tcW w:w="1680" w:type="dxa"/>
            <w:tcBorders>
              <w:top w:val="nil"/>
              <w:left w:val="nil"/>
              <w:bottom w:val="single" w:sz="4" w:space="0" w:color="auto"/>
              <w:right w:val="single" w:sz="4" w:space="0" w:color="auto"/>
            </w:tcBorders>
            <w:shd w:val="clear" w:color="auto" w:fill="C6EFCE"/>
            <w:noWrap/>
            <w:vAlign w:val="center"/>
          </w:tcPr>
          <w:p w14:paraId="05498200"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700CE322" w14:textId="77777777" w:rsidR="00CB0FCB" w:rsidRDefault="009D2B11">
            <w:pPr>
              <w:pStyle w:val="P68B1DB1-Normal8"/>
              <w:keepNext/>
              <w:spacing w:before="40" w:after="0" w:line="240" w:lineRule="auto"/>
              <w:jc w:val="both"/>
              <w:rPr>
                <w:rFonts w:cs="Times New Roman"/>
                <w:noProof/>
                <w:szCs w:val="18"/>
              </w:rPr>
            </w:pPr>
            <w:r>
              <w:rPr>
                <w:noProof/>
              </w:rPr>
              <w:t xml:space="preserve">Kvalitātes politikas un jauna kvalitātes infrastruktūras tiesiskā regulējuma izveide </w:t>
            </w:r>
          </w:p>
        </w:tc>
      </w:tr>
      <w:tr w:rsidR="00CB0FCB" w14:paraId="39C897A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95EFEC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318</w:t>
            </w:r>
          </w:p>
        </w:tc>
        <w:tc>
          <w:tcPr>
            <w:tcW w:w="4320" w:type="dxa"/>
            <w:tcBorders>
              <w:top w:val="nil"/>
              <w:left w:val="nil"/>
              <w:bottom w:val="single" w:sz="4" w:space="0" w:color="auto"/>
              <w:right w:val="single" w:sz="4" w:space="0" w:color="auto"/>
            </w:tcBorders>
            <w:shd w:val="clear" w:color="auto" w:fill="C6EFCE"/>
            <w:noWrap/>
            <w:vAlign w:val="center"/>
          </w:tcPr>
          <w:p w14:paraId="4C5FF30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18–4.7. Uzlabot konkurētspēju un veicināt privātos ieguldījumus un eksportu — 16591_Uzņēmējdarbības novērtējums</w:t>
            </w:r>
          </w:p>
        </w:tc>
        <w:tc>
          <w:tcPr>
            <w:tcW w:w="1680" w:type="dxa"/>
            <w:tcBorders>
              <w:top w:val="nil"/>
              <w:left w:val="nil"/>
              <w:bottom w:val="single" w:sz="4" w:space="0" w:color="auto"/>
              <w:right w:val="single" w:sz="4" w:space="0" w:color="auto"/>
            </w:tcBorders>
            <w:shd w:val="clear" w:color="auto" w:fill="C6EFCE"/>
            <w:noWrap/>
            <w:vAlign w:val="center"/>
          </w:tcPr>
          <w:p w14:paraId="17FA2C8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800" w:type="dxa"/>
            <w:tcBorders>
              <w:top w:val="nil"/>
              <w:left w:val="nil"/>
              <w:bottom w:val="single" w:sz="4" w:space="0" w:color="auto"/>
              <w:right w:val="single" w:sz="4" w:space="0" w:color="auto"/>
            </w:tcBorders>
            <w:shd w:val="clear" w:color="auto" w:fill="C6EFCE"/>
            <w:noWrap/>
            <w:vAlign w:val="center"/>
          </w:tcPr>
          <w:p w14:paraId="738B159A" w14:textId="77777777" w:rsidR="00CB0FCB" w:rsidRDefault="009D2B11">
            <w:pPr>
              <w:pStyle w:val="P68B1DB1-Normal8"/>
              <w:keepNext/>
              <w:spacing w:before="40" w:after="0" w:line="240" w:lineRule="auto"/>
              <w:jc w:val="both"/>
              <w:rPr>
                <w:rFonts w:eastAsia="Times New Roman" w:cs="Times New Roman"/>
                <w:noProof/>
                <w:szCs w:val="18"/>
              </w:rPr>
            </w:pPr>
            <w:r>
              <w:rPr>
                <w:noProof/>
              </w:rPr>
              <w:t>Uzņēmējdarbības vides uzlabošana — uzņēmējdarbības atvieglošana</w:t>
            </w:r>
          </w:p>
        </w:tc>
      </w:tr>
      <w:tr w:rsidR="00CB0FCB" w14:paraId="20456F6B"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F6DB781"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335</w:t>
            </w:r>
          </w:p>
        </w:tc>
        <w:tc>
          <w:tcPr>
            <w:tcW w:w="4320" w:type="dxa"/>
            <w:tcBorders>
              <w:top w:val="single" w:sz="4" w:space="0" w:color="auto"/>
              <w:left w:val="nil"/>
              <w:bottom w:val="single" w:sz="4" w:space="0" w:color="auto"/>
              <w:right w:val="single" w:sz="4" w:space="0" w:color="auto"/>
            </w:tcBorders>
            <w:shd w:val="clear" w:color="auto" w:fill="C6EFCE"/>
            <w:noWrap/>
          </w:tcPr>
          <w:p w14:paraId="0F25BCAA"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10–3.3. Uzlabot veselības aprūpes noturību, pieejamību un ilgtspēju — 16984_Personālo ārstu reforma</w:t>
            </w:r>
          </w:p>
        </w:tc>
        <w:tc>
          <w:tcPr>
            <w:tcW w:w="1680" w:type="dxa"/>
            <w:tcBorders>
              <w:top w:val="single" w:sz="4" w:space="0" w:color="auto"/>
              <w:left w:val="nil"/>
              <w:bottom w:val="single" w:sz="4" w:space="0" w:color="auto"/>
              <w:right w:val="single" w:sz="4" w:space="0" w:color="auto"/>
            </w:tcBorders>
            <w:shd w:val="clear" w:color="auto" w:fill="C6EFCE"/>
            <w:noWrap/>
          </w:tcPr>
          <w:p w14:paraId="35C36F58"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2593558B" w14:textId="77777777" w:rsidR="00CB0FCB" w:rsidRDefault="009D2B11">
            <w:pPr>
              <w:pStyle w:val="P68B1DB1-Normal8"/>
              <w:keepNext/>
              <w:spacing w:before="40" w:after="0" w:line="259" w:lineRule="auto"/>
              <w:jc w:val="both"/>
              <w:rPr>
                <w:rFonts w:eastAsia="Times New Roman" w:cs="Times New Roman"/>
                <w:noProof/>
                <w:szCs w:val="18"/>
              </w:rPr>
            </w:pPr>
            <w:r>
              <w:rPr>
                <w:noProof/>
              </w:rPr>
              <w:t>Personīgo ārstu reforma — tiesību aktu stāšanās spēkā</w:t>
            </w:r>
          </w:p>
        </w:tc>
      </w:tr>
      <w:tr w:rsidR="00CB0FCB" w14:paraId="1B4D798E"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22D01F02"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339</w:t>
            </w:r>
          </w:p>
        </w:tc>
        <w:tc>
          <w:tcPr>
            <w:tcW w:w="4320" w:type="dxa"/>
            <w:tcBorders>
              <w:top w:val="single" w:sz="4" w:space="0" w:color="auto"/>
              <w:left w:val="nil"/>
              <w:bottom w:val="single" w:sz="4" w:space="0" w:color="auto"/>
              <w:right w:val="single" w:sz="4" w:space="0" w:color="auto"/>
            </w:tcBorders>
            <w:shd w:val="clear" w:color="auto" w:fill="C6EFCE"/>
            <w:noWrap/>
          </w:tcPr>
          <w:p w14:paraId="25425FFA"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12–4.1. PUNKTS. Padarīt nodokļus labvēlīgākus izaugsmei un uzlabot nodokļu administrēšanu un iekasēšanu — 16985_Grozījumi Grieķijas nodokļu politikas satvarā</w:t>
            </w:r>
          </w:p>
        </w:tc>
        <w:tc>
          <w:tcPr>
            <w:tcW w:w="1680" w:type="dxa"/>
            <w:tcBorders>
              <w:top w:val="single" w:sz="4" w:space="0" w:color="auto"/>
              <w:left w:val="nil"/>
              <w:bottom w:val="single" w:sz="4" w:space="0" w:color="auto"/>
              <w:right w:val="single" w:sz="4" w:space="0" w:color="auto"/>
            </w:tcBorders>
            <w:shd w:val="clear" w:color="auto" w:fill="C6EFCE"/>
            <w:noWrap/>
          </w:tcPr>
          <w:p w14:paraId="7E68C1E6"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13E38AB8" w14:textId="77777777" w:rsidR="00CB0FCB" w:rsidRDefault="009D2B11">
            <w:pPr>
              <w:pStyle w:val="P68B1DB1-Normal8"/>
              <w:keepNext/>
              <w:spacing w:before="40" w:after="0" w:line="259" w:lineRule="auto"/>
              <w:jc w:val="both"/>
              <w:rPr>
                <w:rFonts w:eastAsia="Times New Roman" w:cs="Times New Roman"/>
                <w:noProof/>
                <w:szCs w:val="18"/>
              </w:rPr>
            </w:pPr>
            <w:r>
              <w:rPr>
                <w:noProof/>
              </w:rPr>
              <w:t>Stiprināt Neatkarīgās valsts ieņēmumu iestādes (IAPR) darbības autonomiju</w:t>
            </w:r>
          </w:p>
        </w:tc>
      </w:tr>
      <w:tr w:rsidR="00CB0FCB" w14:paraId="42439D24"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063D05B8"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342</w:t>
            </w:r>
          </w:p>
        </w:tc>
        <w:tc>
          <w:tcPr>
            <w:tcW w:w="4320" w:type="dxa"/>
            <w:tcBorders>
              <w:top w:val="single" w:sz="4" w:space="0" w:color="auto"/>
              <w:left w:val="nil"/>
              <w:bottom w:val="single" w:sz="4" w:space="0" w:color="auto"/>
              <w:right w:val="single" w:sz="4" w:space="0" w:color="auto"/>
            </w:tcBorders>
            <w:shd w:val="clear" w:color="auto" w:fill="C6EFCE"/>
            <w:noWrap/>
          </w:tcPr>
          <w:p w14:paraId="6E11221B"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16986_Valsts kadastra pabeigšana</w:t>
            </w:r>
          </w:p>
        </w:tc>
        <w:tc>
          <w:tcPr>
            <w:tcW w:w="1680" w:type="dxa"/>
            <w:tcBorders>
              <w:top w:val="single" w:sz="4" w:space="0" w:color="auto"/>
              <w:left w:val="nil"/>
              <w:bottom w:val="single" w:sz="4" w:space="0" w:color="auto"/>
              <w:right w:val="single" w:sz="4" w:space="0" w:color="auto"/>
            </w:tcBorders>
            <w:shd w:val="clear" w:color="auto" w:fill="C6EFCE"/>
            <w:noWrap/>
          </w:tcPr>
          <w:p w14:paraId="225663D7" w14:textId="77777777" w:rsidR="00CB0FCB" w:rsidRDefault="009D2B11">
            <w:pPr>
              <w:pStyle w:val="P68B1DB1-Normal8"/>
              <w:keepNext/>
              <w:spacing w:before="40" w:after="0" w:line="259" w:lineRule="auto"/>
              <w:jc w:val="both"/>
              <w:rPr>
                <w:rFonts w:eastAsia="Times New Roman" w:cs="Times New Roman"/>
                <w:noProof/>
                <w:szCs w:val="18"/>
              </w:rPr>
            </w:pPr>
            <w:r>
              <w:rPr>
                <w:noProof/>
              </w:rPr>
              <w:t>Mērķa</w:t>
            </w:r>
          </w:p>
        </w:tc>
        <w:tc>
          <w:tcPr>
            <w:tcW w:w="1800" w:type="dxa"/>
            <w:tcBorders>
              <w:top w:val="single" w:sz="4" w:space="0" w:color="auto"/>
              <w:left w:val="nil"/>
              <w:bottom w:val="single" w:sz="4" w:space="0" w:color="auto"/>
              <w:right w:val="single" w:sz="4" w:space="0" w:color="auto"/>
            </w:tcBorders>
            <w:shd w:val="clear" w:color="auto" w:fill="C6EFCE"/>
            <w:noWrap/>
          </w:tcPr>
          <w:p w14:paraId="6740F6A9" w14:textId="77777777" w:rsidR="00CB0FCB" w:rsidRDefault="009D2B11">
            <w:pPr>
              <w:pStyle w:val="P68B1DB1-Normal8"/>
              <w:keepNext/>
              <w:spacing w:before="40" w:after="0" w:line="259" w:lineRule="auto"/>
              <w:jc w:val="both"/>
              <w:rPr>
                <w:rFonts w:eastAsia="Times New Roman" w:cs="Times New Roman"/>
                <w:noProof/>
                <w:szCs w:val="18"/>
              </w:rPr>
            </w:pPr>
            <w:r>
              <w:rPr>
                <w:noProof/>
              </w:rPr>
              <w:t>Kadastrālā kartēšana — 95 % pabeigšana</w:t>
            </w:r>
          </w:p>
        </w:tc>
      </w:tr>
      <w:tr w:rsidR="00CB0FCB" w14:paraId="46646231"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36F04F90"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343</w:t>
            </w:r>
          </w:p>
        </w:tc>
        <w:tc>
          <w:tcPr>
            <w:tcW w:w="4320" w:type="dxa"/>
            <w:tcBorders>
              <w:top w:val="single" w:sz="4" w:space="0" w:color="auto"/>
              <w:left w:val="nil"/>
              <w:bottom w:val="single" w:sz="4" w:space="0" w:color="auto"/>
              <w:right w:val="single" w:sz="4" w:space="0" w:color="auto"/>
            </w:tcBorders>
            <w:shd w:val="clear" w:color="auto" w:fill="C6EFCE"/>
            <w:noWrap/>
          </w:tcPr>
          <w:p w14:paraId="3C2906DA"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16986_Valsts kadastra pabeigšana</w:t>
            </w:r>
          </w:p>
        </w:tc>
        <w:tc>
          <w:tcPr>
            <w:tcW w:w="1680" w:type="dxa"/>
            <w:tcBorders>
              <w:top w:val="single" w:sz="4" w:space="0" w:color="auto"/>
              <w:left w:val="nil"/>
              <w:bottom w:val="single" w:sz="4" w:space="0" w:color="auto"/>
              <w:right w:val="single" w:sz="4" w:space="0" w:color="auto"/>
            </w:tcBorders>
            <w:shd w:val="clear" w:color="auto" w:fill="C6EFCE"/>
            <w:noWrap/>
          </w:tcPr>
          <w:p w14:paraId="0CF8B43D"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3C272FDF" w14:textId="021C71FB" w:rsidR="00CB0FCB" w:rsidRDefault="009D2B11">
            <w:pPr>
              <w:pStyle w:val="P68B1DB1-Normal8"/>
              <w:keepNext/>
              <w:spacing w:before="40" w:after="0" w:line="259" w:lineRule="auto"/>
              <w:jc w:val="both"/>
              <w:rPr>
                <w:rFonts w:eastAsia="Times New Roman" w:cs="Times New Roman"/>
                <w:bCs/>
                <w:noProof/>
                <w:szCs w:val="18"/>
              </w:rPr>
            </w:pPr>
            <w:r>
              <w:rPr>
                <w:noProof/>
              </w:rPr>
              <w:t>Pāreja uz Grieķijas kadastra jauno organizatorisko struktūru — pilnīga pabeigšana</w:t>
            </w:r>
          </w:p>
        </w:tc>
      </w:tr>
      <w:tr w:rsidR="00CB0FCB" w14:paraId="1F888083"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1F55D38C"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351</w:t>
            </w:r>
          </w:p>
        </w:tc>
        <w:tc>
          <w:tcPr>
            <w:tcW w:w="4320" w:type="dxa"/>
            <w:tcBorders>
              <w:top w:val="single" w:sz="4" w:space="0" w:color="auto"/>
              <w:left w:val="nil"/>
              <w:bottom w:val="single" w:sz="4" w:space="0" w:color="auto"/>
              <w:right w:val="single" w:sz="4" w:space="0" w:color="auto"/>
            </w:tcBorders>
            <w:shd w:val="clear" w:color="auto" w:fill="C6EFCE"/>
            <w:noWrap/>
          </w:tcPr>
          <w:p w14:paraId="3AA176AE"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20–5.1. REPowerEU reformas — 16987_Atjaunīgā ūdeņraža un ilgtspējīga biometāna licencēšanas satvars</w:t>
            </w:r>
          </w:p>
        </w:tc>
        <w:tc>
          <w:tcPr>
            <w:tcW w:w="1680" w:type="dxa"/>
            <w:tcBorders>
              <w:top w:val="single" w:sz="4" w:space="0" w:color="auto"/>
              <w:left w:val="nil"/>
              <w:bottom w:val="single" w:sz="4" w:space="0" w:color="auto"/>
              <w:right w:val="single" w:sz="4" w:space="0" w:color="auto"/>
            </w:tcBorders>
            <w:shd w:val="clear" w:color="auto" w:fill="C6EFCE"/>
            <w:noWrap/>
          </w:tcPr>
          <w:p w14:paraId="5F52BC5D"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04111CBF" w14:textId="77777777" w:rsidR="00CB0FCB" w:rsidRDefault="009D2B11">
            <w:pPr>
              <w:pStyle w:val="P68B1DB1-Normal8"/>
              <w:keepNext/>
              <w:spacing w:before="40" w:after="0" w:line="259" w:lineRule="auto"/>
              <w:jc w:val="both"/>
              <w:rPr>
                <w:rFonts w:eastAsia="Times New Roman" w:cs="Times New Roman"/>
                <w:noProof/>
                <w:szCs w:val="18"/>
              </w:rPr>
            </w:pPr>
            <w:r>
              <w:rPr>
                <w:noProof/>
              </w:rPr>
              <w:t>Tiesiskais regulējums attiecībā uz atjaunīgo ūdeņradi un ilgtspējīgu biometānu</w:t>
            </w:r>
          </w:p>
        </w:tc>
      </w:tr>
      <w:tr w:rsidR="00CB0FCB" w14:paraId="27D13ACF"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66663D46" w14:textId="77777777" w:rsidR="00CB0FCB" w:rsidRDefault="009D2B11">
            <w:pPr>
              <w:pStyle w:val="P68B1DB1-Normal8"/>
              <w:keepNext/>
              <w:spacing w:before="40" w:after="0" w:line="259" w:lineRule="auto"/>
              <w:jc w:val="both"/>
              <w:rPr>
                <w:rFonts w:cs="Times New Roman"/>
                <w:noProof/>
              </w:rPr>
            </w:pPr>
            <w:r>
              <w:rPr>
                <w:noProof/>
              </w:rPr>
              <w:t>356</w:t>
            </w:r>
          </w:p>
        </w:tc>
        <w:tc>
          <w:tcPr>
            <w:tcW w:w="4320" w:type="dxa"/>
            <w:tcBorders>
              <w:top w:val="single" w:sz="4" w:space="0" w:color="auto"/>
              <w:left w:val="nil"/>
              <w:bottom w:val="single" w:sz="4" w:space="0" w:color="auto"/>
              <w:right w:val="single" w:sz="4" w:space="0" w:color="auto"/>
            </w:tcBorders>
            <w:shd w:val="clear" w:color="auto" w:fill="C6EFCE"/>
            <w:noWrap/>
          </w:tcPr>
          <w:p w14:paraId="7B498906" w14:textId="77777777" w:rsidR="00CB0FCB" w:rsidRDefault="009D2B11">
            <w:pPr>
              <w:pStyle w:val="P68B1DB1-Normal8"/>
              <w:keepNext/>
              <w:spacing w:before="40" w:after="0" w:line="259" w:lineRule="auto"/>
              <w:jc w:val="both"/>
              <w:rPr>
                <w:rFonts w:cs="Times New Roman"/>
                <w:noProof/>
              </w:rPr>
            </w:pPr>
            <w:r>
              <w:rPr>
                <w:noProof/>
              </w:rPr>
              <w:t xml:space="preserve">20–5.1. REPowerEU reformas — 16990_tīkla un uzkrāšanas jaudas palielināšana — investīciju akumulēšanā veicināšana </w:t>
            </w:r>
          </w:p>
        </w:tc>
        <w:tc>
          <w:tcPr>
            <w:tcW w:w="1680" w:type="dxa"/>
            <w:tcBorders>
              <w:top w:val="single" w:sz="4" w:space="0" w:color="auto"/>
              <w:left w:val="nil"/>
              <w:bottom w:val="single" w:sz="4" w:space="0" w:color="auto"/>
              <w:right w:val="single" w:sz="4" w:space="0" w:color="auto"/>
            </w:tcBorders>
            <w:shd w:val="clear" w:color="auto" w:fill="C6EFCE"/>
            <w:noWrap/>
          </w:tcPr>
          <w:p w14:paraId="4F1A9D98" w14:textId="77777777" w:rsidR="00CB0FCB" w:rsidRDefault="009D2B11">
            <w:pPr>
              <w:pStyle w:val="P68B1DB1-Normal8"/>
              <w:keepNext/>
              <w:spacing w:before="40" w:after="0" w:line="259" w:lineRule="auto"/>
              <w:jc w:val="both"/>
              <w:rPr>
                <w:rFonts w:cs="Times New Roman"/>
                <w:noProof/>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4B1CB825" w14:textId="77777777" w:rsidR="00CB0FCB" w:rsidRDefault="009D2B11">
            <w:pPr>
              <w:pStyle w:val="P68B1DB1-Normal8"/>
              <w:keepNext/>
              <w:spacing w:before="40" w:after="0" w:line="259" w:lineRule="auto"/>
              <w:jc w:val="both"/>
              <w:rPr>
                <w:rFonts w:cs="Times New Roman"/>
                <w:noProof/>
              </w:rPr>
            </w:pPr>
            <w:r>
              <w:rPr>
                <w:noProof/>
              </w:rPr>
              <w:t>Tiesiskā regulējuma stāšanās spēkā</w:t>
            </w:r>
          </w:p>
        </w:tc>
      </w:tr>
      <w:tr w:rsidR="00CB0FCB" w14:paraId="7CD6D09E"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20C9E919" w14:textId="77777777" w:rsidR="00CB0FCB" w:rsidRDefault="009D2B11">
            <w:pPr>
              <w:pStyle w:val="P68B1DB1-Normal8"/>
              <w:keepNext/>
              <w:spacing w:before="40" w:after="0" w:line="259" w:lineRule="auto"/>
              <w:jc w:val="both"/>
              <w:rPr>
                <w:rFonts w:cs="Times New Roman"/>
                <w:noProof/>
              </w:rPr>
            </w:pPr>
            <w:r>
              <w:rPr>
                <w:noProof/>
              </w:rPr>
              <w:t>358</w:t>
            </w:r>
          </w:p>
        </w:tc>
        <w:tc>
          <w:tcPr>
            <w:tcW w:w="4320" w:type="dxa"/>
            <w:tcBorders>
              <w:top w:val="single" w:sz="4" w:space="0" w:color="auto"/>
              <w:left w:val="nil"/>
              <w:bottom w:val="single" w:sz="4" w:space="0" w:color="auto"/>
              <w:right w:val="single" w:sz="4" w:space="0" w:color="auto"/>
            </w:tcBorders>
            <w:shd w:val="clear" w:color="auto" w:fill="C6EFCE"/>
            <w:noWrap/>
          </w:tcPr>
          <w:p w14:paraId="7D002C03" w14:textId="77777777" w:rsidR="00CB0FCB" w:rsidRDefault="009D2B11">
            <w:pPr>
              <w:pStyle w:val="P68B1DB1-Normal8"/>
              <w:keepNext/>
              <w:spacing w:before="40" w:after="0" w:line="259" w:lineRule="auto"/>
              <w:jc w:val="both"/>
              <w:rPr>
                <w:rFonts w:cs="Times New Roman"/>
                <w:noProof/>
              </w:rPr>
            </w:pPr>
            <w:r>
              <w:rPr>
                <w:noProof/>
              </w:rPr>
              <w:t>20–5.1. REPowerEU reformas — 16991_Normatīvais satvars virzībā uz viedu tīklu</w:t>
            </w:r>
          </w:p>
        </w:tc>
        <w:tc>
          <w:tcPr>
            <w:tcW w:w="1680" w:type="dxa"/>
            <w:tcBorders>
              <w:top w:val="single" w:sz="4" w:space="0" w:color="auto"/>
              <w:left w:val="nil"/>
              <w:bottom w:val="single" w:sz="4" w:space="0" w:color="auto"/>
              <w:right w:val="single" w:sz="4" w:space="0" w:color="auto"/>
            </w:tcBorders>
            <w:shd w:val="clear" w:color="auto" w:fill="C6EFCE"/>
            <w:noWrap/>
          </w:tcPr>
          <w:p w14:paraId="0AA55752" w14:textId="77777777" w:rsidR="00CB0FCB" w:rsidRDefault="009D2B11">
            <w:pPr>
              <w:pStyle w:val="P68B1DB1-Normal8"/>
              <w:keepNext/>
              <w:spacing w:before="40" w:after="0" w:line="259" w:lineRule="auto"/>
              <w:jc w:val="both"/>
              <w:rPr>
                <w:rFonts w:cs="Times New Roman"/>
                <w:noProof/>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04138B62" w14:textId="77777777" w:rsidR="00CB0FCB" w:rsidRDefault="009D2B11">
            <w:pPr>
              <w:pStyle w:val="P68B1DB1-Normal8"/>
              <w:keepNext/>
              <w:spacing w:before="40" w:after="0" w:line="259" w:lineRule="auto"/>
              <w:jc w:val="both"/>
              <w:rPr>
                <w:rFonts w:cs="Times New Roman"/>
                <w:noProof/>
              </w:rPr>
            </w:pPr>
            <w:r>
              <w:rPr>
                <w:noProof/>
              </w:rPr>
              <w:t>Uz stimuliem balstītas sistēmas izstrāde sadales sistēmas operatoram un patērētājiem, lai palielinātu viedo skaitītāju ieviešanu un izmantošanu.</w:t>
            </w:r>
          </w:p>
        </w:tc>
      </w:tr>
      <w:tr w:rsidR="00CB0FCB" w14:paraId="1A235C9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80E2912"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361</w:t>
            </w:r>
          </w:p>
        </w:tc>
        <w:tc>
          <w:tcPr>
            <w:tcW w:w="4320" w:type="dxa"/>
            <w:tcBorders>
              <w:top w:val="single" w:sz="4" w:space="0" w:color="auto"/>
              <w:left w:val="nil"/>
              <w:bottom w:val="single" w:sz="4" w:space="0" w:color="auto"/>
              <w:right w:val="single" w:sz="4" w:space="0" w:color="auto"/>
            </w:tcBorders>
            <w:shd w:val="clear" w:color="auto" w:fill="C6EFCE"/>
            <w:noWrap/>
          </w:tcPr>
          <w:p w14:paraId="324A7221"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20–5. REPowerEU reformas — 16992_Toolset enerģijas koplietošanas, pašpatēriņa un atjaunīgās enerģijas kopienu veicināšanai</w:t>
            </w:r>
          </w:p>
        </w:tc>
        <w:tc>
          <w:tcPr>
            <w:tcW w:w="1680" w:type="dxa"/>
            <w:tcBorders>
              <w:top w:val="single" w:sz="4" w:space="0" w:color="auto"/>
              <w:left w:val="nil"/>
              <w:bottom w:val="single" w:sz="4" w:space="0" w:color="auto"/>
              <w:right w:val="single" w:sz="4" w:space="0" w:color="auto"/>
            </w:tcBorders>
            <w:shd w:val="clear" w:color="auto" w:fill="C6EFCE"/>
            <w:noWrap/>
          </w:tcPr>
          <w:p w14:paraId="6D09269D"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131B51F2" w14:textId="2EEAE9BC" w:rsidR="00CB0FCB" w:rsidRDefault="009D2B11">
            <w:pPr>
              <w:pStyle w:val="P68B1DB1-Normal8"/>
              <w:keepNext/>
              <w:spacing w:before="40" w:after="0" w:line="259" w:lineRule="auto"/>
              <w:jc w:val="both"/>
              <w:rPr>
                <w:rFonts w:eastAsia="Times New Roman" w:cs="Times New Roman"/>
                <w:noProof/>
                <w:szCs w:val="18"/>
              </w:rPr>
            </w:pPr>
            <w:r>
              <w:rPr>
                <w:noProof/>
              </w:rPr>
              <w:t>Stājas spēkā primārie un sekundārie tiesību akti par pašpatēriņu un atļauju piešķiršanas procesu veicināšanu AER staciju uzstādīšanai daudzdzīvokļu ēkās</w:t>
            </w:r>
          </w:p>
        </w:tc>
      </w:tr>
      <w:tr w:rsidR="00CB0FCB" w14:paraId="4446275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9A42F73"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363</w:t>
            </w:r>
          </w:p>
        </w:tc>
        <w:tc>
          <w:tcPr>
            <w:tcW w:w="4320" w:type="dxa"/>
            <w:tcBorders>
              <w:top w:val="single" w:sz="4" w:space="0" w:color="auto"/>
              <w:left w:val="nil"/>
              <w:bottom w:val="single" w:sz="4" w:space="0" w:color="auto"/>
              <w:right w:val="single" w:sz="4" w:space="0" w:color="auto"/>
            </w:tcBorders>
            <w:shd w:val="clear" w:color="auto" w:fill="C6EFCE"/>
            <w:noWrap/>
          </w:tcPr>
          <w:p w14:paraId="0ABD2EC4"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20–5. REPowerEU reformas — 16993_Ceļvedis inovatīvām energoefektivitātes intervencēm un jaunu finanšu instrumentu apzināšanai</w:t>
            </w:r>
          </w:p>
        </w:tc>
        <w:tc>
          <w:tcPr>
            <w:tcW w:w="1680" w:type="dxa"/>
            <w:tcBorders>
              <w:top w:val="single" w:sz="4" w:space="0" w:color="auto"/>
              <w:left w:val="nil"/>
              <w:bottom w:val="single" w:sz="4" w:space="0" w:color="auto"/>
              <w:right w:val="single" w:sz="4" w:space="0" w:color="auto"/>
            </w:tcBorders>
            <w:shd w:val="clear" w:color="auto" w:fill="C6EFCE"/>
            <w:noWrap/>
          </w:tcPr>
          <w:p w14:paraId="16B7BC78"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21C601F7" w14:textId="77777777" w:rsidR="00CB0FCB" w:rsidRDefault="009D2B11">
            <w:pPr>
              <w:pStyle w:val="P68B1DB1-Normal8"/>
              <w:keepNext/>
              <w:spacing w:before="40" w:after="0" w:line="259" w:lineRule="auto"/>
              <w:jc w:val="both"/>
              <w:rPr>
                <w:rFonts w:eastAsia="Times New Roman" w:cs="Times New Roman"/>
                <w:noProof/>
                <w:szCs w:val="18"/>
              </w:rPr>
            </w:pPr>
            <w:r>
              <w:rPr>
                <w:noProof/>
              </w:rPr>
              <w:t>Ceļvedis inovatīviem energoefektivitātes pasākumiem un izveidots tiesiskais regulējums</w:t>
            </w:r>
          </w:p>
        </w:tc>
      </w:tr>
      <w:tr w:rsidR="00CB0FCB" w14:paraId="57F63B36"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25F05F2"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365</w:t>
            </w:r>
          </w:p>
        </w:tc>
        <w:tc>
          <w:tcPr>
            <w:tcW w:w="4320" w:type="dxa"/>
            <w:tcBorders>
              <w:top w:val="single" w:sz="4" w:space="0" w:color="auto"/>
              <w:left w:val="nil"/>
              <w:bottom w:val="single" w:sz="4" w:space="0" w:color="auto"/>
              <w:right w:val="single" w:sz="4" w:space="0" w:color="auto"/>
            </w:tcBorders>
            <w:shd w:val="clear" w:color="auto" w:fill="C6EFCE"/>
            <w:noWrap/>
          </w:tcPr>
          <w:p w14:paraId="2274059C"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21–5,2 REPowerEU investīcijas — 16996_Enerģijas uzkrāšanas uzstādīšana papildu AER izplatībai</w:t>
            </w:r>
          </w:p>
        </w:tc>
        <w:tc>
          <w:tcPr>
            <w:tcW w:w="1680" w:type="dxa"/>
            <w:tcBorders>
              <w:top w:val="single" w:sz="4" w:space="0" w:color="auto"/>
              <w:left w:val="nil"/>
              <w:bottom w:val="single" w:sz="4" w:space="0" w:color="auto"/>
              <w:right w:val="single" w:sz="4" w:space="0" w:color="auto"/>
            </w:tcBorders>
            <w:shd w:val="clear" w:color="auto" w:fill="C6EFCE"/>
            <w:noWrap/>
          </w:tcPr>
          <w:p w14:paraId="5807EC57"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4302A810" w14:textId="184D696D" w:rsidR="00CB0FCB" w:rsidRDefault="009D2B11">
            <w:pPr>
              <w:pStyle w:val="P68B1DB1-Normal8"/>
              <w:keepNext/>
              <w:spacing w:before="40" w:after="0" w:line="259" w:lineRule="auto"/>
              <w:jc w:val="both"/>
              <w:rPr>
                <w:rFonts w:eastAsia="Times New Roman" w:cs="Times New Roman"/>
                <w:noProof/>
                <w:szCs w:val="18"/>
              </w:rPr>
            </w:pPr>
            <w:r>
              <w:rPr>
                <w:noProof/>
              </w:rPr>
              <w:t>Apstiprināti enerģijas uzkrāšanas projekti</w:t>
            </w:r>
          </w:p>
        </w:tc>
      </w:tr>
      <w:tr w:rsidR="00CB0FCB" w14:paraId="2A88834C"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7CCBE320" w14:textId="3D7A0181" w:rsidR="00CB0FCB" w:rsidRDefault="009D2B11">
            <w:pPr>
              <w:pStyle w:val="P68B1DB1-Normal8"/>
              <w:keepNext/>
              <w:spacing w:before="40" w:after="0" w:line="259" w:lineRule="auto"/>
              <w:jc w:val="both"/>
              <w:rPr>
                <w:noProof/>
              </w:rPr>
            </w:pPr>
            <w:r>
              <w:rPr>
                <w:noProof/>
              </w:rPr>
              <w:t>370</w:t>
            </w:r>
          </w:p>
        </w:tc>
        <w:tc>
          <w:tcPr>
            <w:tcW w:w="4320" w:type="dxa"/>
            <w:tcBorders>
              <w:top w:val="single" w:sz="4" w:space="0" w:color="auto"/>
              <w:left w:val="nil"/>
              <w:bottom w:val="single" w:sz="4" w:space="0" w:color="auto"/>
              <w:right w:val="single" w:sz="4" w:space="0" w:color="auto"/>
            </w:tcBorders>
            <w:shd w:val="clear" w:color="auto" w:fill="C6EFCE"/>
            <w:noWrap/>
          </w:tcPr>
          <w:p w14:paraId="34D5332B" w14:textId="57FEE367" w:rsidR="00CB0FCB" w:rsidRDefault="009D2B11">
            <w:pPr>
              <w:pStyle w:val="P68B1DB1-Normal8"/>
              <w:keepNext/>
              <w:spacing w:before="40" w:after="0" w:line="259" w:lineRule="auto"/>
              <w:jc w:val="both"/>
              <w:rPr>
                <w:noProof/>
              </w:rPr>
            </w:pPr>
            <w:r>
              <w:rPr>
                <w:noProof/>
              </w:rPr>
              <w:t>21–5,2 REPowerEU investīcijas — 16995_Atjaunojamā ūdeņraža ražošanas projekts</w:t>
            </w:r>
          </w:p>
        </w:tc>
        <w:tc>
          <w:tcPr>
            <w:tcW w:w="1680" w:type="dxa"/>
            <w:tcBorders>
              <w:top w:val="single" w:sz="4" w:space="0" w:color="auto"/>
              <w:left w:val="nil"/>
              <w:bottom w:val="single" w:sz="4" w:space="0" w:color="auto"/>
              <w:right w:val="single" w:sz="4" w:space="0" w:color="auto"/>
            </w:tcBorders>
            <w:shd w:val="clear" w:color="auto" w:fill="C6EFCE"/>
            <w:noWrap/>
          </w:tcPr>
          <w:p w14:paraId="7218CBDD" w14:textId="53738737" w:rsidR="00CB0FCB" w:rsidRDefault="009D2B11">
            <w:pPr>
              <w:pStyle w:val="P68B1DB1-Normal8"/>
              <w:keepNext/>
              <w:spacing w:before="40" w:after="0" w:line="259" w:lineRule="auto"/>
              <w:jc w:val="both"/>
              <w:rPr>
                <w:noProof/>
              </w:rPr>
            </w:pPr>
            <w:r>
              <w:rPr>
                <w:noProof/>
              </w:rPr>
              <w:t>Atskaites punkts</w:t>
            </w:r>
          </w:p>
        </w:tc>
        <w:tc>
          <w:tcPr>
            <w:tcW w:w="1800" w:type="dxa"/>
            <w:tcBorders>
              <w:top w:val="single" w:sz="4" w:space="0" w:color="auto"/>
              <w:left w:val="nil"/>
              <w:bottom w:val="single" w:sz="4" w:space="0" w:color="auto"/>
              <w:right w:val="single" w:sz="4" w:space="0" w:color="auto"/>
            </w:tcBorders>
            <w:shd w:val="clear" w:color="auto" w:fill="C6EFCE"/>
            <w:noWrap/>
          </w:tcPr>
          <w:p w14:paraId="3C51D5EC" w14:textId="6866C01B" w:rsidR="00CB0FCB" w:rsidRDefault="009D2B11">
            <w:pPr>
              <w:pStyle w:val="P68B1DB1-Normal8"/>
              <w:keepNext/>
              <w:spacing w:before="40" w:after="0" w:line="259" w:lineRule="auto"/>
              <w:jc w:val="both"/>
              <w:rPr>
                <w:noProof/>
              </w:rPr>
            </w:pPr>
            <w:r>
              <w:rPr>
                <w:noProof/>
              </w:rPr>
              <w:t>Starpministriju lēmuma izdošana par dotācijas piešķiršanu saņēmējam</w:t>
            </w:r>
          </w:p>
        </w:tc>
      </w:tr>
      <w:tr w:rsidR="00CB0FCB" w14:paraId="78FF1AD1"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647E89D1" w14:textId="38546F3C" w:rsidR="00CB0FCB" w:rsidRDefault="009D2B11">
            <w:pPr>
              <w:pStyle w:val="P68B1DB1-Normal8"/>
              <w:keepNext/>
              <w:spacing w:before="40" w:after="0" w:line="259" w:lineRule="auto"/>
              <w:jc w:val="both"/>
              <w:rPr>
                <w:noProof/>
              </w:rPr>
            </w:pPr>
            <w:r>
              <w:rPr>
                <w:noProof/>
              </w:rPr>
              <w:t>368</w:t>
            </w:r>
          </w:p>
        </w:tc>
        <w:tc>
          <w:tcPr>
            <w:tcW w:w="4320" w:type="dxa"/>
            <w:tcBorders>
              <w:top w:val="single" w:sz="4" w:space="0" w:color="auto"/>
              <w:left w:val="nil"/>
              <w:bottom w:val="single" w:sz="4" w:space="0" w:color="auto"/>
              <w:right w:val="single" w:sz="4" w:space="0" w:color="auto"/>
            </w:tcBorders>
            <w:shd w:val="clear" w:color="auto" w:fill="C6EFCE"/>
            <w:noWrap/>
          </w:tcPr>
          <w:p w14:paraId="657A00CC" w14:textId="1A3C1DC0" w:rsidR="00CB0FCB" w:rsidRDefault="009D2B11">
            <w:pPr>
              <w:pStyle w:val="P68B1DB1-Normal8"/>
              <w:keepNext/>
              <w:spacing w:before="40" w:after="0" w:line="259" w:lineRule="auto"/>
              <w:jc w:val="both"/>
              <w:rPr>
                <w:noProof/>
              </w:rPr>
            </w:pPr>
            <w:r>
              <w:rPr>
                <w:noProof/>
              </w:rPr>
              <w:t>21–5,2 REPowerEU investīcijas — 16994_Energoefektivitāte un AER veicināšana pašpatēriņam</w:t>
            </w:r>
          </w:p>
        </w:tc>
        <w:tc>
          <w:tcPr>
            <w:tcW w:w="1680" w:type="dxa"/>
            <w:tcBorders>
              <w:top w:val="single" w:sz="4" w:space="0" w:color="auto"/>
              <w:left w:val="nil"/>
              <w:bottom w:val="single" w:sz="4" w:space="0" w:color="auto"/>
              <w:right w:val="single" w:sz="4" w:space="0" w:color="auto"/>
            </w:tcBorders>
            <w:shd w:val="clear" w:color="auto" w:fill="C6EFCE"/>
            <w:noWrap/>
          </w:tcPr>
          <w:p w14:paraId="147D8534" w14:textId="0F4E1722" w:rsidR="00CB0FCB" w:rsidRDefault="009D2B11">
            <w:pPr>
              <w:pStyle w:val="P68B1DB1-Normal8"/>
              <w:keepNext/>
              <w:spacing w:before="40" w:after="0" w:line="259" w:lineRule="auto"/>
              <w:jc w:val="both"/>
              <w:rPr>
                <w:noProof/>
              </w:rPr>
            </w:pPr>
            <w:r>
              <w:rPr>
                <w:noProof/>
              </w:rPr>
              <w:t>Mērķa</w:t>
            </w:r>
          </w:p>
        </w:tc>
        <w:tc>
          <w:tcPr>
            <w:tcW w:w="1800" w:type="dxa"/>
            <w:tcBorders>
              <w:top w:val="single" w:sz="4" w:space="0" w:color="auto"/>
              <w:left w:val="nil"/>
              <w:bottom w:val="single" w:sz="4" w:space="0" w:color="auto"/>
              <w:right w:val="single" w:sz="4" w:space="0" w:color="auto"/>
            </w:tcBorders>
            <w:shd w:val="clear" w:color="auto" w:fill="C6EFCE"/>
            <w:noWrap/>
          </w:tcPr>
          <w:p w14:paraId="2E6BCF5E" w14:textId="3543E425" w:rsidR="00CB0FCB" w:rsidRDefault="009D2B11">
            <w:pPr>
              <w:pStyle w:val="P68B1DB1-Normal8"/>
              <w:keepNext/>
              <w:spacing w:before="40" w:after="0" w:line="259" w:lineRule="auto"/>
              <w:jc w:val="both"/>
              <w:rPr>
                <w:noProof/>
              </w:rPr>
            </w:pPr>
            <w:r>
              <w:rPr>
                <w:noProof/>
              </w:rPr>
              <w:t>Fotoelementu sistēmu uzstādīšana pašpatēriņam</w:t>
            </w:r>
          </w:p>
        </w:tc>
      </w:tr>
      <w:tr w:rsidR="00CB0FCB" w14:paraId="2DB2DC92"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F2F1B2"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7E2F1646"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tcPr>
          <w:p w14:paraId="6F7668BF" w14:textId="77777777" w:rsidR="00CB0FCB" w:rsidRDefault="009D2B11">
            <w:pPr>
              <w:pStyle w:val="P68B1DB1-Normal8"/>
              <w:keepNext/>
              <w:spacing w:before="40" w:after="0" w:line="259" w:lineRule="auto"/>
              <w:jc w:val="both"/>
              <w:rPr>
                <w:rFonts w:eastAsia="Times New Roman" w:cs="Times New Roman"/>
                <w:noProof/>
                <w:szCs w:val="18"/>
              </w:rPr>
            </w:pPr>
            <w:r>
              <w:rPr>
                <w:noProof/>
              </w:rPr>
              <w:t>Maksājuma summa</w:t>
            </w:r>
          </w:p>
        </w:tc>
        <w:tc>
          <w:tcPr>
            <w:tcW w:w="1800" w:type="dxa"/>
            <w:tcBorders>
              <w:top w:val="single" w:sz="4" w:space="0" w:color="auto"/>
              <w:left w:val="nil"/>
              <w:bottom w:val="single" w:sz="4" w:space="0" w:color="auto"/>
              <w:right w:val="single" w:sz="4" w:space="0" w:color="auto"/>
            </w:tcBorders>
            <w:shd w:val="clear" w:color="auto" w:fill="C6EFCE"/>
            <w:noWrap/>
            <w:vAlign w:val="bottom"/>
          </w:tcPr>
          <w:p w14:paraId="2C9D6831" w14:textId="42852C2D" w:rsidR="00CB0FCB" w:rsidRDefault="009D2B11">
            <w:pPr>
              <w:pStyle w:val="P68B1DB1-Normal8"/>
              <w:keepNext/>
              <w:spacing w:before="40" w:after="0" w:line="259" w:lineRule="auto"/>
              <w:jc w:val="both"/>
              <w:rPr>
                <w:rFonts w:eastAsia="Times New Roman" w:cs="Times New Roman"/>
                <w:noProof/>
                <w:szCs w:val="18"/>
              </w:rPr>
            </w:pPr>
            <w:r>
              <w:rPr>
                <w:noProof/>
              </w:rPr>
              <w:t>EUR 2439692495</w:t>
            </w:r>
          </w:p>
        </w:tc>
      </w:tr>
    </w:tbl>
    <w:p w14:paraId="41C48C6E" w14:textId="77777777" w:rsidR="00CB0FCB" w:rsidRDefault="00CB0FCB">
      <w:pPr>
        <w:keepNext/>
        <w:spacing w:before="40" w:line="259" w:lineRule="auto"/>
        <w:jc w:val="both"/>
        <w:rPr>
          <w:rFonts w:eastAsia="Times New Roman"/>
          <w:i/>
          <w:noProof/>
          <w:color w:val="4F81BD"/>
        </w:rPr>
      </w:pPr>
    </w:p>
    <w:p w14:paraId="2C4C2510"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Septītais maksājuma pieprasījums (neatmaksājams atbalsts): </w:t>
      </w:r>
    </w:p>
    <w:p w14:paraId="6259FE40" w14:textId="77777777" w:rsidR="00CB0FCB" w:rsidRDefault="00CB0FCB">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252" w:tblpY="1"/>
        <w:tblOverlap w:val="never"/>
        <w:tblW w:w="9595" w:type="dxa"/>
        <w:tblLayout w:type="fixed"/>
        <w:tblLook w:val="04A0" w:firstRow="1" w:lastRow="0" w:firstColumn="1" w:lastColumn="0" w:noHBand="0" w:noVBand="1"/>
      </w:tblPr>
      <w:tblGrid>
        <w:gridCol w:w="1795"/>
        <w:gridCol w:w="4320"/>
        <w:gridCol w:w="1560"/>
        <w:gridCol w:w="1920"/>
      </w:tblGrid>
      <w:tr w:rsidR="00CB0FCB" w14:paraId="290E14DE"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36AD22"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9CAE6B"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DC1A23"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E37BB7"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3F585188" w14:textId="77777777">
        <w:trPr>
          <w:trHeight w:val="990"/>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1C434604"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BE1D839"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30FB92"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2C2FC2FE"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71FBDE2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6265750C" w14:textId="77777777" w:rsidR="00CB0FCB" w:rsidRDefault="009D2B11">
            <w:pPr>
              <w:pStyle w:val="P68B1DB1-Normal8"/>
              <w:keepNext/>
              <w:spacing w:before="40" w:after="0" w:line="240" w:lineRule="auto"/>
              <w:jc w:val="both"/>
              <w:rPr>
                <w:rFonts w:cs="Times New Roman"/>
                <w:noProof/>
                <w:szCs w:val="18"/>
              </w:rPr>
            </w:pPr>
            <w:r>
              <w:rPr>
                <w:noProof/>
              </w:rPr>
              <w:t>45a</w:t>
            </w:r>
          </w:p>
        </w:tc>
        <w:tc>
          <w:tcPr>
            <w:tcW w:w="4320" w:type="dxa"/>
            <w:tcBorders>
              <w:top w:val="nil"/>
              <w:left w:val="nil"/>
              <w:bottom w:val="single" w:sz="4" w:space="0" w:color="auto"/>
              <w:right w:val="single" w:sz="4" w:space="0" w:color="auto"/>
            </w:tcBorders>
            <w:shd w:val="clear" w:color="auto" w:fill="C6EFCE"/>
            <w:noWrap/>
          </w:tcPr>
          <w:p w14:paraId="69484145" w14:textId="77777777" w:rsidR="00CB0FCB" w:rsidRDefault="009D2B11">
            <w:pPr>
              <w:pStyle w:val="P68B1DB1-Normal8"/>
              <w:spacing w:after="0" w:line="240" w:lineRule="auto"/>
              <w:rPr>
                <w:rFonts w:cs="Times New Roman"/>
                <w:noProof/>
                <w:szCs w:val="18"/>
              </w:rPr>
            </w:pPr>
            <w:r>
              <w:rPr>
                <w:noProof/>
              </w:rPr>
              <w:t>3–1.3. Uzlāde un uzpilde — 16924_ Elektromobilitāte</w:t>
            </w:r>
          </w:p>
        </w:tc>
        <w:tc>
          <w:tcPr>
            <w:tcW w:w="1560" w:type="dxa"/>
            <w:tcBorders>
              <w:top w:val="nil"/>
              <w:left w:val="nil"/>
              <w:bottom w:val="single" w:sz="4" w:space="0" w:color="auto"/>
              <w:right w:val="single" w:sz="4" w:space="0" w:color="auto"/>
            </w:tcBorders>
            <w:shd w:val="clear" w:color="auto" w:fill="C6EFCE"/>
            <w:noWrap/>
          </w:tcPr>
          <w:p w14:paraId="13FCF432"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tcPr>
          <w:p w14:paraId="6A30ECDE" w14:textId="48E4B5E8" w:rsidR="00CB0FCB" w:rsidRDefault="009D2B11">
            <w:pPr>
              <w:pStyle w:val="P68B1DB1-Normal8"/>
              <w:keepNext/>
              <w:spacing w:before="40" w:after="0" w:line="240" w:lineRule="auto"/>
              <w:jc w:val="both"/>
              <w:rPr>
                <w:rFonts w:cs="Times New Roman"/>
                <w:noProof/>
                <w:szCs w:val="18"/>
              </w:rPr>
            </w:pPr>
            <w:r>
              <w:rPr>
                <w:noProof/>
              </w:rPr>
              <w:t>Sabiedriskais transports — iepirkuma procedūru uzsākšana autobusu operatoriem, publicējot attiecīgos uzaicinājumus 12 reģioniem</w:t>
            </w:r>
          </w:p>
        </w:tc>
      </w:tr>
      <w:tr w:rsidR="00CB0FCB" w14:paraId="5F1E256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1EACAAE" w14:textId="130321D4" w:rsidR="00CB0FCB" w:rsidRDefault="009D2B11">
            <w:pPr>
              <w:pStyle w:val="P68B1DB1-Normal8"/>
              <w:keepNext/>
              <w:spacing w:before="40" w:after="0" w:line="240" w:lineRule="auto"/>
              <w:jc w:val="both"/>
              <w:rPr>
                <w:noProof/>
              </w:rPr>
            </w:pPr>
            <w:r>
              <w:rPr>
                <w:noProof/>
              </w:rPr>
              <w:t>51</w:t>
            </w:r>
          </w:p>
        </w:tc>
        <w:tc>
          <w:tcPr>
            <w:tcW w:w="4320" w:type="dxa"/>
            <w:tcBorders>
              <w:top w:val="nil"/>
              <w:left w:val="nil"/>
              <w:bottom w:val="single" w:sz="4" w:space="0" w:color="auto"/>
              <w:right w:val="single" w:sz="4" w:space="0" w:color="auto"/>
            </w:tcBorders>
            <w:shd w:val="clear" w:color="auto" w:fill="C6EFCE"/>
            <w:noWrap/>
            <w:vAlign w:val="center"/>
          </w:tcPr>
          <w:p w14:paraId="276E30DB" w14:textId="7A3584A0" w:rsidR="00CB0FCB" w:rsidRDefault="009D2B11">
            <w:pPr>
              <w:pStyle w:val="P68B1DB1-Normal8"/>
              <w:spacing w:after="0" w:line="240" w:lineRule="auto"/>
              <w:rPr>
                <w:noProof/>
              </w:rPr>
            </w:pPr>
            <w:r>
              <w:rPr>
                <w:noProof/>
              </w:rPr>
              <w:t>3–1.3. Uzlāde un uzpilde — 16831_Produc- E Green</w:t>
            </w:r>
          </w:p>
        </w:tc>
        <w:tc>
          <w:tcPr>
            <w:tcW w:w="1560" w:type="dxa"/>
            <w:tcBorders>
              <w:top w:val="nil"/>
              <w:left w:val="nil"/>
              <w:bottom w:val="single" w:sz="4" w:space="0" w:color="auto"/>
              <w:right w:val="single" w:sz="4" w:space="0" w:color="auto"/>
            </w:tcBorders>
            <w:shd w:val="clear" w:color="auto" w:fill="C6EFCE"/>
            <w:noWrap/>
            <w:vAlign w:val="center"/>
          </w:tcPr>
          <w:p w14:paraId="49550B84" w14:textId="722DDA52" w:rsidR="00CB0FCB" w:rsidRDefault="009D2B11">
            <w:pPr>
              <w:pStyle w:val="P68B1DB1-Normal8"/>
              <w:keepNext/>
              <w:spacing w:before="40" w:after="0" w:line="240" w:lineRule="auto"/>
              <w:jc w:val="both"/>
              <w:rPr>
                <w:noProof/>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5EA79C25" w14:textId="641D60B7" w:rsidR="00CB0FCB" w:rsidRDefault="009D2B11">
            <w:pPr>
              <w:pStyle w:val="P68B1DB1-Normal8"/>
              <w:keepNext/>
              <w:spacing w:before="40" w:after="0" w:line="240" w:lineRule="auto"/>
              <w:jc w:val="both"/>
              <w:rPr>
                <w:noProof/>
              </w:rPr>
            </w:pPr>
            <w:r>
              <w:rPr>
                <w:noProof/>
              </w:rPr>
              <w:t>Oglekļa uztveršana un uzglabāšana (CCS) — uzglabāšanas atļauja</w:t>
            </w:r>
          </w:p>
        </w:tc>
      </w:tr>
      <w:tr w:rsidR="00CB0FCB" w14:paraId="74CE255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668698BE" w14:textId="77777777" w:rsidR="00CB0FCB" w:rsidRDefault="009D2B11">
            <w:pPr>
              <w:pStyle w:val="P68B1DB1-Normal8"/>
              <w:keepNext/>
              <w:spacing w:before="40" w:after="0" w:line="240" w:lineRule="auto"/>
              <w:jc w:val="both"/>
              <w:rPr>
                <w:rFonts w:cs="Times New Roman"/>
                <w:noProof/>
                <w:szCs w:val="18"/>
              </w:rPr>
            </w:pPr>
            <w:r>
              <w:rPr>
                <w:noProof/>
              </w:rPr>
              <w:t>62a</w:t>
            </w:r>
          </w:p>
        </w:tc>
        <w:tc>
          <w:tcPr>
            <w:tcW w:w="4320" w:type="dxa"/>
            <w:tcBorders>
              <w:top w:val="nil"/>
              <w:left w:val="nil"/>
              <w:bottom w:val="single" w:sz="4" w:space="0" w:color="auto"/>
              <w:right w:val="single" w:sz="4" w:space="0" w:color="auto"/>
            </w:tcBorders>
            <w:shd w:val="clear" w:color="auto" w:fill="C6EFCE"/>
            <w:noWrap/>
          </w:tcPr>
          <w:p w14:paraId="549EA6BC" w14:textId="77777777" w:rsidR="00CB0FCB" w:rsidRDefault="009D2B11">
            <w:pPr>
              <w:pStyle w:val="P68B1DB1-Normal8"/>
              <w:keepNext/>
              <w:spacing w:before="40" w:after="0" w:line="240" w:lineRule="auto"/>
              <w:jc w:val="both"/>
              <w:rPr>
                <w:rFonts w:cs="Times New Roman"/>
                <w:noProof/>
                <w:szCs w:val="18"/>
              </w:rPr>
            </w:pPr>
            <w:r>
              <w:rPr>
                <w:noProof/>
              </w:rPr>
              <w:t>4–1.4. Resursu ilgtspējīga izmantošana, klimatnoturība un vides aizsardzība — 16849_ Valsts meža atjaunošanas plāns, atjaunošana un novēršana (“antiNERO”), preterozijas un pretplūdu aizsardzības pasākumi</w:t>
            </w:r>
          </w:p>
        </w:tc>
        <w:tc>
          <w:tcPr>
            <w:tcW w:w="1560" w:type="dxa"/>
            <w:tcBorders>
              <w:top w:val="nil"/>
              <w:left w:val="nil"/>
              <w:bottom w:val="single" w:sz="4" w:space="0" w:color="auto"/>
              <w:right w:val="single" w:sz="4" w:space="0" w:color="auto"/>
            </w:tcBorders>
            <w:shd w:val="clear" w:color="auto" w:fill="C6EFCE"/>
            <w:noWrap/>
          </w:tcPr>
          <w:p w14:paraId="656F61D9"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tcPr>
          <w:p w14:paraId="7D099CB7" w14:textId="77777777" w:rsidR="00CB0FCB" w:rsidRDefault="009D2B11">
            <w:pPr>
              <w:pStyle w:val="P68B1DB1-Normal8"/>
              <w:keepNext/>
              <w:spacing w:before="40" w:after="0" w:line="240" w:lineRule="auto"/>
              <w:jc w:val="both"/>
              <w:rPr>
                <w:rFonts w:cs="Times New Roman"/>
                <w:noProof/>
                <w:szCs w:val="18"/>
              </w:rPr>
            </w:pPr>
            <w:r>
              <w:rPr>
                <w:noProof/>
              </w:rPr>
              <w:t>Meža atjaunošana un novēršana — līgumi 3</w:t>
            </w:r>
          </w:p>
        </w:tc>
      </w:tr>
      <w:tr w:rsidR="00CB0FCB" w14:paraId="78084EF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15D2CB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98</w:t>
            </w:r>
          </w:p>
        </w:tc>
        <w:tc>
          <w:tcPr>
            <w:tcW w:w="4320" w:type="dxa"/>
            <w:tcBorders>
              <w:top w:val="nil"/>
              <w:left w:val="nil"/>
              <w:bottom w:val="single" w:sz="4" w:space="0" w:color="auto"/>
              <w:right w:val="single" w:sz="4" w:space="0" w:color="auto"/>
            </w:tcBorders>
            <w:shd w:val="clear" w:color="auto" w:fill="C6EFCE"/>
            <w:noWrap/>
            <w:vAlign w:val="center"/>
          </w:tcPr>
          <w:p w14:paraId="0E8A1FF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Modernizēt — 16782_reģistru, sistēmu un pakalpojumu savstarpēja savienojamība un sadarbspēja datu apmaiņai starp valstu publiskajām organizācijām</w:t>
            </w:r>
          </w:p>
        </w:tc>
        <w:tc>
          <w:tcPr>
            <w:tcW w:w="1560" w:type="dxa"/>
            <w:tcBorders>
              <w:top w:val="nil"/>
              <w:left w:val="nil"/>
              <w:bottom w:val="single" w:sz="4" w:space="0" w:color="auto"/>
              <w:right w:val="single" w:sz="4" w:space="0" w:color="auto"/>
            </w:tcBorders>
            <w:shd w:val="clear" w:color="auto" w:fill="C6EFCE"/>
            <w:noWrap/>
            <w:vAlign w:val="center"/>
          </w:tcPr>
          <w:p w14:paraId="63F8D6E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5C59B1D6" w14:textId="77777777" w:rsidR="00CB0FCB" w:rsidRDefault="009D2B11">
            <w:pPr>
              <w:pStyle w:val="P68B1DB1-Normal8"/>
              <w:keepNext/>
              <w:spacing w:before="40" w:after="0" w:line="240" w:lineRule="auto"/>
              <w:jc w:val="both"/>
              <w:rPr>
                <w:rFonts w:eastAsia="Times New Roman" w:cs="Times New Roman"/>
                <w:noProof/>
                <w:szCs w:val="18"/>
              </w:rPr>
            </w:pPr>
            <w:r>
              <w:rPr>
                <w:noProof/>
              </w:rPr>
              <w:t>Regulatīvais pamats reģistru savstarpējai savienojamībai un sadarbspējai</w:t>
            </w:r>
          </w:p>
        </w:tc>
      </w:tr>
      <w:tr w:rsidR="00CB0FCB" w14:paraId="7F8BA7F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8EF0F5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110</w:t>
            </w:r>
          </w:p>
        </w:tc>
        <w:tc>
          <w:tcPr>
            <w:tcW w:w="4320" w:type="dxa"/>
            <w:tcBorders>
              <w:top w:val="nil"/>
              <w:left w:val="nil"/>
              <w:bottom w:val="single" w:sz="4" w:space="0" w:color="auto"/>
              <w:right w:val="single" w:sz="4" w:space="0" w:color="auto"/>
            </w:tcBorders>
            <w:shd w:val="clear" w:color="auto" w:fill="C6EFCE"/>
            <w:noWrap/>
            <w:vAlign w:val="center"/>
          </w:tcPr>
          <w:p w14:paraId="762C1FE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16780_Valsts pārvaldes vienas pieturas aģentūru turpmāka modernizācija</w:t>
            </w:r>
          </w:p>
        </w:tc>
        <w:tc>
          <w:tcPr>
            <w:tcW w:w="1560" w:type="dxa"/>
            <w:tcBorders>
              <w:top w:val="nil"/>
              <w:left w:val="nil"/>
              <w:bottom w:val="single" w:sz="4" w:space="0" w:color="auto"/>
              <w:right w:val="single" w:sz="4" w:space="0" w:color="auto"/>
            </w:tcBorders>
            <w:shd w:val="clear" w:color="auto" w:fill="C6EFCE"/>
            <w:noWrap/>
            <w:vAlign w:val="center"/>
          </w:tcPr>
          <w:p w14:paraId="15D0833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7B477620" w14:textId="77777777" w:rsidR="00CB0FCB" w:rsidRDefault="009D2B11">
            <w:pPr>
              <w:pStyle w:val="P68B1DB1-Normal8"/>
              <w:keepNext/>
              <w:spacing w:before="40" w:after="0" w:line="240" w:lineRule="auto"/>
              <w:jc w:val="both"/>
              <w:rPr>
                <w:rFonts w:eastAsia="Times New Roman" w:cs="Times New Roman"/>
                <w:noProof/>
                <w:szCs w:val="18"/>
              </w:rPr>
            </w:pPr>
            <w:r>
              <w:rPr>
                <w:noProof/>
              </w:rPr>
              <w:t>Projekta “One-Stop Shops” pabeigšana</w:t>
            </w:r>
          </w:p>
        </w:tc>
      </w:tr>
      <w:tr w:rsidR="00CB0FCB" w14:paraId="2D10FC6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7FD774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112</w:t>
            </w:r>
          </w:p>
        </w:tc>
        <w:tc>
          <w:tcPr>
            <w:tcW w:w="4320" w:type="dxa"/>
            <w:tcBorders>
              <w:top w:val="nil"/>
              <w:left w:val="nil"/>
              <w:bottom w:val="single" w:sz="4" w:space="0" w:color="auto"/>
              <w:right w:val="single" w:sz="4" w:space="0" w:color="auto"/>
            </w:tcBorders>
            <w:shd w:val="clear" w:color="auto" w:fill="C6EFCE"/>
            <w:noWrap/>
            <w:vAlign w:val="center"/>
          </w:tcPr>
          <w:p w14:paraId="31D567E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16823_Kiberdrošības stratēģija un politika publiskajam sektoram un progresīviem drošības pakalpojumiem valstu kritiskajām infrastruktūrām</w:t>
            </w:r>
          </w:p>
        </w:tc>
        <w:tc>
          <w:tcPr>
            <w:tcW w:w="1560" w:type="dxa"/>
            <w:tcBorders>
              <w:top w:val="nil"/>
              <w:left w:val="nil"/>
              <w:bottom w:val="single" w:sz="4" w:space="0" w:color="auto"/>
              <w:right w:val="single" w:sz="4" w:space="0" w:color="auto"/>
            </w:tcBorders>
            <w:shd w:val="clear" w:color="auto" w:fill="C6EFCE"/>
            <w:noWrap/>
            <w:vAlign w:val="center"/>
          </w:tcPr>
          <w:p w14:paraId="63011BC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3C94A1D3" w14:textId="77777777" w:rsidR="00CB0FCB" w:rsidRDefault="009D2B11">
            <w:pPr>
              <w:pStyle w:val="P68B1DB1-Normal8"/>
              <w:keepNext/>
              <w:spacing w:before="40" w:after="0" w:line="240" w:lineRule="auto"/>
              <w:jc w:val="both"/>
              <w:rPr>
                <w:rFonts w:eastAsia="Times New Roman" w:cs="Times New Roman"/>
                <w:noProof/>
                <w:szCs w:val="18"/>
              </w:rPr>
            </w:pPr>
            <w:r>
              <w:rPr>
                <w:noProof/>
              </w:rPr>
              <w:t>Projekta “Kiberdrošības stratēģija” pabeigšana</w:t>
            </w:r>
          </w:p>
        </w:tc>
      </w:tr>
      <w:tr w:rsidR="00CB0FCB" w14:paraId="7F93D2F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796F29DA" w14:textId="77777777" w:rsidR="00CB0FCB" w:rsidRDefault="009D2B11">
            <w:pPr>
              <w:pStyle w:val="P68B1DB1-Normal8"/>
              <w:keepNext/>
              <w:spacing w:before="40" w:after="0" w:line="240" w:lineRule="auto"/>
              <w:jc w:val="both"/>
              <w:rPr>
                <w:rFonts w:cs="Times New Roman"/>
                <w:noProof/>
                <w:szCs w:val="18"/>
              </w:rPr>
            </w:pPr>
            <w:r>
              <w:rPr>
                <w:noProof/>
              </w:rPr>
              <w:t>142.a</w:t>
            </w:r>
          </w:p>
        </w:tc>
        <w:tc>
          <w:tcPr>
            <w:tcW w:w="4320" w:type="dxa"/>
            <w:tcBorders>
              <w:top w:val="nil"/>
              <w:left w:val="nil"/>
              <w:bottom w:val="single" w:sz="4" w:space="0" w:color="auto"/>
              <w:right w:val="single" w:sz="4" w:space="0" w:color="auto"/>
            </w:tcBorders>
            <w:shd w:val="clear" w:color="auto" w:fill="C6EFCE"/>
            <w:noWrap/>
          </w:tcPr>
          <w:p w14:paraId="38A57F3D" w14:textId="77777777" w:rsidR="00CB0FCB" w:rsidRDefault="009D2B11">
            <w:pPr>
              <w:pStyle w:val="P68B1DB1-Normal8"/>
              <w:keepNext/>
              <w:spacing w:before="40" w:after="0" w:line="240" w:lineRule="auto"/>
              <w:jc w:val="both"/>
              <w:rPr>
                <w:rFonts w:cs="Times New Roman"/>
                <w:noProof/>
                <w:szCs w:val="18"/>
              </w:rPr>
            </w:pPr>
            <w:r>
              <w:rPr>
                <w:noProof/>
              </w:rPr>
              <w:t>8–3.1. PUNKTS. Veicināt darbvietu radīšanu un līdzdalību darba tirgū — 16746_Pasīvas darba tirgus politikas reforma, lai atbalstītu pāreju uz nodarbinātību</w:t>
            </w:r>
          </w:p>
        </w:tc>
        <w:tc>
          <w:tcPr>
            <w:tcW w:w="1560" w:type="dxa"/>
            <w:tcBorders>
              <w:top w:val="nil"/>
              <w:left w:val="nil"/>
              <w:bottom w:val="single" w:sz="4" w:space="0" w:color="auto"/>
              <w:right w:val="single" w:sz="4" w:space="0" w:color="auto"/>
            </w:tcBorders>
            <w:shd w:val="clear" w:color="auto" w:fill="C6EFCE"/>
            <w:noWrap/>
          </w:tcPr>
          <w:p w14:paraId="400F287E"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tcPr>
          <w:p w14:paraId="209141BE" w14:textId="77777777" w:rsidR="00CB0FCB" w:rsidRDefault="009D2B11">
            <w:pPr>
              <w:pStyle w:val="P68B1DB1-Normal8"/>
              <w:keepNext/>
              <w:spacing w:before="40" w:after="0" w:line="240" w:lineRule="auto"/>
              <w:jc w:val="both"/>
              <w:rPr>
                <w:rFonts w:cs="Times New Roman"/>
                <w:noProof/>
                <w:szCs w:val="18"/>
              </w:rPr>
            </w:pPr>
            <w:r>
              <w:rPr>
                <w:noProof/>
              </w:rPr>
              <w:t>Tiesību akti par bezdarbnieka pabalstiem un pabalstiem, ilgtermiņa bezdarbnieka pabalsta izmēģinājuma projekti</w:t>
            </w:r>
          </w:p>
        </w:tc>
      </w:tr>
      <w:tr w:rsidR="00CB0FCB" w14:paraId="187C6EC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51034E0" w14:textId="77777777" w:rsidR="00CB0FCB" w:rsidRDefault="009D2B11">
            <w:pPr>
              <w:pStyle w:val="P68B1DB1-Normal8"/>
              <w:keepNext/>
              <w:spacing w:before="40" w:after="0" w:line="240" w:lineRule="auto"/>
              <w:jc w:val="both"/>
              <w:rPr>
                <w:rFonts w:cs="Times New Roman"/>
                <w:noProof/>
                <w:szCs w:val="18"/>
              </w:rPr>
            </w:pPr>
            <w:r>
              <w:rPr>
                <w:noProof/>
              </w:rPr>
              <w:t>144</w:t>
            </w:r>
          </w:p>
        </w:tc>
        <w:tc>
          <w:tcPr>
            <w:tcW w:w="4320" w:type="dxa"/>
            <w:tcBorders>
              <w:top w:val="nil"/>
              <w:left w:val="nil"/>
              <w:bottom w:val="single" w:sz="4" w:space="0" w:color="auto"/>
              <w:right w:val="single" w:sz="4" w:space="0" w:color="auto"/>
            </w:tcBorders>
            <w:shd w:val="clear" w:color="auto" w:fill="C6EFCE"/>
            <w:noWrap/>
            <w:vAlign w:val="center"/>
          </w:tcPr>
          <w:p w14:paraId="39C96099" w14:textId="77777777" w:rsidR="00CB0FCB" w:rsidRDefault="009D2B11">
            <w:pPr>
              <w:pStyle w:val="P68B1DB1-Normal8"/>
              <w:keepNext/>
              <w:spacing w:before="40" w:after="0" w:line="240" w:lineRule="auto"/>
              <w:jc w:val="both"/>
              <w:rPr>
                <w:rFonts w:cs="Times New Roman"/>
                <w:noProof/>
                <w:szCs w:val="18"/>
              </w:rPr>
            </w:pPr>
            <w:r>
              <w:rPr>
                <w:noProof/>
              </w:rPr>
              <w:t>8–3.1. PUNKTS. Veicināt darbvietu radīšanu un līdzdalību darba tirgū — 16747_Aktīva darba tirgus politikas reforma</w:t>
            </w:r>
          </w:p>
        </w:tc>
        <w:tc>
          <w:tcPr>
            <w:tcW w:w="1560" w:type="dxa"/>
            <w:tcBorders>
              <w:top w:val="nil"/>
              <w:left w:val="nil"/>
              <w:bottom w:val="single" w:sz="4" w:space="0" w:color="auto"/>
              <w:right w:val="single" w:sz="4" w:space="0" w:color="auto"/>
            </w:tcBorders>
            <w:shd w:val="clear" w:color="auto" w:fill="C6EFCE"/>
            <w:noWrap/>
            <w:vAlign w:val="center"/>
          </w:tcPr>
          <w:p w14:paraId="7D8BA4A5"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1920" w:type="dxa"/>
            <w:tcBorders>
              <w:top w:val="nil"/>
              <w:left w:val="nil"/>
              <w:bottom w:val="single" w:sz="4" w:space="0" w:color="auto"/>
              <w:right w:val="single" w:sz="4" w:space="0" w:color="auto"/>
            </w:tcBorders>
            <w:shd w:val="clear" w:color="auto" w:fill="C6EFCE"/>
            <w:noWrap/>
            <w:vAlign w:val="center"/>
          </w:tcPr>
          <w:p w14:paraId="713850B0" w14:textId="77777777" w:rsidR="00CB0FCB" w:rsidRDefault="009D2B11">
            <w:pPr>
              <w:pStyle w:val="P68B1DB1-Normal8"/>
              <w:keepNext/>
              <w:spacing w:before="40" w:after="0" w:line="240" w:lineRule="auto"/>
              <w:jc w:val="both"/>
              <w:rPr>
                <w:rFonts w:cs="Times New Roman"/>
                <w:noProof/>
                <w:szCs w:val="18"/>
              </w:rPr>
            </w:pPr>
            <w:r>
              <w:rPr>
                <w:noProof/>
              </w:rPr>
              <w:t xml:space="preserve">ADTP prasmju pilnveides nodarbinātības programmas pabeigšana </w:t>
            </w:r>
          </w:p>
        </w:tc>
      </w:tr>
      <w:tr w:rsidR="00CB0FCB" w14:paraId="36D2596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78B32926" w14:textId="77777777" w:rsidR="00CB0FCB" w:rsidRDefault="009D2B11">
            <w:pPr>
              <w:pStyle w:val="P68B1DB1-Normal8"/>
              <w:keepNext/>
              <w:spacing w:before="40" w:after="0" w:line="240" w:lineRule="auto"/>
              <w:jc w:val="both"/>
              <w:rPr>
                <w:rFonts w:cs="Times New Roman"/>
                <w:noProof/>
                <w:szCs w:val="18"/>
              </w:rPr>
            </w:pPr>
            <w:r>
              <w:rPr>
                <w:noProof/>
              </w:rPr>
              <w:t>145a</w:t>
            </w:r>
          </w:p>
        </w:tc>
        <w:tc>
          <w:tcPr>
            <w:tcW w:w="4320" w:type="dxa"/>
            <w:tcBorders>
              <w:top w:val="nil"/>
              <w:left w:val="nil"/>
              <w:bottom w:val="single" w:sz="4" w:space="0" w:color="auto"/>
              <w:right w:val="single" w:sz="4" w:space="0" w:color="auto"/>
            </w:tcBorders>
            <w:shd w:val="clear" w:color="auto" w:fill="C6EFCE"/>
            <w:noWrap/>
          </w:tcPr>
          <w:p w14:paraId="0C3E9AFB" w14:textId="77777777" w:rsidR="00CB0FCB" w:rsidRDefault="009D2B11">
            <w:pPr>
              <w:pStyle w:val="P68B1DB1-Normal8"/>
              <w:keepNext/>
              <w:spacing w:before="40" w:after="0" w:line="240" w:lineRule="auto"/>
              <w:jc w:val="both"/>
              <w:rPr>
                <w:rFonts w:cs="Times New Roman"/>
                <w:noProof/>
                <w:szCs w:val="18"/>
              </w:rPr>
            </w:pPr>
            <w:r>
              <w:rPr>
                <w:noProof/>
              </w:rPr>
              <w:t xml:space="preserve">9–3.2. Izglītība, profesionālā izglītība un apmācība un prasmes — 16794_ Māceklību sistēmas stiprināšana </w:t>
            </w:r>
          </w:p>
        </w:tc>
        <w:tc>
          <w:tcPr>
            <w:tcW w:w="1560" w:type="dxa"/>
            <w:tcBorders>
              <w:top w:val="nil"/>
              <w:left w:val="nil"/>
              <w:bottom w:val="single" w:sz="4" w:space="0" w:color="auto"/>
              <w:right w:val="single" w:sz="4" w:space="0" w:color="auto"/>
            </w:tcBorders>
            <w:shd w:val="clear" w:color="auto" w:fill="C6EFCE"/>
            <w:noWrap/>
          </w:tcPr>
          <w:p w14:paraId="58CC528B"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tcPr>
          <w:p w14:paraId="318783A7" w14:textId="77777777" w:rsidR="00CB0FCB" w:rsidRDefault="009D2B11">
            <w:pPr>
              <w:pStyle w:val="P68B1DB1-Normal8"/>
              <w:keepNext/>
              <w:spacing w:before="40" w:after="0" w:line="240" w:lineRule="auto"/>
              <w:jc w:val="both"/>
              <w:rPr>
                <w:rFonts w:cs="Times New Roman"/>
                <w:noProof/>
                <w:szCs w:val="18"/>
              </w:rPr>
            </w:pPr>
            <w:r>
              <w:rPr>
                <w:noProof/>
              </w:rPr>
              <w:t>Tiesiskais regulējums PIA valsts sistēmai</w:t>
            </w:r>
          </w:p>
        </w:tc>
      </w:tr>
      <w:tr w:rsidR="00CB0FCB" w14:paraId="2FA4FE8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3B21868" w14:textId="4E6A76E7" w:rsidR="00CB0FCB" w:rsidRDefault="009D2B11">
            <w:pPr>
              <w:pStyle w:val="P68B1DB1-Normal8"/>
              <w:keepNext/>
              <w:spacing w:before="40" w:after="0" w:line="240" w:lineRule="auto"/>
              <w:jc w:val="both"/>
              <w:rPr>
                <w:noProof/>
              </w:rPr>
            </w:pPr>
            <w:r>
              <w:rPr>
                <w:noProof/>
              </w:rPr>
              <w:t>175</w:t>
            </w:r>
          </w:p>
        </w:tc>
        <w:tc>
          <w:tcPr>
            <w:tcW w:w="4320" w:type="dxa"/>
            <w:tcBorders>
              <w:top w:val="nil"/>
              <w:left w:val="nil"/>
              <w:bottom w:val="single" w:sz="4" w:space="0" w:color="auto"/>
              <w:right w:val="single" w:sz="4" w:space="0" w:color="auto"/>
            </w:tcBorders>
            <w:shd w:val="clear" w:color="auto" w:fill="C6EFCE"/>
            <w:noWrap/>
            <w:vAlign w:val="center"/>
          </w:tcPr>
          <w:p w14:paraId="525F2380" w14:textId="6560681D" w:rsidR="00CB0FCB" w:rsidRDefault="009D2B11">
            <w:pPr>
              <w:pStyle w:val="P68B1DB1-Normal8"/>
              <w:keepNext/>
              <w:spacing w:before="40" w:after="0" w:line="240" w:lineRule="auto"/>
              <w:jc w:val="both"/>
              <w:rPr>
                <w:noProof/>
              </w:rPr>
            </w:pPr>
            <w:r>
              <w:rPr>
                <w:noProof/>
              </w:rPr>
              <w:t>11–3.4. Uzlabot piekļuvi efektīvai un iekļaujošai sociālajai politikai — 16726 Sociālo pabalstu optimizācija</w:t>
            </w:r>
          </w:p>
        </w:tc>
        <w:tc>
          <w:tcPr>
            <w:tcW w:w="1560" w:type="dxa"/>
            <w:tcBorders>
              <w:top w:val="nil"/>
              <w:left w:val="nil"/>
              <w:bottom w:val="single" w:sz="4" w:space="0" w:color="auto"/>
              <w:right w:val="single" w:sz="4" w:space="0" w:color="auto"/>
            </w:tcBorders>
            <w:shd w:val="clear" w:color="auto" w:fill="C6EFCE"/>
            <w:noWrap/>
            <w:vAlign w:val="center"/>
          </w:tcPr>
          <w:p w14:paraId="26E1B78C" w14:textId="3E870577" w:rsidR="00CB0FCB" w:rsidRDefault="009D2B11">
            <w:pPr>
              <w:pStyle w:val="P68B1DB1-Normal8"/>
              <w:keepNext/>
              <w:spacing w:before="40" w:after="0" w:line="240" w:lineRule="auto"/>
              <w:jc w:val="both"/>
              <w:rPr>
                <w:noProof/>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3C4B4BBA" w14:textId="5CE97368" w:rsidR="00CB0FCB" w:rsidRDefault="009D2B11">
            <w:pPr>
              <w:pStyle w:val="P68B1DB1-Normal8"/>
              <w:keepNext/>
              <w:spacing w:before="40" w:after="0" w:line="240" w:lineRule="auto"/>
              <w:jc w:val="both"/>
              <w:rPr>
                <w:noProof/>
              </w:rPr>
            </w:pPr>
            <w:r>
              <w:rPr>
                <w:noProof/>
              </w:rPr>
              <w:t>Sociālie pabalsti — priekšapmaksas karšu optimizācija</w:t>
            </w:r>
          </w:p>
        </w:tc>
      </w:tr>
      <w:tr w:rsidR="00CB0FCB" w14:paraId="7C4963F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C141C2E" w14:textId="77777777" w:rsidR="00CB0FCB" w:rsidRDefault="009D2B11">
            <w:pPr>
              <w:pStyle w:val="P68B1DB1-Normal8"/>
              <w:keepNext/>
              <w:spacing w:before="40" w:after="0" w:line="240" w:lineRule="auto"/>
              <w:jc w:val="both"/>
              <w:rPr>
                <w:rFonts w:cs="Times New Roman"/>
                <w:noProof/>
                <w:szCs w:val="18"/>
              </w:rPr>
            </w:pPr>
            <w:r>
              <w:rPr>
                <w:noProof/>
              </w:rPr>
              <w:t>176</w:t>
            </w:r>
          </w:p>
        </w:tc>
        <w:tc>
          <w:tcPr>
            <w:tcW w:w="4320" w:type="dxa"/>
            <w:tcBorders>
              <w:top w:val="nil"/>
              <w:left w:val="nil"/>
              <w:bottom w:val="single" w:sz="4" w:space="0" w:color="auto"/>
              <w:right w:val="single" w:sz="4" w:space="0" w:color="auto"/>
            </w:tcBorders>
            <w:shd w:val="clear" w:color="auto" w:fill="C6EFCE"/>
            <w:noWrap/>
            <w:vAlign w:val="center"/>
          </w:tcPr>
          <w:p w14:paraId="2A8A0EAB"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16904_Invaliditāte</w:t>
            </w:r>
          </w:p>
        </w:tc>
        <w:tc>
          <w:tcPr>
            <w:tcW w:w="1560" w:type="dxa"/>
            <w:tcBorders>
              <w:top w:val="nil"/>
              <w:left w:val="nil"/>
              <w:bottom w:val="single" w:sz="4" w:space="0" w:color="auto"/>
              <w:right w:val="single" w:sz="4" w:space="0" w:color="auto"/>
            </w:tcBorders>
            <w:shd w:val="clear" w:color="auto" w:fill="C6EFCE"/>
            <w:noWrap/>
            <w:vAlign w:val="center"/>
          </w:tcPr>
          <w:p w14:paraId="0D6176A3"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6F110DC0" w14:textId="77777777" w:rsidR="00CB0FCB" w:rsidRDefault="009D2B11">
            <w:pPr>
              <w:pStyle w:val="P68B1DB1-Normal8"/>
              <w:keepNext/>
              <w:spacing w:before="40" w:after="0" w:line="240" w:lineRule="auto"/>
              <w:jc w:val="both"/>
              <w:rPr>
                <w:rFonts w:cs="Times New Roman"/>
                <w:noProof/>
                <w:szCs w:val="18"/>
              </w:rPr>
            </w:pPr>
            <w:r>
              <w:rPr>
                <w:noProof/>
              </w:rPr>
              <w:t>Personīgās palīdzības invaliditātes novērtējuma otrā posma pabeigšana</w:t>
            </w:r>
          </w:p>
        </w:tc>
      </w:tr>
      <w:tr w:rsidR="00CB0FCB" w14:paraId="4F4A11F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52CD80A" w14:textId="77777777" w:rsidR="00CB0FCB" w:rsidRDefault="009D2B11">
            <w:pPr>
              <w:pStyle w:val="P68B1DB1-Normal8"/>
              <w:keepNext/>
              <w:spacing w:before="40" w:after="0" w:line="240" w:lineRule="auto"/>
              <w:jc w:val="both"/>
              <w:rPr>
                <w:rFonts w:cs="Times New Roman"/>
                <w:noProof/>
                <w:szCs w:val="18"/>
              </w:rPr>
            </w:pPr>
            <w:r>
              <w:rPr>
                <w:noProof/>
              </w:rPr>
              <w:t>184</w:t>
            </w:r>
          </w:p>
        </w:tc>
        <w:tc>
          <w:tcPr>
            <w:tcW w:w="4320" w:type="dxa"/>
            <w:tcBorders>
              <w:top w:val="nil"/>
              <w:left w:val="nil"/>
              <w:bottom w:val="single" w:sz="4" w:space="0" w:color="auto"/>
              <w:right w:val="single" w:sz="4" w:space="0" w:color="auto"/>
            </w:tcBorders>
            <w:shd w:val="clear" w:color="auto" w:fill="C6EFCE"/>
            <w:noWrap/>
            <w:vAlign w:val="center"/>
          </w:tcPr>
          <w:p w14:paraId="1468B680"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16685_Dažādības apzināšanās</w:t>
            </w:r>
          </w:p>
        </w:tc>
        <w:tc>
          <w:tcPr>
            <w:tcW w:w="1560" w:type="dxa"/>
            <w:tcBorders>
              <w:top w:val="nil"/>
              <w:left w:val="nil"/>
              <w:bottom w:val="single" w:sz="4" w:space="0" w:color="auto"/>
              <w:right w:val="single" w:sz="4" w:space="0" w:color="auto"/>
            </w:tcBorders>
            <w:shd w:val="clear" w:color="auto" w:fill="C6EFCE"/>
            <w:noWrap/>
            <w:vAlign w:val="center"/>
          </w:tcPr>
          <w:p w14:paraId="102E0F30"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1920" w:type="dxa"/>
            <w:tcBorders>
              <w:top w:val="nil"/>
              <w:left w:val="nil"/>
              <w:bottom w:val="single" w:sz="4" w:space="0" w:color="auto"/>
              <w:right w:val="single" w:sz="4" w:space="0" w:color="auto"/>
            </w:tcBorders>
            <w:shd w:val="clear" w:color="auto" w:fill="C6EFCE"/>
            <w:noWrap/>
            <w:vAlign w:val="center"/>
          </w:tcPr>
          <w:p w14:paraId="5209713D" w14:textId="2E2FEC7C" w:rsidR="00CB0FCB" w:rsidRDefault="009D2B11">
            <w:pPr>
              <w:pStyle w:val="P68B1DB1-Normal8"/>
              <w:keepNext/>
              <w:spacing w:before="40" w:after="0" w:line="240" w:lineRule="auto"/>
              <w:jc w:val="both"/>
              <w:rPr>
                <w:rFonts w:cs="Times New Roman"/>
                <w:noProof/>
                <w:szCs w:val="18"/>
              </w:rPr>
            </w:pPr>
            <w:r>
              <w:rPr>
                <w:noProof/>
              </w:rPr>
              <w:t>Apmācības pabeigšana par izpratni par daudzveidību privātā sektora uzņēmumu darbiniekiem</w:t>
            </w:r>
          </w:p>
        </w:tc>
      </w:tr>
      <w:tr w:rsidR="00CB0FCB" w14:paraId="6C22724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7A024A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185</w:t>
            </w:r>
          </w:p>
        </w:tc>
        <w:tc>
          <w:tcPr>
            <w:tcW w:w="4320" w:type="dxa"/>
            <w:tcBorders>
              <w:top w:val="nil"/>
              <w:left w:val="nil"/>
              <w:bottom w:val="single" w:sz="4" w:space="0" w:color="auto"/>
              <w:right w:val="single" w:sz="4" w:space="0" w:color="auto"/>
            </w:tcBorders>
            <w:shd w:val="clear" w:color="auto" w:fill="C6EFCE"/>
            <w:noWrap/>
            <w:vAlign w:val="center"/>
          </w:tcPr>
          <w:p w14:paraId="05AAA7B6" w14:textId="7F9023D7" w:rsidR="00CB0FCB" w:rsidRDefault="009D2B11">
            <w:pPr>
              <w:pStyle w:val="P68B1DB1-Normal8"/>
              <w:keepNext/>
              <w:spacing w:before="40" w:after="0" w:line="240" w:lineRule="auto"/>
              <w:jc w:val="both"/>
              <w:rPr>
                <w:rFonts w:eastAsia="Times New Roman" w:cs="Times New Roman"/>
                <w:bCs/>
                <w:noProof/>
                <w:szCs w:val="18"/>
              </w:rPr>
            </w:pPr>
            <w:r>
              <w:rPr>
                <w:noProof/>
              </w:rPr>
              <w:t xml:space="preserve">11–3.4. Palielināt piekļuvi efektīvai un iekļaujošai sociālajai politikai — 16763_Imigrācijas un patvēruma sistēmas digitālā pārveide </w:t>
            </w:r>
          </w:p>
        </w:tc>
        <w:tc>
          <w:tcPr>
            <w:tcW w:w="1560" w:type="dxa"/>
            <w:tcBorders>
              <w:top w:val="nil"/>
              <w:left w:val="nil"/>
              <w:bottom w:val="single" w:sz="4" w:space="0" w:color="auto"/>
              <w:right w:val="single" w:sz="4" w:space="0" w:color="auto"/>
            </w:tcBorders>
            <w:shd w:val="clear" w:color="auto" w:fill="C6EFCE"/>
            <w:noWrap/>
            <w:vAlign w:val="center"/>
          </w:tcPr>
          <w:p w14:paraId="7EF0957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6EA28703" w14:textId="77777777" w:rsidR="00CB0FCB" w:rsidRDefault="009D2B11">
            <w:pPr>
              <w:pStyle w:val="P68B1DB1-Normal8"/>
              <w:keepNext/>
              <w:spacing w:before="40" w:after="0" w:line="240" w:lineRule="auto"/>
              <w:jc w:val="both"/>
              <w:rPr>
                <w:rFonts w:eastAsia="Times New Roman" w:cs="Times New Roman"/>
                <w:noProof/>
                <w:szCs w:val="18"/>
              </w:rPr>
            </w:pPr>
            <w:r>
              <w:rPr>
                <w:noProof/>
              </w:rPr>
              <w:t>Migrācijas patvēruma sistēmas digitalizācijas pabeigšana</w:t>
            </w:r>
          </w:p>
        </w:tc>
      </w:tr>
      <w:tr w:rsidR="00CB0FCB" w14:paraId="7BC1F70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0087E9B0" w14:textId="77777777" w:rsidR="00CB0FCB" w:rsidRDefault="009D2B11">
            <w:pPr>
              <w:pStyle w:val="P68B1DB1-Normal8"/>
              <w:keepNext/>
              <w:spacing w:before="40" w:after="0" w:line="240" w:lineRule="auto"/>
              <w:jc w:val="both"/>
              <w:rPr>
                <w:rFonts w:cs="Times New Roman"/>
                <w:noProof/>
                <w:szCs w:val="18"/>
              </w:rPr>
            </w:pPr>
            <w:r>
              <w:rPr>
                <w:noProof/>
              </w:rPr>
              <w:t>195.a</w:t>
            </w:r>
          </w:p>
        </w:tc>
        <w:tc>
          <w:tcPr>
            <w:tcW w:w="4320" w:type="dxa"/>
            <w:tcBorders>
              <w:top w:val="nil"/>
              <w:left w:val="nil"/>
              <w:bottom w:val="single" w:sz="4" w:space="0" w:color="auto"/>
              <w:right w:val="single" w:sz="4" w:space="0" w:color="auto"/>
            </w:tcBorders>
            <w:shd w:val="clear" w:color="auto" w:fill="C6EFCE"/>
            <w:noWrap/>
          </w:tcPr>
          <w:p w14:paraId="791CC632" w14:textId="77777777" w:rsidR="00CB0FCB" w:rsidRDefault="009D2B11">
            <w:pPr>
              <w:pStyle w:val="P68B1DB1-Normal8"/>
              <w:keepNext/>
              <w:spacing w:before="40" w:after="0" w:line="240" w:lineRule="auto"/>
              <w:jc w:val="both"/>
              <w:rPr>
                <w:rFonts w:cs="Times New Roman"/>
                <w:noProof/>
                <w:szCs w:val="18"/>
              </w:rPr>
            </w:pPr>
            <w:r>
              <w:rPr>
                <w:noProof/>
              </w:rPr>
              <w:t>12–4.1. PUNKTS. Padarīt nodokļus labvēlīgākus izaugsmei un uzlabot nodokļu administrēšanu un iekasēšanu — 16291_Nodokļu un muitas administrācijas digitālā pārveide</w:t>
            </w:r>
          </w:p>
        </w:tc>
        <w:tc>
          <w:tcPr>
            <w:tcW w:w="1560" w:type="dxa"/>
            <w:tcBorders>
              <w:top w:val="nil"/>
              <w:left w:val="nil"/>
              <w:bottom w:val="single" w:sz="4" w:space="0" w:color="auto"/>
              <w:right w:val="single" w:sz="4" w:space="0" w:color="auto"/>
            </w:tcBorders>
            <w:shd w:val="clear" w:color="auto" w:fill="C6EFCE"/>
            <w:noWrap/>
          </w:tcPr>
          <w:p w14:paraId="5FEC7462"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tcPr>
          <w:p w14:paraId="0D39C186" w14:textId="77777777" w:rsidR="00CB0FCB" w:rsidRDefault="009D2B11">
            <w:pPr>
              <w:pStyle w:val="P68B1DB1-Normal8"/>
              <w:keepNext/>
              <w:spacing w:before="40" w:after="0" w:line="240" w:lineRule="auto"/>
              <w:jc w:val="both"/>
              <w:rPr>
                <w:rFonts w:cs="Times New Roman"/>
                <w:noProof/>
                <w:szCs w:val="18"/>
              </w:rPr>
            </w:pPr>
            <w:r>
              <w:rPr>
                <w:noProof/>
              </w:rPr>
              <w:t>Apakšprojektu īstenošana</w:t>
            </w:r>
          </w:p>
        </w:tc>
      </w:tr>
      <w:tr w:rsidR="00CB0FCB" w14:paraId="04BC3E8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8BB257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236</w:t>
            </w:r>
          </w:p>
        </w:tc>
        <w:tc>
          <w:tcPr>
            <w:tcW w:w="4320" w:type="dxa"/>
            <w:tcBorders>
              <w:top w:val="nil"/>
              <w:left w:val="nil"/>
              <w:bottom w:val="single" w:sz="4" w:space="0" w:color="auto"/>
              <w:right w:val="single" w:sz="4" w:space="0" w:color="auto"/>
            </w:tcBorders>
            <w:shd w:val="clear" w:color="auto" w:fill="C6EFCE"/>
            <w:noWrap/>
            <w:vAlign w:val="center"/>
          </w:tcPr>
          <w:p w14:paraId="2E98053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16575 tiesvedības paātrināšana</w:t>
            </w:r>
          </w:p>
        </w:tc>
        <w:tc>
          <w:tcPr>
            <w:tcW w:w="1560" w:type="dxa"/>
            <w:tcBorders>
              <w:top w:val="nil"/>
              <w:left w:val="nil"/>
              <w:bottom w:val="single" w:sz="4" w:space="0" w:color="auto"/>
              <w:right w:val="single" w:sz="4" w:space="0" w:color="auto"/>
            </w:tcBorders>
            <w:shd w:val="clear" w:color="auto" w:fill="C6EFCE"/>
            <w:noWrap/>
            <w:vAlign w:val="center"/>
          </w:tcPr>
          <w:p w14:paraId="190CEC6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1FD68BC1" w14:textId="57BBE44B" w:rsidR="00CB0FCB" w:rsidRDefault="009D2B11">
            <w:pPr>
              <w:pStyle w:val="P68B1DB1-Normal8"/>
              <w:keepNext/>
              <w:spacing w:before="40" w:after="0" w:line="240" w:lineRule="auto"/>
              <w:jc w:val="both"/>
              <w:rPr>
                <w:rFonts w:eastAsia="Times New Roman" w:cs="Times New Roman"/>
                <w:noProof/>
                <w:szCs w:val="18"/>
              </w:rPr>
            </w:pPr>
            <w:r>
              <w:rPr>
                <w:noProof/>
              </w:rPr>
              <w:t>Tiesu kartes pārskatīšana — pilnīga īstenošana</w:t>
            </w:r>
          </w:p>
        </w:tc>
      </w:tr>
      <w:tr w:rsidR="00CB0FCB" w14:paraId="01C880F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4B6E16F" w14:textId="77777777" w:rsidR="00CB0FCB" w:rsidRDefault="009D2B11">
            <w:pPr>
              <w:pStyle w:val="P68B1DB1-Normal8"/>
              <w:keepNext/>
              <w:spacing w:before="40" w:after="0" w:line="240" w:lineRule="auto"/>
              <w:jc w:val="both"/>
              <w:rPr>
                <w:rFonts w:cs="Times New Roman"/>
                <w:noProof/>
                <w:szCs w:val="18"/>
              </w:rPr>
            </w:pPr>
            <w:r>
              <w:rPr>
                <w:noProof/>
              </w:rPr>
              <w:t>247a</w:t>
            </w:r>
          </w:p>
        </w:tc>
        <w:tc>
          <w:tcPr>
            <w:tcW w:w="4320" w:type="dxa"/>
            <w:tcBorders>
              <w:top w:val="nil"/>
              <w:left w:val="nil"/>
              <w:bottom w:val="single" w:sz="4" w:space="0" w:color="auto"/>
              <w:right w:val="single" w:sz="4" w:space="0" w:color="auto"/>
            </w:tcBorders>
            <w:shd w:val="clear" w:color="auto" w:fill="C6EFCE"/>
            <w:noWrap/>
            <w:vAlign w:val="center"/>
          </w:tcPr>
          <w:p w14:paraId="36F341DB" w14:textId="77777777" w:rsidR="00CB0FCB" w:rsidRDefault="009D2B11">
            <w:pPr>
              <w:pStyle w:val="P68B1DB1-Normal8"/>
              <w:keepNext/>
              <w:spacing w:before="40" w:after="0" w:line="240" w:lineRule="auto"/>
              <w:jc w:val="both"/>
              <w:rPr>
                <w:rFonts w:cs="Times New Roman"/>
                <w:noProof/>
                <w:szCs w:val="18"/>
              </w:rPr>
            </w:pPr>
            <w:r>
              <w:rPr>
                <w:noProof/>
              </w:rPr>
              <w:t>16–4,5. Veicināt pētniecību un inovāciju — 16624_Creation — Izvēršana — Pētniecības un inovācijas ģenerālsekretariāta (GSRI) uzraudzīto pētniecības centru infrastruktūras modernizācija</w:t>
            </w:r>
          </w:p>
        </w:tc>
        <w:tc>
          <w:tcPr>
            <w:tcW w:w="1560" w:type="dxa"/>
            <w:tcBorders>
              <w:top w:val="nil"/>
              <w:left w:val="nil"/>
              <w:bottom w:val="single" w:sz="4" w:space="0" w:color="auto"/>
              <w:right w:val="single" w:sz="4" w:space="0" w:color="auto"/>
            </w:tcBorders>
            <w:shd w:val="clear" w:color="auto" w:fill="C6EFCE"/>
            <w:noWrap/>
            <w:vAlign w:val="center"/>
          </w:tcPr>
          <w:p w14:paraId="2D3242EE"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7C3E6C2A" w14:textId="5E31EE61" w:rsidR="00CB0FCB" w:rsidRDefault="009D2B11">
            <w:pPr>
              <w:pStyle w:val="P68B1DB1-Normal8"/>
              <w:keepNext/>
              <w:spacing w:before="40" w:after="0" w:line="240" w:lineRule="auto"/>
              <w:jc w:val="both"/>
              <w:rPr>
                <w:rFonts w:cs="Times New Roman"/>
                <w:noProof/>
                <w:szCs w:val="18"/>
              </w:rPr>
            </w:pPr>
            <w:r>
              <w:rPr>
                <w:noProof/>
              </w:rPr>
              <w:t>Līgumu slēgšanas tiesību piešķiršana pētniecības centriem — aprīkojuma un ēku iegāde</w:t>
            </w:r>
          </w:p>
        </w:tc>
      </w:tr>
      <w:tr w:rsidR="00CB0FCB" w14:paraId="733CA3E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A617199" w14:textId="2277F623" w:rsidR="00CB0FCB" w:rsidRDefault="009D2B11">
            <w:pPr>
              <w:pStyle w:val="P68B1DB1-Normal8"/>
              <w:keepNext/>
              <w:spacing w:before="40" w:after="0" w:line="240" w:lineRule="auto"/>
              <w:jc w:val="both"/>
              <w:rPr>
                <w:noProof/>
              </w:rPr>
            </w:pPr>
            <w:r>
              <w:rPr>
                <w:noProof/>
              </w:rPr>
              <w:t>277</w:t>
            </w:r>
          </w:p>
        </w:tc>
        <w:tc>
          <w:tcPr>
            <w:tcW w:w="4320" w:type="dxa"/>
            <w:tcBorders>
              <w:top w:val="nil"/>
              <w:left w:val="nil"/>
              <w:bottom w:val="single" w:sz="4" w:space="0" w:color="auto"/>
              <w:right w:val="single" w:sz="4" w:space="0" w:color="auto"/>
            </w:tcBorders>
            <w:shd w:val="clear" w:color="auto" w:fill="C6EFCE"/>
            <w:noWrap/>
            <w:vAlign w:val="center"/>
          </w:tcPr>
          <w:p w14:paraId="174FDB18" w14:textId="3DD2F01C" w:rsidR="00CB0FCB" w:rsidRDefault="009D2B11">
            <w:pPr>
              <w:pStyle w:val="P68B1DB1-Normal8"/>
              <w:keepNext/>
              <w:spacing w:before="40" w:after="0" w:line="240" w:lineRule="auto"/>
              <w:jc w:val="both"/>
              <w:rPr>
                <w:noProof/>
              </w:rPr>
            </w:pPr>
            <w:r>
              <w:rPr>
                <w:noProof/>
              </w:rPr>
              <w:t>17–4.6. Modernizēt un uzlabot galveno ekonomikas nozaru noturību — 16786_Infrastruktūras un transporta ministrijas procedūru vienkāršošana</w:t>
            </w:r>
          </w:p>
        </w:tc>
        <w:tc>
          <w:tcPr>
            <w:tcW w:w="1560" w:type="dxa"/>
            <w:tcBorders>
              <w:top w:val="nil"/>
              <w:left w:val="nil"/>
              <w:bottom w:val="single" w:sz="4" w:space="0" w:color="auto"/>
              <w:right w:val="single" w:sz="4" w:space="0" w:color="auto"/>
            </w:tcBorders>
            <w:shd w:val="clear" w:color="auto" w:fill="C6EFCE"/>
            <w:noWrap/>
            <w:vAlign w:val="center"/>
          </w:tcPr>
          <w:p w14:paraId="6D94D965" w14:textId="605235CA" w:rsidR="00CB0FCB" w:rsidRDefault="009D2B11">
            <w:pPr>
              <w:pStyle w:val="P68B1DB1-Normal8"/>
              <w:keepNext/>
              <w:spacing w:before="40" w:after="0" w:line="240" w:lineRule="auto"/>
              <w:jc w:val="both"/>
              <w:rPr>
                <w:noProof/>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0264E1F2" w14:textId="6F10F4D5" w:rsidR="00CB0FCB" w:rsidRDefault="009D2B11">
            <w:pPr>
              <w:pStyle w:val="P68B1DB1-Normal8"/>
              <w:keepNext/>
              <w:spacing w:before="40" w:after="0" w:line="240" w:lineRule="auto"/>
              <w:jc w:val="both"/>
              <w:rPr>
                <w:noProof/>
              </w:rPr>
            </w:pPr>
            <w:r>
              <w:rPr>
                <w:noProof/>
              </w:rPr>
              <w:t>Infrastruktūras un transporta ministrijas procedūru vienkāršošana</w:t>
            </w:r>
          </w:p>
        </w:tc>
      </w:tr>
      <w:tr w:rsidR="00CB0FCB" w14:paraId="6597D39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40776CB" w14:textId="77777777" w:rsidR="00CB0FCB" w:rsidRDefault="009D2B11">
            <w:pPr>
              <w:pStyle w:val="P68B1DB1-Normal8"/>
              <w:keepNext/>
              <w:spacing w:before="40" w:after="0" w:line="240" w:lineRule="auto"/>
              <w:jc w:val="both"/>
              <w:rPr>
                <w:rFonts w:cs="Times New Roman"/>
                <w:noProof/>
                <w:szCs w:val="18"/>
              </w:rPr>
            </w:pPr>
            <w:r>
              <w:rPr>
                <w:noProof/>
              </w:rPr>
              <w:t>280</w:t>
            </w:r>
          </w:p>
        </w:tc>
        <w:tc>
          <w:tcPr>
            <w:tcW w:w="4320" w:type="dxa"/>
            <w:tcBorders>
              <w:top w:val="nil"/>
              <w:left w:val="nil"/>
              <w:bottom w:val="single" w:sz="4" w:space="0" w:color="auto"/>
              <w:right w:val="single" w:sz="4" w:space="0" w:color="auto"/>
            </w:tcBorders>
            <w:shd w:val="clear" w:color="auto" w:fill="C6EFCE"/>
            <w:noWrap/>
            <w:vAlign w:val="center"/>
          </w:tcPr>
          <w:p w14:paraId="2D650A0A"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16293_Kultūra kā izaugsmes virzītājspēks</w:t>
            </w:r>
          </w:p>
        </w:tc>
        <w:tc>
          <w:tcPr>
            <w:tcW w:w="1560" w:type="dxa"/>
            <w:tcBorders>
              <w:top w:val="nil"/>
              <w:left w:val="nil"/>
              <w:bottom w:val="single" w:sz="4" w:space="0" w:color="auto"/>
              <w:right w:val="single" w:sz="4" w:space="0" w:color="auto"/>
            </w:tcBorders>
            <w:shd w:val="clear" w:color="auto" w:fill="C6EFCE"/>
            <w:noWrap/>
            <w:vAlign w:val="center"/>
          </w:tcPr>
          <w:p w14:paraId="183EE643"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vAlign w:val="center"/>
          </w:tcPr>
          <w:p w14:paraId="40144B41" w14:textId="77777777" w:rsidR="00CB0FCB" w:rsidRDefault="009D2B11">
            <w:pPr>
              <w:pStyle w:val="P68B1DB1-Normal8"/>
              <w:keepNext/>
              <w:spacing w:before="40" w:after="0" w:line="240" w:lineRule="auto"/>
              <w:jc w:val="both"/>
              <w:rPr>
                <w:rFonts w:cs="Times New Roman"/>
                <w:noProof/>
                <w:szCs w:val="18"/>
              </w:rPr>
            </w:pPr>
            <w:r>
              <w:rPr>
                <w:noProof/>
              </w:rPr>
              <w:t>Mūsdienu grieķu kultūras zīmols un platforma</w:t>
            </w:r>
          </w:p>
        </w:tc>
      </w:tr>
      <w:tr w:rsidR="00CB0FCB" w14:paraId="43320A2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0C9C46D5" w14:textId="77777777" w:rsidR="00CB0FCB" w:rsidRDefault="009D2B11">
            <w:pPr>
              <w:pStyle w:val="P68B1DB1-Normal8"/>
              <w:keepNext/>
              <w:spacing w:before="40" w:after="0" w:line="240" w:lineRule="auto"/>
              <w:jc w:val="both"/>
              <w:rPr>
                <w:rFonts w:cs="Times New Roman"/>
                <w:noProof/>
                <w:szCs w:val="18"/>
              </w:rPr>
            </w:pPr>
            <w:r>
              <w:rPr>
                <w:noProof/>
              </w:rPr>
              <w:t>333</w:t>
            </w:r>
          </w:p>
        </w:tc>
        <w:tc>
          <w:tcPr>
            <w:tcW w:w="4320" w:type="dxa"/>
            <w:tcBorders>
              <w:top w:val="nil"/>
              <w:left w:val="nil"/>
              <w:bottom w:val="single" w:sz="4" w:space="0" w:color="auto"/>
              <w:right w:val="single" w:sz="4" w:space="0" w:color="auto"/>
            </w:tcBorders>
            <w:shd w:val="clear" w:color="auto" w:fill="C6EFCE"/>
            <w:noWrap/>
          </w:tcPr>
          <w:p w14:paraId="62561518" w14:textId="77777777" w:rsidR="00CB0FCB" w:rsidRDefault="009D2B11">
            <w:pPr>
              <w:pStyle w:val="P68B1DB1-Normal8"/>
              <w:keepNext/>
              <w:spacing w:before="40" w:after="0" w:line="240" w:lineRule="auto"/>
              <w:jc w:val="both"/>
              <w:rPr>
                <w:rFonts w:cs="Times New Roman"/>
                <w:noProof/>
                <w:szCs w:val="18"/>
              </w:rPr>
            </w:pPr>
            <w:r>
              <w:rPr>
                <w:noProof/>
              </w:rPr>
              <w:t>5–2.1. Connect — 16844_ Pāreja uz 5G tehnoloģiju, veicinot inovatīvu attālināto pakalpojumu attīstību</w:t>
            </w:r>
          </w:p>
        </w:tc>
        <w:tc>
          <w:tcPr>
            <w:tcW w:w="1560" w:type="dxa"/>
            <w:tcBorders>
              <w:top w:val="nil"/>
              <w:left w:val="nil"/>
              <w:bottom w:val="single" w:sz="4" w:space="0" w:color="auto"/>
              <w:right w:val="single" w:sz="4" w:space="0" w:color="auto"/>
            </w:tcBorders>
            <w:shd w:val="clear" w:color="auto" w:fill="C6EFCE"/>
            <w:noWrap/>
          </w:tcPr>
          <w:p w14:paraId="1B743102"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920" w:type="dxa"/>
            <w:tcBorders>
              <w:top w:val="nil"/>
              <w:left w:val="nil"/>
              <w:bottom w:val="single" w:sz="4" w:space="0" w:color="auto"/>
              <w:right w:val="single" w:sz="4" w:space="0" w:color="auto"/>
            </w:tcBorders>
            <w:shd w:val="clear" w:color="auto" w:fill="C6EFCE"/>
            <w:noWrap/>
          </w:tcPr>
          <w:p w14:paraId="5388D3CC" w14:textId="77777777" w:rsidR="00CB0FCB" w:rsidRDefault="009D2B11">
            <w:pPr>
              <w:pStyle w:val="P68B1DB1-Normal8"/>
              <w:keepNext/>
              <w:spacing w:before="40" w:after="0" w:line="240" w:lineRule="auto"/>
              <w:jc w:val="both"/>
              <w:rPr>
                <w:rFonts w:cs="Times New Roman"/>
                <w:noProof/>
                <w:szCs w:val="18"/>
              </w:rPr>
            </w:pPr>
            <w:r>
              <w:rPr>
                <w:noProof/>
              </w:rPr>
              <w:t>Pārejas uz 5G tehnoloģiju reformu stāšanās spēkā</w:t>
            </w:r>
          </w:p>
        </w:tc>
      </w:tr>
      <w:tr w:rsidR="00CB0FCB" w14:paraId="7EFA0BC8"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6DF7FE8"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268a</w:t>
            </w: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673AB056"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17–4.6. Modernizēt un uzlabot galveno ekonomikas nozaru noturību — 16982_Organizācijas reforma dzelzceļa nozarē</w:t>
            </w:r>
          </w:p>
        </w:tc>
        <w:tc>
          <w:tcPr>
            <w:tcW w:w="1560" w:type="dxa"/>
            <w:tcBorders>
              <w:top w:val="single" w:sz="4" w:space="0" w:color="auto"/>
              <w:left w:val="nil"/>
              <w:bottom w:val="single" w:sz="4" w:space="0" w:color="auto"/>
              <w:right w:val="single" w:sz="4" w:space="0" w:color="auto"/>
            </w:tcBorders>
            <w:shd w:val="clear" w:color="auto" w:fill="C6EFCE"/>
            <w:noWrap/>
            <w:vAlign w:val="bottom"/>
          </w:tcPr>
          <w:p w14:paraId="518BB0E7"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920" w:type="dxa"/>
            <w:tcBorders>
              <w:top w:val="single" w:sz="4" w:space="0" w:color="auto"/>
              <w:left w:val="nil"/>
              <w:bottom w:val="single" w:sz="4" w:space="0" w:color="auto"/>
              <w:right w:val="single" w:sz="4" w:space="0" w:color="auto"/>
            </w:tcBorders>
            <w:shd w:val="clear" w:color="auto" w:fill="C6EFCE"/>
            <w:noWrap/>
            <w:vAlign w:val="bottom"/>
          </w:tcPr>
          <w:p w14:paraId="770E69B4" w14:textId="090FCBF5" w:rsidR="00CB0FCB" w:rsidRDefault="009D2B11">
            <w:pPr>
              <w:pStyle w:val="P68B1DB1-Normal24"/>
              <w:keepNext/>
              <w:spacing w:before="40" w:after="0" w:line="259" w:lineRule="auto"/>
              <w:jc w:val="both"/>
              <w:rPr>
                <w:rFonts w:eastAsia="Times New Roman" w:cs="Calibri"/>
                <w:noProof/>
                <w:color w:val="006100"/>
              </w:rPr>
            </w:pPr>
            <w:r>
              <w:rPr>
                <w:rFonts w:ascii="Times New Roman" w:hAnsi="Times New Roman"/>
                <w:noProof/>
              </w:rPr>
              <w:t xml:space="preserve">Tiesību akti par Grieķijas dzelzceļiem un nolīguma </w:t>
            </w:r>
            <w:r>
              <w:rPr>
                <w:noProof/>
                <w:color w:val="006100"/>
              </w:rPr>
              <w:t xml:space="preserve"> </w:t>
            </w:r>
            <w:r>
              <w:rPr>
                <w:rFonts w:ascii="Times New Roman" w:hAnsi="Times New Roman"/>
                <w:noProof/>
              </w:rPr>
              <w:t>noslēgšana tehniskā vadītāja vārdā</w:t>
            </w:r>
          </w:p>
        </w:tc>
      </w:tr>
      <w:tr w:rsidR="00CB0FCB" w14:paraId="03BA9E6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9A2FF5A"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353</w:t>
            </w:r>
          </w:p>
        </w:tc>
        <w:tc>
          <w:tcPr>
            <w:tcW w:w="4320" w:type="dxa"/>
            <w:tcBorders>
              <w:top w:val="single" w:sz="4" w:space="0" w:color="auto"/>
              <w:left w:val="nil"/>
              <w:bottom w:val="single" w:sz="4" w:space="0" w:color="auto"/>
              <w:right w:val="single" w:sz="4" w:space="0" w:color="auto"/>
            </w:tcBorders>
            <w:shd w:val="clear" w:color="auto" w:fill="C6EFCE"/>
            <w:noWrap/>
          </w:tcPr>
          <w:p w14:paraId="5D2AF7BC"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20–5.1. REPowerEU reformas — 16989_Sauszemes un jūras telpas izmantošanas optimizācija AER un atkrastes vēja enerģijas attīstībai</w:t>
            </w:r>
          </w:p>
        </w:tc>
        <w:tc>
          <w:tcPr>
            <w:tcW w:w="1560" w:type="dxa"/>
            <w:tcBorders>
              <w:top w:val="single" w:sz="4" w:space="0" w:color="auto"/>
              <w:left w:val="nil"/>
              <w:bottom w:val="single" w:sz="4" w:space="0" w:color="auto"/>
              <w:right w:val="single" w:sz="4" w:space="0" w:color="auto"/>
            </w:tcBorders>
            <w:shd w:val="clear" w:color="auto" w:fill="C6EFCE"/>
            <w:noWrap/>
          </w:tcPr>
          <w:p w14:paraId="546ED18B"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920" w:type="dxa"/>
            <w:tcBorders>
              <w:top w:val="single" w:sz="4" w:space="0" w:color="auto"/>
              <w:left w:val="nil"/>
              <w:bottom w:val="single" w:sz="4" w:space="0" w:color="auto"/>
              <w:right w:val="single" w:sz="4" w:space="0" w:color="auto"/>
            </w:tcBorders>
            <w:shd w:val="clear" w:color="auto" w:fill="C6EFCE"/>
            <w:noWrap/>
          </w:tcPr>
          <w:p w14:paraId="3A69B111" w14:textId="77777777" w:rsidR="00CB0FCB" w:rsidRDefault="009D2B11">
            <w:pPr>
              <w:pStyle w:val="P68B1DB1-Normal8"/>
              <w:keepNext/>
              <w:spacing w:before="40" w:after="0" w:line="259" w:lineRule="auto"/>
              <w:jc w:val="both"/>
              <w:rPr>
                <w:rFonts w:eastAsia="Times New Roman" w:cs="Times New Roman"/>
                <w:noProof/>
                <w:szCs w:val="18"/>
              </w:rPr>
            </w:pPr>
            <w:r>
              <w:rPr>
                <w:noProof/>
              </w:rPr>
              <w:t>Pētījums, lai noteiktu optimālās teritorijas AER attīstībai un politikas satvara stāšanās spēkā attiecībā uz zemes divējādu izmantošanu lauksaimniecībā un saules fotoelementu ražošanā</w:t>
            </w:r>
          </w:p>
        </w:tc>
      </w:tr>
      <w:tr w:rsidR="00CB0FCB" w14:paraId="31F29204"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17A4D9C0" w14:textId="65A444E1" w:rsidR="00CB0FCB" w:rsidRDefault="009D2B11">
            <w:pPr>
              <w:pStyle w:val="P68B1DB1-Normal8"/>
              <w:keepNext/>
              <w:spacing w:before="40" w:after="0" w:line="259" w:lineRule="auto"/>
              <w:jc w:val="both"/>
              <w:rPr>
                <w:noProof/>
              </w:rPr>
            </w:pPr>
            <w:r>
              <w:rPr>
                <w:noProof/>
              </w:rPr>
              <w:t>355</w:t>
            </w:r>
          </w:p>
        </w:tc>
        <w:tc>
          <w:tcPr>
            <w:tcW w:w="4320" w:type="dxa"/>
            <w:tcBorders>
              <w:top w:val="single" w:sz="4" w:space="0" w:color="auto"/>
              <w:left w:val="nil"/>
              <w:bottom w:val="single" w:sz="4" w:space="0" w:color="auto"/>
              <w:right w:val="single" w:sz="4" w:space="0" w:color="auto"/>
            </w:tcBorders>
            <w:shd w:val="clear" w:color="auto" w:fill="C6EFCE"/>
            <w:noWrap/>
          </w:tcPr>
          <w:p w14:paraId="2A426B86" w14:textId="69F36006" w:rsidR="00CB0FCB" w:rsidRDefault="009D2B11">
            <w:pPr>
              <w:pStyle w:val="P68B1DB1-Normal8"/>
              <w:keepNext/>
              <w:spacing w:before="40" w:after="0" w:line="259" w:lineRule="auto"/>
              <w:jc w:val="both"/>
              <w:rPr>
                <w:noProof/>
              </w:rPr>
            </w:pPr>
            <w:r>
              <w:rPr>
                <w:noProof/>
              </w:rPr>
              <w:t xml:space="preserve">20–5.1. REPowerEU reformas — 16988_Oglekļa uztveršanas, izmantošanas un uzglabāšanas tehnoloģiju regulatīvais un tirgus darbības satvars rūpniecības dekarbonizācijas veicināšanai </w:t>
            </w:r>
          </w:p>
        </w:tc>
        <w:tc>
          <w:tcPr>
            <w:tcW w:w="1560" w:type="dxa"/>
            <w:tcBorders>
              <w:top w:val="single" w:sz="4" w:space="0" w:color="auto"/>
              <w:left w:val="nil"/>
              <w:bottom w:val="single" w:sz="4" w:space="0" w:color="auto"/>
              <w:right w:val="single" w:sz="4" w:space="0" w:color="auto"/>
            </w:tcBorders>
            <w:shd w:val="clear" w:color="auto" w:fill="C6EFCE"/>
            <w:noWrap/>
          </w:tcPr>
          <w:p w14:paraId="5123C62D" w14:textId="38B7C2C9" w:rsidR="00CB0FCB" w:rsidRDefault="009D2B11">
            <w:pPr>
              <w:pStyle w:val="P68B1DB1-Normal8"/>
              <w:keepNext/>
              <w:spacing w:before="40" w:after="0" w:line="259" w:lineRule="auto"/>
              <w:jc w:val="both"/>
              <w:rPr>
                <w:noProof/>
              </w:rPr>
            </w:pPr>
            <w:r>
              <w:rPr>
                <w:noProof/>
              </w:rPr>
              <w:t>Atskaites punkts</w:t>
            </w:r>
          </w:p>
        </w:tc>
        <w:tc>
          <w:tcPr>
            <w:tcW w:w="1920" w:type="dxa"/>
            <w:tcBorders>
              <w:top w:val="single" w:sz="4" w:space="0" w:color="auto"/>
              <w:left w:val="nil"/>
              <w:bottom w:val="single" w:sz="4" w:space="0" w:color="auto"/>
              <w:right w:val="single" w:sz="4" w:space="0" w:color="auto"/>
            </w:tcBorders>
            <w:shd w:val="clear" w:color="auto" w:fill="C6EFCE"/>
            <w:noWrap/>
          </w:tcPr>
          <w:p w14:paraId="647685A9" w14:textId="7CB8757A" w:rsidR="00CB0FCB" w:rsidRDefault="009D2B11">
            <w:pPr>
              <w:pStyle w:val="P68B1DB1-Normal8"/>
              <w:keepNext/>
              <w:spacing w:before="40" w:after="0" w:line="259" w:lineRule="auto"/>
              <w:jc w:val="both"/>
              <w:rPr>
                <w:noProof/>
              </w:rPr>
            </w:pPr>
            <w:r>
              <w:rPr>
                <w:noProof/>
              </w:rPr>
              <w:t>Tiesiskā regulējuma izveide oglekļa uztveršanai, izmantošanai un uzglabāšanai.</w:t>
            </w:r>
          </w:p>
        </w:tc>
      </w:tr>
      <w:tr w:rsidR="00CB0FCB" w14:paraId="5788C06F"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295BF5B1" w14:textId="77777777" w:rsidR="00CB0FCB" w:rsidRDefault="009D2B11">
            <w:pPr>
              <w:pStyle w:val="P68B1DB1-Normal8"/>
              <w:keepNext/>
              <w:spacing w:before="40" w:after="0" w:line="259" w:lineRule="auto"/>
              <w:jc w:val="both"/>
              <w:rPr>
                <w:rFonts w:cs="Times New Roman"/>
                <w:noProof/>
              </w:rPr>
            </w:pPr>
            <w:r>
              <w:rPr>
                <w:noProof/>
              </w:rPr>
              <w:t>359</w:t>
            </w:r>
          </w:p>
        </w:tc>
        <w:tc>
          <w:tcPr>
            <w:tcW w:w="4320" w:type="dxa"/>
            <w:tcBorders>
              <w:top w:val="single" w:sz="4" w:space="0" w:color="auto"/>
              <w:left w:val="nil"/>
              <w:bottom w:val="single" w:sz="4" w:space="0" w:color="auto"/>
              <w:right w:val="single" w:sz="4" w:space="0" w:color="auto"/>
            </w:tcBorders>
            <w:shd w:val="clear" w:color="auto" w:fill="C6EFCE"/>
            <w:noWrap/>
          </w:tcPr>
          <w:p w14:paraId="47ED4F15" w14:textId="77777777" w:rsidR="00CB0FCB" w:rsidRDefault="009D2B11">
            <w:pPr>
              <w:pStyle w:val="P68B1DB1-Normal8"/>
              <w:keepNext/>
              <w:spacing w:before="40" w:after="0" w:line="259" w:lineRule="auto"/>
              <w:jc w:val="both"/>
              <w:rPr>
                <w:rFonts w:cs="Times New Roman"/>
                <w:noProof/>
              </w:rPr>
            </w:pPr>
            <w:r>
              <w:rPr>
                <w:noProof/>
              </w:rPr>
              <w:t>20–5.1. REPowerEU reformas — 16991_Normatīvais satvars virzībā uz viedu tīklu</w:t>
            </w:r>
          </w:p>
        </w:tc>
        <w:tc>
          <w:tcPr>
            <w:tcW w:w="1560" w:type="dxa"/>
            <w:tcBorders>
              <w:top w:val="single" w:sz="4" w:space="0" w:color="auto"/>
              <w:left w:val="nil"/>
              <w:bottom w:val="single" w:sz="4" w:space="0" w:color="auto"/>
              <w:right w:val="single" w:sz="4" w:space="0" w:color="auto"/>
            </w:tcBorders>
            <w:shd w:val="clear" w:color="auto" w:fill="C6EFCE"/>
            <w:noWrap/>
          </w:tcPr>
          <w:p w14:paraId="75FFB2EA" w14:textId="77777777" w:rsidR="00CB0FCB" w:rsidRDefault="009D2B11">
            <w:pPr>
              <w:pStyle w:val="P68B1DB1-Normal8"/>
              <w:keepNext/>
              <w:spacing w:before="40" w:after="0" w:line="259" w:lineRule="auto"/>
              <w:jc w:val="both"/>
              <w:rPr>
                <w:rFonts w:cs="Times New Roman"/>
                <w:noProof/>
              </w:rPr>
            </w:pPr>
            <w:r>
              <w:rPr>
                <w:noProof/>
              </w:rPr>
              <w:t xml:space="preserve">Atskaites punkts </w:t>
            </w:r>
          </w:p>
        </w:tc>
        <w:tc>
          <w:tcPr>
            <w:tcW w:w="1920" w:type="dxa"/>
            <w:tcBorders>
              <w:top w:val="single" w:sz="4" w:space="0" w:color="auto"/>
              <w:left w:val="nil"/>
              <w:bottom w:val="single" w:sz="4" w:space="0" w:color="auto"/>
              <w:right w:val="single" w:sz="4" w:space="0" w:color="auto"/>
            </w:tcBorders>
            <w:shd w:val="clear" w:color="auto" w:fill="C6EFCE"/>
            <w:noWrap/>
          </w:tcPr>
          <w:p w14:paraId="6D7FB67D" w14:textId="77777777" w:rsidR="00CB0FCB" w:rsidRDefault="009D2B11">
            <w:pPr>
              <w:pStyle w:val="P68B1DB1-Normal8"/>
              <w:keepNext/>
              <w:spacing w:before="40" w:after="0" w:line="259" w:lineRule="auto"/>
              <w:jc w:val="both"/>
              <w:rPr>
                <w:rFonts w:cs="Times New Roman"/>
                <w:noProof/>
              </w:rPr>
            </w:pPr>
            <w:r>
              <w:rPr>
                <w:noProof/>
              </w:rPr>
              <w:t xml:space="preserve">Dinamisko cenu noteikšanas līgumu sistēma </w:t>
            </w:r>
          </w:p>
        </w:tc>
      </w:tr>
      <w:tr w:rsidR="00CB0FCB" w14:paraId="0CBBD273"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2609C5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2F59AC6A"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560" w:type="dxa"/>
            <w:tcBorders>
              <w:top w:val="single" w:sz="4" w:space="0" w:color="auto"/>
              <w:left w:val="nil"/>
              <w:bottom w:val="single" w:sz="4" w:space="0" w:color="auto"/>
              <w:right w:val="single" w:sz="4" w:space="0" w:color="auto"/>
            </w:tcBorders>
            <w:shd w:val="clear" w:color="auto" w:fill="C6EFCE"/>
            <w:noWrap/>
            <w:vAlign w:val="bottom"/>
          </w:tcPr>
          <w:p w14:paraId="1E3821F2" w14:textId="77777777" w:rsidR="00CB0FCB" w:rsidRDefault="009D2B11">
            <w:pPr>
              <w:pStyle w:val="P68B1DB1-Normal8"/>
              <w:keepNext/>
              <w:spacing w:before="40" w:after="0" w:line="259" w:lineRule="auto"/>
              <w:jc w:val="both"/>
              <w:rPr>
                <w:rFonts w:eastAsia="Times New Roman" w:cs="Times New Roman"/>
                <w:noProof/>
                <w:szCs w:val="18"/>
              </w:rPr>
            </w:pPr>
            <w:r>
              <w:rPr>
                <w:noProof/>
              </w:rPr>
              <w:t>Maksājuma summa</w:t>
            </w:r>
          </w:p>
        </w:tc>
        <w:tc>
          <w:tcPr>
            <w:tcW w:w="1920" w:type="dxa"/>
            <w:tcBorders>
              <w:top w:val="single" w:sz="4" w:space="0" w:color="auto"/>
              <w:left w:val="nil"/>
              <w:bottom w:val="single" w:sz="4" w:space="0" w:color="auto"/>
              <w:right w:val="single" w:sz="4" w:space="0" w:color="auto"/>
            </w:tcBorders>
            <w:shd w:val="clear" w:color="auto" w:fill="C6EFCE"/>
            <w:noWrap/>
            <w:vAlign w:val="bottom"/>
          </w:tcPr>
          <w:p w14:paraId="6A7B06AC" w14:textId="3FB3E431" w:rsidR="00CB0FCB" w:rsidRDefault="009D2B11">
            <w:pPr>
              <w:pStyle w:val="P68B1DB1-Normal8"/>
              <w:keepNext/>
              <w:spacing w:before="40" w:after="0" w:line="259" w:lineRule="auto"/>
              <w:jc w:val="both"/>
              <w:rPr>
                <w:rFonts w:eastAsia="Times New Roman" w:cs="Times New Roman"/>
                <w:noProof/>
                <w:szCs w:val="18"/>
              </w:rPr>
            </w:pPr>
            <w:r>
              <w:rPr>
                <w:noProof/>
              </w:rPr>
              <w:t>EUR 1522674930</w:t>
            </w:r>
          </w:p>
        </w:tc>
      </w:tr>
    </w:tbl>
    <w:p w14:paraId="3CAA9307" w14:textId="4F36F6C1"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Astotais maksājuma pieprasījums (neatmaksājams atbalsts): </w:t>
      </w:r>
    </w:p>
    <w:p w14:paraId="6EB2767A" w14:textId="77777777" w:rsidR="00CB0FCB" w:rsidRDefault="00CB0FCB">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Spec="center" w:tblpY="1"/>
        <w:tblOverlap w:val="never"/>
        <w:tblW w:w="9536" w:type="dxa"/>
        <w:tblLayout w:type="fixed"/>
        <w:tblLook w:val="04A0" w:firstRow="1" w:lastRow="0" w:firstColumn="1" w:lastColumn="0" w:noHBand="0" w:noVBand="1"/>
      </w:tblPr>
      <w:tblGrid>
        <w:gridCol w:w="1804"/>
        <w:gridCol w:w="4283"/>
        <w:gridCol w:w="1692"/>
        <w:gridCol w:w="1757"/>
      </w:tblGrid>
      <w:tr w:rsidR="00CB0FCB" w14:paraId="4B6EB1EA" w14:textId="77777777">
        <w:trPr>
          <w:trHeight w:val="906"/>
          <w:tblHeader/>
        </w:trPr>
        <w:tc>
          <w:tcPr>
            <w:tcW w:w="18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D7565F"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196AC1"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214BD9"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67A696"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1E217021" w14:textId="77777777">
        <w:trPr>
          <w:trHeight w:val="990"/>
        </w:trPr>
        <w:tc>
          <w:tcPr>
            <w:tcW w:w="1804" w:type="dxa"/>
            <w:vMerge/>
            <w:tcBorders>
              <w:top w:val="single" w:sz="4" w:space="0" w:color="auto"/>
              <w:left w:val="single" w:sz="4" w:space="0" w:color="auto"/>
              <w:bottom w:val="single" w:sz="4" w:space="0" w:color="auto"/>
              <w:right w:val="single" w:sz="4" w:space="0" w:color="auto"/>
            </w:tcBorders>
            <w:vAlign w:val="center"/>
            <w:hideMark/>
          </w:tcPr>
          <w:p w14:paraId="70AC4DA6"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14:paraId="1D2BCBDF"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14:paraId="3438F983"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8C8E5B8"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413CBFB1"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1EABAF" w14:textId="75432DFF" w:rsidR="00CB0FCB" w:rsidRDefault="009D2B11">
            <w:pPr>
              <w:pStyle w:val="P68B1DB1-Normal8"/>
              <w:keepNext/>
              <w:spacing w:before="40" w:after="0" w:line="240" w:lineRule="auto"/>
              <w:jc w:val="both"/>
              <w:rPr>
                <w:noProof/>
              </w:rPr>
            </w:pPr>
            <w:r>
              <w:rPr>
                <w:noProof/>
              </w:rPr>
              <w:t>109</w:t>
            </w:r>
          </w:p>
        </w:tc>
        <w:tc>
          <w:tcPr>
            <w:tcW w:w="4283" w:type="dxa"/>
            <w:tcBorders>
              <w:top w:val="single" w:sz="4" w:space="0" w:color="auto"/>
              <w:left w:val="nil"/>
              <w:bottom w:val="single" w:sz="4" w:space="0" w:color="auto"/>
              <w:right w:val="single" w:sz="4" w:space="0" w:color="auto"/>
            </w:tcBorders>
            <w:shd w:val="clear" w:color="auto" w:fill="C6EFCE"/>
            <w:noWrap/>
            <w:vAlign w:val="center"/>
          </w:tcPr>
          <w:p w14:paraId="4BAD58DA" w14:textId="2D488DBE" w:rsidR="00CB0FCB" w:rsidRDefault="009D2B11">
            <w:pPr>
              <w:pStyle w:val="P68B1DB1-Normal8"/>
              <w:keepNext/>
              <w:spacing w:before="40" w:after="0" w:line="240" w:lineRule="auto"/>
              <w:jc w:val="both"/>
              <w:rPr>
                <w:noProof/>
              </w:rPr>
            </w:pPr>
            <w:r>
              <w:rPr>
                <w:noProof/>
              </w:rPr>
              <w:t>6–2.2. Modernizācija — 16810_CRM Vispārējai valdībai</w:t>
            </w:r>
          </w:p>
        </w:tc>
        <w:tc>
          <w:tcPr>
            <w:tcW w:w="1692" w:type="dxa"/>
            <w:tcBorders>
              <w:top w:val="single" w:sz="4" w:space="0" w:color="auto"/>
              <w:left w:val="nil"/>
              <w:bottom w:val="single" w:sz="4" w:space="0" w:color="auto"/>
              <w:right w:val="single" w:sz="4" w:space="0" w:color="auto"/>
            </w:tcBorders>
            <w:shd w:val="clear" w:color="auto" w:fill="C6EFCE"/>
            <w:noWrap/>
            <w:vAlign w:val="center"/>
          </w:tcPr>
          <w:p w14:paraId="54367BD6" w14:textId="53728079" w:rsidR="00CB0FCB" w:rsidRDefault="009D2B11">
            <w:pPr>
              <w:pStyle w:val="P68B1DB1-Normal8"/>
              <w:keepNext/>
              <w:spacing w:before="40" w:after="0" w:line="240" w:lineRule="auto"/>
              <w:jc w:val="both"/>
              <w:rPr>
                <w:noProof/>
              </w:rPr>
            </w:pPr>
            <w:r>
              <w:rPr>
                <w:noProof/>
              </w:rPr>
              <w:t>Atskaites punkts</w:t>
            </w:r>
          </w:p>
        </w:tc>
        <w:tc>
          <w:tcPr>
            <w:tcW w:w="1757" w:type="dxa"/>
            <w:tcBorders>
              <w:top w:val="single" w:sz="4" w:space="0" w:color="auto"/>
              <w:left w:val="nil"/>
              <w:bottom w:val="single" w:sz="4" w:space="0" w:color="auto"/>
              <w:right w:val="single" w:sz="4" w:space="0" w:color="auto"/>
            </w:tcBorders>
            <w:shd w:val="clear" w:color="auto" w:fill="C6EFCE"/>
            <w:noWrap/>
            <w:vAlign w:val="center"/>
          </w:tcPr>
          <w:p w14:paraId="49399603" w14:textId="4D639D83" w:rsidR="00CB0FCB" w:rsidRDefault="009D2B11">
            <w:pPr>
              <w:pStyle w:val="P68B1DB1-Normal8"/>
              <w:keepNext/>
              <w:spacing w:before="40" w:after="0" w:line="240" w:lineRule="auto"/>
              <w:jc w:val="both"/>
              <w:rPr>
                <w:noProof/>
              </w:rPr>
            </w:pPr>
            <w:r>
              <w:rPr>
                <w:noProof/>
              </w:rPr>
              <w:t>Vispārējās valdības JAM un Gov.gr — kurjeru projektu pabeigšana</w:t>
            </w:r>
          </w:p>
        </w:tc>
      </w:tr>
      <w:tr w:rsidR="00CB0FCB" w14:paraId="5AE00E4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416756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114</w:t>
            </w:r>
          </w:p>
        </w:tc>
        <w:tc>
          <w:tcPr>
            <w:tcW w:w="4283" w:type="dxa"/>
            <w:tcBorders>
              <w:top w:val="nil"/>
              <w:left w:val="nil"/>
              <w:bottom w:val="single" w:sz="4" w:space="0" w:color="auto"/>
              <w:right w:val="single" w:sz="4" w:space="0" w:color="auto"/>
            </w:tcBorders>
            <w:shd w:val="clear" w:color="auto" w:fill="C6EFCE"/>
            <w:noWrap/>
            <w:vAlign w:val="center"/>
          </w:tcPr>
          <w:p w14:paraId="5CA1C5E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16742_Ārlietu ministrijas digitālā pārveide</w:t>
            </w:r>
          </w:p>
        </w:tc>
        <w:tc>
          <w:tcPr>
            <w:tcW w:w="1692" w:type="dxa"/>
            <w:tcBorders>
              <w:top w:val="nil"/>
              <w:left w:val="nil"/>
              <w:bottom w:val="single" w:sz="4" w:space="0" w:color="auto"/>
              <w:right w:val="single" w:sz="4" w:space="0" w:color="auto"/>
            </w:tcBorders>
            <w:shd w:val="clear" w:color="auto" w:fill="C6EFCE"/>
            <w:noWrap/>
            <w:vAlign w:val="center"/>
          </w:tcPr>
          <w:p w14:paraId="4531390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0C66B2A5" w14:textId="77777777" w:rsidR="00CB0FCB" w:rsidRDefault="009D2B11">
            <w:pPr>
              <w:pStyle w:val="P68B1DB1-Normal8"/>
              <w:keepNext/>
              <w:spacing w:before="40" w:after="0" w:line="240" w:lineRule="auto"/>
              <w:jc w:val="both"/>
              <w:rPr>
                <w:rFonts w:eastAsia="Times New Roman" w:cs="Times New Roman"/>
                <w:noProof/>
                <w:szCs w:val="18"/>
              </w:rPr>
            </w:pPr>
            <w:r>
              <w:rPr>
                <w:noProof/>
              </w:rPr>
              <w:t>Ārlietu ministrijas digitālās pārveides pabeigšana</w:t>
            </w:r>
          </w:p>
        </w:tc>
      </w:tr>
      <w:tr w:rsidR="00CB0FCB" w14:paraId="2502548E"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090855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115</w:t>
            </w:r>
          </w:p>
        </w:tc>
        <w:tc>
          <w:tcPr>
            <w:tcW w:w="4283" w:type="dxa"/>
            <w:tcBorders>
              <w:top w:val="nil"/>
              <w:left w:val="nil"/>
              <w:bottom w:val="single" w:sz="4" w:space="0" w:color="auto"/>
              <w:right w:val="single" w:sz="4" w:space="0" w:color="auto"/>
            </w:tcBorders>
            <w:shd w:val="clear" w:color="auto" w:fill="C6EFCE"/>
            <w:noWrap/>
            <w:vAlign w:val="center"/>
          </w:tcPr>
          <w:p w14:paraId="2357783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16791_Grieķijas Valsts tūrisma organizācijas digitālā pārveide</w:t>
            </w:r>
          </w:p>
        </w:tc>
        <w:tc>
          <w:tcPr>
            <w:tcW w:w="1692" w:type="dxa"/>
            <w:tcBorders>
              <w:top w:val="nil"/>
              <w:left w:val="nil"/>
              <w:bottom w:val="single" w:sz="4" w:space="0" w:color="auto"/>
              <w:right w:val="single" w:sz="4" w:space="0" w:color="auto"/>
            </w:tcBorders>
            <w:shd w:val="clear" w:color="auto" w:fill="C6EFCE"/>
            <w:noWrap/>
            <w:vAlign w:val="center"/>
          </w:tcPr>
          <w:p w14:paraId="6DAC0FF3"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7CECD708"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Grieķijas Nacionālās tūrisma organizācijas digitalizācijas pabeigšana </w:t>
            </w:r>
          </w:p>
        </w:tc>
      </w:tr>
      <w:tr w:rsidR="00CB0FCB" w14:paraId="5DE1061E"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5728EC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116</w:t>
            </w:r>
          </w:p>
        </w:tc>
        <w:tc>
          <w:tcPr>
            <w:tcW w:w="4283" w:type="dxa"/>
            <w:tcBorders>
              <w:top w:val="nil"/>
              <w:left w:val="nil"/>
              <w:bottom w:val="single" w:sz="4" w:space="0" w:color="auto"/>
              <w:right w:val="single" w:sz="4" w:space="0" w:color="auto"/>
            </w:tcBorders>
            <w:shd w:val="clear" w:color="auto" w:fill="C6EFCE"/>
            <w:noWrap/>
            <w:vAlign w:val="center"/>
          </w:tcPr>
          <w:p w14:paraId="76DCFF5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16964_Nākamās paaudzes sadarbspējas centrs (KED)</w:t>
            </w:r>
          </w:p>
        </w:tc>
        <w:tc>
          <w:tcPr>
            <w:tcW w:w="1692" w:type="dxa"/>
            <w:tcBorders>
              <w:top w:val="nil"/>
              <w:left w:val="nil"/>
              <w:bottom w:val="single" w:sz="4" w:space="0" w:color="auto"/>
              <w:right w:val="single" w:sz="4" w:space="0" w:color="auto"/>
            </w:tcBorders>
            <w:shd w:val="clear" w:color="auto" w:fill="C6EFCE"/>
            <w:noWrap/>
            <w:vAlign w:val="center"/>
          </w:tcPr>
          <w:p w14:paraId="173BFD7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73780191" w14:textId="77777777" w:rsidR="00CB0FCB" w:rsidRDefault="009D2B11">
            <w:pPr>
              <w:pStyle w:val="P68B1DB1-Normal8"/>
              <w:keepNext/>
              <w:spacing w:before="40" w:after="0" w:line="240" w:lineRule="auto"/>
              <w:jc w:val="both"/>
              <w:rPr>
                <w:rFonts w:eastAsia="Times New Roman" w:cs="Times New Roman"/>
                <w:noProof/>
                <w:szCs w:val="18"/>
              </w:rPr>
            </w:pPr>
            <w:r>
              <w:rPr>
                <w:noProof/>
              </w:rPr>
              <w:t>Nākamās paaudzes sadarbspējas centra pabeigšana</w:t>
            </w:r>
          </w:p>
        </w:tc>
      </w:tr>
      <w:tr w:rsidR="00CB0FCB" w14:paraId="76CC0A37"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1CB4A33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117</w:t>
            </w:r>
          </w:p>
        </w:tc>
        <w:tc>
          <w:tcPr>
            <w:tcW w:w="4283" w:type="dxa"/>
            <w:tcBorders>
              <w:top w:val="nil"/>
              <w:left w:val="nil"/>
              <w:bottom w:val="single" w:sz="4" w:space="0" w:color="auto"/>
              <w:right w:val="single" w:sz="4" w:space="0" w:color="auto"/>
            </w:tcBorders>
            <w:shd w:val="clear" w:color="auto" w:fill="C6EFCE"/>
            <w:noWrap/>
            <w:vAlign w:val="center"/>
          </w:tcPr>
          <w:p w14:paraId="58E6213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16785_Tūrisma reģistra e-MHTE</w:t>
            </w:r>
          </w:p>
        </w:tc>
        <w:tc>
          <w:tcPr>
            <w:tcW w:w="1692" w:type="dxa"/>
            <w:tcBorders>
              <w:top w:val="nil"/>
              <w:left w:val="nil"/>
              <w:bottom w:val="single" w:sz="4" w:space="0" w:color="auto"/>
              <w:right w:val="single" w:sz="4" w:space="0" w:color="auto"/>
            </w:tcBorders>
            <w:shd w:val="clear" w:color="auto" w:fill="C6EFCE"/>
            <w:noWrap/>
            <w:vAlign w:val="center"/>
          </w:tcPr>
          <w:p w14:paraId="0F940EB9"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3E059258"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Digitālā tūrisma reģistra pabeigšana </w:t>
            </w:r>
          </w:p>
        </w:tc>
      </w:tr>
      <w:tr w:rsidR="00CB0FCB" w14:paraId="5EA9F5C3"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3D5761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131</w:t>
            </w:r>
          </w:p>
        </w:tc>
        <w:tc>
          <w:tcPr>
            <w:tcW w:w="4283" w:type="dxa"/>
            <w:tcBorders>
              <w:top w:val="nil"/>
              <w:left w:val="nil"/>
              <w:bottom w:val="single" w:sz="4" w:space="0" w:color="auto"/>
              <w:right w:val="single" w:sz="4" w:space="0" w:color="auto"/>
            </w:tcBorders>
            <w:shd w:val="clear" w:color="auto" w:fill="C6EFCE"/>
            <w:noWrap/>
            <w:vAlign w:val="center"/>
          </w:tcPr>
          <w:p w14:paraId="1F1FC85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7–2.3. Uzņēmumu digitalizācija — 16706_MVU digitālā pārveide</w:t>
            </w:r>
          </w:p>
        </w:tc>
        <w:tc>
          <w:tcPr>
            <w:tcW w:w="1692" w:type="dxa"/>
            <w:tcBorders>
              <w:top w:val="nil"/>
              <w:left w:val="nil"/>
              <w:bottom w:val="single" w:sz="4" w:space="0" w:color="auto"/>
              <w:right w:val="single" w:sz="4" w:space="0" w:color="auto"/>
            </w:tcBorders>
            <w:shd w:val="clear" w:color="auto" w:fill="C6EFCE"/>
            <w:noWrap/>
            <w:vAlign w:val="center"/>
          </w:tcPr>
          <w:p w14:paraId="21557AB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675262EC" w14:textId="77777777" w:rsidR="00CB0FCB" w:rsidRDefault="009D2B11">
            <w:pPr>
              <w:pStyle w:val="P68B1DB1-Normal8"/>
              <w:keepNext/>
              <w:spacing w:before="40" w:after="0" w:line="240" w:lineRule="auto"/>
              <w:jc w:val="both"/>
              <w:rPr>
                <w:rFonts w:eastAsia="Times New Roman" w:cs="Times New Roman"/>
                <w:noProof/>
                <w:szCs w:val="18"/>
              </w:rPr>
            </w:pPr>
            <w:r>
              <w:rPr>
                <w:noProof/>
              </w:rPr>
              <w:t>MVU digitālā pārveide — produktu un pakalpojumu piegāde</w:t>
            </w:r>
          </w:p>
        </w:tc>
      </w:tr>
      <w:tr w:rsidR="00CB0FCB" w14:paraId="2C383DE7"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5626D9BA" w14:textId="1711549D" w:rsidR="00CB0FCB" w:rsidRDefault="009D2B11">
            <w:pPr>
              <w:pStyle w:val="P68B1DB1-Normal8"/>
              <w:keepNext/>
              <w:spacing w:before="40" w:after="0" w:line="240" w:lineRule="auto"/>
              <w:jc w:val="both"/>
              <w:rPr>
                <w:noProof/>
              </w:rPr>
            </w:pPr>
            <w:r>
              <w:rPr>
                <w:noProof/>
              </w:rPr>
              <w:t>181a</w:t>
            </w:r>
          </w:p>
        </w:tc>
        <w:tc>
          <w:tcPr>
            <w:tcW w:w="4283" w:type="dxa"/>
            <w:tcBorders>
              <w:top w:val="nil"/>
              <w:left w:val="nil"/>
              <w:bottom w:val="single" w:sz="4" w:space="0" w:color="auto"/>
              <w:right w:val="single" w:sz="4" w:space="0" w:color="auto"/>
            </w:tcBorders>
            <w:shd w:val="clear" w:color="auto" w:fill="C6EFCE"/>
            <w:noWrap/>
            <w:vAlign w:val="center"/>
          </w:tcPr>
          <w:p w14:paraId="2B7B9528" w14:textId="0EE7D451" w:rsidR="00CB0FCB" w:rsidRDefault="009D2B11">
            <w:pPr>
              <w:pStyle w:val="P68B1DB1-Normal8"/>
              <w:keepNext/>
              <w:spacing w:before="40" w:after="0" w:line="240" w:lineRule="auto"/>
              <w:jc w:val="both"/>
              <w:rPr>
                <w:noProof/>
              </w:rPr>
            </w:pPr>
            <w:r>
              <w:rPr>
                <w:noProof/>
              </w:rPr>
              <w:t>11–3.4. Palielināt piekļuvi efektīvai un iekļaujošai sociālajai politikai — 16402_Sociālie un cenas ziņā pieejami mājokļi</w:t>
            </w:r>
          </w:p>
        </w:tc>
        <w:tc>
          <w:tcPr>
            <w:tcW w:w="1692" w:type="dxa"/>
            <w:tcBorders>
              <w:top w:val="nil"/>
              <w:left w:val="nil"/>
              <w:bottom w:val="single" w:sz="4" w:space="0" w:color="auto"/>
              <w:right w:val="single" w:sz="4" w:space="0" w:color="auto"/>
            </w:tcBorders>
            <w:shd w:val="clear" w:color="auto" w:fill="C6EFCE"/>
            <w:noWrap/>
            <w:vAlign w:val="center"/>
          </w:tcPr>
          <w:p w14:paraId="3F15D82D" w14:textId="6EC8F3A0" w:rsidR="00CB0FCB" w:rsidRDefault="009D2B11">
            <w:pPr>
              <w:pStyle w:val="P68B1DB1-Normal8"/>
              <w:keepNext/>
              <w:spacing w:before="40" w:after="0" w:line="240" w:lineRule="auto"/>
              <w:jc w:val="both"/>
              <w:rPr>
                <w:noProof/>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44131C7A" w14:textId="36AB45E6" w:rsidR="00CB0FCB" w:rsidRDefault="009D2B11">
            <w:pPr>
              <w:pStyle w:val="P68B1DB1-Normal8"/>
              <w:keepNext/>
              <w:spacing w:before="40" w:after="0" w:line="240" w:lineRule="auto"/>
              <w:jc w:val="both"/>
              <w:rPr>
                <w:noProof/>
              </w:rPr>
            </w:pPr>
            <w:r>
              <w:rPr>
                <w:noProof/>
              </w:rPr>
              <w:t xml:space="preserve">Stājas spēkā tiesību akti, ar </w:t>
            </w:r>
            <w:r>
              <w:rPr>
                <w:noProof/>
                <w:szCs w:val="18"/>
              </w:rPr>
              <w:t xml:space="preserve">ko groza Mājokļu </w:t>
            </w:r>
            <w:r>
              <w:rPr>
                <w:noProof/>
              </w:rPr>
              <w:t xml:space="preserve">likumu 5006/2022.  </w:t>
            </w:r>
          </w:p>
        </w:tc>
      </w:tr>
      <w:tr w:rsidR="00CB0FCB" w14:paraId="145529E9"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946279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132</w:t>
            </w:r>
          </w:p>
        </w:tc>
        <w:tc>
          <w:tcPr>
            <w:tcW w:w="4283" w:type="dxa"/>
            <w:tcBorders>
              <w:top w:val="nil"/>
              <w:left w:val="nil"/>
              <w:bottom w:val="single" w:sz="4" w:space="0" w:color="auto"/>
              <w:right w:val="single" w:sz="4" w:space="0" w:color="auto"/>
            </w:tcBorders>
            <w:shd w:val="clear" w:color="auto" w:fill="C6EFCE"/>
            <w:noWrap/>
            <w:vAlign w:val="center"/>
          </w:tcPr>
          <w:p w14:paraId="536A697B" w14:textId="7345F8D3" w:rsidR="00CB0FCB" w:rsidRDefault="009D2B11">
            <w:pPr>
              <w:pStyle w:val="P68B1DB1-Normal8"/>
              <w:keepNext/>
              <w:spacing w:before="40" w:after="0" w:line="240" w:lineRule="auto"/>
              <w:jc w:val="both"/>
              <w:rPr>
                <w:rFonts w:eastAsia="Times New Roman" w:cs="Times New Roman"/>
                <w:bCs/>
                <w:noProof/>
                <w:szCs w:val="18"/>
              </w:rPr>
            </w:pPr>
            <w:r>
              <w:rPr>
                <w:noProof/>
              </w:rPr>
              <w:t> 7–2.3. Uzņēmumu digitalizācija — 16973_Digitālās uzņēmējdarbības ekosistēmas izveide MVU digitālās pārveides veicināšanai</w:t>
            </w:r>
          </w:p>
        </w:tc>
        <w:tc>
          <w:tcPr>
            <w:tcW w:w="1692" w:type="dxa"/>
            <w:tcBorders>
              <w:top w:val="nil"/>
              <w:left w:val="nil"/>
              <w:bottom w:val="single" w:sz="4" w:space="0" w:color="auto"/>
              <w:right w:val="single" w:sz="4" w:space="0" w:color="auto"/>
            </w:tcBorders>
            <w:shd w:val="clear" w:color="auto" w:fill="C6EFCE"/>
            <w:noWrap/>
            <w:vAlign w:val="center"/>
          </w:tcPr>
          <w:p w14:paraId="345D7D69"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01A0E3F0" w14:textId="5E67AC5D" w:rsidR="00CB0FCB" w:rsidRDefault="009D2B11">
            <w:pPr>
              <w:pStyle w:val="P68B1DB1-Normal8"/>
              <w:keepNext/>
              <w:spacing w:before="40" w:after="0" w:line="240" w:lineRule="auto"/>
              <w:jc w:val="both"/>
              <w:rPr>
                <w:rFonts w:eastAsia="Times New Roman" w:cs="Times New Roman"/>
                <w:noProof/>
                <w:szCs w:val="18"/>
              </w:rPr>
            </w:pPr>
            <w:r>
              <w:rPr>
                <w:noProof/>
              </w:rPr>
              <w:t>MVU digitālā pārveide — likumdošanas reforma tehnoloģiju ieviešanas stimulēšanai</w:t>
            </w:r>
          </w:p>
        </w:tc>
      </w:tr>
      <w:tr w:rsidR="00CB0FCB" w14:paraId="44028F05"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5C4E5B12" w14:textId="77777777" w:rsidR="00CB0FCB" w:rsidRDefault="009D2B11">
            <w:pPr>
              <w:pStyle w:val="P68B1DB1-Normal8"/>
              <w:keepNext/>
              <w:spacing w:before="40" w:after="0" w:line="240" w:lineRule="auto"/>
              <w:jc w:val="both"/>
              <w:rPr>
                <w:rFonts w:cs="Times New Roman"/>
                <w:noProof/>
                <w:szCs w:val="18"/>
              </w:rPr>
            </w:pPr>
            <w:r>
              <w:rPr>
                <w:noProof/>
              </w:rPr>
              <w:t>148.a</w:t>
            </w:r>
          </w:p>
        </w:tc>
        <w:tc>
          <w:tcPr>
            <w:tcW w:w="4283" w:type="dxa"/>
            <w:tcBorders>
              <w:top w:val="nil"/>
              <w:left w:val="nil"/>
              <w:bottom w:val="single" w:sz="4" w:space="0" w:color="auto"/>
              <w:right w:val="single" w:sz="4" w:space="0" w:color="auto"/>
            </w:tcBorders>
            <w:shd w:val="clear" w:color="auto" w:fill="C6EFCE"/>
            <w:noWrap/>
          </w:tcPr>
          <w:p w14:paraId="4508B9E0" w14:textId="77777777" w:rsidR="00CB0FCB" w:rsidRDefault="009D2B11">
            <w:pPr>
              <w:pStyle w:val="P68B1DB1-Normal8"/>
              <w:keepNext/>
              <w:spacing w:before="40" w:after="0" w:line="240" w:lineRule="auto"/>
              <w:jc w:val="both"/>
              <w:rPr>
                <w:rFonts w:cs="Times New Roman"/>
                <w:noProof/>
                <w:szCs w:val="18"/>
              </w:rPr>
            </w:pPr>
            <w:r>
              <w:rPr>
                <w:noProof/>
              </w:rPr>
              <w:t>9–3.2. Izglītība, profesionālā izglītība un apmācība un prasmes — 16676_Izglītības digitālā pārveide</w:t>
            </w:r>
          </w:p>
        </w:tc>
        <w:tc>
          <w:tcPr>
            <w:tcW w:w="1692" w:type="dxa"/>
            <w:tcBorders>
              <w:top w:val="nil"/>
              <w:left w:val="nil"/>
              <w:bottom w:val="single" w:sz="4" w:space="0" w:color="auto"/>
              <w:right w:val="single" w:sz="4" w:space="0" w:color="auto"/>
            </w:tcBorders>
            <w:shd w:val="clear" w:color="auto" w:fill="C6EFCE"/>
            <w:noWrap/>
          </w:tcPr>
          <w:p w14:paraId="7ACF9545"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tcPr>
          <w:p w14:paraId="089E828A" w14:textId="77777777" w:rsidR="00CB0FCB" w:rsidRDefault="009D2B11">
            <w:pPr>
              <w:pStyle w:val="P68B1DB1-Normal8"/>
              <w:keepNext/>
              <w:spacing w:before="40" w:after="0" w:line="240" w:lineRule="auto"/>
              <w:jc w:val="both"/>
              <w:rPr>
                <w:rFonts w:cs="Times New Roman"/>
                <w:noProof/>
                <w:szCs w:val="18"/>
              </w:rPr>
            </w:pPr>
            <w:r>
              <w:rPr>
                <w:noProof/>
              </w:rPr>
              <w:t>Stratēģija mācību programmu atjaunināšanai, pakalpojumu racionalizēšanai un izglītības rezultātu uzraudzībai</w:t>
            </w:r>
          </w:p>
        </w:tc>
      </w:tr>
      <w:tr w:rsidR="00CB0FCB" w14:paraId="1AF8AC2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135971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157</w:t>
            </w:r>
          </w:p>
        </w:tc>
        <w:tc>
          <w:tcPr>
            <w:tcW w:w="4283" w:type="dxa"/>
            <w:tcBorders>
              <w:top w:val="nil"/>
              <w:left w:val="nil"/>
              <w:bottom w:val="single" w:sz="4" w:space="0" w:color="auto"/>
              <w:right w:val="single" w:sz="4" w:space="0" w:color="auto"/>
            </w:tcBorders>
            <w:shd w:val="clear" w:color="auto" w:fill="C6EFCE"/>
            <w:noWrap/>
            <w:vAlign w:val="center"/>
          </w:tcPr>
          <w:p w14:paraId="6FF168B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1692" w:type="dxa"/>
            <w:tcBorders>
              <w:top w:val="nil"/>
              <w:left w:val="nil"/>
              <w:bottom w:val="single" w:sz="4" w:space="0" w:color="auto"/>
              <w:right w:val="single" w:sz="4" w:space="0" w:color="auto"/>
            </w:tcBorders>
            <w:shd w:val="clear" w:color="auto" w:fill="C6EFCE"/>
            <w:noWrap/>
            <w:vAlign w:val="center"/>
          </w:tcPr>
          <w:p w14:paraId="1B4B8396"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757" w:type="dxa"/>
            <w:tcBorders>
              <w:top w:val="nil"/>
              <w:left w:val="nil"/>
              <w:bottom w:val="single" w:sz="4" w:space="0" w:color="auto"/>
              <w:right w:val="single" w:sz="4" w:space="0" w:color="auto"/>
            </w:tcBorders>
            <w:shd w:val="clear" w:color="auto" w:fill="C6EFCE"/>
            <w:noWrap/>
            <w:vAlign w:val="center"/>
          </w:tcPr>
          <w:p w14:paraId="3B03C711" w14:textId="2B460575" w:rsidR="00CB0FCB" w:rsidRDefault="009D2B11">
            <w:pPr>
              <w:pStyle w:val="P68B1DB1-Normal8"/>
              <w:keepNext/>
              <w:spacing w:before="40" w:after="0" w:line="240" w:lineRule="auto"/>
              <w:jc w:val="both"/>
              <w:rPr>
                <w:rFonts w:eastAsia="Times New Roman" w:cs="Times New Roman"/>
                <w:noProof/>
                <w:szCs w:val="18"/>
              </w:rPr>
            </w:pPr>
            <w:r>
              <w:rPr>
                <w:noProof/>
              </w:rPr>
              <w:t>Atgūšanas samazinājums 300000000–3. solis</w:t>
            </w:r>
          </w:p>
        </w:tc>
      </w:tr>
      <w:tr w:rsidR="00CB0FCB" w14:paraId="6A57C8C9"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50F0E088" w14:textId="77777777" w:rsidR="00CB0FCB" w:rsidRDefault="009D2B11">
            <w:pPr>
              <w:pStyle w:val="P68B1DB1-Normal49"/>
              <w:keepNext/>
              <w:spacing w:before="40" w:after="0" w:line="240" w:lineRule="auto"/>
              <w:jc w:val="both"/>
              <w:rPr>
                <w:rFonts w:eastAsia="Times New Roman" w:cs="Times New Roman"/>
                <w:bCs/>
                <w:noProof/>
              </w:rPr>
            </w:pPr>
            <w:r>
              <w:rPr>
                <w:noProof/>
              </w:rPr>
              <w:t>163</w:t>
            </w:r>
          </w:p>
        </w:tc>
        <w:tc>
          <w:tcPr>
            <w:tcW w:w="4283" w:type="dxa"/>
            <w:tcBorders>
              <w:top w:val="nil"/>
              <w:left w:val="nil"/>
              <w:bottom w:val="single" w:sz="4" w:space="0" w:color="auto"/>
              <w:right w:val="single" w:sz="4" w:space="0" w:color="auto"/>
            </w:tcBorders>
            <w:shd w:val="clear" w:color="auto" w:fill="C6EFCE"/>
            <w:noWrap/>
            <w:vAlign w:val="center"/>
          </w:tcPr>
          <w:p w14:paraId="43E29A1F" w14:textId="65AEF4E4" w:rsidR="00CB0FCB" w:rsidRDefault="009D2B11">
            <w:pPr>
              <w:pStyle w:val="P68B1DB1-Normal8"/>
              <w:keepNext/>
              <w:spacing w:before="40" w:after="0" w:line="240" w:lineRule="auto"/>
              <w:jc w:val="both"/>
              <w:rPr>
                <w:rFonts w:eastAsia="Times New Roman" w:cs="Times New Roman"/>
                <w:bCs/>
                <w:noProof/>
                <w:szCs w:val="18"/>
              </w:rPr>
            </w:pPr>
            <w:r>
              <w:rPr>
                <w:noProof/>
              </w:rPr>
              <w:t xml:space="preserve">10–3.3. Uzlabot veselības aprūpes noturību, pieejamību un ilgtspēju — 16756_organizatoriskās reformas veselības aprūpes sistēmā </w:t>
            </w:r>
          </w:p>
        </w:tc>
        <w:tc>
          <w:tcPr>
            <w:tcW w:w="1692" w:type="dxa"/>
            <w:tcBorders>
              <w:top w:val="nil"/>
              <w:left w:val="nil"/>
              <w:bottom w:val="single" w:sz="4" w:space="0" w:color="auto"/>
              <w:right w:val="single" w:sz="4" w:space="0" w:color="auto"/>
            </w:tcBorders>
            <w:shd w:val="clear" w:color="auto" w:fill="C6EFCE"/>
            <w:noWrap/>
            <w:vAlign w:val="center"/>
          </w:tcPr>
          <w:p w14:paraId="673F737F"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083EBFFC" w14:textId="77777777" w:rsidR="00CB0FCB" w:rsidRDefault="009D2B11">
            <w:pPr>
              <w:pStyle w:val="P68B1DB1-Normal8"/>
              <w:keepNext/>
              <w:spacing w:before="40" w:after="0" w:line="240" w:lineRule="auto"/>
              <w:jc w:val="both"/>
              <w:rPr>
                <w:rFonts w:eastAsia="Times New Roman" w:cs="Times New Roman"/>
                <w:noProof/>
                <w:szCs w:val="18"/>
              </w:rPr>
            </w:pPr>
            <w:r>
              <w:rPr>
                <w:noProof/>
              </w:rPr>
              <w:t>Veselības aprūpes sistēma — pabeigt Grieķijas DRG institūta KETEKNY un jaunās Veselības aprūpes kvalitātes nodrošināšanas aģentūras ODIPY izveidi (izņemot apmācību)</w:t>
            </w:r>
          </w:p>
        </w:tc>
      </w:tr>
      <w:tr w:rsidR="00CB0FCB" w14:paraId="7F011813"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4BEC799" w14:textId="77777777" w:rsidR="00CB0FCB" w:rsidRDefault="009D2B11">
            <w:pPr>
              <w:pStyle w:val="P68B1DB1-Normal49"/>
              <w:keepNext/>
              <w:spacing w:before="40" w:after="0" w:line="240" w:lineRule="auto"/>
              <w:jc w:val="both"/>
              <w:rPr>
                <w:rFonts w:eastAsia="Times New Roman" w:cs="Times New Roman"/>
                <w:bCs/>
                <w:noProof/>
              </w:rPr>
            </w:pPr>
            <w:r>
              <w:rPr>
                <w:noProof/>
              </w:rPr>
              <w:t>164</w:t>
            </w:r>
          </w:p>
        </w:tc>
        <w:tc>
          <w:tcPr>
            <w:tcW w:w="4283" w:type="dxa"/>
            <w:tcBorders>
              <w:top w:val="nil"/>
              <w:left w:val="nil"/>
              <w:bottom w:val="single" w:sz="4" w:space="0" w:color="auto"/>
              <w:right w:val="single" w:sz="4" w:space="0" w:color="auto"/>
            </w:tcBorders>
            <w:shd w:val="clear" w:color="auto" w:fill="C6EFCE"/>
            <w:noWrap/>
            <w:vAlign w:val="center"/>
          </w:tcPr>
          <w:p w14:paraId="65FC06BB" w14:textId="03F5AF7D" w:rsidR="00CB0FCB" w:rsidRDefault="009D2B11">
            <w:pPr>
              <w:pStyle w:val="P68B1DB1-Normal8"/>
              <w:keepNext/>
              <w:spacing w:before="40" w:after="0" w:line="240" w:lineRule="auto"/>
              <w:jc w:val="both"/>
              <w:rPr>
                <w:rFonts w:eastAsia="Times New Roman" w:cs="Times New Roman"/>
                <w:bCs/>
                <w:noProof/>
                <w:szCs w:val="18"/>
              </w:rPr>
            </w:pPr>
            <w:r>
              <w:rPr>
                <w:noProof/>
              </w:rPr>
              <w:t xml:space="preserve">10–3.3. Uzlabot veselības aprūpes noturību, pieejamību un ilgtspēju — 16756_organizatoriskās reformas veselības aprūpes sistēmā </w:t>
            </w:r>
          </w:p>
        </w:tc>
        <w:tc>
          <w:tcPr>
            <w:tcW w:w="1692" w:type="dxa"/>
            <w:tcBorders>
              <w:top w:val="nil"/>
              <w:left w:val="nil"/>
              <w:bottom w:val="single" w:sz="4" w:space="0" w:color="auto"/>
              <w:right w:val="single" w:sz="4" w:space="0" w:color="auto"/>
            </w:tcBorders>
            <w:shd w:val="clear" w:color="auto" w:fill="C6EFCE"/>
            <w:noWrap/>
            <w:vAlign w:val="center"/>
          </w:tcPr>
          <w:p w14:paraId="109B1F16"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1757" w:type="dxa"/>
            <w:tcBorders>
              <w:top w:val="nil"/>
              <w:left w:val="nil"/>
              <w:bottom w:val="single" w:sz="4" w:space="0" w:color="auto"/>
              <w:right w:val="single" w:sz="4" w:space="0" w:color="auto"/>
            </w:tcBorders>
            <w:shd w:val="clear" w:color="auto" w:fill="C6EFCE"/>
            <w:noWrap/>
            <w:vAlign w:val="center"/>
          </w:tcPr>
          <w:p w14:paraId="2A0438BB" w14:textId="77777777" w:rsidR="00CB0FCB" w:rsidRDefault="009D2B11">
            <w:pPr>
              <w:pStyle w:val="P68B1DB1-Normal8"/>
              <w:keepNext/>
              <w:spacing w:before="40" w:after="0" w:line="240" w:lineRule="auto"/>
              <w:jc w:val="both"/>
              <w:rPr>
                <w:rFonts w:eastAsia="Times New Roman" w:cs="Times New Roman"/>
                <w:noProof/>
                <w:szCs w:val="18"/>
              </w:rPr>
            </w:pPr>
            <w:r>
              <w:rPr>
                <w:noProof/>
              </w:rPr>
              <w:t>Veselības sistēma — KETEKNIJA DALĪBVALSTS</w:t>
            </w:r>
          </w:p>
        </w:tc>
      </w:tr>
      <w:tr w:rsidR="00CB0FCB" w14:paraId="6759C21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8058F4E" w14:textId="77777777" w:rsidR="00CB0FCB" w:rsidRDefault="009D2B11">
            <w:pPr>
              <w:pStyle w:val="P68B1DB1-Normal8"/>
              <w:keepNext/>
              <w:spacing w:before="40" w:after="0" w:line="240" w:lineRule="auto"/>
              <w:jc w:val="both"/>
              <w:rPr>
                <w:rFonts w:cs="Times New Roman"/>
                <w:noProof/>
                <w:szCs w:val="18"/>
              </w:rPr>
            </w:pPr>
            <w:r>
              <w:rPr>
                <w:noProof/>
              </w:rPr>
              <w:t>168</w:t>
            </w:r>
          </w:p>
        </w:tc>
        <w:tc>
          <w:tcPr>
            <w:tcW w:w="4283" w:type="dxa"/>
            <w:tcBorders>
              <w:top w:val="nil"/>
              <w:left w:val="nil"/>
              <w:bottom w:val="single" w:sz="4" w:space="0" w:color="auto"/>
              <w:right w:val="single" w:sz="4" w:space="0" w:color="auto"/>
            </w:tcBorders>
            <w:shd w:val="clear" w:color="auto" w:fill="C6EFCE"/>
            <w:noWrap/>
            <w:vAlign w:val="center"/>
          </w:tcPr>
          <w:p w14:paraId="38578DA9" w14:textId="77777777" w:rsidR="00CB0FCB" w:rsidRDefault="009D2B11">
            <w:pPr>
              <w:pStyle w:val="P68B1DB1-Normal8"/>
              <w:keepNext/>
              <w:spacing w:before="40" w:after="0" w:line="240" w:lineRule="auto"/>
              <w:jc w:val="both"/>
              <w:rPr>
                <w:rFonts w:cs="Times New Roman"/>
                <w:noProof/>
                <w:szCs w:val="18"/>
              </w:rPr>
            </w:pPr>
            <w:r>
              <w:rPr>
                <w:noProof/>
              </w:rPr>
              <w:t>10–3.3. Uzlabot veselības aprūpes noturību, pieejamību un ilgtspēju — 16752_Veselības digitālā pārveide (DigHealth)</w:t>
            </w:r>
          </w:p>
        </w:tc>
        <w:tc>
          <w:tcPr>
            <w:tcW w:w="1692" w:type="dxa"/>
            <w:tcBorders>
              <w:top w:val="nil"/>
              <w:left w:val="nil"/>
              <w:bottom w:val="single" w:sz="4" w:space="0" w:color="auto"/>
              <w:right w:val="single" w:sz="4" w:space="0" w:color="auto"/>
            </w:tcBorders>
            <w:shd w:val="clear" w:color="auto" w:fill="C6EFCE"/>
            <w:noWrap/>
            <w:vAlign w:val="center"/>
          </w:tcPr>
          <w:p w14:paraId="11E25C92"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34060E27" w14:textId="4A4C5369" w:rsidR="00CB0FCB" w:rsidRDefault="009D2B11">
            <w:pPr>
              <w:pStyle w:val="P68B1DB1-Normal49"/>
              <w:keepNext/>
              <w:spacing w:before="40" w:after="0" w:line="240" w:lineRule="auto"/>
              <w:jc w:val="both"/>
              <w:rPr>
                <w:rFonts w:cs="Times New Roman"/>
                <w:noProof/>
              </w:rPr>
            </w:pPr>
            <w:r>
              <w:rPr>
                <w:noProof/>
              </w:rPr>
              <w:t xml:space="preserve">Digitālā pārveide — pakalpojumi iecelšanas paplašināšanai, elektroniskās recepšu sistēmas infrastruktūras modernizācijai un IDIKA SA informācijas sistēmu darbības pakalpojumiem  </w:t>
            </w:r>
          </w:p>
        </w:tc>
      </w:tr>
      <w:tr w:rsidR="00CB0FCB" w14:paraId="72B8A4F9"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977B09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169</w:t>
            </w:r>
          </w:p>
        </w:tc>
        <w:tc>
          <w:tcPr>
            <w:tcW w:w="4283" w:type="dxa"/>
            <w:tcBorders>
              <w:top w:val="nil"/>
              <w:left w:val="nil"/>
              <w:bottom w:val="single" w:sz="4" w:space="0" w:color="auto"/>
              <w:right w:val="single" w:sz="4" w:space="0" w:color="auto"/>
            </w:tcBorders>
            <w:shd w:val="clear" w:color="auto" w:fill="C6EFCE"/>
            <w:noWrap/>
            <w:vAlign w:val="center"/>
          </w:tcPr>
          <w:p w14:paraId="7FBF631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16753_Mājas veselības aprūpes un slimnīcas izveide mājās</w:t>
            </w:r>
          </w:p>
        </w:tc>
        <w:tc>
          <w:tcPr>
            <w:tcW w:w="1692" w:type="dxa"/>
            <w:tcBorders>
              <w:top w:val="nil"/>
              <w:left w:val="nil"/>
              <w:bottom w:val="single" w:sz="4" w:space="0" w:color="auto"/>
              <w:right w:val="single" w:sz="4" w:space="0" w:color="auto"/>
            </w:tcBorders>
            <w:shd w:val="clear" w:color="auto" w:fill="C6EFCE"/>
            <w:noWrap/>
            <w:vAlign w:val="center"/>
          </w:tcPr>
          <w:p w14:paraId="6C48F3C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45BCAFFF" w14:textId="77777777" w:rsidR="00CB0FCB" w:rsidRDefault="009D2B11">
            <w:pPr>
              <w:pStyle w:val="P68B1DB1-Normal8"/>
              <w:keepNext/>
              <w:spacing w:before="40" w:after="0" w:line="240" w:lineRule="auto"/>
              <w:jc w:val="both"/>
              <w:rPr>
                <w:rFonts w:eastAsia="Times New Roman" w:cs="Times New Roman"/>
                <w:noProof/>
                <w:szCs w:val="18"/>
              </w:rPr>
            </w:pPr>
            <w:r>
              <w:rPr>
                <w:noProof/>
              </w:rPr>
              <w:t>Aprūpe mājās — vienību atvēršana</w:t>
            </w:r>
          </w:p>
        </w:tc>
      </w:tr>
      <w:tr w:rsidR="00CB0FCB" w14:paraId="455BEB70"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711D8094" w14:textId="77777777" w:rsidR="00CB0FCB" w:rsidRDefault="009D2B11">
            <w:pPr>
              <w:pStyle w:val="P68B1DB1-Normal8"/>
              <w:keepNext/>
              <w:spacing w:before="40" w:after="0" w:line="240" w:lineRule="auto"/>
              <w:jc w:val="both"/>
              <w:rPr>
                <w:rFonts w:cs="Times New Roman"/>
                <w:noProof/>
                <w:szCs w:val="18"/>
              </w:rPr>
            </w:pPr>
            <w:r>
              <w:rPr>
                <w:noProof/>
              </w:rPr>
              <w:t>184.a</w:t>
            </w:r>
          </w:p>
        </w:tc>
        <w:tc>
          <w:tcPr>
            <w:tcW w:w="4283" w:type="dxa"/>
            <w:tcBorders>
              <w:top w:val="nil"/>
              <w:left w:val="nil"/>
              <w:bottom w:val="single" w:sz="4" w:space="0" w:color="auto"/>
              <w:right w:val="single" w:sz="4" w:space="0" w:color="auto"/>
            </w:tcBorders>
            <w:shd w:val="clear" w:color="auto" w:fill="C6EFCE"/>
            <w:noWrap/>
          </w:tcPr>
          <w:p w14:paraId="13DA989E"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16685_Dažādības apzināšanās</w:t>
            </w:r>
          </w:p>
        </w:tc>
        <w:tc>
          <w:tcPr>
            <w:tcW w:w="1692" w:type="dxa"/>
            <w:tcBorders>
              <w:top w:val="nil"/>
              <w:left w:val="nil"/>
              <w:bottom w:val="single" w:sz="4" w:space="0" w:color="auto"/>
              <w:right w:val="single" w:sz="4" w:space="0" w:color="auto"/>
            </w:tcBorders>
            <w:shd w:val="clear" w:color="auto" w:fill="C6EFCE"/>
            <w:noWrap/>
          </w:tcPr>
          <w:p w14:paraId="441D99C6"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tcPr>
          <w:p w14:paraId="3EA1197F" w14:textId="77777777" w:rsidR="00CB0FCB" w:rsidRDefault="009D2B11">
            <w:pPr>
              <w:pStyle w:val="P68B1DB1-Normal8"/>
              <w:keepNext/>
              <w:spacing w:before="40" w:after="0" w:line="240" w:lineRule="auto"/>
              <w:jc w:val="both"/>
              <w:rPr>
                <w:rFonts w:cs="Times New Roman"/>
                <w:noProof/>
                <w:szCs w:val="18"/>
              </w:rPr>
            </w:pPr>
            <w:r>
              <w:rPr>
                <w:noProof/>
              </w:rPr>
              <w:t>Līdztiesības un diskriminācijas mehānisms, Līdztiesības novērošanas centrs, piešķiršanas sistēma</w:t>
            </w:r>
          </w:p>
        </w:tc>
      </w:tr>
      <w:tr w:rsidR="00CB0FCB" w14:paraId="558D683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263FA68" w14:textId="77777777" w:rsidR="00CB0FCB" w:rsidRDefault="009D2B11">
            <w:pPr>
              <w:pStyle w:val="P68B1DB1-Normal8"/>
              <w:keepNext/>
              <w:spacing w:before="40" w:after="0" w:line="240" w:lineRule="auto"/>
              <w:jc w:val="both"/>
              <w:rPr>
                <w:rFonts w:cs="Times New Roman"/>
                <w:noProof/>
                <w:szCs w:val="18"/>
              </w:rPr>
            </w:pPr>
            <w:r>
              <w:rPr>
                <w:noProof/>
              </w:rPr>
              <w:t>186</w:t>
            </w:r>
          </w:p>
        </w:tc>
        <w:tc>
          <w:tcPr>
            <w:tcW w:w="4283" w:type="dxa"/>
            <w:tcBorders>
              <w:top w:val="nil"/>
              <w:left w:val="nil"/>
              <w:bottom w:val="single" w:sz="4" w:space="0" w:color="auto"/>
              <w:right w:val="single" w:sz="4" w:space="0" w:color="auto"/>
            </w:tcBorders>
            <w:shd w:val="clear" w:color="auto" w:fill="C6EFCE"/>
            <w:noWrap/>
            <w:vAlign w:val="center"/>
          </w:tcPr>
          <w:p w14:paraId="008A5601"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16922_Sociālā integrācija</w:t>
            </w:r>
          </w:p>
        </w:tc>
        <w:tc>
          <w:tcPr>
            <w:tcW w:w="1692" w:type="dxa"/>
            <w:tcBorders>
              <w:top w:val="nil"/>
              <w:left w:val="nil"/>
              <w:bottom w:val="single" w:sz="4" w:space="0" w:color="auto"/>
              <w:right w:val="single" w:sz="4" w:space="0" w:color="auto"/>
            </w:tcBorders>
            <w:shd w:val="clear" w:color="auto" w:fill="C6EFCE"/>
            <w:noWrap/>
            <w:vAlign w:val="center"/>
          </w:tcPr>
          <w:p w14:paraId="56121F55"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1757" w:type="dxa"/>
            <w:tcBorders>
              <w:top w:val="nil"/>
              <w:left w:val="nil"/>
              <w:bottom w:val="single" w:sz="4" w:space="0" w:color="auto"/>
              <w:right w:val="single" w:sz="4" w:space="0" w:color="auto"/>
            </w:tcBorders>
            <w:shd w:val="clear" w:color="auto" w:fill="C6EFCE"/>
            <w:noWrap/>
            <w:vAlign w:val="center"/>
          </w:tcPr>
          <w:p w14:paraId="1048D7D9" w14:textId="77777777" w:rsidR="00CB0FCB" w:rsidRDefault="009D2B11">
            <w:pPr>
              <w:pStyle w:val="P68B1DB1-Normal8"/>
              <w:keepNext/>
              <w:spacing w:before="40" w:after="0" w:line="240" w:lineRule="auto"/>
              <w:jc w:val="both"/>
              <w:rPr>
                <w:rFonts w:cs="Times New Roman"/>
                <w:noProof/>
                <w:szCs w:val="18"/>
              </w:rPr>
            </w:pPr>
            <w:r>
              <w:rPr>
                <w:noProof/>
              </w:rPr>
              <w:t xml:space="preserve">Sociālo mājokļu renovācijas dzīvokļu pabeigšana </w:t>
            </w:r>
          </w:p>
        </w:tc>
      </w:tr>
      <w:tr w:rsidR="00CB0FCB" w14:paraId="70850409"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CE3CB4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213</w:t>
            </w:r>
          </w:p>
        </w:tc>
        <w:tc>
          <w:tcPr>
            <w:tcW w:w="4283" w:type="dxa"/>
            <w:tcBorders>
              <w:top w:val="nil"/>
              <w:left w:val="nil"/>
              <w:bottom w:val="single" w:sz="4" w:space="0" w:color="auto"/>
              <w:right w:val="single" w:sz="4" w:space="0" w:color="auto"/>
            </w:tcBorders>
            <w:shd w:val="clear" w:color="auto" w:fill="C6EFCE"/>
            <w:noWrap/>
            <w:vAlign w:val="center"/>
          </w:tcPr>
          <w:p w14:paraId="39FAB06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16703_Cīņa pret nelikumīgu tirdzniecību un intelektuālā īpašuma aizsardzība</w:t>
            </w:r>
          </w:p>
        </w:tc>
        <w:tc>
          <w:tcPr>
            <w:tcW w:w="1692" w:type="dxa"/>
            <w:tcBorders>
              <w:top w:val="nil"/>
              <w:left w:val="nil"/>
              <w:bottom w:val="single" w:sz="4" w:space="0" w:color="auto"/>
              <w:right w:val="single" w:sz="4" w:space="0" w:color="auto"/>
            </w:tcBorders>
            <w:shd w:val="clear" w:color="auto" w:fill="C6EFCE"/>
            <w:noWrap/>
            <w:vAlign w:val="center"/>
          </w:tcPr>
          <w:p w14:paraId="614DFCB7"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07E4D326" w14:textId="77777777" w:rsidR="00CB0FCB" w:rsidRDefault="009D2B11">
            <w:pPr>
              <w:pStyle w:val="P68B1DB1-Normal8"/>
              <w:keepNext/>
              <w:spacing w:before="40" w:after="0" w:line="240" w:lineRule="auto"/>
              <w:jc w:val="both"/>
              <w:rPr>
                <w:rFonts w:eastAsia="Times New Roman" w:cs="Times New Roman"/>
                <w:noProof/>
                <w:szCs w:val="18"/>
              </w:rPr>
            </w:pPr>
            <w:r>
              <w:rPr>
                <w:noProof/>
              </w:rPr>
              <w:t>Nelegālās tirdzniecības apkarošana — IT sistēmas un kontroles stacijas</w:t>
            </w:r>
          </w:p>
        </w:tc>
      </w:tr>
      <w:tr w:rsidR="00CB0FCB" w14:paraId="428C73F4"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9F8C60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217</w:t>
            </w:r>
          </w:p>
        </w:tc>
        <w:tc>
          <w:tcPr>
            <w:tcW w:w="4283" w:type="dxa"/>
            <w:tcBorders>
              <w:top w:val="nil"/>
              <w:left w:val="nil"/>
              <w:bottom w:val="single" w:sz="4" w:space="0" w:color="auto"/>
              <w:right w:val="single" w:sz="4" w:space="0" w:color="auto"/>
            </w:tcBorders>
            <w:shd w:val="clear" w:color="auto" w:fill="C6EFCE"/>
            <w:noWrap/>
            <w:vAlign w:val="center"/>
          </w:tcPr>
          <w:p w14:paraId="17D2D96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16940_Modernizēt Grieķijas Sūtījumu noguldījumu un aizdevumu fondu </w:t>
            </w:r>
          </w:p>
        </w:tc>
        <w:tc>
          <w:tcPr>
            <w:tcW w:w="1692" w:type="dxa"/>
            <w:tcBorders>
              <w:top w:val="nil"/>
              <w:left w:val="nil"/>
              <w:bottom w:val="single" w:sz="4" w:space="0" w:color="auto"/>
              <w:right w:val="single" w:sz="4" w:space="0" w:color="auto"/>
            </w:tcBorders>
            <w:shd w:val="clear" w:color="auto" w:fill="C6EFCE"/>
            <w:noWrap/>
            <w:vAlign w:val="center"/>
          </w:tcPr>
          <w:p w14:paraId="0EEC42B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18C7C2E4" w14:textId="77777777" w:rsidR="00CB0FCB" w:rsidRDefault="009D2B11">
            <w:pPr>
              <w:pStyle w:val="P68B1DB1-Normal8"/>
              <w:keepNext/>
              <w:spacing w:before="40" w:after="0" w:line="240" w:lineRule="auto"/>
              <w:jc w:val="both"/>
              <w:rPr>
                <w:rFonts w:eastAsia="Times New Roman" w:cs="Times New Roman"/>
                <w:noProof/>
                <w:szCs w:val="18"/>
              </w:rPr>
            </w:pPr>
            <w:r>
              <w:rPr>
                <w:noProof/>
              </w:rPr>
              <w:t>Visu Grieķijas Sūtījumu noguldījumu un aizdevumu fonda apakšprojektu pabeigšana</w:t>
            </w:r>
          </w:p>
        </w:tc>
      </w:tr>
      <w:tr w:rsidR="00CB0FCB" w14:paraId="17FC8F5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4B600EF" w14:textId="77777777" w:rsidR="00CB0FCB" w:rsidRDefault="009D2B11">
            <w:pPr>
              <w:pStyle w:val="P68B1DB1-Normal8"/>
              <w:keepNext/>
              <w:spacing w:before="40" w:after="0" w:line="240" w:lineRule="auto"/>
              <w:jc w:val="both"/>
              <w:rPr>
                <w:rFonts w:cs="Times New Roman"/>
                <w:noProof/>
                <w:szCs w:val="18"/>
              </w:rPr>
            </w:pPr>
            <w:r>
              <w:rPr>
                <w:noProof/>
              </w:rPr>
              <w:t>268b</w:t>
            </w:r>
          </w:p>
        </w:tc>
        <w:tc>
          <w:tcPr>
            <w:tcW w:w="4283" w:type="dxa"/>
            <w:tcBorders>
              <w:top w:val="nil"/>
              <w:left w:val="nil"/>
              <w:bottom w:val="single" w:sz="4" w:space="0" w:color="auto"/>
              <w:right w:val="single" w:sz="4" w:space="0" w:color="auto"/>
            </w:tcBorders>
            <w:shd w:val="clear" w:color="auto" w:fill="C6EFCE"/>
            <w:noWrap/>
            <w:vAlign w:val="center"/>
          </w:tcPr>
          <w:p w14:paraId="754E9E4C"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16982_Organizācijas reforma dzelzceļa nozarē</w:t>
            </w:r>
          </w:p>
        </w:tc>
        <w:tc>
          <w:tcPr>
            <w:tcW w:w="1692" w:type="dxa"/>
            <w:tcBorders>
              <w:top w:val="nil"/>
              <w:left w:val="nil"/>
              <w:bottom w:val="single" w:sz="4" w:space="0" w:color="auto"/>
              <w:right w:val="single" w:sz="4" w:space="0" w:color="auto"/>
            </w:tcBorders>
            <w:shd w:val="clear" w:color="auto" w:fill="C6EFCE"/>
            <w:noWrap/>
            <w:vAlign w:val="center"/>
          </w:tcPr>
          <w:p w14:paraId="641BC2C4"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180BCE78" w14:textId="6D28C500" w:rsidR="00CB0FCB" w:rsidRDefault="009D2B11">
            <w:pPr>
              <w:pStyle w:val="P68B1DB1-Normal49"/>
              <w:keepNext/>
              <w:spacing w:before="40" w:after="0" w:line="240" w:lineRule="auto"/>
              <w:jc w:val="both"/>
              <w:rPr>
                <w:rFonts w:cs="Times New Roman"/>
                <w:noProof/>
              </w:rPr>
            </w:pPr>
            <w:r>
              <w:rPr>
                <w:noProof/>
              </w:rPr>
              <w:t>Daudzgadu ieguldījumu programmas pieņemšana, jaunas līgumiskas vienošanās parakstīšana</w:t>
            </w:r>
          </w:p>
        </w:tc>
      </w:tr>
      <w:tr w:rsidR="00CB0FCB" w14:paraId="46D22CDA"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F13A37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294</w:t>
            </w:r>
          </w:p>
        </w:tc>
        <w:tc>
          <w:tcPr>
            <w:tcW w:w="4283" w:type="dxa"/>
            <w:tcBorders>
              <w:top w:val="nil"/>
              <w:left w:val="nil"/>
              <w:bottom w:val="single" w:sz="4" w:space="0" w:color="auto"/>
              <w:right w:val="single" w:sz="4" w:space="0" w:color="auto"/>
            </w:tcBorders>
            <w:shd w:val="clear" w:color="auto" w:fill="C6EFCE"/>
            <w:noWrap/>
            <w:vAlign w:val="center"/>
          </w:tcPr>
          <w:p w14:paraId="3F73FD0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16944_Grieķu kuģu flotes atjaunošanas ģenerālplāns</w:t>
            </w:r>
          </w:p>
        </w:tc>
        <w:tc>
          <w:tcPr>
            <w:tcW w:w="1692" w:type="dxa"/>
            <w:tcBorders>
              <w:top w:val="nil"/>
              <w:left w:val="nil"/>
              <w:bottom w:val="single" w:sz="4" w:space="0" w:color="auto"/>
              <w:right w:val="single" w:sz="4" w:space="0" w:color="auto"/>
            </w:tcBorders>
            <w:shd w:val="clear" w:color="auto" w:fill="C6EFCE"/>
            <w:noWrap/>
            <w:vAlign w:val="center"/>
          </w:tcPr>
          <w:p w14:paraId="5FBED0B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365A71F2" w14:textId="77777777" w:rsidR="00CB0FCB" w:rsidRDefault="009D2B11">
            <w:pPr>
              <w:pStyle w:val="P68B1DB1-Normal8"/>
              <w:keepNext/>
              <w:spacing w:before="40" w:after="0" w:line="240" w:lineRule="auto"/>
              <w:jc w:val="both"/>
              <w:rPr>
                <w:rFonts w:eastAsia="Times New Roman" w:cs="Times New Roman"/>
                <w:noProof/>
                <w:szCs w:val="18"/>
              </w:rPr>
            </w:pPr>
            <w:r>
              <w:rPr>
                <w:noProof/>
              </w:rPr>
              <w:t>Grieķijas pasažieru pārvadājumu ģenerālplāns</w:t>
            </w:r>
          </w:p>
        </w:tc>
      </w:tr>
      <w:tr w:rsidR="00CB0FCB" w14:paraId="40B09710"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80F7C2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w:t>
            </w:r>
          </w:p>
        </w:tc>
        <w:tc>
          <w:tcPr>
            <w:tcW w:w="4283" w:type="dxa"/>
            <w:tcBorders>
              <w:top w:val="nil"/>
              <w:left w:val="nil"/>
              <w:bottom w:val="single" w:sz="4" w:space="0" w:color="auto"/>
              <w:right w:val="single" w:sz="4" w:space="0" w:color="auto"/>
            </w:tcBorders>
            <w:shd w:val="clear" w:color="auto" w:fill="C6EFCE"/>
            <w:noWrap/>
            <w:vAlign w:val="center"/>
          </w:tcPr>
          <w:p w14:paraId="551B305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17–4.6. Modernizēt un uzlabot galveno ekonomikas nozaru noturību — 16653_Lauksaimniecības un pārtikas nozares digitālā pārveide</w:t>
            </w:r>
          </w:p>
        </w:tc>
        <w:tc>
          <w:tcPr>
            <w:tcW w:w="1692" w:type="dxa"/>
            <w:tcBorders>
              <w:top w:val="nil"/>
              <w:left w:val="nil"/>
              <w:bottom w:val="single" w:sz="4" w:space="0" w:color="auto"/>
              <w:right w:val="single" w:sz="4" w:space="0" w:color="auto"/>
            </w:tcBorders>
            <w:shd w:val="clear" w:color="auto" w:fill="C6EFCE"/>
            <w:noWrap/>
            <w:vAlign w:val="center"/>
          </w:tcPr>
          <w:p w14:paraId="0F1A9F0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vAlign w:val="center"/>
          </w:tcPr>
          <w:p w14:paraId="0B546B9A" w14:textId="77777777" w:rsidR="00CB0FCB" w:rsidRDefault="009D2B11">
            <w:pPr>
              <w:pStyle w:val="P68B1DB1-Normal8"/>
              <w:keepNext/>
              <w:spacing w:before="40" w:after="0" w:line="240" w:lineRule="auto"/>
              <w:jc w:val="both"/>
              <w:rPr>
                <w:rFonts w:eastAsia="Times New Roman" w:cs="Times New Roman"/>
                <w:noProof/>
                <w:szCs w:val="18"/>
              </w:rPr>
            </w:pPr>
            <w:r>
              <w:rPr>
                <w:noProof/>
              </w:rPr>
              <w:t>Lauksaimniecības digitālās pārveides projekta pabeigšana</w:t>
            </w:r>
          </w:p>
        </w:tc>
      </w:tr>
      <w:tr w:rsidR="00CB0FCB" w14:paraId="0AA1C32C"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51A0096B" w14:textId="77777777" w:rsidR="00CB0FCB" w:rsidRDefault="009D2B11">
            <w:pPr>
              <w:pStyle w:val="P68B1DB1-Normal8"/>
              <w:keepNext/>
              <w:spacing w:before="40" w:after="0" w:line="240" w:lineRule="auto"/>
              <w:jc w:val="both"/>
              <w:rPr>
                <w:rFonts w:cs="Times New Roman"/>
                <w:noProof/>
                <w:szCs w:val="18"/>
              </w:rPr>
            </w:pPr>
            <w:r>
              <w:rPr>
                <w:noProof/>
              </w:rPr>
              <w:t>332</w:t>
            </w:r>
          </w:p>
        </w:tc>
        <w:tc>
          <w:tcPr>
            <w:tcW w:w="4283" w:type="dxa"/>
            <w:tcBorders>
              <w:top w:val="nil"/>
              <w:left w:val="nil"/>
              <w:bottom w:val="single" w:sz="4" w:space="0" w:color="auto"/>
              <w:right w:val="single" w:sz="4" w:space="0" w:color="auto"/>
            </w:tcBorders>
            <w:shd w:val="clear" w:color="auto" w:fill="C6EFCE"/>
            <w:noWrap/>
          </w:tcPr>
          <w:p w14:paraId="03962817" w14:textId="28EA1C70" w:rsidR="00CB0FCB" w:rsidRDefault="009D2B11">
            <w:pPr>
              <w:pStyle w:val="P68B1DB1-Normal8"/>
              <w:keepNext/>
              <w:spacing w:before="40" w:after="0" w:line="240" w:lineRule="auto"/>
              <w:jc w:val="both"/>
              <w:rPr>
                <w:rFonts w:cs="Times New Roman"/>
                <w:noProof/>
                <w:szCs w:val="18"/>
              </w:rPr>
            </w:pPr>
            <w:r>
              <w:rPr>
                <w:noProof/>
              </w:rPr>
              <w:t>4–1.4. Resursu ilgtspējīga izmantošana, klimatnoturība un vides aizsardzība — 16983_Publisko ēku seismiskās pretestības sākotnējā pārbaude</w:t>
            </w:r>
          </w:p>
        </w:tc>
        <w:tc>
          <w:tcPr>
            <w:tcW w:w="1692" w:type="dxa"/>
            <w:tcBorders>
              <w:top w:val="nil"/>
              <w:left w:val="nil"/>
              <w:bottom w:val="single" w:sz="4" w:space="0" w:color="auto"/>
              <w:right w:val="single" w:sz="4" w:space="0" w:color="auto"/>
            </w:tcBorders>
            <w:shd w:val="clear" w:color="auto" w:fill="C6EFCE"/>
            <w:noWrap/>
          </w:tcPr>
          <w:p w14:paraId="328CA225"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757" w:type="dxa"/>
            <w:tcBorders>
              <w:top w:val="nil"/>
              <w:left w:val="nil"/>
              <w:bottom w:val="single" w:sz="4" w:space="0" w:color="auto"/>
              <w:right w:val="single" w:sz="4" w:space="0" w:color="auto"/>
            </w:tcBorders>
            <w:shd w:val="clear" w:color="auto" w:fill="C6EFCE"/>
            <w:noWrap/>
          </w:tcPr>
          <w:p w14:paraId="58352A39" w14:textId="77777777" w:rsidR="00CB0FCB" w:rsidRDefault="009D2B11">
            <w:pPr>
              <w:pStyle w:val="P68B1DB1-Normal8"/>
              <w:keepNext/>
              <w:spacing w:before="40" w:after="0" w:line="240" w:lineRule="auto"/>
              <w:jc w:val="both"/>
              <w:rPr>
                <w:rFonts w:cs="Times New Roman"/>
                <w:noProof/>
                <w:szCs w:val="18"/>
              </w:rPr>
            </w:pPr>
            <w:r>
              <w:rPr>
                <w:noProof/>
              </w:rPr>
              <w:t>Sākotnējo seismisko pārbaužu pabeigšana</w:t>
            </w:r>
          </w:p>
        </w:tc>
      </w:tr>
      <w:tr w:rsidR="00CB0FCB" w14:paraId="215834C4"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7AC92920" w14:textId="77777777" w:rsidR="00CB0FCB" w:rsidRDefault="009D2B11">
            <w:pPr>
              <w:pStyle w:val="P68B1DB1-Normal8"/>
              <w:keepNext/>
              <w:spacing w:before="40" w:after="0" w:line="259" w:lineRule="auto"/>
              <w:jc w:val="both"/>
              <w:rPr>
                <w:rFonts w:cs="Times New Roman"/>
                <w:noProof/>
              </w:rPr>
            </w:pPr>
            <w:r>
              <w:rPr>
                <w:noProof/>
              </w:rPr>
              <w:t>336</w:t>
            </w:r>
          </w:p>
        </w:tc>
        <w:tc>
          <w:tcPr>
            <w:tcW w:w="4283" w:type="dxa"/>
            <w:tcBorders>
              <w:top w:val="nil"/>
              <w:left w:val="nil"/>
              <w:bottom w:val="single" w:sz="4" w:space="0" w:color="auto"/>
              <w:right w:val="single" w:sz="4" w:space="0" w:color="auto"/>
            </w:tcBorders>
            <w:shd w:val="clear" w:color="auto" w:fill="C6EFCE"/>
            <w:noWrap/>
          </w:tcPr>
          <w:p w14:paraId="123BAF08" w14:textId="77777777" w:rsidR="00CB0FCB" w:rsidRDefault="009D2B11">
            <w:pPr>
              <w:pStyle w:val="P68B1DB1-Normal8"/>
              <w:keepNext/>
              <w:spacing w:before="40" w:after="0" w:line="259" w:lineRule="auto"/>
              <w:jc w:val="both"/>
              <w:rPr>
                <w:rFonts w:cs="Times New Roman"/>
                <w:noProof/>
              </w:rPr>
            </w:pPr>
            <w:r>
              <w:rPr>
                <w:noProof/>
              </w:rPr>
              <w:t>10–3.3. Uzlabot veselības aprūpes noturību, pieejamību un ilgtspēju — 16984_Personālo ārstu reforma</w:t>
            </w:r>
          </w:p>
        </w:tc>
        <w:tc>
          <w:tcPr>
            <w:tcW w:w="1692" w:type="dxa"/>
            <w:tcBorders>
              <w:top w:val="nil"/>
              <w:left w:val="nil"/>
              <w:bottom w:val="single" w:sz="4" w:space="0" w:color="auto"/>
              <w:right w:val="single" w:sz="4" w:space="0" w:color="auto"/>
            </w:tcBorders>
            <w:shd w:val="clear" w:color="auto" w:fill="C6EFCE"/>
            <w:noWrap/>
          </w:tcPr>
          <w:p w14:paraId="16B689DE" w14:textId="77777777" w:rsidR="00CB0FCB" w:rsidRDefault="009D2B11">
            <w:pPr>
              <w:pStyle w:val="P68B1DB1-Normal8"/>
              <w:keepNext/>
              <w:spacing w:before="40" w:after="0" w:line="259" w:lineRule="auto"/>
              <w:jc w:val="both"/>
              <w:rPr>
                <w:rFonts w:cs="Times New Roman"/>
                <w:noProof/>
              </w:rPr>
            </w:pPr>
            <w:r>
              <w:rPr>
                <w:noProof/>
              </w:rPr>
              <w:t>Atskaites punkts</w:t>
            </w:r>
          </w:p>
        </w:tc>
        <w:tc>
          <w:tcPr>
            <w:tcW w:w="1757" w:type="dxa"/>
            <w:tcBorders>
              <w:top w:val="nil"/>
              <w:left w:val="nil"/>
              <w:bottom w:val="single" w:sz="4" w:space="0" w:color="auto"/>
              <w:right w:val="single" w:sz="4" w:space="0" w:color="auto"/>
            </w:tcBorders>
            <w:shd w:val="clear" w:color="auto" w:fill="C6EFCE"/>
            <w:noWrap/>
          </w:tcPr>
          <w:p w14:paraId="73D3D9D2" w14:textId="77777777" w:rsidR="00CB0FCB" w:rsidRDefault="009D2B11">
            <w:pPr>
              <w:pStyle w:val="P68B1DB1-Normal8"/>
              <w:keepNext/>
              <w:spacing w:before="40" w:after="0" w:line="259" w:lineRule="auto"/>
              <w:jc w:val="both"/>
              <w:rPr>
                <w:rFonts w:cs="Times New Roman"/>
                <w:noProof/>
              </w:rPr>
            </w:pPr>
            <w:r>
              <w:rPr>
                <w:noProof/>
              </w:rPr>
              <w:t xml:space="preserve">Personīgo ārstu reforma — iedzīvotāju reģistrācija </w:t>
            </w:r>
          </w:p>
        </w:tc>
      </w:tr>
      <w:tr w:rsidR="00CB0FCB" w14:paraId="7176D30B"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4FED1732" w14:textId="77777777" w:rsidR="00CB0FCB" w:rsidRDefault="009D2B11">
            <w:pPr>
              <w:pStyle w:val="P68B1DB1-Normal8"/>
              <w:keepNext/>
              <w:spacing w:before="40" w:after="0" w:line="259" w:lineRule="auto"/>
              <w:jc w:val="both"/>
              <w:rPr>
                <w:rFonts w:cs="Times New Roman"/>
                <w:noProof/>
              </w:rPr>
            </w:pPr>
            <w:r>
              <w:rPr>
                <w:noProof/>
              </w:rPr>
              <w:t>344</w:t>
            </w:r>
          </w:p>
        </w:tc>
        <w:tc>
          <w:tcPr>
            <w:tcW w:w="4283" w:type="dxa"/>
            <w:tcBorders>
              <w:top w:val="nil"/>
              <w:left w:val="nil"/>
              <w:bottom w:val="single" w:sz="4" w:space="0" w:color="auto"/>
              <w:right w:val="single" w:sz="4" w:space="0" w:color="auto"/>
            </w:tcBorders>
            <w:shd w:val="clear" w:color="auto" w:fill="C6EFCE"/>
            <w:noWrap/>
          </w:tcPr>
          <w:p w14:paraId="559FCAC1" w14:textId="77777777" w:rsidR="00CB0FCB" w:rsidRDefault="009D2B11">
            <w:pPr>
              <w:pStyle w:val="P68B1DB1-Normal8"/>
              <w:keepNext/>
              <w:spacing w:before="40" w:after="0" w:line="259" w:lineRule="auto"/>
              <w:jc w:val="both"/>
              <w:rPr>
                <w:rFonts w:cs="Times New Roman"/>
                <w:noProof/>
              </w:rPr>
            </w:pPr>
            <w:r>
              <w:rPr>
                <w:noProof/>
              </w:rPr>
              <w:t>13–4.2. Modernizēt valsts pārvaldi, tostarp paātrinot publisko investīciju īstenošanu, uzlabojot publiskā iepirkuma regulējumu, spēju veidošanas pasākumus un korupcijas apkarošanu — 16986_Valsts kadastra pabeigšana</w:t>
            </w:r>
          </w:p>
        </w:tc>
        <w:tc>
          <w:tcPr>
            <w:tcW w:w="1692" w:type="dxa"/>
            <w:tcBorders>
              <w:top w:val="nil"/>
              <w:left w:val="nil"/>
              <w:bottom w:val="single" w:sz="4" w:space="0" w:color="auto"/>
              <w:right w:val="single" w:sz="4" w:space="0" w:color="auto"/>
            </w:tcBorders>
            <w:shd w:val="clear" w:color="auto" w:fill="C6EFCE"/>
            <w:noWrap/>
          </w:tcPr>
          <w:p w14:paraId="6E323609" w14:textId="77777777" w:rsidR="00CB0FCB" w:rsidRDefault="009D2B11">
            <w:pPr>
              <w:pStyle w:val="P68B1DB1-Normal8"/>
              <w:keepNext/>
              <w:spacing w:before="40" w:after="0" w:line="259" w:lineRule="auto"/>
              <w:jc w:val="both"/>
              <w:rPr>
                <w:rFonts w:cs="Times New Roman"/>
                <w:noProof/>
              </w:rPr>
            </w:pPr>
            <w:r>
              <w:rPr>
                <w:noProof/>
              </w:rPr>
              <w:t>Mērķa</w:t>
            </w:r>
          </w:p>
        </w:tc>
        <w:tc>
          <w:tcPr>
            <w:tcW w:w="1757" w:type="dxa"/>
            <w:tcBorders>
              <w:top w:val="nil"/>
              <w:left w:val="nil"/>
              <w:bottom w:val="single" w:sz="4" w:space="0" w:color="auto"/>
              <w:right w:val="single" w:sz="4" w:space="0" w:color="auto"/>
            </w:tcBorders>
            <w:shd w:val="clear" w:color="auto" w:fill="C6EFCE"/>
            <w:noWrap/>
          </w:tcPr>
          <w:p w14:paraId="174FF501" w14:textId="77777777" w:rsidR="00CB0FCB" w:rsidRDefault="009D2B11">
            <w:pPr>
              <w:pStyle w:val="P68B1DB1-Normal8"/>
              <w:keepNext/>
              <w:spacing w:before="40" w:after="0" w:line="259" w:lineRule="auto"/>
              <w:jc w:val="both"/>
              <w:rPr>
                <w:rFonts w:cs="Times New Roman"/>
                <w:noProof/>
              </w:rPr>
            </w:pPr>
            <w:r>
              <w:rPr>
                <w:noProof/>
              </w:rPr>
              <w:t>Kadastrālā kartēšana — pilnīga pabeigšana</w:t>
            </w:r>
          </w:p>
        </w:tc>
      </w:tr>
      <w:tr w:rsidR="00CB0FCB" w14:paraId="58F14487" w14:textId="77777777">
        <w:trPr>
          <w:trHeight w:val="300"/>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2284D8B9" w14:textId="5A27404B" w:rsidR="00CB0FCB" w:rsidRDefault="009D2B11">
            <w:pPr>
              <w:pStyle w:val="P68B1DB1-Normal49"/>
              <w:keepNext/>
              <w:spacing w:before="40" w:after="0" w:line="259" w:lineRule="auto"/>
              <w:jc w:val="both"/>
              <w:rPr>
                <w:rFonts w:cs="Times New Roman"/>
                <w:noProof/>
              </w:rPr>
            </w:pPr>
            <w:r>
              <w:rPr>
                <w:noProof/>
              </w:rPr>
              <w:t>352</w:t>
            </w:r>
          </w:p>
        </w:tc>
        <w:tc>
          <w:tcPr>
            <w:tcW w:w="4283" w:type="dxa"/>
            <w:tcBorders>
              <w:top w:val="single" w:sz="4" w:space="0" w:color="auto"/>
              <w:left w:val="nil"/>
              <w:bottom w:val="single" w:sz="4" w:space="0" w:color="auto"/>
              <w:right w:val="single" w:sz="4" w:space="0" w:color="auto"/>
            </w:tcBorders>
            <w:shd w:val="clear" w:color="auto" w:fill="C6EFCE"/>
            <w:noWrap/>
          </w:tcPr>
          <w:p w14:paraId="5517FE9E" w14:textId="2EDA560A" w:rsidR="00CB0FCB" w:rsidRDefault="009D2B11">
            <w:pPr>
              <w:pStyle w:val="P68B1DB1-Normal49"/>
              <w:keepNext/>
              <w:spacing w:before="40" w:after="0" w:line="259" w:lineRule="auto"/>
              <w:jc w:val="both"/>
              <w:rPr>
                <w:rFonts w:cs="Times New Roman"/>
                <w:noProof/>
              </w:rPr>
            </w:pPr>
            <w:r>
              <w:rPr>
                <w:noProof/>
              </w:rPr>
              <w:t>20–5.1. REPowerEU reformas — 16989_Sauszemes un jūras telpas izmantošanas optimizācija AER un atkrastes vēja enerģijas attīstībai</w:t>
            </w:r>
          </w:p>
        </w:tc>
        <w:tc>
          <w:tcPr>
            <w:tcW w:w="1692" w:type="dxa"/>
            <w:tcBorders>
              <w:top w:val="single" w:sz="4" w:space="0" w:color="auto"/>
              <w:left w:val="nil"/>
              <w:bottom w:val="single" w:sz="4" w:space="0" w:color="auto"/>
              <w:right w:val="single" w:sz="4" w:space="0" w:color="auto"/>
            </w:tcBorders>
            <w:shd w:val="clear" w:color="auto" w:fill="C6EFCE"/>
            <w:noWrap/>
          </w:tcPr>
          <w:p w14:paraId="71846A91" w14:textId="09237A7A" w:rsidR="00CB0FCB" w:rsidRDefault="009D2B11">
            <w:pPr>
              <w:pStyle w:val="P68B1DB1-Normal49"/>
              <w:keepNext/>
              <w:spacing w:before="40" w:after="0" w:line="259" w:lineRule="auto"/>
              <w:jc w:val="both"/>
              <w:rPr>
                <w:rFonts w:cs="Times New Roman"/>
                <w:noProof/>
              </w:rPr>
            </w:pPr>
            <w:r>
              <w:rPr>
                <w:noProof/>
              </w:rPr>
              <w:t>Atskaites punkts</w:t>
            </w:r>
          </w:p>
        </w:tc>
        <w:tc>
          <w:tcPr>
            <w:tcW w:w="1757" w:type="dxa"/>
            <w:tcBorders>
              <w:top w:val="single" w:sz="4" w:space="0" w:color="auto"/>
              <w:left w:val="nil"/>
              <w:bottom w:val="single" w:sz="4" w:space="0" w:color="auto"/>
              <w:right w:val="single" w:sz="4" w:space="0" w:color="auto"/>
            </w:tcBorders>
            <w:shd w:val="clear" w:color="auto" w:fill="C6EFCE"/>
            <w:noWrap/>
          </w:tcPr>
          <w:p w14:paraId="72EE4900" w14:textId="311E60AE" w:rsidR="00CB0FCB" w:rsidRDefault="009D2B11">
            <w:pPr>
              <w:pStyle w:val="P68B1DB1-Normal49"/>
              <w:keepNext/>
              <w:spacing w:before="40" w:after="0" w:line="259" w:lineRule="auto"/>
              <w:jc w:val="both"/>
              <w:rPr>
                <w:rFonts w:cs="Times New Roman"/>
                <w:noProof/>
              </w:rPr>
            </w:pPr>
            <w:r>
              <w:rPr>
                <w:noProof/>
              </w:rPr>
              <w:t>Atkrastes vējparku attīstības stratēģijas pieņemšana</w:t>
            </w:r>
          </w:p>
        </w:tc>
      </w:tr>
      <w:tr w:rsidR="00CB0FCB" w14:paraId="67B271E6"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6810061E"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354</w:t>
            </w:r>
          </w:p>
        </w:tc>
        <w:tc>
          <w:tcPr>
            <w:tcW w:w="4283" w:type="dxa"/>
            <w:tcBorders>
              <w:top w:val="single" w:sz="4" w:space="0" w:color="auto"/>
              <w:left w:val="nil"/>
              <w:bottom w:val="single" w:sz="4" w:space="0" w:color="auto"/>
              <w:right w:val="single" w:sz="4" w:space="0" w:color="auto"/>
            </w:tcBorders>
            <w:shd w:val="clear" w:color="auto" w:fill="C6EFCE"/>
            <w:noWrap/>
          </w:tcPr>
          <w:p w14:paraId="49C79739" w14:textId="77777777" w:rsidR="00CB0FCB" w:rsidRDefault="009D2B11">
            <w:pPr>
              <w:pStyle w:val="P68B1DB1-Normal8"/>
              <w:keepNext/>
              <w:spacing w:before="40" w:after="0" w:line="259" w:lineRule="auto"/>
              <w:jc w:val="both"/>
              <w:rPr>
                <w:rFonts w:eastAsia="Times New Roman" w:cs="Times New Roman"/>
                <w:noProof/>
                <w:color w:val="006100"/>
                <w:szCs w:val="18"/>
              </w:rPr>
            </w:pPr>
            <w:r>
              <w:rPr>
                <w:noProof/>
              </w:rPr>
              <w:t>20–5.1. REPowerEU reformas — 16989_Sauszemes un jūras telpas izmantošanas optimizācija AER un atkrastes vēja enerģijas attīstībai</w:t>
            </w:r>
          </w:p>
        </w:tc>
        <w:tc>
          <w:tcPr>
            <w:tcW w:w="1692" w:type="dxa"/>
            <w:tcBorders>
              <w:top w:val="single" w:sz="4" w:space="0" w:color="auto"/>
              <w:left w:val="nil"/>
              <w:bottom w:val="single" w:sz="4" w:space="0" w:color="auto"/>
              <w:right w:val="single" w:sz="4" w:space="0" w:color="auto"/>
            </w:tcBorders>
            <w:shd w:val="clear" w:color="auto" w:fill="C6EFCE"/>
            <w:noWrap/>
          </w:tcPr>
          <w:p w14:paraId="090135E2"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757" w:type="dxa"/>
            <w:tcBorders>
              <w:top w:val="single" w:sz="4" w:space="0" w:color="auto"/>
              <w:left w:val="nil"/>
              <w:bottom w:val="single" w:sz="4" w:space="0" w:color="auto"/>
              <w:right w:val="single" w:sz="4" w:space="0" w:color="auto"/>
            </w:tcBorders>
            <w:shd w:val="clear" w:color="auto" w:fill="C6EFCE"/>
            <w:noWrap/>
          </w:tcPr>
          <w:p w14:paraId="0E7CE038" w14:textId="77777777" w:rsidR="00CB0FCB" w:rsidRDefault="009D2B11">
            <w:pPr>
              <w:pStyle w:val="P68B1DB1-Normal8"/>
              <w:keepNext/>
              <w:spacing w:before="40" w:after="0" w:line="259" w:lineRule="auto"/>
              <w:jc w:val="both"/>
              <w:rPr>
                <w:rFonts w:eastAsia="Times New Roman" w:cs="Times New Roman"/>
                <w:noProof/>
                <w:color w:val="006100"/>
                <w:szCs w:val="18"/>
              </w:rPr>
            </w:pPr>
            <w:r>
              <w:rPr>
                <w:noProof/>
              </w:rPr>
              <w:t>Stājas spēkā prezidenta dekrēts, ar ko nosaka pirmo teritoriju grupu atkrastes vēja enerģijas projektiem</w:t>
            </w:r>
          </w:p>
        </w:tc>
      </w:tr>
      <w:tr w:rsidR="00CB0FCB" w14:paraId="58C354AE"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43C86F2E" w14:textId="77777777" w:rsidR="00CB0FCB" w:rsidRDefault="009D2B11">
            <w:pPr>
              <w:pStyle w:val="P68B1DB1-Normal8"/>
              <w:keepNext/>
              <w:spacing w:before="40" w:after="0" w:line="259" w:lineRule="auto"/>
              <w:jc w:val="both"/>
              <w:rPr>
                <w:rFonts w:cs="Times New Roman"/>
                <w:noProof/>
              </w:rPr>
            </w:pPr>
            <w:r>
              <w:rPr>
                <w:noProof/>
              </w:rPr>
              <w:t>357</w:t>
            </w:r>
          </w:p>
        </w:tc>
        <w:tc>
          <w:tcPr>
            <w:tcW w:w="4283" w:type="dxa"/>
            <w:tcBorders>
              <w:top w:val="single" w:sz="4" w:space="0" w:color="auto"/>
              <w:left w:val="nil"/>
              <w:bottom w:val="single" w:sz="4" w:space="0" w:color="auto"/>
              <w:right w:val="single" w:sz="4" w:space="0" w:color="auto"/>
            </w:tcBorders>
            <w:shd w:val="clear" w:color="auto" w:fill="C6EFCE"/>
            <w:noWrap/>
          </w:tcPr>
          <w:p w14:paraId="7B5DFD64" w14:textId="77777777" w:rsidR="00CB0FCB" w:rsidRDefault="009D2B11">
            <w:pPr>
              <w:pStyle w:val="P68B1DB1-Normal8"/>
              <w:keepNext/>
              <w:spacing w:before="40" w:after="0" w:line="259" w:lineRule="auto"/>
              <w:jc w:val="both"/>
              <w:rPr>
                <w:rFonts w:cs="Times New Roman"/>
                <w:noProof/>
              </w:rPr>
            </w:pPr>
            <w:r>
              <w:rPr>
                <w:noProof/>
              </w:rPr>
              <w:t>20–5.1. REPowerEU reformas — 16990_Tīkla un uzglabāšanas jauda — investīciju veicināšana uzglabāšanā</w:t>
            </w:r>
          </w:p>
        </w:tc>
        <w:tc>
          <w:tcPr>
            <w:tcW w:w="1692" w:type="dxa"/>
            <w:tcBorders>
              <w:top w:val="single" w:sz="4" w:space="0" w:color="auto"/>
              <w:left w:val="nil"/>
              <w:bottom w:val="single" w:sz="4" w:space="0" w:color="auto"/>
              <w:right w:val="single" w:sz="4" w:space="0" w:color="auto"/>
            </w:tcBorders>
            <w:shd w:val="clear" w:color="auto" w:fill="C6EFCE"/>
            <w:noWrap/>
          </w:tcPr>
          <w:p w14:paraId="5FCEE2AE" w14:textId="77777777" w:rsidR="00CB0FCB" w:rsidRDefault="009D2B11">
            <w:pPr>
              <w:pStyle w:val="P68B1DB1-Normal8"/>
              <w:keepNext/>
              <w:spacing w:before="40" w:after="0" w:line="259" w:lineRule="auto"/>
              <w:jc w:val="both"/>
              <w:rPr>
                <w:rFonts w:cs="Times New Roman"/>
                <w:noProof/>
              </w:rPr>
            </w:pPr>
            <w:r>
              <w:rPr>
                <w:noProof/>
              </w:rPr>
              <w:t xml:space="preserve">Atskaites punkts </w:t>
            </w:r>
          </w:p>
        </w:tc>
        <w:tc>
          <w:tcPr>
            <w:tcW w:w="1757" w:type="dxa"/>
            <w:tcBorders>
              <w:top w:val="single" w:sz="4" w:space="0" w:color="auto"/>
              <w:left w:val="nil"/>
              <w:bottom w:val="single" w:sz="4" w:space="0" w:color="auto"/>
              <w:right w:val="single" w:sz="4" w:space="0" w:color="auto"/>
            </w:tcBorders>
            <w:shd w:val="clear" w:color="auto" w:fill="C6EFCE"/>
            <w:noWrap/>
          </w:tcPr>
          <w:p w14:paraId="1EDB2912" w14:textId="77777777" w:rsidR="00CB0FCB" w:rsidRDefault="009D2B11">
            <w:pPr>
              <w:pStyle w:val="P68B1DB1-Normal8"/>
              <w:keepNext/>
              <w:spacing w:before="40" w:after="0" w:line="259" w:lineRule="auto"/>
              <w:jc w:val="both"/>
              <w:rPr>
                <w:rFonts w:cs="Times New Roman"/>
                <w:noProof/>
              </w:rPr>
            </w:pPr>
            <w:r>
              <w:rPr>
                <w:noProof/>
              </w:rPr>
              <w:t>Atbalsta shēmas stāšanās spēkā</w:t>
            </w:r>
          </w:p>
        </w:tc>
      </w:tr>
      <w:tr w:rsidR="00CB0FCB" w14:paraId="717F0EA3"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8947971" w14:textId="77777777" w:rsidR="00CB0FCB" w:rsidRDefault="009D2B11">
            <w:pPr>
              <w:pStyle w:val="P68B1DB1-Normal8"/>
              <w:keepNext/>
              <w:spacing w:before="40" w:after="0" w:line="259" w:lineRule="auto"/>
              <w:jc w:val="both"/>
              <w:rPr>
                <w:rFonts w:eastAsia="Times New Roman" w:cs="Times New Roman"/>
                <w:noProof/>
                <w:szCs w:val="18"/>
              </w:rPr>
            </w:pPr>
            <w:r>
              <w:rPr>
                <w:noProof/>
              </w:rPr>
              <w:t>362</w:t>
            </w:r>
          </w:p>
        </w:tc>
        <w:tc>
          <w:tcPr>
            <w:tcW w:w="4283" w:type="dxa"/>
            <w:tcBorders>
              <w:top w:val="single" w:sz="4" w:space="0" w:color="auto"/>
              <w:left w:val="nil"/>
              <w:bottom w:val="single" w:sz="4" w:space="0" w:color="auto"/>
              <w:right w:val="single" w:sz="4" w:space="0" w:color="auto"/>
            </w:tcBorders>
            <w:shd w:val="clear" w:color="auto" w:fill="C6EFCE"/>
            <w:noWrap/>
          </w:tcPr>
          <w:p w14:paraId="5303C2E9" w14:textId="77777777" w:rsidR="00CB0FCB" w:rsidRDefault="009D2B11">
            <w:pPr>
              <w:pStyle w:val="P68B1DB1-Normal8"/>
              <w:keepNext/>
              <w:spacing w:before="40" w:after="0" w:line="259" w:lineRule="auto"/>
              <w:jc w:val="both"/>
              <w:rPr>
                <w:rFonts w:eastAsia="Times New Roman" w:cs="Times New Roman"/>
                <w:noProof/>
                <w:szCs w:val="18"/>
              </w:rPr>
            </w:pPr>
            <w:r>
              <w:rPr>
                <w:noProof/>
              </w:rPr>
              <w:t>20–5. REPowerEU reformas — 16992_Toolset enerģijas koplietošanas, pašpatēriņa un atjaunīgās enerģijas kopienu veicināšanai</w:t>
            </w:r>
          </w:p>
        </w:tc>
        <w:tc>
          <w:tcPr>
            <w:tcW w:w="1692" w:type="dxa"/>
            <w:tcBorders>
              <w:top w:val="single" w:sz="4" w:space="0" w:color="auto"/>
              <w:left w:val="nil"/>
              <w:bottom w:val="single" w:sz="4" w:space="0" w:color="auto"/>
              <w:right w:val="single" w:sz="4" w:space="0" w:color="auto"/>
            </w:tcBorders>
            <w:shd w:val="clear" w:color="auto" w:fill="C6EFCE"/>
            <w:noWrap/>
          </w:tcPr>
          <w:p w14:paraId="52593CD6"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757" w:type="dxa"/>
            <w:tcBorders>
              <w:top w:val="single" w:sz="4" w:space="0" w:color="auto"/>
              <w:left w:val="nil"/>
              <w:bottom w:val="single" w:sz="4" w:space="0" w:color="auto"/>
              <w:right w:val="single" w:sz="4" w:space="0" w:color="auto"/>
            </w:tcBorders>
            <w:shd w:val="clear" w:color="auto" w:fill="C6EFCE"/>
            <w:noWrap/>
            <w:vAlign w:val="bottom"/>
          </w:tcPr>
          <w:p w14:paraId="447FAF90" w14:textId="77777777" w:rsidR="00CB0FCB" w:rsidRDefault="009D2B11">
            <w:pPr>
              <w:pStyle w:val="P68B1DB1-Normal8"/>
              <w:keepNext/>
              <w:spacing w:before="40" w:after="0" w:line="259" w:lineRule="auto"/>
              <w:jc w:val="both"/>
              <w:rPr>
                <w:rFonts w:eastAsia="Times New Roman" w:cs="Times New Roman"/>
                <w:noProof/>
                <w:szCs w:val="18"/>
              </w:rPr>
            </w:pPr>
            <w:r>
              <w:rPr>
                <w:noProof/>
              </w:rPr>
              <w:t>Pašpatērētāju reģistra izveide un tehniskā palīdzība energokopienām</w:t>
            </w:r>
          </w:p>
        </w:tc>
      </w:tr>
      <w:tr w:rsidR="00CB0FCB" w14:paraId="52CA55AD"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32616F90"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364</w:t>
            </w:r>
          </w:p>
        </w:tc>
        <w:tc>
          <w:tcPr>
            <w:tcW w:w="4283" w:type="dxa"/>
            <w:tcBorders>
              <w:top w:val="single" w:sz="4" w:space="0" w:color="auto"/>
              <w:left w:val="nil"/>
              <w:bottom w:val="single" w:sz="4" w:space="0" w:color="auto"/>
              <w:right w:val="single" w:sz="4" w:space="0" w:color="auto"/>
            </w:tcBorders>
            <w:shd w:val="clear" w:color="auto" w:fill="C6EFCE"/>
            <w:noWrap/>
          </w:tcPr>
          <w:p w14:paraId="5F01B3F6" w14:textId="77777777" w:rsidR="00CB0FCB" w:rsidRDefault="009D2B11">
            <w:pPr>
              <w:pStyle w:val="P68B1DB1-Normal8"/>
              <w:keepNext/>
              <w:spacing w:before="40" w:after="0" w:line="259" w:lineRule="auto"/>
              <w:jc w:val="both"/>
              <w:rPr>
                <w:rFonts w:eastAsia="Times New Roman" w:cs="Times New Roman"/>
                <w:bCs/>
                <w:noProof/>
                <w:szCs w:val="18"/>
              </w:rPr>
            </w:pPr>
            <w:r>
              <w:rPr>
                <w:noProof/>
              </w:rPr>
              <w:t>20–5. REPowerEU reformas — 16993_Ceļvedis inovatīvām energoefektivitātes intervencēm un jaunu finanšu instrumentu apzināšanai</w:t>
            </w:r>
          </w:p>
        </w:tc>
        <w:tc>
          <w:tcPr>
            <w:tcW w:w="1692" w:type="dxa"/>
            <w:tcBorders>
              <w:top w:val="single" w:sz="4" w:space="0" w:color="auto"/>
              <w:left w:val="nil"/>
              <w:bottom w:val="single" w:sz="4" w:space="0" w:color="auto"/>
              <w:right w:val="single" w:sz="4" w:space="0" w:color="auto"/>
            </w:tcBorders>
            <w:shd w:val="clear" w:color="auto" w:fill="C6EFCE"/>
            <w:noWrap/>
          </w:tcPr>
          <w:p w14:paraId="5F61DD99" w14:textId="77777777" w:rsidR="00CB0FCB" w:rsidRDefault="009D2B11">
            <w:pPr>
              <w:pStyle w:val="P68B1DB1-Normal8"/>
              <w:keepNext/>
              <w:spacing w:before="40" w:after="0" w:line="259" w:lineRule="auto"/>
              <w:jc w:val="both"/>
              <w:rPr>
                <w:rFonts w:eastAsia="Times New Roman" w:cs="Times New Roman"/>
                <w:noProof/>
                <w:szCs w:val="18"/>
              </w:rPr>
            </w:pPr>
            <w:r>
              <w:rPr>
                <w:noProof/>
              </w:rPr>
              <w:t>Atskaites punkts</w:t>
            </w:r>
          </w:p>
        </w:tc>
        <w:tc>
          <w:tcPr>
            <w:tcW w:w="1757" w:type="dxa"/>
            <w:tcBorders>
              <w:top w:val="single" w:sz="4" w:space="0" w:color="auto"/>
              <w:left w:val="nil"/>
              <w:bottom w:val="single" w:sz="4" w:space="0" w:color="auto"/>
              <w:right w:val="single" w:sz="4" w:space="0" w:color="auto"/>
            </w:tcBorders>
            <w:shd w:val="clear" w:color="auto" w:fill="C6EFCE"/>
            <w:noWrap/>
          </w:tcPr>
          <w:p w14:paraId="487F32BD" w14:textId="77777777" w:rsidR="00CB0FCB" w:rsidRDefault="009D2B11">
            <w:pPr>
              <w:pStyle w:val="P68B1DB1-Normal8"/>
              <w:keepNext/>
              <w:spacing w:before="40" w:after="0" w:line="259" w:lineRule="auto"/>
              <w:jc w:val="both"/>
              <w:rPr>
                <w:rFonts w:eastAsia="Times New Roman" w:cs="Times New Roman"/>
                <w:noProof/>
                <w:szCs w:val="18"/>
              </w:rPr>
            </w:pPr>
            <w:r>
              <w:rPr>
                <w:noProof/>
              </w:rPr>
              <w:t>Ar dotācijām nesaistīta finanšu instrumenta darbības uzsākšana</w:t>
            </w:r>
          </w:p>
        </w:tc>
      </w:tr>
      <w:tr w:rsidR="00CB0FCB" w14:paraId="48CF2989"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459F98"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5086A95"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2EED79DF" w14:textId="77777777" w:rsidR="00CB0FCB" w:rsidRDefault="009D2B11">
            <w:pPr>
              <w:pStyle w:val="P68B1DB1-Normal8"/>
              <w:keepNext/>
              <w:spacing w:before="40" w:after="0" w:line="259" w:lineRule="auto"/>
              <w:jc w:val="both"/>
              <w:rPr>
                <w:rFonts w:eastAsia="Times New Roman" w:cs="Times New Roman"/>
                <w:noProof/>
                <w:szCs w:val="18"/>
              </w:rPr>
            </w:pPr>
            <w:r>
              <w:rPr>
                <w:noProof/>
              </w:rPr>
              <w:t>Maksājuma summa</w:t>
            </w:r>
          </w:p>
        </w:tc>
        <w:tc>
          <w:tcPr>
            <w:tcW w:w="1757" w:type="dxa"/>
            <w:tcBorders>
              <w:top w:val="single" w:sz="4" w:space="0" w:color="auto"/>
              <w:left w:val="nil"/>
              <w:bottom w:val="single" w:sz="4" w:space="0" w:color="auto"/>
              <w:right w:val="single" w:sz="4" w:space="0" w:color="auto"/>
            </w:tcBorders>
            <w:shd w:val="clear" w:color="auto" w:fill="C6EFCE"/>
            <w:noWrap/>
            <w:vAlign w:val="bottom"/>
          </w:tcPr>
          <w:p w14:paraId="67692C23" w14:textId="320BF82E" w:rsidR="00CB0FCB" w:rsidRDefault="009D2B11">
            <w:pPr>
              <w:pStyle w:val="P68B1DB1-Normal8"/>
              <w:keepNext/>
              <w:spacing w:before="40" w:after="0" w:line="259" w:lineRule="auto"/>
              <w:jc w:val="both"/>
              <w:rPr>
                <w:rFonts w:eastAsia="Times New Roman" w:cs="Times New Roman"/>
                <w:noProof/>
                <w:szCs w:val="18"/>
              </w:rPr>
            </w:pPr>
            <w:r>
              <w:rPr>
                <w:noProof/>
              </w:rPr>
              <w:t>EUR 1696474735</w:t>
            </w:r>
          </w:p>
        </w:tc>
      </w:tr>
    </w:tbl>
    <w:p w14:paraId="4E79390C"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1B8E57C1"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Devītais maksājuma pieprasījums (neatmaksājams atbalsts): </w:t>
      </w:r>
    </w:p>
    <w:p w14:paraId="3EC94B26" w14:textId="77777777" w:rsidR="00CB0FCB" w:rsidRDefault="00CB0FCB">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245" w:tblpY="1"/>
        <w:tblOverlap w:val="never"/>
        <w:tblW w:w="10075" w:type="dxa"/>
        <w:tblLook w:val="04A0" w:firstRow="1" w:lastRow="0" w:firstColumn="1" w:lastColumn="0" w:noHBand="0" w:noVBand="1"/>
      </w:tblPr>
      <w:tblGrid>
        <w:gridCol w:w="1795"/>
        <w:gridCol w:w="4320"/>
        <w:gridCol w:w="1807"/>
        <w:gridCol w:w="2280"/>
      </w:tblGrid>
      <w:tr w:rsidR="00CB0FCB" w14:paraId="6E97D91E"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54C7F2" w14:textId="77777777" w:rsidR="00CB0FCB" w:rsidRDefault="009D2B11">
            <w:pPr>
              <w:pStyle w:val="P68B1DB1-Normal7"/>
              <w:keepNext/>
              <w:spacing w:before="40" w:after="0" w:line="256" w:lineRule="auto"/>
              <w:jc w:val="center"/>
              <w:rPr>
                <w:rFonts w:eastAsia="Times New Roman" w:cs="Times New Roman"/>
                <w:bCs/>
                <w:noProof/>
                <w:szCs w:val="18"/>
              </w:rPr>
            </w:pPr>
            <w:r>
              <w:rPr>
                <w:noProof/>
              </w:rPr>
              <w:t>Kārtas numurs</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E877246" w14:textId="77777777" w:rsidR="00CB0FCB" w:rsidRDefault="009D2B11">
            <w:pPr>
              <w:pStyle w:val="P68B1DB1-Normal7"/>
              <w:keepNext/>
              <w:spacing w:before="40" w:after="0" w:line="256" w:lineRule="auto"/>
              <w:jc w:val="center"/>
              <w:rPr>
                <w:rFonts w:eastAsia="Times New Roman" w:cs="Times New Roman"/>
                <w:bCs/>
                <w:noProof/>
                <w:szCs w:val="18"/>
              </w:rPr>
            </w:pPr>
            <w:r>
              <w:rPr>
                <w:noProof/>
              </w:rPr>
              <w:t>Saistītais pasākums (reforma vai ieguldījums)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37955B" w14:textId="77777777" w:rsidR="00CB0FCB" w:rsidRDefault="009D2B11">
            <w:pPr>
              <w:pStyle w:val="P68B1DB1-Normal7"/>
              <w:keepNext/>
              <w:spacing w:before="40" w:after="0" w:line="256" w:lineRule="auto"/>
              <w:jc w:val="center"/>
              <w:rPr>
                <w:rFonts w:eastAsia="Times New Roman" w:cs="Times New Roman"/>
                <w:bCs/>
                <w:noProof/>
                <w:szCs w:val="18"/>
              </w:rPr>
            </w:pPr>
            <w:r>
              <w:rPr>
                <w:noProof/>
              </w:rPr>
              <w:t>Atskaites punkts/mērķrādītājs</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69D186" w14:textId="77777777" w:rsidR="00CB0FCB" w:rsidRDefault="009D2B11">
            <w:pPr>
              <w:pStyle w:val="P68B1DB1-Normal7"/>
              <w:keepNext/>
              <w:spacing w:before="40" w:after="0" w:line="256" w:lineRule="auto"/>
              <w:jc w:val="center"/>
              <w:rPr>
                <w:rFonts w:eastAsia="Times New Roman" w:cs="Times New Roman"/>
                <w:bCs/>
                <w:noProof/>
                <w:szCs w:val="18"/>
              </w:rPr>
            </w:pPr>
            <w:r>
              <w:rPr>
                <w:noProof/>
              </w:rPr>
              <w:t>Nosaukums</w:t>
            </w:r>
          </w:p>
        </w:tc>
      </w:tr>
      <w:tr w:rsidR="00CB0FCB" w14:paraId="385E1E89" w14:textId="77777777">
        <w:trPr>
          <w:trHeight w:val="990"/>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52715320" w14:textId="77777777" w:rsidR="00CB0FCB" w:rsidRDefault="00CB0FCB">
            <w:pPr>
              <w:spacing w:after="0"/>
              <w:rPr>
                <w:rFonts w:ascii="Times New Roman" w:eastAsia="Times New Roman" w:hAnsi="Times New Roman" w:cs="Times New Roman"/>
                <w:noProof/>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08EDCF2" w14:textId="77777777" w:rsidR="00CB0FCB" w:rsidRDefault="00CB0FCB">
            <w:pPr>
              <w:spacing w:after="0"/>
              <w:rPr>
                <w:rFonts w:ascii="Times New Roman" w:eastAsia="Times New Roman" w:hAnsi="Times New Roman" w:cs="Times New Roman"/>
                <w:noProof/>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3BF2673" w14:textId="77777777" w:rsidR="00CB0FCB" w:rsidRDefault="00CB0FCB">
            <w:pPr>
              <w:spacing w:after="0"/>
              <w:rPr>
                <w:rFonts w:ascii="Times New Roman" w:eastAsia="Times New Roman" w:hAnsi="Times New Roman" w:cs="Times New Roman"/>
                <w:noProof/>
                <w:sz w:val="18"/>
                <w:szCs w:val="18"/>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3732F141" w14:textId="77777777" w:rsidR="00CB0FCB" w:rsidRDefault="00CB0FCB">
            <w:pPr>
              <w:spacing w:after="0"/>
              <w:rPr>
                <w:rFonts w:ascii="Times New Roman" w:eastAsia="Times New Roman" w:hAnsi="Times New Roman" w:cs="Times New Roman"/>
                <w:noProof/>
                <w:sz w:val="18"/>
                <w:szCs w:val="18"/>
              </w:rPr>
            </w:pPr>
          </w:p>
        </w:tc>
      </w:tr>
      <w:tr w:rsidR="00CB0FCB" w14:paraId="12923EC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DC63208" w14:textId="77777777" w:rsidR="00CB0FCB" w:rsidRDefault="009D2B11">
            <w:pPr>
              <w:pStyle w:val="P68B1DB1-Normal8"/>
              <w:keepNext/>
              <w:spacing w:before="40" w:after="0" w:line="240" w:lineRule="auto"/>
              <w:jc w:val="both"/>
              <w:rPr>
                <w:rFonts w:eastAsia="Times New Roman" w:cs="Times New Roman"/>
                <w:noProof/>
                <w:szCs w:val="18"/>
              </w:rPr>
            </w:pPr>
            <w:r>
              <w:rPr>
                <w:noProof/>
              </w:rPr>
              <w:t>3</w:t>
            </w:r>
          </w:p>
        </w:tc>
        <w:tc>
          <w:tcPr>
            <w:tcW w:w="4320" w:type="dxa"/>
            <w:tcBorders>
              <w:top w:val="single" w:sz="4" w:space="0" w:color="auto"/>
              <w:left w:val="nil"/>
              <w:bottom w:val="single" w:sz="4" w:space="0" w:color="auto"/>
              <w:right w:val="single" w:sz="4" w:space="0" w:color="auto"/>
            </w:tcBorders>
            <w:shd w:val="clear" w:color="auto" w:fill="C6EFCE"/>
            <w:noWrap/>
            <w:vAlign w:val="center"/>
            <w:hideMark/>
          </w:tcPr>
          <w:p w14:paraId="077A229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1–1.1. Elektroenerģijas palielināšana — 16870_Intervences salu elektrotīklu starpsavienojumiem un elektroenerģijas tīkla modernizācijai</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738DD1D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2280" w:type="dxa"/>
            <w:tcBorders>
              <w:top w:val="single" w:sz="4" w:space="0" w:color="auto"/>
              <w:left w:val="nil"/>
              <w:bottom w:val="single" w:sz="4" w:space="0" w:color="auto"/>
              <w:right w:val="single" w:sz="4" w:space="0" w:color="auto"/>
            </w:tcBorders>
            <w:shd w:val="clear" w:color="auto" w:fill="C6EFCE"/>
            <w:noWrap/>
            <w:vAlign w:val="center"/>
            <w:hideMark/>
          </w:tcPr>
          <w:p w14:paraId="22B8474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Salu starpsavienojums — pabeigšana</w:t>
            </w:r>
          </w:p>
        </w:tc>
      </w:tr>
      <w:tr w:rsidR="00CB0FCB" w14:paraId="4FE1E2E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F7F8B60" w14:textId="77777777" w:rsidR="00CB0FCB" w:rsidRDefault="009D2B11">
            <w:pPr>
              <w:pStyle w:val="P68B1DB1-Normal8"/>
              <w:keepNext/>
              <w:spacing w:before="40" w:after="0" w:line="240" w:lineRule="auto"/>
              <w:jc w:val="both"/>
              <w:rPr>
                <w:rFonts w:eastAsia="Times New Roman" w:cs="Times New Roman"/>
                <w:noProof/>
                <w:szCs w:val="18"/>
              </w:rPr>
            </w:pPr>
            <w:r>
              <w:rPr>
                <w:noProof/>
              </w:rPr>
              <w:t>15</w:t>
            </w:r>
          </w:p>
        </w:tc>
        <w:tc>
          <w:tcPr>
            <w:tcW w:w="4320" w:type="dxa"/>
            <w:tcBorders>
              <w:top w:val="nil"/>
              <w:left w:val="nil"/>
              <w:bottom w:val="single" w:sz="4" w:space="0" w:color="auto"/>
              <w:right w:val="single" w:sz="4" w:space="0" w:color="auto"/>
            </w:tcBorders>
            <w:shd w:val="clear" w:color="auto" w:fill="C6EFCE"/>
            <w:noWrap/>
            <w:vAlign w:val="center"/>
            <w:hideMark/>
          </w:tcPr>
          <w:p w14:paraId="2B1299F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Power up — 16871_Atdzīvināšanas darbības visvairāk skartajās teritorijās (taisnīgas pārkārtošanās teritorijas)</w:t>
            </w:r>
          </w:p>
        </w:tc>
        <w:tc>
          <w:tcPr>
            <w:tcW w:w="1680" w:type="dxa"/>
            <w:tcBorders>
              <w:top w:val="nil"/>
              <w:left w:val="nil"/>
              <w:bottom w:val="single" w:sz="4" w:space="0" w:color="auto"/>
              <w:right w:val="single" w:sz="4" w:space="0" w:color="auto"/>
            </w:tcBorders>
            <w:shd w:val="clear" w:color="auto" w:fill="C6EFCE"/>
            <w:noWrap/>
            <w:vAlign w:val="center"/>
            <w:hideMark/>
          </w:tcPr>
          <w:p w14:paraId="03AAA75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44E2E7C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Zemes atjaunošana — pabeigšana</w:t>
            </w:r>
          </w:p>
        </w:tc>
      </w:tr>
      <w:tr w:rsidR="00CB0FCB" w14:paraId="6B88497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7CB9C0E" w14:textId="77777777" w:rsidR="00CB0FCB" w:rsidRDefault="009D2B11">
            <w:pPr>
              <w:pStyle w:val="P68B1DB1-Normal8"/>
              <w:keepNext/>
              <w:spacing w:before="40" w:after="0" w:line="240" w:lineRule="auto"/>
              <w:jc w:val="both"/>
              <w:rPr>
                <w:rFonts w:eastAsia="Times New Roman" w:cs="Times New Roman"/>
                <w:noProof/>
                <w:szCs w:val="18"/>
              </w:rPr>
            </w:pPr>
            <w:r>
              <w:rPr>
                <w:noProof/>
              </w:rPr>
              <w:t>16</w:t>
            </w:r>
          </w:p>
        </w:tc>
        <w:tc>
          <w:tcPr>
            <w:tcW w:w="4320" w:type="dxa"/>
            <w:tcBorders>
              <w:top w:val="nil"/>
              <w:left w:val="nil"/>
              <w:bottom w:val="single" w:sz="4" w:space="0" w:color="auto"/>
              <w:right w:val="single" w:sz="4" w:space="0" w:color="auto"/>
            </w:tcBorders>
            <w:shd w:val="clear" w:color="auto" w:fill="C6EFCE"/>
            <w:noWrap/>
            <w:vAlign w:val="center"/>
            <w:hideMark/>
          </w:tcPr>
          <w:p w14:paraId="492E858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Jaudas palielināšana — 16926_Atbalsts uzglabāšanas sistēmu uzstādīšanai, lai veicinātu AER iekļūšanu</w:t>
            </w:r>
          </w:p>
        </w:tc>
        <w:tc>
          <w:tcPr>
            <w:tcW w:w="1680" w:type="dxa"/>
            <w:tcBorders>
              <w:top w:val="nil"/>
              <w:left w:val="nil"/>
              <w:bottom w:val="single" w:sz="4" w:space="0" w:color="auto"/>
              <w:right w:val="single" w:sz="4" w:space="0" w:color="auto"/>
            </w:tcBorders>
            <w:shd w:val="clear" w:color="auto" w:fill="C6EFCE"/>
            <w:noWrap/>
            <w:vAlign w:val="center"/>
            <w:hideMark/>
          </w:tcPr>
          <w:p w14:paraId="18C5479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359150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Enerģijas uzkrāšana — pabeigšana</w:t>
            </w:r>
          </w:p>
        </w:tc>
      </w:tr>
      <w:tr w:rsidR="00CB0FCB" w14:paraId="7AD5620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678371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w:t>
            </w:r>
          </w:p>
        </w:tc>
        <w:tc>
          <w:tcPr>
            <w:tcW w:w="4320" w:type="dxa"/>
            <w:tcBorders>
              <w:top w:val="nil"/>
              <w:left w:val="nil"/>
              <w:bottom w:val="single" w:sz="4" w:space="0" w:color="auto"/>
              <w:right w:val="single" w:sz="4" w:space="0" w:color="auto"/>
            </w:tcBorders>
            <w:shd w:val="clear" w:color="auto" w:fill="C6EFCE"/>
            <w:noWrap/>
            <w:vAlign w:val="center"/>
            <w:hideMark/>
          </w:tcPr>
          <w:p w14:paraId="2CE6892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Jaudas palielināšana — 16901_HEDNO tīkla modernizācija, kuras mērķis ir uzlabot noturību un aizsargāt vidi</w:t>
            </w:r>
          </w:p>
        </w:tc>
        <w:tc>
          <w:tcPr>
            <w:tcW w:w="1680" w:type="dxa"/>
            <w:tcBorders>
              <w:top w:val="nil"/>
              <w:left w:val="nil"/>
              <w:bottom w:val="single" w:sz="4" w:space="0" w:color="auto"/>
              <w:right w:val="single" w:sz="4" w:space="0" w:color="auto"/>
            </w:tcBorders>
            <w:shd w:val="clear" w:color="auto" w:fill="C6EFCE"/>
            <w:noWrap/>
            <w:vAlign w:val="center"/>
            <w:hideMark/>
          </w:tcPr>
          <w:p w14:paraId="2327A90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38C5CEA" w14:textId="77777777" w:rsidR="00CB0FCB" w:rsidRDefault="009D2B11">
            <w:pPr>
              <w:pStyle w:val="P68B1DB1-Normal8"/>
              <w:keepNext/>
              <w:spacing w:before="40" w:after="0" w:line="240" w:lineRule="auto"/>
              <w:jc w:val="both"/>
              <w:rPr>
                <w:rFonts w:eastAsia="Times New Roman" w:cs="Times New Roman"/>
                <w:noProof/>
                <w:szCs w:val="18"/>
              </w:rPr>
            </w:pPr>
            <w:r>
              <w:rPr>
                <w:noProof/>
              </w:rPr>
              <w:t>HEDNO — pabeigšana 1</w:t>
            </w:r>
          </w:p>
        </w:tc>
      </w:tr>
      <w:tr w:rsidR="00CB0FCB" w14:paraId="07F4078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71DE13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18</w:t>
            </w:r>
          </w:p>
        </w:tc>
        <w:tc>
          <w:tcPr>
            <w:tcW w:w="4320" w:type="dxa"/>
            <w:tcBorders>
              <w:top w:val="nil"/>
              <w:left w:val="nil"/>
              <w:bottom w:val="single" w:sz="4" w:space="0" w:color="auto"/>
              <w:right w:val="single" w:sz="4" w:space="0" w:color="auto"/>
            </w:tcBorders>
            <w:shd w:val="clear" w:color="auto" w:fill="C6EFCE"/>
            <w:noWrap/>
            <w:vAlign w:val="center"/>
            <w:hideMark/>
          </w:tcPr>
          <w:p w14:paraId="0056940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Jaudas palielināšana — 16900_HEDNO gaisvadu tīkla modernizācija meža teritorijās</w:t>
            </w:r>
          </w:p>
        </w:tc>
        <w:tc>
          <w:tcPr>
            <w:tcW w:w="1680" w:type="dxa"/>
            <w:tcBorders>
              <w:top w:val="nil"/>
              <w:left w:val="nil"/>
              <w:bottom w:val="single" w:sz="4" w:space="0" w:color="auto"/>
              <w:right w:val="single" w:sz="4" w:space="0" w:color="auto"/>
            </w:tcBorders>
            <w:shd w:val="clear" w:color="auto" w:fill="C6EFCE"/>
            <w:noWrap/>
            <w:vAlign w:val="center"/>
            <w:hideMark/>
          </w:tcPr>
          <w:p w14:paraId="147A03E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7F548BB" w14:textId="77777777" w:rsidR="00CB0FCB" w:rsidRDefault="009D2B11">
            <w:pPr>
              <w:pStyle w:val="P68B1DB1-Normal8"/>
              <w:keepNext/>
              <w:spacing w:before="40" w:after="0" w:line="240" w:lineRule="auto"/>
              <w:jc w:val="both"/>
              <w:rPr>
                <w:rFonts w:eastAsia="Times New Roman" w:cs="Times New Roman"/>
                <w:noProof/>
                <w:szCs w:val="18"/>
              </w:rPr>
            </w:pPr>
            <w:r>
              <w:rPr>
                <w:noProof/>
              </w:rPr>
              <w:t>HEDNO — pabeigšana 2</w:t>
            </w:r>
          </w:p>
        </w:tc>
      </w:tr>
      <w:tr w:rsidR="00CB0FCB" w14:paraId="14EC82B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7D1B10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19</w:t>
            </w:r>
          </w:p>
        </w:tc>
        <w:tc>
          <w:tcPr>
            <w:tcW w:w="4320" w:type="dxa"/>
            <w:tcBorders>
              <w:top w:val="nil"/>
              <w:left w:val="nil"/>
              <w:bottom w:val="single" w:sz="4" w:space="0" w:color="auto"/>
              <w:right w:val="single" w:sz="4" w:space="0" w:color="auto"/>
            </w:tcBorders>
            <w:shd w:val="clear" w:color="auto" w:fill="C6EFCE"/>
            <w:noWrap/>
            <w:vAlign w:val="center"/>
            <w:hideMark/>
          </w:tcPr>
          <w:p w14:paraId="0281B52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1–1.1. Elektroenerģijas ražošana — 16899_uzstādītais jaudas palielinājums Grieķijas elektroenerģijas sadales tīkla operatora (HEDNO) HV/MV apakšstacijās jaunam AER pieslēgumam</w:t>
            </w:r>
          </w:p>
        </w:tc>
        <w:tc>
          <w:tcPr>
            <w:tcW w:w="1680" w:type="dxa"/>
            <w:tcBorders>
              <w:top w:val="nil"/>
              <w:left w:val="nil"/>
              <w:bottom w:val="single" w:sz="4" w:space="0" w:color="auto"/>
              <w:right w:val="single" w:sz="4" w:space="0" w:color="auto"/>
            </w:tcBorders>
            <w:shd w:val="clear" w:color="auto" w:fill="C6EFCE"/>
            <w:noWrap/>
            <w:vAlign w:val="center"/>
            <w:hideMark/>
          </w:tcPr>
          <w:p w14:paraId="450FA84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04B7A974" w14:textId="77777777" w:rsidR="00CB0FCB" w:rsidRDefault="009D2B11">
            <w:pPr>
              <w:pStyle w:val="P68B1DB1-Normal8"/>
              <w:keepNext/>
              <w:spacing w:before="40" w:after="0" w:line="240" w:lineRule="auto"/>
              <w:jc w:val="both"/>
              <w:rPr>
                <w:rFonts w:eastAsia="Times New Roman" w:cs="Times New Roman"/>
                <w:noProof/>
                <w:szCs w:val="18"/>
              </w:rPr>
            </w:pPr>
            <w:r>
              <w:rPr>
                <w:noProof/>
              </w:rPr>
              <w:t>HEDNO — pabeigšana 3</w:t>
            </w:r>
          </w:p>
        </w:tc>
      </w:tr>
      <w:tr w:rsidR="00CB0FCB" w14:paraId="66DDBB2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05F431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25</w:t>
            </w:r>
          </w:p>
        </w:tc>
        <w:tc>
          <w:tcPr>
            <w:tcW w:w="4320" w:type="dxa"/>
            <w:tcBorders>
              <w:top w:val="nil"/>
              <w:left w:val="nil"/>
              <w:bottom w:val="single" w:sz="4" w:space="0" w:color="auto"/>
              <w:right w:val="single" w:sz="4" w:space="0" w:color="auto"/>
            </w:tcBorders>
            <w:shd w:val="clear" w:color="auto" w:fill="C6EFCE"/>
            <w:noWrap/>
            <w:vAlign w:val="center"/>
            <w:hideMark/>
          </w:tcPr>
          <w:p w14:paraId="719E251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16872_dzīvojamo ēku energorenovācija</w:t>
            </w:r>
          </w:p>
        </w:tc>
        <w:tc>
          <w:tcPr>
            <w:tcW w:w="1680" w:type="dxa"/>
            <w:tcBorders>
              <w:top w:val="nil"/>
              <w:left w:val="nil"/>
              <w:bottom w:val="single" w:sz="4" w:space="0" w:color="auto"/>
              <w:right w:val="single" w:sz="4" w:space="0" w:color="auto"/>
            </w:tcBorders>
            <w:shd w:val="clear" w:color="auto" w:fill="C6EFCE"/>
            <w:noWrap/>
            <w:vAlign w:val="center"/>
            <w:hideMark/>
          </w:tcPr>
          <w:p w14:paraId="5B02E695"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1954D78B" w14:textId="77777777" w:rsidR="00CB0FCB" w:rsidRDefault="009D2B11">
            <w:pPr>
              <w:pStyle w:val="P68B1DB1-Normal8"/>
              <w:keepNext/>
              <w:spacing w:before="40" w:after="0" w:line="240" w:lineRule="auto"/>
              <w:jc w:val="both"/>
              <w:rPr>
                <w:rFonts w:eastAsia="Times New Roman" w:cs="Times New Roman"/>
                <w:noProof/>
                <w:szCs w:val="18"/>
              </w:rPr>
            </w:pPr>
            <w:r>
              <w:rPr>
                <w:noProof/>
              </w:rPr>
              <w:t>Dzīvojamo ēku renovācija — zaļā enerģija, kas saražota enerģētiski nabadzīgām mājsaimniecībām</w:t>
            </w:r>
          </w:p>
        </w:tc>
      </w:tr>
      <w:tr w:rsidR="00CB0FCB" w14:paraId="337F1C4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362725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26</w:t>
            </w:r>
          </w:p>
        </w:tc>
        <w:tc>
          <w:tcPr>
            <w:tcW w:w="4320" w:type="dxa"/>
            <w:tcBorders>
              <w:top w:val="nil"/>
              <w:left w:val="nil"/>
              <w:bottom w:val="single" w:sz="4" w:space="0" w:color="auto"/>
              <w:right w:val="single" w:sz="4" w:space="0" w:color="auto"/>
            </w:tcBorders>
            <w:shd w:val="clear" w:color="auto" w:fill="C6EFCE"/>
            <w:noWrap/>
            <w:vAlign w:val="center"/>
            <w:hideMark/>
          </w:tcPr>
          <w:p w14:paraId="52C9F21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16872_dzīvojamo ēku energorenovācija</w:t>
            </w:r>
          </w:p>
        </w:tc>
        <w:tc>
          <w:tcPr>
            <w:tcW w:w="1680" w:type="dxa"/>
            <w:tcBorders>
              <w:top w:val="nil"/>
              <w:left w:val="nil"/>
              <w:bottom w:val="single" w:sz="4" w:space="0" w:color="auto"/>
              <w:right w:val="single" w:sz="4" w:space="0" w:color="auto"/>
            </w:tcBorders>
            <w:shd w:val="clear" w:color="auto" w:fill="C6EFCE"/>
            <w:noWrap/>
            <w:vAlign w:val="center"/>
            <w:hideMark/>
          </w:tcPr>
          <w:p w14:paraId="285823F5"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5868472B" w14:textId="77777777" w:rsidR="00CB0FCB" w:rsidRDefault="009D2B11">
            <w:pPr>
              <w:pStyle w:val="P68B1DB1-Normal8"/>
              <w:keepNext/>
              <w:spacing w:before="40" w:after="0" w:line="240" w:lineRule="auto"/>
              <w:jc w:val="both"/>
              <w:rPr>
                <w:rFonts w:eastAsia="Times New Roman" w:cs="Times New Roman"/>
                <w:noProof/>
                <w:szCs w:val="18"/>
              </w:rPr>
            </w:pPr>
            <w:r>
              <w:rPr>
                <w:noProof/>
              </w:rPr>
              <w:t>Dzīvojamo ēku renovācija — mājokļu renovācija #3</w:t>
            </w:r>
          </w:p>
        </w:tc>
      </w:tr>
      <w:tr w:rsidR="00CB0FCB" w14:paraId="27DECAF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E6DB47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29</w:t>
            </w:r>
          </w:p>
        </w:tc>
        <w:tc>
          <w:tcPr>
            <w:tcW w:w="4320" w:type="dxa"/>
            <w:tcBorders>
              <w:top w:val="nil"/>
              <w:left w:val="nil"/>
              <w:bottom w:val="single" w:sz="4" w:space="0" w:color="auto"/>
              <w:right w:val="single" w:sz="4" w:space="0" w:color="auto"/>
            </w:tcBorders>
            <w:shd w:val="clear" w:color="auto" w:fill="C6EFCE"/>
            <w:noWrap/>
            <w:vAlign w:val="center"/>
            <w:hideMark/>
          </w:tcPr>
          <w:p w14:paraId="41B090F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16879_Pilsētvides plānu sagatavošana pilsētpolitikas reformas īstenošanai</w:t>
            </w:r>
          </w:p>
        </w:tc>
        <w:tc>
          <w:tcPr>
            <w:tcW w:w="1680" w:type="dxa"/>
            <w:tcBorders>
              <w:top w:val="nil"/>
              <w:left w:val="nil"/>
              <w:bottom w:val="single" w:sz="4" w:space="0" w:color="auto"/>
              <w:right w:val="single" w:sz="4" w:space="0" w:color="auto"/>
            </w:tcBorders>
            <w:shd w:val="clear" w:color="auto" w:fill="C6EFCE"/>
            <w:noWrap/>
            <w:vAlign w:val="center"/>
            <w:hideMark/>
          </w:tcPr>
          <w:p w14:paraId="2DB74BB9" w14:textId="035A0E0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BE0BDD0" w14:textId="77777777" w:rsidR="00CB0FCB" w:rsidRDefault="009D2B11">
            <w:pPr>
              <w:pStyle w:val="P68B1DB1-Normal8"/>
              <w:keepNext/>
              <w:spacing w:before="40" w:after="0" w:line="240" w:lineRule="auto"/>
              <w:jc w:val="both"/>
              <w:rPr>
                <w:rFonts w:eastAsia="Times New Roman" w:cs="Times New Roman"/>
                <w:noProof/>
                <w:szCs w:val="18"/>
              </w:rPr>
            </w:pPr>
            <w:r>
              <w:rPr>
                <w:noProof/>
              </w:rPr>
              <w:t>Pilsētplānošanas pabeigšana</w:t>
            </w:r>
          </w:p>
        </w:tc>
      </w:tr>
      <w:tr w:rsidR="00CB0FCB" w14:paraId="3FCAA1B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91CA5D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30</w:t>
            </w:r>
          </w:p>
        </w:tc>
        <w:tc>
          <w:tcPr>
            <w:tcW w:w="4320" w:type="dxa"/>
            <w:tcBorders>
              <w:top w:val="nil"/>
              <w:left w:val="nil"/>
              <w:bottom w:val="single" w:sz="4" w:space="0" w:color="auto"/>
              <w:right w:val="single" w:sz="4" w:space="0" w:color="auto"/>
            </w:tcBorders>
            <w:shd w:val="clear" w:color="auto" w:fill="C6EFCE"/>
            <w:noWrap/>
            <w:vAlign w:val="center"/>
            <w:hideMark/>
          </w:tcPr>
          <w:p w14:paraId="4B121F16" w14:textId="501A7361"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16894_Jaunas īpašas AER, rūpniecības un tūrisma telpiskās plānošanas izveide</w:t>
            </w:r>
          </w:p>
        </w:tc>
        <w:tc>
          <w:tcPr>
            <w:tcW w:w="1680" w:type="dxa"/>
            <w:tcBorders>
              <w:top w:val="nil"/>
              <w:left w:val="nil"/>
              <w:bottom w:val="single" w:sz="4" w:space="0" w:color="auto"/>
              <w:right w:val="single" w:sz="4" w:space="0" w:color="auto"/>
            </w:tcBorders>
            <w:shd w:val="clear" w:color="auto" w:fill="C6EFCE"/>
            <w:noWrap/>
            <w:vAlign w:val="center"/>
            <w:hideMark/>
          </w:tcPr>
          <w:p w14:paraId="113F78D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B0CA960" w14:textId="77777777" w:rsidR="00CB0FCB" w:rsidRDefault="009D2B11">
            <w:pPr>
              <w:pStyle w:val="P68B1DB1-Normal8"/>
              <w:keepNext/>
              <w:spacing w:before="40" w:after="0" w:line="240" w:lineRule="auto"/>
              <w:jc w:val="both"/>
              <w:rPr>
                <w:rFonts w:eastAsia="Times New Roman" w:cs="Times New Roman"/>
                <w:noProof/>
                <w:szCs w:val="18"/>
              </w:rPr>
            </w:pPr>
            <w:r>
              <w:rPr>
                <w:noProof/>
              </w:rPr>
              <w:t>Īpašu teritoriālo satvaru pieņemšana</w:t>
            </w:r>
          </w:p>
        </w:tc>
      </w:tr>
      <w:tr w:rsidR="00CB0FCB" w14:paraId="4C47DFA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3B3DD9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36</w:t>
            </w:r>
          </w:p>
        </w:tc>
        <w:tc>
          <w:tcPr>
            <w:tcW w:w="4320" w:type="dxa"/>
            <w:tcBorders>
              <w:top w:val="nil"/>
              <w:left w:val="nil"/>
              <w:bottom w:val="single" w:sz="4" w:space="0" w:color="auto"/>
              <w:right w:val="single" w:sz="4" w:space="0" w:color="auto"/>
            </w:tcBorders>
            <w:shd w:val="clear" w:color="auto" w:fill="C6EFCE"/>
            <w:noWrap/>
            <w:vAlign w:val="center"/>
            <w:hideMark/>
          </w:tcPr>
          <w:p w14:paraId="2649A4E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Renovate — 16874_Enerģētika un uzņēmējdarbība</w:t>
            </w:r>
          </w:p>
        </w:tc>
        <w:tc>
          <w:tcPr>
            <w:tcW w:w="1680" w:type="dxa"/>
            <w:tcBorders>
              <w:top w:val="nil"/>
              <w:left w:val="nil"/>
              <w:bottom w:val="single" w:sz="4" w:space="0" w:color="auto"/>
              <w:right w:val="single" w:sz="4" w:space="0" w:color="auto"/>
            </w:tcBorders>
            <w:shd w:val="clear" w:color="auto" w:fill="C6EFCE"/>
            <w:noWrap/>
            <w:vAlign w:val="center"/>
            <w:hideMark/>
          </w:tcPr>
          <w:p w14:paraId="72491094"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780E00F6" w14:textId="77777777" w:rsidR="00CB0FCB" w:rsidRDefault="009D2B11">
            <w:pPr>
              <w:pStyle w:val="P68B1DB1-Normal8"/>
              <w:keepNext/>
              <w:spacing w:before="40" w:after="0" w:line="240" w:lineRule="auto"/>
              <w:jc w:val="both"/>
              <w:rPr>
                <w:rFonts w:eastAsia="Times New Roman" w:cs="Times New Roman"/>
                <w:noProof/>
                <w:szCs w:val="18"/>
              </w:rPr>
            </w:pPr>
            <w:r>
              <w:rPr>
                <w:noProof/>
              </w:rPr>
              <w:t>Energoefektivitātes privātais sektors — pabeigts #2</w:t>
            </w:r>
          </w:p>
        </w:tc>
      </w:tr>
      <w:tr w:rsidR="00CB0FCB" w14:paraId="3C3460B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C5C7829" w14:textId="77777777" w:rsidR="00CB0FCB" w:rsidRDefault="009D2B11">
            <w:pPr>
              <w:pStyle w:val="P68B1DB1-Normal8"/>
              <w:keepNext/>
              <w:spacing w:before="40" w:after="0" w:line="240" w:lineRule="auto"/>
              <w:jc w:val="both"/>
              <w:rPr>
                <w:rFonts w:cs="Times New Roman"/>
                <w:noProof/>
                <w:szCs w:val="18"/>
              </w:rPr>
            </w:pPr>
            <w:r>
              <w:rPr>
                <w:noProof/>
              </w:rPr>
              <w:t>39</w:t>
            </w:r>
          </w:p>
        </w:tc>
        <w:tc>
          <w:tcPr>
            <w:tcW w:w="4320" w:type="dxa"/>
            <w:tcBorders>
              <w:top w:val="nil"/>
              <w:left w:val="nil"/>
              <w:bottom w:val="single" w:sz="4" w:space="0" w:color="auto"/>
              <w:right w:val="single" w:sz="4" w:space="0" w:color="auto"/>
            </w:tcBorders>
            <w:shd w:val="clear" w:color="auto" w:fill="C6EFCE"/>
            <w:noWrap/>
            <w:vAlign w:val="center"/>
            <w:hideMark/>
          </w:tcPr>
          <w:p w14:paraId="027AC352" w14:textId="77777777" w:rsidR="00CB0FCB" w:rsidRDefault="009D2B11">
            <w:pPr>
              <w:pStyle w:val="P68B1DB1-Normal8"/>
              <w:keepNext/>
              <w:spacing w:before="40" w:after="0" w:line="240" w:lineRule="auto"/>
              <w:jc w:val="both"/>
              <w:rPr>
                <w:rFonts w:cs="Times New Roman"/>
                <w:noProof/>
                <w:szCs w:val="18"/>
              </w:rPr>
            </w:pPr>
            <w:r>
              <w:rPr>
                <w:noProof/>
              </w:rPr>
              <w:t>2–1.2. Renovate — 16932_Olympic Atēnu vieglatlētikas centrs</w:t>
            </w:r>
          </w:p>
        </w:tc>
        <w:tc>
          <w:tcPr>
            <w:tcW w:w="1680" w:type="dxa"/>
            <w:tcBorders>
              <w:top w:val="nil"/>
              <w:left w:val="nil"/>
              <w:bottom w:val="single" w:sz="4" w:space="0" w:color="auto"/>
              <w:right w:val="single" w:sz="4" w:space="0" w:color="auto"/>
            </w:tcBorders>
            <w:shd w:val="clear" w:color="auto" w:fill="C6EFCE"/>
            <w:noWrap/>
            <w:vAlign w:val="center"/>
            <w:hideMark/>
          </w:tcPr>
          <w:p w14:paraId="3AA3CF2C"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94F8F2C" w14:textId="77777777" w:rsidR="00CB0FCB" w:rsidRDefault="009D2B11">
            <w:pPr>
              <w:pStyle w:val="P68B1DB1-Normal8"/>
              <w:keepNext/>
              <w:spacing w:before="40" w:after="0" w:line="240" w:lineRule="auto"/>
              <w:jc w:val="both"/>
              <w:rPr>
                <w:rFonts w:cs="Times New Roman"/>
                <w:noProof/>
                <w:szCs w:val="18"/>
              </w:rPr>
            </w:pPr>
            <w:r>
              <w:rPr>
                <w:noProof/>
              </w:rPr>
              <w:t xml:space="preserve">OAKA — darbu pabeigšana </w:t>
            </w:r>
          </w:p>
        </w:tc>
      </w:tr>
      <w:tr w:rsidR="00CB0FCB" w14:paraId="205CC05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06EAB7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40</w:t>
            </w:r>
          </w:p>
        </w:tc>
        <w:tc>
          <w:tcPr>
            <w:tcW w:w="4320" w:type="dxa"/>
            <w:tcBorders>
              <w:top w:val="nil"/>
              <w:left w:val="nil"/>
              <w:bottom w:val="single" w:sz="4" w:space="0" w:color="auto"/>
              <w:right w:val="single" w:sz="4" w:space="0" w:color="auto"/>
            </w:tcBorders>
            <w:shd w:val="clear" w:color="auto" w:fill="C6EFCE"/>
            <w:noWrap/>
            <w:vAlign w:val="center"/>
            <w:hideMark/>
          </w:tcPr>
          <w:p w14:paraId="70B3BD8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Renovācija — 16873_ — Intervences pasākumi dzīvojamajos rajonos un ēku fondā</w:t>
            </w:r>
          </w:p>
        </w:tc>
        <w:tc>
          <w:tcPr>
            <w:tcW w:w="1680" w:type="dxa"/>
            <w:tcBorders>
              <w:top w:val="nil"/>
              <w:left w:val="nil"/>
              <w:bottom w:val="single" w:sz="4" w:space="0" w:color="auto"/>
              <w:right w:val="single" w:sz="4" w:space="0" w:color="auto"/>
            </w:tcBorders>
            <w:shd w:val="clear" w:color="auto" w:fill="C6EFCE"/>
            <w:noWrap/>
            <w:vAlign w:val="center"/>
            <w:hideMark/>
          </w:tcPr>
          <w:p w14:paraId="3A7BD09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AFD3EBE" w14:textId="77777777" w:rsidR="00CB0FCB" w:rsidRDefault="009D2B11">
            <w:pPr>
              <w:pStyle w:val="P68B1DB1-Normal8"/>
              <w:keepNext/>
              <w:spacing w:before="40" w:after="0" w:line="240" w:lineRule="auto"/>
              <w:jc w:val="both"/>
              <w:rPr>
                <w:rFonts w:eastAsia="Times New Roman" w:cs="Times New Roman"/>
                <w:noProof/>
                <w:szCs w:val="18"/>
              </w:rPr>
            </w:pPr>
            <w:r>
              <w:rPr>
                <w:noProof/>
              </w:rPr>
              <w:t>Pasākumi pilsētās — visu darbu pabeigšana</w:t>
            </w:r>
          </w:p>
        </w:tc>
      </w:tr>
      <w:tr w:rsidR="00CB0FCB" w14:paraId="0B298F3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14C724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w:t>
            </w:r>
          </w:p>
        </w:tc>
        <w:tc>
          <w:tcPr>
            <w:tcW w:w="4320" w:type="dxa"/>
            <w:tcBorders>
              <w:top w:val="nil"/>
              <w:left w:val="nil"/>
              <w:bottom w:val="single" w:sz="4" w:space="0" w:color="auto"/>
              <w:right w:val="single" w:sz="4" w:space="0" w:color="auto"/>
            </w:tcBorders>
            <w:shd w:val="clear" w:color="auto" w:fill="C6EFCE"/>
            <w:noWrap/>
            <w:vAlign w:val="center"/>
            <w:hideMark/>
          </w:tcPr>
          <w:p w14:paraId="0CC7B92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Renovēt — 16875_Infrastruktūras attīstība un ēku atjaunošana bijušajā karaliskajā īpašumā Tatoi</w:t>
            </w:r>
          </w:p>
        </w:tc>
        <w:tc>
          <w:tcPr>
            <w:tcW w:w="1680" w:type="dxa"/>
            <w:tcBorders>
              <w:top w:val="nil"/>
              <w:left w:val="nil"/>
              <w:bottom w:val="single" w:sz="4" w:space="0" w:color="auto"/>
              <w:right w:val="single" w:sz="4" w:space="0" w:color="auto"/>
            </w:tcBorders>
            <w:shd w:val="clear" w:color="auto" w:fill="C6EFCE"/>
            <w:noWrap/>
            <w:vAlign w:val="center"/>
            <w:hideMark/>
          </w:tcPr>
          <w:p w14:paraId="6516AD9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20F2C77" w14:textId="77777777" w:rsidR="00CB0FCB" w:rsidRDefault="009D2B11">
            <w:pPr>
              <w:pStyle w:val="P68B1DB1-Normal8"/>
              <w:keepNext/>
              <w:spacing w:before="40" w:after="0" w:line="240" w:lineRule="auto"/>
              <w:jc w:val="both"/>
              <w:rPr>
                <w:rFonts w:eastAsia="Times New Roman" w:cs="Times New Roman"/>
                <w:noProof/>
                <w:szCs w:val="18"/>
              </w:rPr>
            </w:pPr>
            <w:r>
              <w:rPr>
                <w:noProof/>
              </w:rPr>
              <w:t>Tatoi — visu darbu pabeigšana</w:t>
            </w:r>
          </w:p>
        </w:tc>
      </w:tr>
      <w:tr w:rsidR="00CB0FCB" w14:paraId="7033537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4675352" w14:textId="77777777" w:rsidR="00CB0FCB" w:rsidRDefault="009D2B11">
            <w:pPr>
              <w:pStyle w:val="P68B1DB1-Normal8"/>
              <w:keepNext/>
              <w:spacing w:before="40" w:after="0" w:line="240" w:lineRule="auto"/>
              <w:jc w:val="both"/>
              <w:rPr>
                <w:noProof/>
              </w:rPr>
            </w:pPr>
            <w:r>
              <w:rPr>
                <w:noProof/>
              </w:rPr>
              <w:t>52</w:t>
            </w:r>
          </w:p>
        </w:tc>
        <w:tc>
          <w:tcPr>
            <w:tcW w:w="4320" w:type="dxa"/>
            <w:tcBorders>
              <w:top w:val="nil"/>
              <w:left w:val="nil"/>
              <w:bottom w:val="single" w:sz="4" w:space="0" w:color="auto"/>
              <w:right w:val="single" w:sz="4" w:space="0" w:color="auto"/>
            </w:tcBorders>
            <w:shd w:val="clear" w:color="auto" w:fill="C6EFCE"/>
            <w:noWrap/>
            <w:vAlign w:val="center"/>
            <w:hideMark/>
          </w:tcPr>
          <w:p w14:paraId="1AF448AF" w14:textId="77777777" w:rsidR="00CB0FCB" w:rsidRDefault="009D2B11">
            <w:pPr>
              <w:pStyle w:val="P68B1DB1-Normal8"/>
              <w:keepNext/>
              <w:spacing w:before="40" w:after="0" w:line="240" w:lineRule="auto"/>
              <w:jc w:val="both"/>
              <w:rPr>
                <w:noProof/>
              </w:rPr>
            </w:pPr>
            <w:r>
              <w:rPr>
                <w:noProof/>
              </w:rPr>
              <w:t>3–1.3. Uzlāde un uzpilde — 16924_ Elektromobilitāte</w:t>
            </w:r>
          </w:p>
        </w:tc>
        <w:tc>
          <w:tcPr>
            <w:tcW w:w="1680" w:type="dxa"/>
            <w:tcBorders>
              <w:top w:val="nil"/>
              <w:left w:val="nil"/>
              <w:bottom w:val="single" w:sz="4" w:space="0" w:color="auto"/>
              <w:right w:val="single" w:sz="4" w:space="0" w:color="auto"/>
            </w:tcBorders>
            <w:shd w:val="clear" w:color="auto" w:fill="C6EFCE"/>
            <w:noWrap/>
            <w:vAlign w:val="center"/>
            <w:hideMark/>
          </w:tcPr>
          <w:p w14:paraId="28951786" w14:textId="77777777" w:rsidR="00CB0FCB" w:rsidRDefault="009D2B11">
            <w:pPr>
              <w:pStyle w:val="P68B1DB1-Normal8"/>
              <w:keepNext/>
              <w:spacing w:before="40" w:after="0" w:line="240" w:lineRule="auto"/>
              <w:jc w:val="both"/>
              <w:rPr>
                <w:noProof/>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7AB44120" w14:textId="21C93D1C" w:rsidR="00CB0FCB" w:rsidRDefault="009D2B11">
            <w:pPr>
              <w:pStyle w:val="P68B1DB1-Normal8"/>
              <w:keepNext/>
              <w:spacing w:before="40" w:after="0" w:line="240" w:lineRule="auto"/>
              <w:jc w:val="both"/>
              <w:rPr>
                <w:noProof/>
              </w:rPr>
            </w:pPr>
            <w:r>
              <w:rPr>
                <w:noProof/>
              </w:rPr>
              <w:t>Busse — nomaiņa ar elektrību un sabiedrisko pakalpojumu līguma slēgšanas tiesību piešķiršana par regulāriem autobusu transporta pakalpojumiem Saloniku pilsētas teritorijā.</w:t>
            </w:r>
          </w:p>
        </w:tc>
      </w:tr>
      <w:tr w:rsidR="00CB0FCB" w14:paraId="77067DA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C1623B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53</w:t>
            </w:r>
          </w:p>
        </w:tc>
        <w:tc>
          <w:tcPr>
            <w:tcW w:w="4320" w:type="dxa"/>
            <w:tcBorders>
              <w:top w:val="nil"/>
              <w:left w:val="nil"/>
              <w:bottom w:val="single" w:sz="4" w:space="0" w:color="auto"/>
              <w:right w:val="single" w:sz="4" w:space="0" w:color="auto"/>
            </w:tcBorders>
            <w:shd w:val="clear" w:color="auto" w:fill="C6EFCE"/>
            <w:noWrap/>
            <w:vAlign w:val="center"/>
            <w:hideMark/>
          </w:tcPr>
          <w:p w14:paraId="78643C4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 Uzlāde un uzpilde — 16831_Produc- E Green</w:t>
            </w:r>
          </w:p>
        </w:tc>
        <w:tc>
          <w:tcPr>
            <w:tcW w:w="1680" w:type="dxa"/>
            <w:tcBorders>
              <w:top w:val="nil"/>
              <w:left w:val="nil"/>
              <w:bottom w:val="single" w:sz="4" w:space="0" w:color="auto"/>
              <w:right w:val="single" w:sz="4" w:space="0" w:color="auto"/>
            </w:tcBorders>
            <w:shd w:val="clear" w:color="auto" w:fill="C6EFCE"/>
            <w:noWrap/>
            <w:vAlign w:val="center"/>
            <w:hideMark/>
          </w:tcPr>
          <w:p w14:paraId="386A51A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1CC55DA" w14:textId="13A06ACF" w:rsidR="00CB0FCB" w:rsidRDefault="009D2B11">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CCS — </w:t>
            </w:r>
            <w:r>
              <w:rPr>
                <w:noProof/>
              </w:rPr>
              <w:t xml:space="preserve"> </w:t>
            </w:r>
            <w:r>
              <w:rPr>
                <w:rFonts w:ascii="Times New Roman" w:hAnsi="Times New Roman"/>
                <w:noProof/>
                <w:sz w:val="18"/>
              </w:rPr>
              <w:t>urbšanas darbu pabeigšana</w:t>
            </w:r>
          </w:p>
        </w:tc>
      </w:tr>
      <w:tr w:rsidR="00CB0FCB" w14:paraId="7D75B68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F0EB03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54</w:t>
            </w:r>
          </w:p>
        </w:tc>
        <w:tc>
          <w:tcPr>
            <w:tcW w:w="4320" w:type="dxa"/>
            <w:tcBorders>
              <w:top w:val="nil"/>
              <w:left w:val="nil"/>
              <w:bottom w:val="single" w:sz="4" w:space="0" w:color="auto"/>
              <w:right w:val="single" w:sz="4" w:space="0" w:color="auto"/>
            </w:tcBorders>
            <w:shd w:val="clear" w:color="auto" w:fill="C6EFCE"/>
            <w:noWrap/>
            <w:vAlign w:val="center"/>
            <w:hideMark/>
          </w:tcPr>
          <w:p w14:paraId="018A9A9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3–1.3. Uzlāde un uzpilde — 16831_Produc- E Green</w:t>
            </w:r>
          </w:p>
        </w:tc>
        <w:tc>
          <w:tcPr>
            <w:tcW w:w="1680" w:type="dxa"/>
            <w:tcBorders>
              <w:top w:val="nil"/>
              <w:left w:val="nil"/>
              <w:bottom w:val="single" w:sz="4" w:space="0" w:color="auto"/>
              <w:right w:val="single" w:sz="4" w:space="0" w:color="auto"/>
            </w:tcBorders>
            <w:shd w:val="clear" w:color="auto" w:fill="C6EFCE"/>
            <w:noWrap/>
            <w:vAlign w:val="center"/>
            <w:hideMark/>
          </w:tcPr>
          <w:p w14:paraId="3D58D18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36AA62D" w14:textId="20025F3F" w:rsidR="00CB0FCB" w:rsidRDefault="009D2B11">
            <w:pPr>
              <w:pStyle w:val="P68B1DB1-Normal8"/>
              <w:keepNext/>
              <w:spacing w:before="40" w:after="0" w:line="240" w:lineRule="auto"/>
              <w:jc w:val="both"/>
              <w:rPr>
                <w:rFonts w:eastAsia="Times New Roman" w:cs="Times New Roman"/>
                <w:noProof/>
                <w:szCs w:val="18"/>
              </w:rPr>
            </w:pPr>
            <w:r>
              <w:rPr>
                <w:noProof/>
              </w:rPr>
              <w:t xml:space="preserve">Rūpnieciskās vienības — būvdarbu pabeigšana un aprīkojuma uzstādīšana </w:t>
            </w:r>
          </w:p>
        </w:tc>
      </w:tr>
      <w:tr w:rsidR="00CB0FCB" w14:paraId="0526F03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401CF6F" w14:textId="77777777" w:rsidR="00CB0FCB" w:rsidRDefault="009D2B11">
            <w:pPr>
              <w:pStyle w:val="P68B1DB1-Normal8"/>
              <w:keepNext/>
              <w:spacing w:before="40" w:after="0" w:line="240" w:lineRule="auto"/>
              <w:jc w:val="both"/>
              <w:rPr>
                <w:noProof/>
              </w:rPr>
            </w:pPr>
            <w:r>
              <w:rPr>
                <w:noProof/>
              </w:rPr>
              <w:t>59.a</w:t>
            </w:r>
          </w:p>
        </w:tc>
        <w:tc>
          <w:tcPr>
            <w:tcW w:w="4320" w:type="dxa"/>
            <w:tcBorders>
              <w:top w:val="nil"/>
              <w:left w:val="nil"/>
              <w:bottom w:val="single" w:sz="4" w:space="0" w:color="auto"/>
              <w:right w:val="single" w:sz="4" w:space="0" w:color="auto"/>
            </w:tcBorders>
            <w:shd w:val="clear" w:color="auto" w:fill="C6EFCE"/>
            <w:noWrap/>
            <w:vAlign w:val="center"/>
            <w:hideMark/>
          </w:tcPr>
          <w:p w14:paraId="647FCA10" w14:textId="77777777" w:rsidR="00CB0FCB" w:rsidRDefault="009D2B11">
            <w:pPr>
              <w:pStyle w:val="P68B1DB1-Normal8"/>
              <w:keepNext/>
              <w:spacing w:before="40" w:after="0" w:line="240" w:lineRule="auto"/>
              <w:jc w:val="both"/>
              <w:rPr>
                <w:noProof/>
              </w:rPr>
            </w:pPr>
            <w:r>
              <w:rPr>
                <w:noProof/>
              </w:rPr>
              <w:t>4–1.4. Resursu ilgtspējīga izmantošana, klimatnoturība un vides aizsardzība — 16772_Atkritumu apsaimniekošanas likums ilgtspējīgas apglabāšanas un reciklēšanas īstenošanai</w:t>
            </w:r>
          </w:p>
        </w:tc>
        <w:tc>
          <w:tcPr>
            <w:tcW w:w="1680" w:type="dxa"/>
            <w:tcBorders>
              <w:top w:val="nil"/>
              <w:left w:val="nil"/>
              <w:bottom w:val="single" w:sz="4" w:space="0" w:color="auto"/>
              <w:right w:val="single" w:sz="4" w:space="0" w:color="auto"/>
            </w:tcBorders>
            <w:shd w:val="clear" w:color="auto" w:fill="C6EFCE"/>
            <w:noWrap/>
            <w:vAlign w:val="center"/>
            <w:hideMark/>
          </w:tcPr>
          <w:p w14:paraId="1577A181" w14:textId="77777777" w:rsidR="00CB0FCB" w:rsidRDefault="009D2B11">
            <w:pPr>
              <w:pStyle w:val="P68B1DB1-Normal8"/>
              <w:keepNext/>
              <w:spacing w:before="40" w:after="0" w:line="240" w:lineRule="auto"/>
              <w:jc w:val="both"/>
              <w:rPr>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97B959A" w14:textId="77777777" w:rsidR="00CB0FCB" w:rsidRDefault="009D2B11">
            <w:pPr>
              <w:pStyle w:val="P68B1DB1-Normal8"/>
              <w:keepNext/>
              <w:spacing w:before="40" w:after="0" w:line="240" w:lineRule="auto"/>
              <w:jc w:val="both"/>
              <w:rPr>
                <w:noProof/>
              </w:rPr>
            </w:pPr>
            <w:r>
              <w:rPr>
                <w:noProof/>
              </w:rPr>
              <w:t>Cieto atkritumu apsaimniekošanas struktūru (FODSA) sertifikācija, ko veic regulatīvā iestāde</w:t>
            </w:r>
          </w:p>
        </w:tc>
      </w:tr>
      <w:tr w:rsidR="00CB0FCB" w14:paraId="04039F4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1DA3B7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63</w:t>
            </w:r>
          </w:p>
        </w:tc>
        <w:tc>
          <w:tcPr>
            <w:tcW w:w="4320" w:type="dxa"/>
            <w:tcBorders>
              <w:top w:val="nil"/>
              <w:left w:val="nil"/>
              <w:bottom w:val="single" w:sz="4" w:space="0" w:color="auto"/>
              <w:right w:val="single" w:sz="4" w:space="0" w:color="auto"/>
            </w:tcBorders>
            <w:shd w:val="clear" w:color="auto" w:fill="C6EFCE"/>
            <w:noWrap/>
            <w:vAlign w:val="center"/>
            <w:hideMark/>
          </w:tcPr>
          <w:p w14:paraId="6C27CA4C" w14:textId="77777777" w:rsidR="00CB0FCB" w:rsidRDefault="009D2B11">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4–1.4. Resursu ilgtspējīga izmantošana, klimatnoturība un vides aizsardzība — 16849_Nacionālais meža atjaunošanas plāns, </w:t>
            </w:r>
            <w:r>
              <w:rPr>
                <w:noProof/>
              </w:rPr>
              <w:t xml:space="preserve"> </w:t>
            </w:r>
            <w:r>
              <w:rPr>
                <w:rFonts w:ascii="Times New Roman" w:hAnsi="Times New Roman"/>
                <w:noProof/>
                <w:sz w:val="18"/>
              </w:rPr>
              <w:t>atjaunošana un novēršana (“antiNERO”), preterozijas un pretplūdu aizsardzības pasākumi</w:t>
            </w:r>
          </w:p>
        </w:tc>
        <w:tc>
          <w:tcPr>
            <w:tcW w:w="1680" w:type="dxa"/>
            <w:tcBorders>
              <w:top w:val="nil"/>
              <w:left w:val="nil"/>
              <w:bottom w:val="single" w:sz="4" w:space="0" w:color="auto"/>
              <w:right w:val="single" w:sz="4" w:space="0" w:color="auto"/>
            </w:tcBorders>
            <w:shd w:val="clear" w:color="auto" w:fill="C6EFCE"/>
            <w:noWrap/>
            <w:vAlign w:val="center"/>
            <w:hideMark/>
          </w:tcPr>
          <w:p w14:paraId="4D88BAC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1730140" w14:textId="77777777" w:rsidR="00CB0FCB" w:rsidRDefault="009D2B11">
            <w:pPr>
              <w:pStyle w:val="P68B1DB1-Normal8"/>
              <w:keepNext/>
              <w:spacing w:before="40" w:after="0" w:line="240" w:lineRule="auto"/>
              <w:jc w:val="both"/>
              <w:rPr>
                <w:rFonts w:eastAsia="Times New Roman" w:cs="Times New Roman"/>
                <w:noProof/>
                <w:szCs w:val="18"/>
              </w:rPr>
            </w:pPr>
            <w:r>
              <w:rPr>
                <w:noProof/>
              </w:rPr>
              <w:t>Meža atjaunošana, atjaunošana un profilakse — darbu pabeigšana</w:t>
            </w:r>
          </w:p>
        </w:tc>
      </w:tr>
      <w:tr w:rsidR="00CB0FCB" w14:paraId="09334BC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A018AD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64</w:t>
            </w:r>
          </w:p>
        </w:tc>
        <w:tc>
          <w:tcPr>
            <w:tcW w:w="4320" w:type="dxa"/>
            <w:tcBorders>
              <w:top w:val="nil"/>
              <w:left w:val="nil"/>
              <w:bottom w:val="single" w:sz="4" w:space="0" w:color="auto"/>
              <w:right w:val="single" w:sz="4" w:space="0" w:color="auto"/>
            </w:tcBorders>
            <w:shd w:val="clear" w:color="auto" w:fill="C6EFCE"/>
            <w:noWrap/>
            <w:vAlign w:val="center"/>
            <w:hideMark/>
          </w:tcPr>
          <w:p w14:paraId="4838D24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16851_Bioloģiskās daudzveidības aizsardzība kā ilgtspējīgas izaugsmes virzītājspēks</w:t>
            </w:r>
          </w:p>
        </w:tc>
        <w:tc>
          <w:tcPr>
            <w:tcW w:w="1680" w:type="dxa"/>
            <w:tcBorders>
              <w:top w:val="nil"/>
              <w:left w:val="nil"/>
              <w:bottom w:val="single" w:sz="4" w:space="0" w:color="auto"/>
              <w:right w:val="single" w:sz="4" w:space="0" w:color="auto"/>
            </w:tcBorders>
            <w:shd w:val="clear" w:color="auto" w:fill="C6EFCE"/>
            <w:noWrap/>
            <w:vAlign w:val="center"/>
            <w:hideMark/>
          </w:tcPr>
          <w:p w14:paraId="46E76B5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70D02DB" w14:textId="77777777" w:rsidR="00CB0FCB" w:rsidRDefault="009D2B11">
            <w:pPr>
              <w:pStyle w:val="P68B1DB1-Normal8"/>
              <w:keepNext/>
              <w:spacing w:before="40" w:after="0" w:line="240" w:lineRule="auto"/>
              <w:jc w:val="both"/>
              <w:rPr>
                <w:rFonts w:eastAsia="Times New Roman" w:cs="Times New Roman"/>
                <w:noProof/>
                <w:szCs w:val="18"/>
              </w:rPr>
            </w:pPr>
            <w:r>
              <w:rPr>
                <w:noProof/>
              </w:rPr>
              <w:t>Bioloģiskā daudzveidība — pabeigšana</w:t>
            </w:r>
          </w:p>
        </w:tc>
      </w:tr>
      <w:tr w:rsidR="00CB0FCB" w14:paraId="391E5A6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FEEB7F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73</w:t>
            </w:r>
          </w:p>
        </w:tc>
        <w:tc>
          <w:tcPr>
            <w:tcW w:w="4320" w:type="dxa"/>
            <w:tcBorders>
              <w:top w:val="nil"/>
              <w:left w:val="nil"/>
              <w:bottom w:val="single" w:sz="4" w:space="0" w:color="auto"/>
              <w:right w:val="single" w:sz="4" w:space="0" w:color="auto"/>
            </w:tcBorders>
            <w:shd w:val="clear" w:color="auto" w:fill="C6EFCE"/>
            <w:noWrap/>
            <w:vAlign w:val="center"/>
            <w:hideMark/>
          </w:tcPr>
          <w:p w14:paraId="5414015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Ilgtspējīga resursu izmantošana, klimatnoturība un vides aizsardzība — 16846_ Komunālo notekūdeņu un dūņu apsaimniekošanas infrastruktūras no notekūdeņu attīrīšanas</w:t>
            </w:r>
          </w:p>
        </w:tc>
        <w:tc>
          <w:tcPr>
            <w:tcW w:w="1680" w:type="dxa"/>
            <w:tcBorders>
              <w:top w:val="nil"/>
              <w:left w:val="nil"/>
              <w:bottom w:val="single" w:sz="4" w:space="0" w:color="auto"/>
              <w:right w:val="single" w:sz="4" w:space="0" w:color="auto"/>
            </w:tcBorders>
            <w:shd w:val="clear" w:color="auto" w:fill="C6EFCE"/>
            <w:noWrap/>
            <w:vAlign w:val="center"/>
            <w:hideMark/>
          </w:tcPr>
          <w:p w14:paraId="1E84C14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5F668C6" w14:textId="77777777" w:rsidR="00CB0FCB" w:rsidRDefault="009D2B11">
            <w:pPr>
              <w:pStyle w:val="P68B1DB1-Normal8"/>
              <w:keepNext/>
              <w:spacing w:before="40" w:after="0" w:line="240" w:lineRule="auto"/>
              <w:jc w:val="both"/>
              <w:rPr>
                <w:rFonts w:eastAsia="Times New Roman" w:cs="Times New Roman"/>
                <w:noProof/>
                <w:szCs w:val="18"/>
              </w:rPr>
            </w:pPr>
            <w:r>
              <w:rPr>
                <w:noProof/>
              </w:rPr>
              <w:t>Komunālo notekūdeņu un dūņu apsaimniekošanas infrastruktūras pabeigšana</w:t>
            </w:r>
          </w:p>
        </w:tc>
      </w:tr>
      <w:tr w:rsidR="00CB0FCB" w14:paraId="2BEECB9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C801A6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74</w:t>
            </w:r>
          </w:p>
        </w:tc>
        <w:tc>
          <w:tcPr>
            <w:tcW w:w="4320" w:type="dxa"/>
            <w:tcBorders>
              <w:top w:val="nil"/>
              <w:left w:val="nil"/>
              <w:bottom w:val="single" w:sz="4" w:space="0" w:color="auto"/>
              <w:right w:val="single" w:sz="4" w:space="0" w:color="auto"/>
            </w:tcBorders>
            <w:shd w:val="clear" w:color="auto" w:fill="C6EFCE"/>
            <w:noWrap/>
            <w:vAlign w:val="center"/>
            <w:hideMark/>
          </w:tcPr>
          <w:p w14:paraId="3980F51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16850_Ūdensapgādes un taupīšanas infrastruktūras</w:t>
            </w:r>
          </w:p>
        </w:tc>
        <w:tc>
          <w:tcPr>
            <w:tcW w:w="1680" w:type="dxa"/>
            <w:tcBorders>
              <w:top w:val="nil"/>
              <w:left w:val="nil"/>
              <w:bottom w:val="single" w:sz="4" w:space="0" w:color="auto"/>
              <w:right w:val="single" w:sz="4" w:space="0" w:color="auto"/>
            </w:tcBorders>
            <w:shd w:val="clear" w:color="auto" w:fill="C6EFCE"/>
            <w:noWrap/>
            <w:vAlign w:val="center"/>
            <w:hideMark/>
          </w:tcPr>
          <w:p w14:paraId="23469AB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6AA3CE3" w14:textId="77777777" w:rsidR="00CB0FCB" w:rsidRDefault="009D2B11">
            <w:pPr>
              <w:pStyle w:val="P68B1DB1-Normal8"/>
              <w:keepNext/>
              <w:spacing w:before="40" w:after="0" w:line="240" w:lineRule="auto"/>
              <w:jc w:val="both"/>
              <w:rPr>
                <w:rFonts w:eastAsia="Times New Roman" w:cs="Times New Roman"/>
                <w:noProof/>
                <w:szCs w:val="18"/>
              </w:rPr>
            </w:pPr>
            <w:r>
              <w:rPr>
                <w:noProof/>
              </w:rPr>
              <w:t>Ūdens infrastruktūru pabeigšana</w:t>
            </w:r>
          </w:p>
        </w:tc>
      </w:tr>
      <w:tr w:rsidR="00CB0FCB" w14:paraId="646FFCF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9754AE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81</w:t>
            </w:r>
          </w:p>
        </w:tc>
        <w:tc>
          <w:tcPr>
            <w:tcW w:w="4320" w:type="dxa"/>
            <w:tcBorders>
              <w:top w:val="nil"/>
              <w:left w:val="nil"/>
              <w:bottom w:val="single" w:sz="4" w:space="0" w:color="auto"/>
              <w:right w:val="single" w:sz="4" w:space="0" w:color="auto"/>
            </w:tcBorders>
            <w:shd w:val="clear" w:color="auto" w:fill="C6EFCE"/>
            <w:noWrap/>
            <w:vAlign w:val="center"/>
            <w:hideMark/>
          </w:tcPr>
          <w:p w14:paraId="63C64FE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16910_Uzraudzības un pārvaldības sistēma</w:t>
            </w:r>
          </w:p>
        </w:tc>
        <w:tc>
          <w:tcPr>
            <w:tcW w:w="1680" w:type="dxa"/>
            <w:tcBorders>
              <w:top w:val="nil"/>
              <w:left w:val="nil"/>
              <w:bottom w:val="single" w:sz="4" w:space="0" w:color="auto"/>
              <w:right w:val="single" w:sz="4" w:space="0" w:color="auto"/>
            </w:tcBorders>
            <w:shd w:val="clear" w:color="auto" w:fill="C6EFCE"/>
            <w:noWrap/>
            <w:vAlign w:val="center"/>
            <w:hideMark/>
          </w:tcPr>
          <w:p w14:paraId="49F483FF"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478AC1F" w14:textId="77777777" w:rsidR="00CB0FCB" w:rsidRDefault="009D2B11">
            <w:pPr>
              <w:pStyle w:val="P68B1DB1-Normal8"/>
              <w:keepNext/>
              <w:spacing w:before="40" w:after="0" w:line="240" w:lineRule="auto"/>
              <w:jc w:val="both"/>
              <w:rPr>
                <w:rFonts w:eastAsia="Times New Roman" w:cs="Times New Roman"/>
                <w:noProof/>
                <w:szCs w:val="18"/>
              </w:rPr>
            </w:pPr>
            <w:r>
              <w:rPr>
                <w:noProof/>
              </w:rPr>
              <w:t>Civilās aizsardzības uzraudzības un pārvaldības sistēmas pabeigšana</w:t>
            </w:r>
          </w:p>
        </w:tc>
      </w:tr>
      <w:tr w:rsidR="00CB0FCB" w14:paraId="6D19EC9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748C2E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82</w:t>
            </w:r>
          </w:p>
        </w:tc>
        <w:tc>
          <w:tcPr>
            <w:tcW w:w="4320" w:type="dxa"/>
            <w:tcBorders>
              <w:top w:val="nil"/>
              <w:left w:val="nil"/>
              <w:bottom w:val="single" w:sz="4" w:space="0" w:color="auto"/>
              <w:right w:val="single" w:sz="4" w:space="0" w:color="auto"/>
            </w:tcBorders>
            <w:shd w:val="clear" w:color="auto" w:fill="C6EFCE"/>
            <w:noWrap/>
            <w:vAlign w:val="center"/>
            <w:hideMark/>
          </w:tcPr>
          <w:p w14:paraId="7D693D8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16911_Krīžu pārvarēšanas līdzekļi</w:t>
            </w:r>
          </w:p>
        </w:tc>
        <w:tc>
          <w:tcPr>
            <w:tcW w:w="1680" w:type="dxa"/>
            <w:tcBorders>
              <w:top w:val="nil"/>
              <w:left w:val="nil"/>
              <w:bottom w:val="single" w:sz="4" w:space="0" w:color="auto"/>
              <w:right w:val="single" w:sz="4" w:space="0" w:color="auto"/>
            </w:tcBorders>
            <w:shd w:val="clear" w:color="auto" w:fill="C6EFCE"/>
            <w:noWrap/>
            <w:vAlign w:val="center"/>
            <w:hideMark/>
          </w:tcPr>
          <w:p w14:paraId="496B482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3BCCD3A" w14:textId="77777777" w:rsidR="00CB0FCB" w:rsidRDefault="009D2B11">
            <w:pPr>
              <w:pStyle w:val="P68B1DB1-Normal8"/>
              <w:keepNext/>
              <w:spacing w:before="40" w:after="0" w:line="240" w:lineRule="auto"/>
              <w:jc w:val="both"/>
              <w:rPr>
                <w:rFonts w:eastAsia="Times New Roman" w:cs="Times New Roman"/>
                <w:noProof/>
                <w:szCs w:val="18"/>
              </w:rPr>
            </w:pPr>
            <w:r>
              <w:rPr>
                <w:noProof/>
              </w:rPr>
              <w:t>Krīzes pārvarēšanai paredzētu gaisa kuģu projekta pabeigšana</w:t>
            </w:r>
          </w:p>
        </w:tc>
      </w:tr>
      <w:tr w:rsidR="00CB0FCB" w14:paraId="59BFB81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696DB8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83</w:t>
            </w:r>
          </w:p>
        </w:tc>
        <w:tc>
          <w:tcPr>
            <w:tcW w:w="4320" w:type="dxa"/>
            <w:tcBorders>
              <w:top w:val="nil"/>
              <w:left w:val="nil"/>
              <w:bottom w:val="single" w:sz="4" w:space="0" w:color="auto"/>
              <w:right w:val="single" w:sz="4" w:space="0" w:color="auto"/>
            </w:tcBorders>
            <w:shd w:val="clear" w:color="auto" w:fill="C6EFCE"/>
            <w:noWrap/>
            <w:vAlign w:val="center"/>
            <w:hideMark/>
          </w:tcPr>
          <w:p w14:paraId="3470FFE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16912_Meža ugunsdzēšanas, novēršanas un reaģēšanas aprīkojums</w:t>
            </w:r>
          </w:p>
        </w:tc>
        <w:tc>
          <w:tcPr>
            <w:tcW w:w="1680" w:type="dxa"/>
            <w:tcBorders>
              <w:top w:val="nil"/>
              <w:left w:val="nil"/>
              <w:bottom w:val="single" w:sz="4" w:space="0" w:color="auto"/>
              <w:right w:val="single" w:sz="4" w:space="0" w:color="auto"/>
            </w:tcBorders>
            <w:shd w:val="clear" w:color="auto" w:fill="C6EFCE"/>
            <w:noWrap/>
            <w:vAlign w:val="center"/>
            <w:hideMark/>
          </w:tcPr>
          <w:p w14:paraId="6E15C7F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4A5050D" w14:textId="77777777" w:rsidR="00CB0FCB" w:rsidRDefault="009D2B11">
            <w:pPr>
              <w:pStyle w:val="P68B1DB1-Normal8"/>
              <w:keepNext/>
              <w:spacing w:before="40" w:after="0" w:line="240" w:lineRule="auto"/>
              <w:jc w:val="both"/>
              <w:rPr>
                <w:rFonts w:eastAsia="Times New Roman" w:cs="Times New Roman"/>
                <w:noProof/>
                <w:szCs w:val="18"/>
              </w:rPr>
            </w:pPr>
            <w:r>
              <w:rPr>
                <w:noProof/>
              </w:rPr>
              <w:t>Meža kaujas aprīkojuma pabeigšana</w:t>
            </w:r>
          </w:p>
        </w:tc>
      </w:tr>
      <w:tr w:rsidR="00CB0FCB" w14:paraId="70BF184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B06013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84</w:t>
            </w:r>
          </w:p>
        </w:tc>
        <w:tc>
          <w:tcPr>
            <w:tcW w:w="4320" w:type="dxa"/>
            <w:tcBorders>
              <w:top w:val="nil"/>
              <w:left w:val="nil"/>
              <w:bottom w:val="single" w:sz="4" w:space="0" w:color="auto"/>
              <w:right w:val="single" w:sz="4" w:space="0" w:color="auto"/>
            </w:tcBorders>
            <w:shd w:val="clear" w:color="auto" w:fill="C6EFCE"/>
            <w:noWrap/>
            <w:vAlign w:val="center"/>
            <w:hideMark/>
          </w:tcPr>
          <w:p w14:paraId="2069003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16909_Infrastruktūra — stratēģiskas valsts katastrofu riska pārvaldības izveide</w:t>
            </w:r>
          </w:p>
        </w:tc>
        <w:tc>
          <w:tcPr>
            <w:tcW w:w="1680" w:type="dxa"/>
            <w:tcBorders>
              <w:top w:val="nil"/>
              <w:left w:val="nil"/>
              <w:bottom w:val="single" w:sz="4" w:space="0" w:color="auto"/>
              <w:right w:val="single" w:sz="4" w:space="0" w:color="auto"/>
            </w:tcBorders>
            <w:shd w:val="clear" w:color="auto" w:fill="C6EFCE"/>
            <w:noWrap/>
            <w:vAlign w:val="center"/>
            <w:hideMark/>
          </w:tcPr>
          <w:p w14:paraId="773AB73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292B1E3" w14:textId="77777777" w:rsidR="00CB0FCB" w:rsidRDefault="009D2B11">
            <w:pPr>
              <w:pStyle w:val="P68B1DB1-Normal8"/>
              <w:keepNext/>
              <w:spacing w:before="40" w:after="0" w:line="240" w:lineRule="auto"/>
              <w:jc w:val="both"/>
              <w:rPr>
                <w:rFonts w:eastAsia="Times New Roman" w:cs="Times New Roman"/>
                <w:noProof/>
                <w:szCs w:val="18"/>
              </w:rPr>
            </w:pPr>
            <w:r>
              <w:rPr>
                <w:noProof/>
              </w:rPr>
              <w:t>Valsts katastrofu riska pārvaldības pabeigšana</w:t>
            </w:r>
          </w:p>
        </w:tc>
      </w:tr>
      <w:tr w:rsidR="00CB0FCB" w14:paraId="77F85C0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E1301D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90</w:t>
            </w:r>
          </w:p>
        </w:tc>
        <w:tc>
          <w:tcPr>
            <w:tcW w:w="4320" w:type="dxa"/>
            <w:tcBorders>
              <w:top w:val="nil"/>
              <w:left w:val="nil"/>
              <w:bottom w:val="single" w:sz="4" w:space="0" w:color="auto"/>
              <w:right w:val="single" w:sz="4" w:space="0" w:color="auto"/>
            </w:tcBorders>
            <w:shd w:val="clear" w:color="auto" w:fill="C6EFCE"/>
            <w:noWrap/>
            <w:vAlign w:val="center"/>
            <w:hideMark/>
          </w:tcPr>
          <w:p w14:paraId="6A3B12E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5–2.1. Connect — 16818_Fiber optiskā infrastruktūra ēkās</w:t>
            </w:r>
          </w:p>
        </w:tc>
        <w:tc>
          <w:tcPr>
            <w:tcW w:w="1680" w:type="dxa"/>
            <w:tcBorders>
              <w:top w:val="nil"/>
              <w:left w:val="nil"/>
              <w:bottom w:val="single" w:sz="4" w:space="0" w:color="auto"/>
              <w:right w:val="single" w:sz="4" w:space="0" w:color="auto"/>
            </w:tcBorders>
            <w:shd w:val="clear" w:color="auto" w:fill="C6EFCE"/>
            <w:noWrap/>
            <w:vAlign w:val="center"/>
            <w:hideMark/>
          </w:tcPr>
          <w:p w14:paraId="775070B1"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64003B85" w14:textId="77777777" w:rsidR="00CB0FCB" w:rsidRDefault="009D2B11">
            <w:pPr>
              <w:pStyle w:val="P68B1DB1-Normal8"/>
              <w:keepNext/>
              <w:spacing w:before="40" w:after="0" w:line="240" w:lineRule="auto"/>
              <w:jc w:val="both"/>
              <w:rPr>
                <w:rFonts w:eastAsia="Times New Roman" w:cs="Times New Roman"/>
                <w:noProof/>
                <w:szCs w:val="18"/>
              </w:rPr>
            </w:pPr>
            <w:r>
              <w:rPr>
                <w:noProof/>
              </w:rPr>
              <w:t>Projekta “Fiberoptiskā infrastruktūra ēkās” pabeigšana</w:t>
            </w:r>
          </w:p>
        </w:tc>
      </w:tr>
      <w:tr w:rsidR="00CB0FCB" w14:paraId="06F99B6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DEF0B9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92</w:t>
            </w:r>
          </w:p>
        </w:tc>
        <w:tc>
          <w:tcPr>
            <w:tcW w:w="4320" w:type="dxa"/>
            <w:tcBorders>
              <w:top w:val="nil"/>
              <w:left w:val="nil"/>
              <w:bottom w:val="single" w:sz="4" w:space="0" w:color="auto"/>
              <w:right w:val="single" w:sz="4" w:space="0" w:color="auto"/>
            </w:tcBorders>
            <w:shd w:val="clear" w:color="auto" w:fill="C6EFCE"/>
            <w:noWrap/>
            <w:vAlign w:val="center"/>
            <w:hideMark/>
          </w:tcPr>
          <w:p w14:paraId="269BE5A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5–2.1. Connect — 16855_mazsatelīti</w:t>
            </w:r>
          </w:p>
        </w:tc>
        <w:tc>
          <w:tcPr>
            <w:tcW w:w="1680" w:type="dxa"/>
            <w:tcBorders>
              <w:top w:val="nil"/>
              <w:left w:val="nil"/>
              <w:bottom w:val="single" w:sz="4" w:space="0" w:color="auto"/>
              <w:right w:val="single" w:sz="4" w:space="0" w:color="auto"/>
            </w:tcBorders>
            <w:shd w:val="clear" w:color="auto" w:fill="C6EFCE"/>
            <w:noWrap/>
            <w:vAlign w:val="center"/>
            <w:hideMark/>
          </w:tcPr>
          <w:p w14:paraId="45C572E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2D52BAE"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“Mazo satelītu” projekta pabeigšana </w:t>
            </w:r>
          </w:p>
        </w:tc>
      </w:tr>
      <w:tr w:rsidR="00CB0FCB" w14:paraId="0CF5BCD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0CBE5E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95</w:t>
            </w:r>
          </w:p>
        </w:tc>
        <w:tc>
          <w:tcPr>
            <w:tcW w:w="4320" w:type="dxa"/>
            <w:tcBorders>
              <w:top w:val="nil"/>
              <w:left w:val="nil"/>
              <w:bottom w:val="single" w:sz="4" w:space="0" w:color="auto"/>
              <w:right w:val="single" w:sz="4" w:space="0" w:color="auto"/>
            </w:tcBorders>
            <w:shd w:val="clear" w:color="auto" w:fill="C6EFCE"/>
            <w:noWrap/>
            <w:vAlign w:val="center"/>
            <w:hideMark/>
          </w:tcPr>
          <w:p w14:paraId="193EE7A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6–2.2. Modernizācija — 16778_Arhīvu un saistīto pakalpojumu digitalizācija</w:t>
            </w:r>
          </w:p>
        </w:tc>
        <w:tc>
          <w:tcPr>
            <w:tcW w:w="1680" w:type="dxa"/>
            <w:tcBorders>
              <w:top w:val="nil"/>
              <w:left w:val="nil"/>
              <w:bottom w:val="single" w:sz="4" w:space="0" w:color="auto"/>
              <w:right w:val="single" w:sz="4" w:space="0" w:color="auto"/>
            </w:tcBorders>
            <w:shd w:val="clear" w:color="auto" w:fill="C6EFCE"/>
            <w:noWrap/>
            <w:vAlign w:val="center"/>
            <w:hideMark/>
          </w:tcPr>
          <w:p w14:paraId="1D4A596C"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485556F4" w14:textId="77777777" w:rsidR="00CB0FCB" w:rsidRDefault="009D2B11">
            <w:pPr>
              <w:pStyle w:val="P68B1DB1-Normal8"/>
              <w:keepNext/>
              <w:spacing w:before="40" w:after="0" w:line="240" w:lineRule="auto"/>
              <w:jc w:val="both"/>
              <w:rPr>
                <w:rFonts w:eastAsia="Times New Roman" w:cs="Times New Roman"/>
                <w:noProof/>
                <w:szCs w:val="18"/>
              </w:rPr>
            </w:pPr>
            <w:r>
              <w:rPr>
                <w:noProof/>
              </w:rPr>
              <w:t>Arhīvu digitalizācija — pilnīga īstenošana</w:t>
            </w:r>
          </w:p>
        </w:tc>
      </w:tr>
      <w:tr w:rsidR="00CB0FCB" w14:paraId="6FC4596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4A5B252E" w14:textId="77777777" w:rsidR="00CB0FCB" w:rsidRDefault="009D2B11">
            <w:pPr>
              <w:pStyle w:val="P68B1DB1-Normal8"/>
              <w:keepNext/>
              <w:spacing w:before="40" w:after="0" w:line="240" w:lineRule="auto"/>
              <w:jc w:val="both"/>
              <w:rPr>
                <w:rFonts w:cs="Times New Roman"/>
                <w:noProof/>
                <w:szCs w:val="18"/>
              </w:rPr>
            </w:pPr>
            <w:r>
              <w:rPr>
                <w:noProof/>
              </w:rPr>
              <w:t>95a</w:t>
            </w:r>
          </w:p>
        </w:tc>
        <w:tc>
          <w:tcPr>
            <w:tcW w:w="4320" w:type="dxa"/>
            <w:tcBorders>
              <w:top w:val="nil"/>
              <w:left w:val="nil"/>
              <w:bottom w:val="single" w:sz="4" w:space="0" w:color="auto"/>
              <w:right w:val="single" w:sz="4" w:space="0" w:color="auto"/>
            </w:tcBorders>
            <w:shd w:val="clear" w:color="auto" w:fill="C6EFCE"/>
            <w:noWrap/>
            <w:hideMark/>
          </w:tcPr>
          <w:p w14:paraId="25AE26B6" w14:textId="77777777" w:rsidR="00CB0FCB" w:rsidRDefault="009D2B11">
            <w:pPr>
              <w:pStyle w:val="P68B1DB1-Normal8"/>
              <w:keepNext/>
              <w:spacing w:before="40" w:after="0" w:line="240" w:lineRule="auto"/>
              <w:jc w:val="both"/>
              <w:rPr>
                <w:rFonts w:cs="Times New Roman"/>
                <w:noProof/>
                <w:szCs w:val="18"/>
              </w:rPr>
            </w:pPr>
            <w:r>
              <w:rPr>
                <w:noProof/>
              </w:rPr>
              <w:t>6–2.2. Modernizācija — 16778_Arhīvu un saistīto pakalpojumu digitalizācija</w:t>
            </w:r>
          </w:p>
        </w:tc>
        <w:tc>
          <w:tcPr>
            <w:tcW w:w="1680" w:type="dxa"/>
            <w:tcBorders>
              <w:top w:val="nil"/>
              <w:left w:val="nil"/>
              <w:bottom w:val="single" w:sz="4" w:space="0" w:color="auto"/>
              <w:right w:val="single" w:sz="4" w:space="0" w:color="auto"/>
            </w:tcBorders>
            <w:shd w:val="clear" w:color="auto" w:fill="C6EFCE"/>
            <w:noWrap/>
            <w:hideMark/>
          </w:tcPr>
          <w:p w14:paraId="250FD528"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6B712C7B" w14:textId="77777777" w:rsidR="00CB0FCB" w:rsidRDefault="009D2B11">
            <w:pPr>
              <w:pStyle w:val="P68B1DB1-Normal8"/>
              <w:keepNext/>
              <w:spacing w:before="40" w:after="0" w:line="240" w:lineRule="auto"/>
              <w:jc w:val="both"/>
              <w:rPr>
                <w:rFonts w:cs="Times New Roman"/>
                <w:noProof/>
                <w:szCs w:val="18"/>
              </w:rPr>
            </w:pPr>
            <w:r>
              <w:rPr>
                <w:noProof/>
              </w:rPr>
              <w:t>Un 9. apakšprojektu īstenošana</w:t>
            </w:r>
          </w:p>
        </w:tc>
      </w:tr>
      <w:tr w:rsidR="00CB0FCB" w14:paraId="0976B6E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AA7966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99</w:t>
            </w:r>
          </w:p>
        </w:tc>
        <w:tc>
          <w:tcPr>
            <w:tcW w:w="4320" w:type="dxa"/>
            <w:tcBorders>
              <w:top w:val="nil"/>
              <w:left w:val="nil"/>
              <w:bottom w:val="single" w:sz="4" w:space="0" w:color="auto"/>
              <w:right w:val="single" w:sz="4" w:space="0" w:color="auto"/>
            </w:tcBorders>
            <w:shd w:val="clear" w:color="auto" w:fill="C6EFCE"/>
            <w:noWrap/>
            <w:vAlign w:val="center"/>
            <w:hideMark/>
          </w:tcPr>
          <w:p w14:paraId="6A426F6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6–2.2. Modernizēt — 16929_Virzība uz valsts pārvaldes “klientu” pakalpojumiem, vienkāršojot un uzlabojot procesus, sistēmu uzlabojumus un atbilstību Eiropas stratēģijām un politikai</w:t>
            </w:r>
          </w:p>
        </w:tc>
        <w:tc>
          <w:tcPr>
            <w:tcW w:w="1680" w:type="dxa"/>
            <w:tcBorders>
              <w:top w:val="nil"/>
              <w:left w:val="nil"/>
              <w:bottom w:val="single" w:sz="4" w:space="0" w:color="auto"/>
              <w:right w:val="single" w:sz="4" w:space="0" w:color="auto"/>
            </w:tcBorders>
            <w:shd w:val="clear" w:color="auto" w:fill="C6EFCE"/>
            <w:noWrap/>
            <w:vAlign w:val="center"/>
            <w:hideMark/>
          </w:tcPr>
          <w:p w14:paraId="11B85E7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90BEC57" w14:textId="77777777" w:rsidR="00CB0FCB" w:rsidRDefault="009D2B11">
            <w:pPr>
              <w:pStyle w:val="P68B1DB1-Normal8"/>
              <w:keepNext/>
              <w:spacing w:before="40" w:after="0" w:line="240" w:lineRule="auto"/>
              <w:jc w:val="both"/>
              <w:rPr>
                <w:rFonts w:eastAsia="Times New Roman" w:cs="Times New Roman"/>
                <w:noProof/>
                <w:szCs w:val="18"/>
              </w:rPr>
            </w:pPr>
            <w:r>
              <w:rPr>
                <w:noProof/>
              </w:rPr>
              <w:t>Administratīvā sloga samazināšanas stratēģijas un valsts procesa vienkāršošanas plāna pabeigšana (galīgais posms)</w:t>
            </w:r>
          </w:p>
        </w:tc>
      </w:tr>
      <w:tr w:rsidR="00CB0FCB" w14:paraId="14B9F40F" w14:textId="77777777">
        <w:trPr>
          <w:trHeight w:val="300"/>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1DCDC19" w14:textId="027E072F" w:rsidR="00CB0FCB" w:rsidRDefault="009D2B11">
            <w:pPr>
              <w:pStyle w:val="P68B1DB1-Normal49"/>
              <w:keepNext/>
              <w:spacing w:before="40" w:after="0" w:line="240" w:lineRule="auto"/>
              <w:jc w:val="both"/>
              <w:rPr>
                <w:rFonts w:eastAsia="Times New Roman" w:cs="Times New Roman"/>
                <w:noProof/>
              </w:rPr>
            </w:pPr>
            <w:r>
              <w:rPr>
                <w:noProof/>
              </w:rPr>
              <w:t>108</w:t>
            </w:r>
          </w:p>
        </w:tc>
        <w:tc>
          <w:tcPr>
            <w:tcW w:w="4320" w:type="dxa"/>
            <w:tcBorders>
              <w:top w:val="nil"/>
              <w:left w:val="nil"/>
              <w:bottom w:val="single" w:sz="4" w:space="0" w:color="auto"/>
              <w:right w:val="single" w:sz="4" w:space="0" w:color="auto"/>
            </w:tcBorders>
            <w:shd w:val="clear" w:color="auto" w:fill="C6EFCE"/>
            <w:noWrap/>
            <w:vAlign w:val="center"/>
          </w:tcPr>
          <w:p w14:paraId="15360C51" w14:textId="0B9BF31C" w:rsidR="00CB0FCB" w:rsidRDefault="009D2B11">
            <w:pPr>
              <w:pStyle w:val="P68B1DB1-Normal49"/>
              <w:keepNext/>
              <w:spacing w:before="40" w:after="0" w:line="240" w:lineRule="auto"/>
              <w:jc w:val="both"/>
              <w:rPr>
                <w:rFonts w:eastAsia="Times New Roman" w:cs="Times New Roman"/>
                <w:noProof/>
              </w:rPr>
            </w:pPr>
            <w:r>
              <w:rPr>
                <w:noProof/>
              </w:rPr>
              <w:t>6–2.2. Modernizācija — 16779_ Sadarbspēja un tīmekļa pakalpojumu izstrāde</w:t>
            </w:r>
          </w:p>
        </w:tc>
        <w:tc>
          <w:tcPr>
            <w:tcW w:w="1680" w:type="dxa"/>
            <w:tcBorders>
              <w:top w:val="nil"/>
              <w:left w:val="nil"/>
              <w:bottom w:val="single" w:sz="4" w:space="0" w:color="auto"/>
              <w:right w:val="single" w:sz="4" w:space="0" w:color="auto"/>
            </w:tcBorders>
            <w:shd w:val="clear" w:color="auto" w:fill="C6EFCE"/>
            <w:noWrap/>
            <w:vAlign w:val="center"/>
          </w:tcPr>
          <w:p w14:paraId="7C58ED3B" w14:textId="556C2308" w:rsidR="00CB0FCB" w:rsidRDefault="009D2B11">
            <w:pPr>
              <w:pStyle w:val="P68B1DB1-Normal49"/>
              <w:keepNext/>
              <w:spacing w:before="40" w:after="0" w:line="240" w:lineRule="auto"/>
              <w:jc w:val="both"/>
              <w:rPr>
                <w:rFonts w:eastAsia="Times New Roman" w:cs="Times New Roman"/>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4894CCF" w14:textId="5EA09273" w:rsidR="00CB0FCB" w:rsidRDefault="009D2B11">
            <w:pPr>
              <w:pStyle w:val="P68B1DB1-Normal49"/>
              <w:keepNext/>
              <w:spacing w:before="40" w:after="0" w:line="240" w:lineRule="auto"/>
              <w:jc w:val="both"/>
              <w:rPr>
                <w:rFonts w:eastAsia="Times New Roman" w:cs="Times New Roman"/>
                <w:noProof/>
              </w:rPr>
            </w:pPr>
            <w:r>
              <w:rPr>
                <w:noProof/>
              </w:rPr>
              <w:t>Projekta “Sadarbspēja un tīmekļa pakalpojumu izstrāde” pabeigšana</w:t>
            </w:r>
          </w:p>
        </w:tc>
      </w:tr>
      <w:tr w:rsidR="00CB0FCB" w14:paraId="13C9174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A53619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119</w:t>
            </w:r>
          </w:p>
        </w:tc>
        <w:tc>
          <w:tcPr>
            <w:tcW w:w="4320" w:type="dxa"/>
            <w:tcBorders>
              <w:top w:val="nil"/>
              <w:left w:val="nil"/>
              <w:bottom w:val="single" w:sz="4" w:space="0" w:color="auto"/>
              <w:right w:val="single" w:sz="4" w:space="0" w:color="auto"/>
            </w:tcBorders>
            <w:shd w:val="clear" w:color="auto" w:fill="C6EFCE"/>
            <w:noWrap/>
            <w:vAlign w:val="center"/>
            <w:hideMark/>
          </w:tcPr>
          <w:p w14:paraId="5BD45F2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16736_Jauna publiskā iepirkuma sistēma</w:t>
            </w:r>
          </w:p>
        </w:tc>
        <w:tc>
          <w:tcPr>
            <w:tcW w:w="1680" w:type="dxa"/>
            <w:tcBorders>
              <w:top w:val="nil"/>
              <w:left w:val="nil"/>
              <w:bottom w:val="single" w:sz="4" w:space="0" w:color="auto"/>
              <w:right w:val="single" w:sz="4" w:space="0" w:color="auto"/>
            </w:tcBorders>
            <w:shd w:val="clear" w:color="auto" w:fill="C6EFCE"/>
            <w:noWrap/>
            <w:vAlign w:val="center"/>
            <w:hideMark/>
          </w:tcPr>
          <w:p w14:paraId="7D53784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063AAB45"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Jaunās publiskā iepirkuma sistēmas pabeigšana </w:t>
            </w:r>
          </w:p>
        </w:tc>
      </w:tr>
      <w:tr w:rsidR="00CB0FCB" w14:paraId="6F1BB99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48E2AB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120</w:t>
            </w:r>
          </w:p>
        </w:tc>
        <w:tc>
          <w:tcPr>
            <w:tcW w:w="4320" w:type="dxa"/>
            <w:tcBorders>
              <w:top w:val="nil"/>
              <w:left w:val="nil"/>
              <w:bottom w:val="single" w:sz="4" w:space="0" w:color="auto"/>
              <w:right w:val="single" w:sz="4" w:space="0" w:color="auto"/>
            </w:tcBorders>
            <w:shd w:val="clear" w:color="auto" w:fill="C6EFCE"/>
            <w:noWrap/>
            <w:vAlign w:val="center"/>
            <w:hideMark/>
          </w:tcPr>
          <w:p w14:paraId="7D09DCA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16824_ERegistry</w:t>
            </w:r>
          </w:p>
        </w:tc>
        <w:tc>
          <w:tcPr>
            <w:tcW w:w="1680" w:type="dxa"/>
            <w:tcBorders>
              <w:top w:val="nil"/>
              <w:left w:val="nil"/>
              <w:bottom w:val="single" w:sz="4" w:space="0" w:color="auto"/>
              <w:right w:val="single" w:sz="4" w:space="0" w:color="auto"/>
            </w:tcBorders>
            <w:shd w:val="clear" w:color="auto" w:fill="C6EFCE"/>
            <w:noWrap/>
            <w:vAlign w:val="center"/>
            <w:hideMark/>
          </w:tcPr>
          <w:p w14:paraId="7E6431D6"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4D8E024"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Ereģistriju projekta pabeigšana </w:t>
            </w:r>
          </w:p>
        </w:tc>
      </w:tr>
      <w:tr w:rsidR="00CB0FCB" w14:paraId="6630136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5ABC10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123</w:t>
            </w:r>
          </w:p>
        </w:tc>
        <w:tc>
          <w:tcPr>
            <w:tcW w:w="4320" w:type="dxa"/>
            <w:tcBorders>
              <w:top w:val="nil"/>
              <w:left w:val="nil"/>
              <w:bottom w:val="single" w:sz="4" w:space="0" w:color="auto"/>
              <w:right w:val="single" w:sz="4" w:space="0" w:color="auto"/>
            </w:tcBorders>
            <w:shd w:val="clear" w:color="auto" w:fill="C6EFCE"/>
            <w:noWrap/>
            <w:vAlign w:val="center"/>
            <w:hideMark/>
          </w:tcPr>
          <w:p w14:paraId="7918139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16854_Viedās pilsētas</w:t>
            </w:r>
          </w:p>
        </w:tc>
        <w:tc>
          <w:tcPr>
            <w:tcW w:w="1680" w:type="dxa"/>
            <w:tcBorders>
              <w:top w:val="nil"/>
              <w:left w:val="nil"/>
              <w:bottom w:val="single" w:sz="4" w:space="0" w:color="auto"/>
              <w:right w:val="single" w:sz="4" w:space="0" w:color="auto"/>
            </w:tcBorders>
            <w:shd w:val="clear" w:color="auto" w:fill="C6EFCE"/>
            <w:noWrap/>
            <w:vAlign w:val="center"/>
            <w:hideMark/>
          </w:tcPr>
          <w:p w14:paraId="2BB5361E"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61E9ECD8" w14:textId="77777777" w:rsidR="00CB0FCB" w:rsidRDefault="009D2B11">
            <w:pPr>
              <w:pStyle w:val="P68B1DB1-Normal8"/>
              <w:keepNext/>
              <w:spacing w:before="40" w:after="0" w:line="240" w:lineRule="auto"/>
              <w:jc w:val="both"/>
              <w:rPr>
                <w:rFonts w:eastAsia="Times New Roman" w:cs="Times New Roman"/>
                <w:noProof/>
                <w:szCs w:val="18"/>
              </w:rPr>
            </w:pPr>
            <w:r>
              <w:rPr>
                <w:noProof/>
              </w:rPr>
              <w:t>Viedo pilsētu projektu pilnīga īstenošana</w:t>
            </w:r>
          </w:p>
        </w:tc>
      </w:tr>
      <w:tr w:rsidR="00CB0FCB" w14:paraId="29A39C5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D6536B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w:t>
            </w:r>
          </w:p>
        </w:tc>
        <w:tc>
          <w:tcPr>
            <w:tcW w:w="4320" w:type="dxa"/>
            <w:tcBorders>
              <w:top w:val="nil"/>
              <w:left w:val="nil"/>
              <w:bottom w:val="single" w:sz="4" w:space="0" w:color="auto"/>
              <w:right w:val="single" w:sz="4" w:space="0" w:color="auto"/>
            </w:tcBorders>
            <w:shd w:val="clear" w:color="auto" w:fill="C6EFCE"/>
            <w:noWrap/>
            <w:vAlign w:val="center"/>
            <w:hideMark/>
          </w:tcPr>
          <w:p w14:paraId="0EF05A8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16928_Jaunu tehnoloģiju un valsts pārvaldes progresīvo pakalpojumu tendenču ieviešana, efektivitātes un lietderības palielināšana un sistēmu ekspluatācijas, modernizācijas un uzturēšanas izmaksu samazināšana</w:t>
            </w:r>
          </w:p>
        </w:tc>
        <w:tc>
          <w:tcPr>
            <w:tcW w:w="1680" w:type="dxa"/>
            <w:tcBorders>
              <w:top w:val="nil"/>
              <w:left w:val="nil"/>
              <w:bottom w:val="single" w:sz="4" w:space="0" w:color="auto"/>
              <w:right w:val="single" w:sz="4" w:space="0" w:color="auto"/>
            </w:tcBorders>
            <w:shd w:val="clear" w:color="auto" w:fill="C6EFCE"/>
            <w:noWrap/>
            <w:vAlign w:val="center"/>
            <w:hideMark/>
          </w:tcPr>
          <w:p w14:paraId="35CDBD4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0E3AE54" w14:textId="0C2E417F" w:rsidR="00CB0FCB" w:rsidRDefault="009D2B11">
            <w:pPr>
              <w:pStyle w:val="P68B1DB1-Normal8"/>
              <w:keepNext/>
              <w:spacing w:before="40" w:after="0" w:line="240" w:lineRule="auto"/>
              <w:jc w:val="both"/>
              <w:rPr>
                <w:rFonts w:eastAsia="Times New Roman" w:cs="Times New Roman"/>
                <w:noProof/>
                <w:szCs w:val="18"/>
              </w:rPr>
            </w:pPr>
            <w:r>
              <w:rPr>
                <w:noProof/>
              </w:rPr>
              <w:t>Sistēma jaunu tehnoloģiju iekļaušanai valsts pārvaldē</w:t>
            </w:r>
          </w:p>
        </w:tc>
      </w:tr>
      <w:tr w:rsidR="00CB0FCB" w14:paraId="5F5AC5C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4B0941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125</w:t>
            </w:r>
          </w:p>
        </w:tc>
        <w:tc>
          <w:tcPr>
            <w:tcW w:w="4320" w:type="dxa"/>
            <w:tcBorders>
              <w:top w:val="nil"/>
              <w:left w:val="nil"/>
              <w:bottom w:val="single" w:sz="4" w:space="0" w:color="auto"/>
              <w:right w:val="single" w:sz="4" w:space="0" w:color="auto"/>
            </w:tcBorders>
            <w:shd w:val="clear" w:color="auto" w:fill="C6EFCE"/>
            <w:noWrap/>
            <w:vAlign w:val="center"/>
            <w:hideMark/>
          </w:tcPr>
          <w:p w14:paraId="052CEBF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Modernizēt — 16955_Valsts pētniecības un tehnoloģiju infrastruktūru mākoņdatošanas infrastruktūras un pakalpojumu modernizācija (GRNET)</w:t>
            </w:r>
          </w:p>
        </w:tc>
        <w:tc>
          <w:tcPr>
            <w:tcW w:w="1680" w:type="dxa"/>
            <w:tcBorders>
              <w:top w:val="nil"/>
              <w:left w:val="nil"/>
              <w:bottom w:val="single" w:sz="4" w:space="0" w:color="auto"/>
              <w:right w:val="single" w:sz="4" w:space="0" w:color="auto"/>
            </w:tcBorders>
            <w:shd w:val="clear" w:color="auto" w:fill="C6EFCE"/>
            <w:noWrap/>
            <w:vAlign w:val="center"/>
            <w:hideMark/>
          </w:tcPr>
          <w:p w14:paraId="2765983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7F8D008B"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GRNET pabeigšana </w:t>
            </w:r>
          </w:p>
        </w:tc>
      </w:tr>
      <w:tr w:rsidR="00CB0FCB" w14:paraId="15D2505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862A27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127</w:t>
            </w:r>
          </w:p>
        </w:tc>
        <w:tc>
          <w:tcPr>
            <w:tcW w:w="4320" w:type="dxa"/>
            <w:tcBorders>
              <w:top w:val="nil"/>
              <w:left w:val="nil"/>
              <w:bottom w:val="single" w:sz="4" w:space="0" w:color="auto"/>
              <w:right w:val="single" w:sz="4" w:space="0" w:color="auto"/>
            </w:tcBorders>
            <w:shd w:val="clear" w:color="auto" w:fill="C6EFCE"/>
            <w:noWrap/>
            <w:vAlign w:val="center"/>
            <w:hideMark/>
          </w:tcPr>
          <w:p w14:paraId="3AFE642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16956_Syzefksis II paplašināšana</w:t>
            </w:r>
          </w:p>
        </w:tc>
        <w:tc>
          <w:tcPr>
            <w:tcW w:w="1680" w:type="dxa"/>
            <w:tcBorders>
              <w:top w:val="nil"/>
              <w:left w:val="nil"/>
              <w:bottom w:val="single" w:sz="4" w:space="0" w:color="auto"/>
              <w:right w:val="single" w:sz="4" w:space="0" w:color="auto"/>
            </w:tcBorders>
            <w:shd w:val="clear" w:color="auto" w:fill="C6EFCE"/>
            <w:noWrap/>
            <w:vAlign w:val="center"/>
            <w:hideMark/>
          </w:tcPr>
          <w:p w14:paraId="4C55E2BF"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5E88F68" w14:textId="77777777" w:rsidR="00CB0FCB" w:rsidRDefault="009D2B11">
            <w:pPr>
              <w:pStyle w:val="P68B1DB1-Normal8"/>
              <w:keepNext/>
              <w:spacing w:before="40" w:after="0" w:line="240" w:lineRule="auto"/>
              <w:jc w:val="both"/>
              <w:rPr>
                <w:rFonts w:eastAsia="Times New Roman" w:cs="Times New Roman"/>
                <w:noProof/>
                <w:szCs w:val="18"/>
              </w:rPr>
            </w:pPr>
            <w:r>
              <w:rPr>
                <w:noProof/>
              </w:rPr>
              <w:t>Syzefksis II pabeigšana</w:t>
            </w:r>
          </w:p>
        </w:tc>
      </w:tr>
      <w:tr w:rsidR="00CB0FCB" w14:paraId="7728410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060DEF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128</w:t>
            </w:r>
          </w:p>
        </w:tc>
        <w:tc>
          <w:tcPr>
            <w:tcW w:w="4320" w:type="dxa"/>
            <w:tcBorders>
              <w:top w:val="nil"/>
              <w:left w:val="nil"/>
              <w:bottom w:val="single" w:sz="4" w:space="0" w:color="auto"/>
              <w:right w:val="single" w:sz="4" w:space="0" w:color="auto"/>
            </w:tcBorders>
            <w:shd w:val="clear" w:color="auto" w:fill="C6EFCE"/>
            <w:noWrap/>
            <w:vAlign w:val="center"/>
            <w:hideMark/>
          </w:tcPr>
          <w:p w14:paraId="5F57716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16827_Datu pārvaldības stratēģija un politika publiskajam sektoram</w:t>
            </w:r>
          </w:p>
        </w:tc>
        <w:tc>
          <w:tcPr>
            <w:tcW w:w="1680" w:type="dxa"/>
            <w:tcBorders>
              <w:top w:val="nil"/>
              <w:left w:val="nil"/>
              <w:bottom w:val="single" w:sz="4" w:space="0" w:color="auto"/>
              <w:right w:val="single" w:sz="4" w:space="0" w:color="auto"/>
            </w:tcBorders>
            <w:shd w:val="clear" w:color="auto" w:fill="C6EFCE"/>
            <w:noWrap/>
            <w:vAlign w:val="center"/>
            <w:hideMark/>
          </w:tcPr>
          <w:p w14:paraId="38A5EF3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0D78579" w14:textId="77777777" w:rsidR="00CB0FCB" w:rsidRDefault="009D2B11">
            <w:pPr>
              <w:pStyle w:val="P68B1DB1-Normal8"/>
              <w:keepNext/>
              <w:spacing w:before="40" w:after="0" w:line="240" w:lineRule="auto"/>
              <w:jc w:val="both"/>
              <w:rPr>
                <w:rFonts w:eastAsia="Times New Roman" w:cs="Times New Roman"/>
                <w:noProof/>
                <w:szCs w:val="18"/>
              </w:rPr>
            </w:pPr>
            <w:r>
              <w:rPr>
                <w:noProof/>
              </w:rPr>
              <w:t>Datu pārvaldības stratēģijas pabeigšana</w:t>
            </w:r>
          </w:p>
        </w:tc>
      </w:tr>
      <w:tr w:rsidR="00CB0FCB" w14:paraId="614E25D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E53B41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129</w:t>
            </w:r>
          </w:p>
        </w:tc>
        <w:tc>
          <w:tcPr>
            <w:tcW w:w="4320" w:type="dxa"/>
            <w:tcBorders>
              <w:top w:val="nil"/>
              <w:left w:val="nil"/>
              <w:bottom w:val="single" w:sz="4" w:space="0" w:color="auto"/>
              <w:right w:val="single" w:sz="4" w:space="0" w:color="auto"/>
            </w:tcBorders>
            <w:shd w:val="clear" w:color="auto" w:fill="C6EFCE"/>
            <w:noWrap/>
            <w:vAlign w:val="center"/>
            <w:hideMark/>
          </w:tcPr>
          <w:p w14:paraId="4C30844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6–2.2. Modernizācija — 16842_Centrālā BI — datu analīze</w:t>
            </w:r>
          </w:p>
        </w:tc>
        <w:tc>
          <w:tcPr>
            <w:tcW w:w="1680" w:type="dxa"/>
            <w:tcBorders>
              <w:top w:val="nil"/>
              <w:left w:val="nil"/>
              <w:bottom w:val="single" w:sz="4" w:space="0" w:color="auto"/>
              <w:right w:val="single" w:sz="4" w:space="0" w:color="auto"/>
            </w:tcBorders>
            <w:shd w:val="clear" w:color="auto" w:fill="C6EFCE"/>
            <w:noWrap/>
            <w:vAlign w:val="center"/>
            <w:hideMark/>
          </w:tcPr>
          <w:p w14:paraId="7C4FCB9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C436A35" w14:textId="77777777" w:rsidR="00CB0FCB" w:rsidRDefault="009D2B11">
            <w:pPr>
              <w:pStyle w:val="P68B1DB1-Normal8"/>
              <w:keepNext/>
              <w:spacing w:before="40" w:after="0" w:line="240" w:lineRule="auto"/>
              <w:jc w:val="both"/>
              <w:rPr>
                <w:rFonts w:eastAsia="Times New Roman" w:cs="Times New Roman"/>
                <w:noProof/>
                <w:szCs w:val="18"/>
              </w:rPr>
            </w:pPr>
            <w:r>
              <w:rPr>
                <w:noProof/>
              </w:rPr>
              <w:t>Centrālās BI pabeigšana</w:t>
            </w:r>
          </w:p>
        </w:tc>
      </w:tr>
      <w:tr w:rsidR="00CB0FCB" w14:paraId="2404970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45AECC8" w14:textId="57C25D41" w:rsidR="00CB0FCB" w:rsidRDefault="009D2B11">
            <w:pPr>
              <w:pStyle w:val="P68B1DB1-Normal49"/>
              <w:spacing w:line="240" w:lineRule="auto"/>
              <w:jc w:val="both"/>
              <w:rPr>
                <w:noProof/>
              </w:rPr>
            </w:pPr>
            <w:r>
              <w:rPr>
                <w:noProof/>
              </w:rPr>
              <w:t>131.a</w:t>
            </w:r>
          </w:p>
        </w:tc>
        <w:tc>
          <w:tcPr>
            <w:tcW w:w="4320" w:type="dxa"/>
            <w:tcBorders>
              <w:top w:val="nil"/>
              <w:left w:val="nil"/>
              <w:bottom w:val="single" w:sz="4" w:space="0" w:color="auto"/>
              <w:right w:val="single" w:sz="4" w:space="0" w:color="auto"/>
            </w:tcBorders>
            <w:shd w:val="clear" w:color="auto" w:fill="C6EFCE"/>
            <w:noWrap/>
            <w:vAlign w:val="center"/>
          </w:tcPr>
          <w:p w14:paraId="386650D7" w14:textId="77777777" w:rsidR="00CB0FCB" w:rsidRDefault="009D2B11">
            <w:pPr>
              <w:pStyle w:val="P68B1DB1-Normal49"/>
              <w:keepNext/>
              <w:spacing w:before="40" w:after="0" w:line="240" w:lineRule="auto"/>
              <w:jc w:val="both"/>
              <w:rPr>
                <w:rFonts w:eastAsia="Times New Roman" w:cs="Times New Roman"/>
                <w:noProof/>
              </w:rPr>
            </w:pPr>
            <w:r>
              <w:rPr>
                <w:noProof/>
              </w:rPr>
              <w:t>7–2.3. Uzņēmumu digitalizācija — 16706_MVU digitālā pārveide</w:t>
            </w:r>
          </w:p>
        </w:tc>
        <w:tc>
          <w:tcPr>
            <w:tcW w:w="1680" w:type="dxa"/>
            <w:tcBorders>
              <w:top w:val="nil"/>
              <w:left w:val="nil"/>
              <w:bottom w:val="single" w:sz="4" w:space="0" w:color="auto"/>
              <w:right w:val="single" w:sz="4" w:space="0" w:color="auto"/>
            </w:tcBorders>
            <w:shd w:val="clear" w:color="auto" w:fill="C6EFCE"/>
            <w:noWrap/>
            <w:vAlign w:val="center"/>
          </w:tcPr>
          <w:p w14:paraId="1F02B869" w14:textId="77777777" w:rsidR="00CB0FCB" w:rsidRDefault="009D2B11">
            <w:pPr>
              <w:pStyle w:val="P68B1DB1-Normal49"/>
              <w:keepNext/>
              <w:spacing w:before="40" w:after="0" w:line="240" w:lineRule="auto"/>
              <w:jc w:val="both"/>
              <w:rPr>
                <w:rFonts w:eastAsia="Times New Roman" w:cs="Times New Roman"/>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F84E192" w14:textId="1FC34967" w:rsidR="00CB0FCB" w:rsidRDefault="009D2B11">
            <w:pPr>
              <w:pStyle w:val="P68B1DB1-Normal8"/>
              <w:keepNext/>
              <w:spacing w:before="40" w:after="0" w:line="240" w:lineRule="auto"/>
              <w:jc w:val="both"/>
              <w:rPr>
                <w:rFonts w:cs="Calibri"/>
                <w:noProof/>
                <w:szCs w:val="18"/>
              </w:rPr>
            </w:pPr>
            <w:r>
              <w:rPr>
                <w:noProof/>
                <w:szCs w:val="18"/>
              </w:rPr>
              <w:t xml:space="preserve">MVU digitālā pārveide </w:t>
            </w:r>
            <w:r>
              <w:rPr>
                <w:noProof/>
              </w:rPr>
              <w:t xml:space="preserve">— digitālo produktu un </w:t>
            </w:r>
            <w:r>
              <w:rPr>
                <w:noProof/>
                <w:szCs w:val="18"/>
              </w:rPr>
              <w:t>Gaia-X</w:t>
            </w:r>
            <w:r>
              <w:rPr>
                <w:noProof/>
              </w:rPr>
              <w:t xml:space="preserve"> MVU centra izveide</w:t>
            </w:r>
          </w:p>
        </w:tc>
      </w:tr>
      <w:tr w:rsidR="00CB0FCB" w14:paraId="4076014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0E0E2729" w14:textId="77777777" w:rsidR="00CB0FCB" w:rsidRDefault="009D2B11">
            <w:pPr>
              <w:pStyle w:val="P68B1DB1-Normal8"/>
              <w:keepNext/>
              <w:spacing w:before="40" w:after="0" w:line="240" w:lineRule="auto"/>
              <w:jc w:val="both"/>
              <w:rPr>
                <w:rFonts w:cs="Times New Roman"/>
                <w:noProof/>
                <w:szCs w:val="18"/>
              </w:rPr>
            </w:pPr>
            <w:r>
              <w:rPr>
                <w:noProof/>
              </w:rPr>
              <w:t>135a</w:t>
            </w:r>
          </w:p>
        </w:tc>
        <w:tc>
          <w:tcPr>
            <w:tcW w:w="4320" w:type="dxa"/>
            <w:tcBorders>
              <w:top w:val="nil"/>
              <w:left w:val="nil"/>
              <w:bottom w:val="single" w:sz="4" w:space="0" w:color="auto"/>
              <w:right w:val="single" w:sz="4" w:space="0" w:color="auto"/>
            </w:tcBorders>
            <w:shd w:val="clear" w:color="auto" w:fill="C6EFCE"/>
            <w:noWrap/>
            <w:hideMark/>
          </w:tcPr>
          <w:p w14:paraId="50010E02" w14:textId="77777777" w:rsidR="00CB0FCB" w:rsidRDefault="009D2B11">
            <w:pPr>
              <w:pStyle w:val="P68B1DB1-Normal8"/>
              <w:keepNext/>
              <w:spacing w:before="40" w:after="0" w:line="240" w:lineRule="auto"/>
              <w:jc w:val="both"/>
              <w:rPr>
                <w:rFonts w:cs="Times New Roman"/>
                <w:noProof/>
                <w:szCs w:val="18"/>
              </w:rPr>
            </w:pPr>
            <w:r>
              <w:rPr>
                <w:noProof/>
              </w:rPr>
              <w:t>8–3.1. PUNKTS. Veicināt darbvietu radīšanu un līdzdalību darba tirgū — 16942_Valsts nodarbinātības dienesta digitālā pārveide</w:t>
            </w:r>
          </w:p>
        </w:tc>
        <w:tc>
          <w:tcPr>
            <w:tcW w:w="1680" w:type="dxa"/>
            <w:tcBorders>
              <w:top w:val="nil"/>
              <w:left w:val="nil"/>
              <w:bottom w:val="single" w:sz="4" w:space="0" w:color="auto"/>
              <w:right w:val="single" w:sz="4" w:space="0" w:color="auto"/>
            </w:tcBorders>
            <w:shd w:val="clear" w:color="auto" w:fill="C6EFCE"/>
            <w:noWrap/>
            <w:hideMark/>
          </w:tcPr>
          <w:p w14:paraId="538352D2"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hideMark/>
          </w:tcPr>
          <w:p w14:paraId="700D11EF" w14:textId="77777777" w:rsidR="00CB0FCB" w:rsidRDefault="009D2B11">
            <w:pPr>
              <w:pStyle w:val="P68B1DB1-Normal8"/>
              <w:keepNext/>
              <w:spacing w:before="40" w:after="0" w:line="240" w:lineRule="auto"/>
              <w:jc w:val="both"/>
              <w:rPr>
                <w:rFonts w:cs="Times New Roman"/>
                <w:noProof/>
                <w:szCs w:val="18"/>
              </w:rPr>
            </w:pPr>
            <w:r>
              <w:rPr>
                <w:noProof/>
              </w:rPr>
              <w:t>DYPA digitālā pārveide</w:t>
            </w:r>
          </w:p>
        </w:tc>
      </w:tr>
      <w:tr w:rsidR="00CB0FCB" w14:paraId="5756313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A1ABEC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140</w:t>
            </w:r>
          </w:p>
        </w:tc>
        <w:tc>
          <w:tcPr>
            <w:tcW w:w="4320" w:type="dxa"/>
            <w:tcBorders>
              <w:top w:val="nil"/>
              <w:left w:val="nil"/>
              <w:bottom w:val="single" w:sz="4" w:space="0" w:color="auto"/>
              <w:right w:val="single" w:sz="4" w:space="0" w:color="auto"/>
            </w:tcBorders>
            <w:shd w:val="clear" w:color="auto" w:fill="C6EFCE"/>
            <w:noWrap/>
            <w:vAlign w:val="center"/>
            <w:hideMark/>
          </w:tcPr>
          <w:p w14:paraId="3F16B46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9–3.2. Izglītība, profesionālā izglītība un apmācība un prasmes — 16913_A Jauna mūžizglītības stratēģija: Grieķijas prasmju pilnveides un pārkvalifikācijas sistēmas modernizēšana un uzlabošana</w:t>
            </w:r>
          </w:p>
        </w:tc>
        <w:tc>
          <w:tcPr>
            <w:tcW w:w="1680" w:type="dxa"/>
            <w:tcBorders>
              <w:top w:val="nil"/>
              <w:left w:val="nil"/>
              <w:bottom w:val="single" w:sz="4" w:space="0" w:color="auto"/>
              <w:right w:val="single" w:sz="4" w:space="0" w:color="auto"/>
            </w:tcBorders>
            <w:shd w:val="clear" w:color="auto" w:fill="C6EFCE"/>
            <w:noWrap/>
            <w:vAlign w:val="center"/>
            <w:hideMark/>
          </w:tcPr>
          <w:p w14:paraId="6513F63C"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49DA50AF" w14:textId="77777777" w:rsidR="00CB0FCB" w:rsidRDefault="009D2B11">
            <w:pPr>
              <w:pStyle w:val="P68B1DB1-Normal8"/>
              <w:keepNext/>
              <w:spacing w:before="40" w:after="0" w:line="240" w:lineRule="auto"/>
              <w:jc w:val="both"/>
              <w:rPr>
                <w:rFonts w:eastAsia="Times New Roman" w:cs="Times New Roman"/>
                <w:noProof/>
                <w:szCs w:val="18"/>
              </w:rPr>
            </w:pPr>
            <w:r>
              <w:rPr>
                <w:noProof/>
              </w:rPr>
              <w:t> Mācību programmas mūžizglītības pakāpeniskas pabeigšanas validācija</w:t>
            </w:r>
          </w:p>
        </w:tc>
      </w:tr>
      <w:tr w:rsidR="00CB0FCB" w14:paraId="7FA8ACE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0AA5363" w14:textId="77777777" w:rsidR="00CB0FCB" w:rsidRDefault="009D2B11">
            <w:pPr>
              <w:pStyle w:val="P68B1DB1-Normal8"/>
              <w:keepNext/>
              <w:spacing w:before="40" w:after="0" w:line="240" w:lineRule="auto"/>
              <w:jc w:val="both"/>
              <w:rPr>
                <w:rFonts w:cs="Times New Roman"/>
                <w:noProof/>
                <w:szCs w:val="18"/>
              </w:rPr>
            </w:pPr>
            <w:r>
              <w:rPr>
                <w:noProof/>
              </w:rPr>
              <w:t>141a</w:t>
            </w:r>
          </w:p>
        </w:tc>
        <w:tc>
          <w:tcPr>
            <w:tcW w:w="4320" w:type="dxa"/>
            <w:tcBorders>
              <w:top w:val="nil"/>
              <w:left w:val="nil"/>
              <w:bottom w:val="single" w:sz="4" w:space="0" w:color="auto"/>
              <w:right w:val="single" w:sz="4" w:space="0" w:color="auto"/>
            </w:tcBorders>
            <w:shd w:val="clear" w:color="auto" w:fill="C6EFCE"/>
            <w:noWrap/>
            <w:vAlign w:val="center"/>
            <w:hideMark/>
          </w:tcPr>
          <w:p w14:paraId="414DB8FC" w14:textId="659364C0" w:rsidR="00CB0FCB" w:rsidRDefault="009D2B11">
            <w:pPr>
              <w:pStyle w:val="P68B1DB1-Normal8"/>
              <w:keepNext/>
              <w:spacing w:before="40" w:after="0" w:line="240" w:lineRule="auto"/>
              <w:jc w:val="both"/>
              <w:rPr>
                <w:rFonts w:cs="Times New Roman"/>
                <w:noProof/>
                <w:szCs w:val="18"/>
              </w:rPr>
            </w:pPr>
            <w:r>
              <w:rPr>
                <w:noProof/>
              </w:rPr>
              <w:t>8–3.1. PUNKTS. Veicināt darbvietu radīšanu un līdzdalību darba tirgū — 16941_DYPA vietējo filiāļu pārstrukturēšana un pārdēvēšana nodarbinātības veicināšanai (KPA2)</w:t>
            </w:r>
          </w:p>
        </w:tc>
        <w:tc>
          <w:tcPr>
            <w:tcW w:w="1680" w:type="dxa"/>
            <w:tcBorders>
              <w:top w:val="nil"/>
              <w:left w:val="nil"/>
              <w:bottom w:val="single" w:sz="4" w:space="0" w:color="auto"/>
              <w:right w:val="single" w:sz="4" w:space="0" w:color="auto"/>
            </w:tcBorders>
            <w:shd w:val="clear" w:color="auto" w:fill="C6EFCE"/>
            <w:noWrap/>
            <w:vAlign w:val="center"/>
            <w:hideMark/>
          </w:tcPr>
          <w:p w14:paraId="5DBE61FA"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BC1AA21" w14:textId="628CFBC1" w:rsidR="00CB0FCB" w:rsidRDefault="009D2B11">
            <w:pPr>
              <w:pStyle w:val="P68B1DB1-Normal8"/>
              <w:keepNext/>
              <w:spacing w:before="40" w:after="0" w:line="240" w:lineRule="auto"/>
              <w:jc w:val="both"/>
              <w:rPr>
                <w:rFonts w:cs="Times New Roman"/>
                <w:noProof/>
                <w:szCs w:val="18"/>
              </w:rPr>
            </w:pPr>
            <w:r>
              <w:rPr>
                <w:noProof/>
              </w:rPr>
              <w:t>KPA2 atjaunošana, komunikācijas stratēģija, klientu apkalpošanas kvalitātes kontrole, jauni profilēšanas un konsultāciju pakalpojumu veidi.</w:t>
            </w:r>
          </w:p>
        </w:tc>
      </w:tr>
      <w:tr w:rsidR="00CB0FCB" w14:paraId="7CFB676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4FEBA2C" w14:textId="77777777" w:rsidR="00CB0FCB" w:rsidRDefault="009D2B11">
            <w:pPr>
              <w:pStyle w:val="P68B1DB1-Normal8"/>
              <w:keepNext/>
              <w:spacing w:before="40" w:after="0" w:line="240" w:lineRule="auto"/>
              <w:jc w:val="both"/>
              <w:rPr>
                <w:noProof/>
              </w:rPr>
            </w:pPr>
            <w:r>
              <w:rPr>
                <w:noProof/>
              </w:rPr>
              <w:t>142b</w:t>
            </w:r>
          </w:p>
        </w:tc>
        <w:tc>
          <w:tcPr>
            <w:tcW w:w="4320" w:type="dxa"/>
            <w:tcBorders>
              <w:top w:val="nil"/>
              <w:left w:val="nil"/>
              <w:bottom w:val="single" w:sz="4" w:space="0" w:color="auto"/>
              <w:right w:val="single" w:sz="4" w:space="0" w:color="auto"/>
            </w:tcBorders>
            <w:shd w:val="clear" w:color="auto" w:fill="C6EFCE"/>
            <w:noWrap/>
            <w:vAlign w:val="center"/>
          </w:tcPr>
          <w:p w14:paraId="3B38D4C5" w14:textId="77777777" w:rsidR="00CB0FCB" w:rsidRDefault="009D2B11">
            <w:pPr>
              <w:pStyle w:val="P68B1DB1-Normal8"/>
              <w:keepNext/>
              <w:spacing w:before="40" w:after="0" w:line="240" w:lineRule="auto"/>
              <w:jc w:val="both"/>
              <w:rPr>
                <w:noProof/>
              </w:rPr>
            </w:pPr>
            <w:r>
              <w:rPr>
                <w:noProof/>
              </w:rPr>
              <w:t>8–3.1. PUNKTS. Veicināt darbvietu radīšanu un līdzdalību darba tirgū — 16746_Pasīvas darba tirgus politikas reforma, lai atbalstītu pāreju uz nodarbinātību</w:t>
            </w:r>
          </w:p>
        </w:tc>
        <w:tc>
          <w:tcPr>
            <w:tcW w:w="1680" w:type="dxa"/>
            <w:tcBorders>
              <w:top w:val="nil"/>
              <w:left w:val="nil"/>
              <w:bottom w:val="single" w:sz="4" w:space="0" w:color="auto"/>
              <w:right w:val="single" w:sz="4" w:space="0" w:color="auto"/>
            </w:tcBorders>
            <w:shd w:val="clear" w:color="auto" w:fill="C6EFCE"/>
            <w:noWrap/>
            <w:vAlign w:val="center"/>
          </w:tcPr>
          <w:p w14:paraId="0E47588B" w14:textId="77777777" w:rsidR="00CB0FCB" w:rsidRDefault="009D2B11">
            <w:pPr>
              <w:pStyle w:val="P68B1DB1-Normal8"/>
              <w:keepNext/>
              <w:spacing w:before="40" w:after="0" w:line="240" w:lineRule="auto"/>
              <w:jc w:val="both"/>
              <w:rPr>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tcPr>
          <w:p w14:paraId="621C9134" w14:textId="77777777" w:rsidR="00CB0FCB" w:rsidRDefault="009D2B11">
            <w:pPr>
              <w:pStyle w:val="P68B1DB1-Normal8"/>
              <w:keepNext/>
              <w:spacing w:before="40" w:after="0" w:line="240" w:lineRule="auto"/>
              <w:jc w:val="both"/>
              <w:rPr>
                <w:noProof/>
              </w:rPr>
            </w:pPr>
            <w:r>
              <w:rPr>
                <w:noProof/>
              </w:rPr>
              <w:t xml:space="preserve">Izmēģinājuma projekts par bezdarbnieka pabalstu konsolidāciju un racionalizēšanu  </w:t>
            </w:r>
          </w:p>
        </w:tc>
      </w:tr>
      <w:tr w:rsidR="00CB0FCB" w14:paraId="68E3CB5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53B9FF3B" w14:textId="77777777" w:rsidR="00CB0FCB" w:rsidRDefault="009D2B11">
            <w:pPr>
              <w:pStyle w:val="P68B1DB1-Normal8"/>
              <w:keepNext/>
              <w:spacing w:before="40" w:after="0" w:line="240" w:lineRule="auto"/>
              <w:jc w:val="both"/>
              <w:rPr>
                <w:rFonts w:cs="Times New Roman"/>
                <w:noProof/>
                <w:szCs w:val="18"/>
              </w:rPr>
            </w:pPr>
            <w:r>
              <w:rPr>
                <w:noProof/>
              </w:rPr>
              <w:t>144.a</w:t>
            </w:r>
          </w:p>
        </w:tc>
        <w:tc>
          <w:tcPr>
            <w:tcW w:w="4320" w:type="dxa"/>
            <w:tcBorders>
              <w:top w:val="nil"/>
              <w:left w:val="nil"/>
              <w:bottom w:val="single" w:sz="4" w:space="0" w:color="auto"/>
              <w:right w:val="single" w:sz="4" w:space="0" w:color="auto"/>
            </w:tcBorders>
            <w:shd w:val="clear" w:color="auto" w:fill="C6EFCE"/>
            <w:noWrap/>
            <w:hideMark/>
          </w:tcPr>
          <w:p w14:paraId="2181522D" w14:textId="77777777" w:rsidR="00CB0FCB" w:rsidRDefault="009D2B11">
            <w:pPr>
              <w:pStyle w:val="P68B1DB1-Normal8"/>
              <w:keepNext/>
              <w:spacing w:before="40" w:after="0" w:line="240" w:lineRule="auto"/>
              <w:jc w:val="both"/>
              <w:rPr>
                <w:rFonts w:cs="Times New Roman"/>
                <w:noProof/>
                <w:szCs w:val="18"/>
              </w:rPr>
            </w:pPr>
            <w:r>
              <w:rPr>
                <w:noProof/>
              </w:rPr>
              <w:t>8–3.1. PUNKTS. Veicināt darbvietu radīšanu un līdzdalību darba tirgū — 16747_Aktīva darba tirgus politikas reforma</w:t>
            </w:r>
          </w:p>
        </w:tc>
        <w:tc>
          <w:tcPr>
            <w:tcW w:w="1680" w:type="dxa"/>
            <w:tcBorders>
              <w:top w:val="nil"/>
              <w:left w:val="nil"/>
              <w:bottom w:val="single" w:sz="4" w:space="0" w:color="auto"/>
              <w:right w:val="single" w:sz="4" w:space="0" w:color="auto"/>
            </w:tcBorders>
            <w:shd w:val="clear" w:color="auto" w:fill="C6EFCE"/>
            <w:noWrap/>
            <w:hideMark/>
          </w:tcPr>
          <w:p w14:paraId="793A56B8"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4E1DD0E5" w14:textId="77777777" w:rsidR="00CB0FCB" w:rsidRDefault="009D2B11">
            <w:pPr>
              <w:pStyle w:val="P68B1DB1-Normal8"/>
              <w:keepNext/>
              <w:spacing w:before="40" w:after="0" w:line="240" w:lineRule="auto"/>
              <w:jc w:val="both"/>
              <w:rPr>
                <w:rFonts w:cs="Times New Roman"/>
                <w:noProof/>
                <w:szCs w:val="18"/>
              </w:rPr>
            </w:pPr>
            <w:r>
              <w:rPr>
                <w:noProof/>
              </w:rPr>
              <w:t xml:space="preserve">ADTP nodarbinātības programmas pabeigšana </w:t>
            </w:r>
          </w:p>
        </w:tc>
      </w:tr>
      <w:tr w:rsidR="00CB0FCB" w14:paraId="03B67464" w14:textId="77777777">
        <w:trPr>
          <w:trHeight w:val="300"/>
        </w:trPr>
        <w:tc>
          <w:tcPr>
            <w:tcW w:w="1795" w:type="dxa"/>
            <w:tcBorders>
              <w:top w:val="nil"/>
              <w:left w:val="single" w:sz="4" w:space="0" w:color="auto"/>
              <w:bottom w:val="single" w:sz="4" w:space="0" w:color="auto"/>
              <w:right w:val="single" w:sz="4" w:space="0" w:color="auto"/>
            </w:tcBorders>
            <w:shd w:val="clear" w:color="auto" w:fill="C6EFCE"/>
            <w:noWrap/>
            <w:hideMark/>
          </w:tcPr>
          <w:p w14:paraId="4C7C3368" w14:textId="05D5773C" w:rsidR="00CB0FCB" w:rsidRDefault="009D2B11">
            <w:pPr>
              <w:pStyle w:val="P68B1DB1-Normal49"/>
              <w:keepNext/>
              <w:spacing w:before="40" w:after="0" w:line="240" w:lineRule="auto"/>
              <w:jc w:val="both"/>
              <w:rPr>
                <w:rFonts w:eastAsia="Times New Roman" w:cs="Times New Roman"/>
                <w:noProof/>
              </w:rPr>
            </w:pPr>
            <w:r>
              <w:rPr>
                <w:noProof/>
              </w:rPr>
              <w:t>134.a</w:t>
            </w:r>
          </w:p>
          <w:p w14:paraId="37474F8A" w14:textId="5B7B4D10" w:rsidR="00CB0FCB" w:rsidRDefault="00CB0FCB">
            <w:pPr>
              <w:keepNext/>
              <w:spacing w:before="40" w:after="0" w:line="240" w:lineRule="auto"/>
              <w:jc w:val="both"/>
              <w:rPr>
                <w:rFonts w:ascii="Times New Roman" w:eastAsia="Times New Roman" w:hAnsi="Times New Roman" w:cs="Times New Roman"/>
                <w:noProof/>
                <w:sz w:val="18"/>
                <w:szCs w:val="18"/>
              </w:rPr>
            </w:pPr>
          </w:p>
        </w:tc>
        <w:tc>
          <w:tcPr>
            <w:tcW w:w="4320" w:type="dxa"/>
            <w:tcBorders>
              <w:top w:val="nil"/>
              <w:left w:val="nil"/>
              <w:bottom w:val="single" w:sz="4" w:space="0" w:color="auto"/>
              <w:right w:val="single" w:sz="4" w:space="0" w:color="auto"/>
            </w:tcBorders>
            <w:shd w:val="clear" w:color="auto" w:fill="C6EFCE"/>
            <w:noWrap/>
            <w:hideMark/>
          </w:tcPr>
          <w:p w14:paraId="697EA0F4" w14:textId="249E22D4" w:rsidR="00CB0FCB" w:rsidRDefault="009D2B11">
            <w:pPr>
              <w:pStyle w:val="P68B1DB1-Normal49"/>
              <w:keepNext/>
              <w:spacing w:before="40" w:after="0" w:line="240" w:lineRule="auto"/>
              <w:jc w:val="both"/>
              <w:rPr>
                <w:rFonts w:eastAsia="Times New Roman" w:cs="Times New Roman"/>
                <w:noProof/>
              </w:rPr>
            </w:pPr>
            <w:r>
              <w:rPr>
                <w:noProof/>
              </w:rPr>
              <w:t>8–3.1. PUNKTS. Veicināt darbvietu radīšanu un līdzdalību darba tirgū — 16750_Darba sistēmu digitālā pārveide</w:t>
            </w:r>
          </w:p>
        </w:tc>
        <w:tc>
          <w:tcPr>
            <w:tcW w:w="1680" w:type="dxa"/>
            <w:tcBorders>
              <w:top w:val="nil"/>
              <w:left w:val="nil"/>
              <w:bottom w:val="single" w:sz="4" w:space="0" w:color="auto"/>
              <w:right w:val="single" w:sz="4" w:space="0" w:color="auto"/>
            </w:tcBorders>
            <w:shd w:val="clear" w:color="auto" w:fill="C6EFCE"/>
            <w:noWrap/>
            <w:hideMark/>
          </w:tcPr>
          <w:p w14:paraId="62FDB1AB" w14:textId="7D0E0224" w:rsidR="00CB0FCB" w:rsidRDefault="009D2B11">
            <w:pPr>
              <w:pStyle w:val="P68B1DB1-Normal49"/>
              <w:keepNext/>
              <w:spacing w:before="40" w:after="0" w:line="240" w:lineRule="auto"/>
              <w:jc w:val="both"/>
              <w:rPr>
                <w:rFonts w:eastAsia="Times New Roman" w:cs="Times New Roman"/>
                <w:noProof/>
              </w:rPr>
            </w:pPr>
            <w:r>
              <w:rPr>
                <w:noProof/>
              </w:rPr>
              <w:t xml:space="preserve"> Atskaites punkts</w:t>
            </w:r>
          </w:p>
        </w:tc>
        <w:tc>
          <w:tcPr>
            <w:tcW w:w="2280" w:type="dxa"/>
            <w:tcBorders>
              <w:top w:val="nil"/>
              <w:left w:val="nil"/>
              <w:bottom w:val="single" w:sz="4" w:space="0" w:color="auto"/>
              <w:right w:val="single" w:sz="4" w:space="0" w:color="auto"/>
            </w:tcBorders>
            <w:shd w:val="clear" w:color="auto" w:fill="C6EFCE"/>
            <w:noWrap/>
            <w:hideMark/>
          </w:tcPr>
          <w:p w14:paraId="6C5C2B5F" w14:textId="0106ED40" w:rsidR="00CB0FCB" w:rsidRDefault="009D2B11">
            <w:pPr>
              <w:pStyle w:val="P68B1DB1-Normal49"/>
              <w:keepNext/>
              <w:spacing w:before="40" w:after="0" w:line="240" w:lineRule="auto"/>
              <w:jc w:val="both"/>
              <w:rPr>
                <w:rFonts w:eastAsia="Times New Roman" w:cs="Times New Roman"/>
                <w:noProof/>
              </w:rPr>
            </w:pPr>
            <w:r>
              <w:rPr>
                <w:noProof/>
              </w:rPr>
              <w:t xml:space="preserve"> Darba IT sistēmu pabeigšana</w:t>
            </w:r>
          </w:p>
        </w:tc>
      </w:tr>
      <w:tr w:rsidR="00CB0FCB" w14:paraId="0414B4C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5FD976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145</w:t>
            </w:r>
          </w:p>
        </w:tc>
        <w:tc>
          <w:tcPr>
            <w:tcW w:w="4320" w:type="dxa"/>
            <w:tcBorders>
              <w:top w:val="nil"/>
              <w:left w:val="nil"/>
              <w:bottom w:val="single" w:sz="4" w:space="0" w:color="auto"/>
              <w:right w:val="single" w:sz="4" w:space="0" w:color="auto"/>
            </w:tcBorders>
            <w:shd w:val="clear" w:color="auto" w:fill="C6EFCE"/>
            <w:noWrap/>
            <w:vAlign w:val="center"/>
            <w:hideMark/>
          </w:tcPr>
          <w:p w14:paraId="6CA57A5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xml:space="preserve">9–3.2. Izglītība, profesionālā izglītība un apmācība un prasmes — 16794_ Māceklību sistēmas stiprināšana </w:t>
            </w:r>
          </w:p>
        </w:tc>
        <w:tc>
          <w:tcPr>
            <w:tcW w:w="1680" w:type="dxa"/>
            <w:tcBorders>
              <w:top w:val="nil"/>
              <w:left w:val="nil"/>
              <w:bottom w:val="single" w:sz="4" w:space="0" w:color="auto"/>
              <w:right w:val="single" w:sz="4" w:space="0" w:color="auto"/>
            </w:tcBorders>
            <w:shd w:val="clear" w:color="auto" w:fill="C6EFCE"/>
            <w:noWrap/>
            <w:vAlign w:val="center"/>
            <w:hideMark/>
          </w:tcPr>
          <w:p w14:paraId="23526EF6"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2C779ED2" w14:textId="77777777" w:rsidR="00CB0FCB" w:rsidRDefault="009D2B11">
            <w:pPr>
              <w:pStyle w:val="P68B1DB1-Normal8"/>
              <w:keepNext/>
              <w:spacing w:before="40" w:after="0" w:line="240" w:lineRule="auto"/>
              <w:jc w:val="both"/>
              <w:rPr>
                <w:rFonts w:eastAsia="Times New Roman" w:cs="Times New Roman"/>
                <w:noProof/>
                <w:szCs w:val="18"/>
              </w:rPr>
            </w:pPr>
            <w:r>
              <w:rPr>
                <w:noProof/>
              </w:rPr>
              <w:t>Mācību kursu pabeigšana digitalizācijas e-mācībās</w:t>
            </w:r>
          </w:p>
        </w:tc>
      </w:tr>
      <w:tr w:rsidR="00CB0FCB" w14:paraId="2939C4A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2967417B" w14:textId="77777777" w:rsidR="00CB0FCB" w:rsidRDefault="009D2B11">
            <w:pPr>
              <w:pStyle w:val="P68B1DB1-Normal8"/>
              <w:keepNext/>
              <w:spacing w:before="40" w:after="0" w:line="240" w:lineRule="auto"/>
              <w:jc w:val="both"/>
              <w:rPr>
                <w:rFonts w:cs="Times New Roman"/>
                <w:noProof/>
                <w:szCs w:val="18"/>
              </w:rPr>
            </w:pPr>
            <w:r>
              <w:rPr>
                <w:noProof/>
              </w:rPr>
              <w:t>145b</w:t>
            </w:r>
          </w:p>
        </w:tc>
        <w:tc>
          <w:tcPr>
            <w:tcW w:w="4320" w:type="dxa"/>
            <w:tcBorders>
              <w:top w:val="nil"/>
              <w:left w:val="nil"/>
              <w:bottom w:val="single" w:sz="4" w:space="0" w:color="auto"/>
              <w:right w:val="single" w:sz="4" w:space="0" w:color="auto"/>
            </w:tcBorders>
            <w:shd w:val="clear" w:color="auto" w:fill="C6EFCE"/>
            <w:noWrap/>
            <w:hideMark/>
          </w:tcPr>
          <w:p w14:paraId="7947DEB3" w14:textId="77777777" w:rsidR="00CB0FCB" w:rsidRDefault="009D2B11">
            <w:pPr>
              <w:pStyle w:val="P68B1DB1-Normal8"/>
              <w:keepNext/>
              <w:spacing w:before="40" w:after="0" w:line="240" w:lineRule="auto"/>
              <w:jc w:val="both"/>
              <w:rPr>
                <w:rFonts w:cs="Times New Roman"/>
                <w:noProof/>
                <w:szCs w:val="18"/>
              </w:rPr>
            </w:pPr>
            <w:r>
              <w:rPr>
                <w:noProof/>
              </w:rPr>
              <w:t xml:space="preserve">9–3.2. Izglītība, profesionālā izglītība un apmācība un prasmes — 16794_ Māceklību sistēmas stiprināšana </w:t>
            </w:r>
          </w:p>
        </w:tc>
        <w:tc>
          <w:tcPr>
            <w:tcW w:w="1680" w:type="dxa"/>
            <w:tcBorders>
              <w:top w:val="nil"/>
              <w:left w:val="nil"/>
              <w:bottom w:val="single" w:sz="4" w:space="0" w:color="auto"/>
              <w:right w:val="single" w:sz="4" w:space="0" w:color="auto"/>
            </w:tcBorders>
            <w:shd w:val="clear" w:color="auto" w:fill="C6EFCE"/>
            <w:noWrap/>
            <w:hideMark/>
          </w:tcPr>
          <w:p w14:paraId="5537831F"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4DAE0D1C" w14:textId="77777777" w:rsidR="00CB0FCB" w:rsidRDefault="009D2B11">
            <w:pPr>
              <w:pStyle w:val="P68B1DB1-Normal8"/>
              <w:keepNext/>
              <w:spacing w:before="40" w:after="0" w:line="240" w:lineRule="auto"/>
              <w:jc w:val="both"/>
              <w:rPr>
                <w:rFonts w:cs="Times New Roman"/>
                <w:noProof/>
                <w:szCs w:val="18"/>
              </w:rPr>
            </w:pPr>
            <w:r>
              <w:rPr>
                <w:noProof/>
              </w:rPr>
              <w:t>PIA skolu kvalitātes kontrole, mācību programmu reforma, PIA infrastruktūra un citi DYPA projekti</w:t>
            </w:r>
          </w:p>
        </w:tc>
      </w:tr>
      <w:tr w:rsidR="00CB0FCB" w14:paraId="35903E4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839766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146</w:t>
            </w:r>
          </w:p>
        </w:tc>
        <w:tc>
          <w:tcPr>
            <w:tcW w:w="4320" w:type="dxa"/>
            <w:tcBorders>
              <w:top w:val="nil"/>
              <w:left w:val="nil"/>
              <w:bottom w:val="single" w:sz="4" w:space="0" w:color="auto"/>
              <w:right w:val="single" w:sz="4" w:space="0" w:color="auto"/>
            </w:tcBorders>
            <w:shd w:val="clear" w:color="auto" w:fill="C6EFCE"/>
            <w:noWrap/>
            <w:vAlign w:val="center"/>
            <w:hideMark/>
          </w:tcPr>
          <w:p w14:paraId="3F8061C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9–3.2. Izglītība, profesionālā izglītība un apmācība un prasmes — 16792_Labor spēku prasmju pilnveide, pārkvalifikācija un prasmju pilnveide, izmantojot reformētu apmācības modeli (profesionālās izglītības un apmācības reforma)</w:t>
            </w:r>
          </w:p>
        </w:tc>
        <w:tc>
          <w:tcPr>
            <w:tcW w:w="1680" w:type="dxa"/>
            <w:tcBorders>
              <w:top w:val="nil"/>
              <w:left w:val="nil"/>
              <w:bottom w:val="single" w:sz="4" w:space="0" w:color="auto"/>
              <w:right w:val="single" w:sz="4" w:space="0" w:color="auto"/>
            </w:tcBorders>
            <w:shd w:val="clear" w:color="auto" w:fill="C6EFCE"/>
            <w:noWrap/>
            <w:vAlign w:val="center"/>
            <w:hideMark/>
          </w:tcPr>
          <w:p w14:paraId="3B33DBA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F7E264D" w14:textId="6AFA5F83" w:rsidR="00CB0FCB" w:rsidRDefault="009D2B11">
            <w:pPr>
              <w:pStyle w:val="P68B1DB1-Normal24"/>
              <w:spacing w:after="0" w:line="240" w:lineRule="auto"/>
              <w:rPr>
                <w:rFonts w:ascii="Times New Roman" w:eastAsia="Times New Roman" w:hAnsi="Times New Roman" w:cs="Times New Roman"/>
                <w:noProof/>
              </w:rPr>
            </w:pPr>
            <w:r>
              <w:rPr>
                <w:rFonts w:ascii="Times New Roman" w:hAnsi="Times New Roman"/>
                <w:noProof/>
              </w:rPr>
              <w:t>PIA kvalitātes kontroles sistēmas atjaunināšana valsts nodarbinātības dienesta (DYPA) profesionālās apmācības vienību moduļiem, digitālajiem kursiem,</w:t>
            </w:r>
            <w:r>
              <w:rPr>
                <w:rFonts w:asciiTheme="minorHAnsi" w:eastAsiaTheme="minorEastAsia" w:hAnsiTheme="minorHAnsi" w:cstheme="minorBidi"/>
                <w:noProof/>
              </w:rPr>
              <w:t xml:space="preserve">49 laboratoriju </w:t>
            </w:r>
            <w:r>
              <w:rPr>
                <w:rFonts w:ascii="Times New Roman" w:hAnsi="Times New Roman" w:cs="Times New Roman"/>
                <w:noProof/>
                <w:color w:val="006100"/>
              </w:rPr>
              <w:t xml:space="preserve"> </w:t>
            </w:r>
            <w:r>
              <w:rPr>
                <w:rFonts w:asciiTheme="minorHAnsi" w:eastAsiaTheme="minorEastAsia" w:hAnsiTheme="minorHAnsi" w:cstheme="minorBidi"/>
                <w:noProof/>
              </w:rPr>
              <w:t>aprīkojuma piegādei, nozaru apmācības programmām</w:t>
            </w:r>
          </w:p>
        </w:tc>
      </w:tr>
      <w:tr w:rsidR="00CB0FCB" w14:paraId="64649F1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79B0F4C3" w14:textId="77777777" w:rsidR="00CB0FCB" w:rsidRDefault="009D2B11">
            <w:pPr>
              <w:pStyle w:val="P68B1DB1-Normal8"/>
              <w:keepNext/>
              <w:spacing w:before="40" w:after="0" w:line="240" w:lineRule="auto"/>
              <w:jc w:val="both"/>
              <w:rPr>
                <w:rFonts w:cs="Times New Roman"/>
                <w:noProof/>
                <w:szCs w:val="18"/>
              </w:rPr>
            </w:pPr>
            <w:r>
              <w:rPr>
                <w:noProof/>
              </w:rPr>
              <w:t>148b</w:t>
            </w:r>
          </w:p>
        </w:tc>
        <w:tc>
          <w:tcPr>
            <w:tcW w:w="4320" w:type="dxa"/>
            <w:tcBorders>
              <w:top w:val="nil"/>
              <w:left w:val="nil"/>
              <w:bottom w:val="single" w:sz="4" w:space="0" w:color="auto"/>
              <w:right w:val="single" w:sz="4" w:space="0" w:color="auto"/>
            </w:tcBorders>
            <w:shd w:val="clear" w:color="auto" w:fill="C6EFCE"/>
            <w:noWrap/>
            <w:hideMark/>
          </w:tcPr>
          <w:p w14:paraId="14AAE30A" w14:textId="77777777" w:rsidR="00CB0FCB" w:rsidRDefault="009D2B11">
            <w:pPr>
              <w:pStyle w:val="P68B1DB1-Normal8"/>
              <w:keepNext/>
              <w:spacing w:before="40" w:after="0" w:line="240" w:lineRule="auto"/>
              <w:jc w:val="both"/>
              <w:rPr>
                <w:rFonts w:cs="Times New Roman"/>
                <w:noProof/>
                <w:szCs w:val="18"/>
              </w:rPr>
            </w:pPr>
            <w:r>
              <w:rPr>
                <w:noProof/>
              </w:rPr>
              <w:t>9–3.2. Izglītība, profesionālā izglītība un apmācība un prasmes — 16676_Izglītības digitālā pārveide</w:t>
            </w:r>
          </w:p>
        </w:tc>
        <w:tc>
          <w:tcPr>
            <w:tcW w:w="1680" w:type="dxa"/>
            <w:tcBorders>
              <w:top w:val="nil"/>
              <w:left w:val="nil"/>
              <w:bottom w:val="single" w:sz="4" w:space="0" w:color="auto"/>
              <w:right w:val="single" w:sz="4" w:space="0" w:color="auto"/>
            </w:tcBorders>
            <w:shd w:val="clear" w:color="auto" w:fill="C6EFCE"/>
            <w:noWrap/>
            <w:hideMark/>
          </w:tcPr>
          <w:p w14:paraId="7AD4B665"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4D6630A2" w14:textId="77777777" w:rsidR="00CB0FCB" w:rsidRDefault="009D2B11">
            <w:pPr>
              <w:pStyle w:val="P68B1DB1-Normal8"/>
              <w:keepNext/>
              <w:spacing w:before="40" w:after="0" w:line="240" w:lineRule="auto"/>
              <w:jc w:val="both"/>
              <w:rPr>
                <w:rFonts w:cs="Times New Roman"/>
                <w:noProof/>
                <w:szCs w:val="18"/>
              </w:rPr>
            </w:pPr>
            <w:r>
              <w:rPr>
                <w:noProof/>
              </w:rPr>
              <w:t>Izglītības digitālā pārveide</w:t>
            </w:r>
          </w:p>
        </w:tc>
      </w:tr>
      <w:tr w:rsidR="00CB0FCB" w14:paraId="422A2F3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3378F2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149</w:t>
            </w:r>
          </w:p>
        </w:tc>
        <w:tc>
          <w:tcPr>
            <w:tcW w:w="4320" w:type="dxa"/>
            <w:tcBorders>
              <w:top w:val="nil"/>
              <w:left w:val="nil"/>
              <w:bottom w:val="single" w:sz="4" w:space="0" w:color="auto"/>
              <w:right w:val="single" w:sz="4" w:space="0" w:color="auto"/>
            </w:tcBorders>
            <w:shd w:val="clear" w:color="auto" w:fill="C6EFCE"/>
            <w:noWrap/>
            <w:vAlign w:val="center"/>
            <w:hideMark/>
          </w:tcPr>
          <w:p w14:paraId="057B3FDC" w14:textId="222F1BA7" w:rsidR="00CB0FCB" w:rsidRDefault="009D2B11">
            <w:pPr>
              <w:pStyle w:val="P68B1DB1-Normal8"/>
              <w:keepNext/>
              <w:spacing w:before="40" w:after="0" w:line="240" w:lineRule="auto"/>
              <w:jc w:val="both"/>
              <w:rPr>
                <w:rFonts w:eastAsia="Times New Roman" w:cs="Times New Roman"/>
                <w:bCs/>
                <w:noProof/>
                <w:szCs w:val="18"/>
              </w:rPr>
            </w:pPr>
            <w:r>
              <w:rPr>
                <w:noProof/>
              </w:rPr>
              <w:t>9–3.2. Izglītība, profesionālā izglītība un apmācība un prasmes — 16933_Profesionālās izglītības un apmācības (PIA) uzlabošana: Laboratorijas aprīkojuma piegāde laboratorijas centriem SAEK, EPAL, pēcvidusskolas praktikantu klasēm un profesionālās izglītības skolām</w:t>
            </w:r>
          </w:p>
        </w:tc>
        <w:tc>
          <w:tcPr>
            <w:tcW w:w="1680" w:type="dxa"/>
            <w:tcBorders>
              <w:top w:val="nil"/>
              <w:left w:val="nil"/>
              <w:bottom w:val="single" w:sz="4" w:space="0" w:color="auto"/>
              <w:right w:val="single" w:sz="4" w:space="0" w:color="auto"/>
            </w:tcBorders>
            <w:shd w:val="clear" w:color="auto" w:fill="C6EFCE"/>
            <w:noWrap/>
            <w:vAlign w:val="center"/>
            <w:hideMark/>
          </w:tcPr>
          <w:p w14:paraId="644D7DFD"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0BE7440C" w14:textId="77777777" w:rsidR="00CB0FCB" w:rsidRDefault="009D2B11">
            <w:pPr>
              <w:pStyle w:val="P68B1DB1-Normal8"/>
              <w:keepNext/>
              <w:spacing w:before="40" w:after="0" w:line="240" w:lineRule="auto"/>
              <w:jc w:val="both"/>
              <w:rPr>
                <w:rFonts w:eastAsia="Times New Roman" w:cs="Times New Roman"/>
                <w:noProof/>
                <w:szCs w:val="18"/>
              </w:rPr>
            </w:pPr>
            <w:r>
              <w:rPr>
                <w:noProof/>
              </w:rPr>
              <w:t>PIA laboratoriju centru modernizācijas pabeigšana</w:t>
            </w:r>
          </w:p>
        </w:tc>
      </w:tr>
      <w:tr w:rsidR="00CB0FCB" w14:paraId="252EE5E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761326E" w14:textId="77777777" w:rsidR="00CB0FCB" w:rsidRDefault="009D2B11">
            <w:pPr>
              <w:pStyle w:val="P68B1DB1-Normal49"/>
              <w:keepNext/>
              <w:spacing w:before="40" w:after="0" w:line="240" w:lineRule="auto"/>
              <w:jc w:val="both"/>
              <w:rPr>
                <w:rFonts w:eastAsia="Times New Roman" w:cs="Times New Roman"/>
                <w:bCs/>
                <w:noProof/>
              </w:rPr>
            </w:pPr>
            <w:r>
              <w:rPr>
                <w:noProof/>
              </w:rPr>
              <w:t>150</w:t>
            </w:r>
          </w:p>
        </w:tc>
        <w:tc>
          <w:tcPr>
            <w:tcW w:w="4320" w:type="dxa"/>
            <w:tcBorders>
              <w:top w:val="nil"/>
              <w:left w:val="nil"/>
              <w:bottom w:val="single" w:sz="4" w:space="0" w:color="auto"/>
              <w:right w:val="single" w:sz="4" w:space="0" w:color="auto"/>
            </w:tcBorders>
            <w:shd w:val="clear" w:color="auto" w:fill="C6EFCE"/>
            <w:noWrap/>
            <w:vAlign w:val="center"/>
            <w:hideMark/>
          </w:tcPr>
          <w:p w14:paraId="16D898A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9–3.2. Izglītība, profesionālā izglītība un apmācība un prasmes — 16289_Stratēģija izcilībai universitātēs un inovācijā</w:t>
            </w:r>
          </w:p>
        </w:tc>
        <w:tc>
          <w:tcPr>
            <w:tcW w:w="1680" w:type="dxa"/>
            <w:tcBorders>
              <w:top w:val="nil"/>
              <w:left w:val="nil"/>
              <w:bottom w:val="single" w:sz="4" w:space="0" w:color="auto"/>
              <w:right w:val="single" w:sz="4" w:space="0" w:color="auto"/>
            </w:tcBorders>
            <w:shd w:val="clear" w:color="auto" w:fill="C6EFCE"/>
            <w:noWrap/>
            <w:vAlign w:val="center"/>
            <w:hideMark/>
          </w:tcPr>
          <w:p w14:paraId="0E660236"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7A6F9187" w14:textId="30D8DE30" w:rsidR="00CB0FCB" w:rsidRDefault="009D2B11">
            <w:pPr>
              <w:pStyle w:val="P68B1DB1-Normal8"/>
              <w:keepNext/>
              <w:spacing w:before="40" w:after="0" w:line="240" w:lineRule="auto"/>
              <w:jc w:val="both"/>
              <w:rPr>
                <w:rFonts w:eastAsia="Times New Roman" w:cs="Times New Roman"/>
                <w:noProof/>
                <w:szCs w:val="18"/>
              </w:rPr>
            </w:pPr>
            <w:r>
              <w:rPr>
                <w:noProof/>
              </w:rPr>
              <w:t>Visu universitāšu izcilības un inovācijas stratēģijas projektu pabeigšana</w:t>
            </w:r>
          </w:p>
        </w:tc>
      </w:tr>
      <w:tr w:rsidR="00CB0FCB" w14:paraId="5284A01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F52A19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152</w:t>
            </w:r>
          </w:p>
        </w:tc>
        <w:tc>
          <w:tcPr>
            <w:tcW w:w="4320" w:type="dxa"/>
            <w:tcBorders>
              <w:top w:val="nil"/>
              <w:left w:val="nil"/>
              <w:bottom w:val="single" w:sz="4" w:space="0" w:color="auto"/>
              <w:right w:val="single" w:sz="4" w:space="0" w:color="auto"/>
            </w:tcBorders>
            <w:shd w:val="clear" w:color="auto" w:fill="C6EFCE"/>
            <w:noWrap/>
            <w:vAlign w:val="center"/>
            <w:hideMark/>
          </w:tcPr>
          <w:p w14:paraId="000EBAF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9–3.2. Izglītība, profesionālā izglītība un apmācība un prasmes — 16934_Profesionālās izglītības un apmācības uzlabošana</w:t>
            </w:r>
          </w:p>
        </w:tc>
        <w:tc>
          <w:tcPr>
            <w:tcW w:w="1680" w:type="dxa"/>
            <w:tcBorders>
              <w:top w:val="nil"/>
              <w:left w:val="nil"/>
              <w:bottom w:val="single" w:sz="4" w:space="0" w:color="auto"/>
              <w:right w:val="single" w:sz="4" w:space="0" w:color="auto"/>
            </w:tcBorders>
            <w:shd w:val="clear" w:color="auto" w:fill="C6EFCE"/>
            <w:noWrap/>
            <w:vAlign w:val="center"/>
            <w:hideMark/>
          </w:tcPr>
          <w:p w14:paraId="5027285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094260B4" w14:textId="0444A146" w:rsidR="00CB0FCB" w:rsidRDefault="009D2B11">
            <w:pPr>
              <w:pStyle w:val="P68B1DB1-Normal8"/>
              <w:keepNext/>
              <w:spacing w:before="40" w:after="0" w:line="240" w:lineRule="auto"/>
              <w:jc w:val="both"/>
              <w:rPr>
                <w:rFonts w:eastAsia="Times New Roman" w:cs="Times New Roman"/>
                <w:noProof/>
                <w:szCs w:val="18"/>
              </w:rPr>
            </w:pPr>
            <w:r>
              <w:rPr>
                <w:noProof/>
              </w:rPr>
              <w:t>PIA sistēmas SAEK modernizācija, EPAL Digitalizācijas EOPPEP pabeigšanas modeļa izstrāde un izstrāde</w:t>
            </w:r>
          </w:p>
        </w:tc>
      </w:tr>
      <w:tr w:rsidR="00CB0FCB" w14:paraId="3337703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9C87BF9" w14:textId="3EDF23B4" w:rsidR="00CB0FCB" w:rsidRDefault="009D2B11">
            <w:pPr>
              <w:pStyle w:val="P68B1DB1-Normal49"/>
              <w:spacing w:line="240" w:lineRule="auto"/>
              <w:jc w:val="both"/>
              <w:rPr>
                <w:noProof/>
              </w:rPr>
            </w:pPr>
            <w:r>
              <w:rPr>
                <w:noProof/>
              </w:rPr>
              <w:t>156.a</w:t>
            </w:r>
          </w:p>
        </w:tc>
        <w:tc>
          <w:tcPr>
            <w:tcW w:w="4320" w:type="dxa"/>
            <w:tcBorders>
              <w:top w:val="nil"/>
              <w:left w:val="nil"/>
              <w:bottom w:val="single" w:sz="4" w:space="0" w:color="auto"/>
              <w:right w:val="single" w:sz="4" w:space="0" w:color="auto"/>
            </w:tcBorders>
            <w:shd w:val="clear" w:color="auto" w:fill="C6EFCE"/>
            <w:noWrap/>
            <w:vAlign w:val="center"/>
            <w:hideMark/>
          </w:tcPr>
          <w:p w14:paraId="32D0AC12" w14:textId="77777777" w:rsidR="00CB0FCB" w:rsidRDefault="009D2B11">
            <w:pPr>
              <w:pStyle w:val="P68B1DB1-Normal49"/>
              <w:keepNext/>
              <w:spacing w:before="40" w:after="0" w:line="240" w:lineRule="auto"/>
              <w:jc w:val="both"/>
              <w:rPr>
                <w:rFonts w:eastAsia="Times New Roman" w:cs="Times New Roman"/>
                <w:noProof/>
              </w:rPr>
            </w:pPr>
            <w:r>
              <w:rPr>
                <w:noProof/>
              </w:rPr>
              <w:t>10–3.3. Uzlabot veselības aprūpes noturību, pieejamību un ilgtspēju — 16816_Reformas un investīciju paātrināšana veselības aprūpes nozarē — Veselības aprūpes izdevumu samazināšana un racionalizācija</w:t>
            </w:r>
          </w:p>
        </w:tc>
        <w:tc>
          <w:tcPr>
            <w:tcW w:w="1680" w:type="dxa"/>
            <w:tcBorders>
              <w:top w:val="nil"/>
              <w:left w:val="nil"/>
              <w:bottom w:val="single" w:sz="4" w:space="0" w:color="auto"/>
              <w:right w:val="single" w:sz="4" w:space="0" w:color="auto"/>
            </w:tcBorders>
            <w:shd w:val="clear" w:color="auto" w:fill="C6EFCE"/>
            <w:noWrap/>
            <w:vAlign w:val="center"/>
            <w:hideMark/>
          </w:tcPr>
          <w:p w14:paraId="6CC4E55C" w14:textId="77777777" w:rsidR="00CB0FCB" w:rsidRDefault="009D2B11">
            <w:pPr>
              <w:pStyle w:val="P68B1DB1-Normal49"/>
              <w:keepNext/>
              <w:spacing w:before="40" w:after="0" w:line="240" w:lineRule="auto"/>
              <w:jc w:val="both"/>
              <w:rPr>
                <w:rFonts w:eastAsia="Times New Roman" w:cs="Times New Roman"/>
                <w:noProof/>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7AC00303" w14:textId="77777777" w:rsidR="00CB0FCB" w:rsidRDefault="009D2B11">
            <w:pPr>
              <w:pStyle w:val="P68B1DB1-Normal49"/>
              <w:keepNext/>
              <w:spacing w:before="40" w:after="0" w:line="240" w:lineRule="auto"/>
              <w:jc w:val="both"/>
              <w:rPr>
                <w:rFonts w:cs="Times New Roman"/>
                <w:noProof/>
              </w:rPr>
            </w:pPr>
            <w:r>
              <w:rPr>
                <w:noProof/>
              </w:rPr>
              <w:t>Pētniecība un izstrāde farmācijas jomā</w:t>
            </w:r>
          </w:p>
          <w:p w14:paraId="6C5D6EB8" w14:textId="45B7B6FE" w:rsidR="00CB0FCB" w:rsidRDefault="009D2B11">
            <w:pPr>
              <w:pStyle w:val="P68B1DB1-Normal49"/>
              <w:keepNext/>
              <w:spacing w:before="40" w:after="0" w:line="240" w:lineRule="auto"/>
              <w:jc w:val="both"/>
              <w:rPr>
                <w:noProof/>
              </w:rPr>
            </w:pPr>
            <w:r>
              <w:rPr>
                <w:noProof/>
              </w:rPr>
              <w:t>pierādījums par ieguldījumiem — 2. posms</w:t>
            </w:r>
          </w:p>
        </w:tc>
      </w:tr>
      <w:tr w:rsidR="00CB0FCB" w14:paraId="146411A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4FFB115" w14:textId="77777777" w:rsidR="00CB0FCB" w:rsidRDefault="009D2B11">
            <w:pPr>
              <w:pStyle w:val="P68B1DB1-Normal8"/>
              <w:keepNext/>
              <w:spacing w:before="40" w:after="0" w:line="240" w:lineRule="auto"/>
              <w:jc w:val="both"/>
              <w:rPr>
                <w:rFonts w:cs="Times New Roman"/>
                <w:noProof/>
                <w:szCs w:val="18"/>
              </w:rPr>
            </w:pPr>
            <w:r>
              <w:rPr>
                <w:noProof/>
              </w:rPr>
              <w:t>158</w:t>
            </w:r>
          </w:p>
        </w:tc>
        <w:tc>
          <w:tcPr>
            <w:tcW w:w="4320" w:type="dxa"/>
            <w:tcBorders>
              <w:top w:val="nil"/>
              <w:left w:val="nil"/>
              <w:bottom w:val="single" w:sz="4" w:space="0" w:color="auto"/>
              <w:right w:val="single" w:sz="4" w:space="0" w:color="auto"/>
            </w:tcBorders>
            <w:shd w:val="clear" w:color="auto" w:fill="C6EFCE"/>
            <w:noWrap/>
            <w:vAlign w:val="center"/>
            <w:hideMark/>
          </w:tcPr>
          <w:p w14:paraId="20395B15" w14:textId="77777777" w:rsidR="00CB0FCB" w:rsidRDefault="009D2B11">
            <w:pPr>
              <w:pStyle w:val="P68B1DB1-Normal8"/>
              <w:keepNext/>
              <w:spacing w:before="40" w:after="0" w:line="240" w:lineRule="auto"/>
              <w:jc w:val="both"/>
              <w:rPr>
                <w:rFonts w:cs="Times New Roman"/>
                <w:noProof/>
                <w:szCs w:val="18"/>
              </w:rPr>
            </w:pPr>
            <w:r>
              <w:rPr>
                <w:noProof/>
              </w:rPr>
              <w:t>10–3.3. Uzlabot veselības aprūpes noturību, pieejamību un ilgtspēju — 16816_Reformas un investīciju paātrināšana veselības aprūpes nozarē — Veselības aprūpes izdevumu samazināšana un racionalizācija</w:t>
            </w:r>
          </w:p>
        </w:tc>
        <w:tc>
          <w:tcPr>
            <w:tcW w:w="1680" w:type="dxa"/>
            <w:tcBorders>
              <w:top w:val="nil"/>
              <w:left w:val="nil"/>
              <w:bottom w:val="single" w:sz="4" w:space="0" w:color="auto"/>
              <w:right w:val="single" w:sz="4" w:space="0" w:color="auto"/>
            </w:tcBorders>
            <w:shd w:val="clear" w:color="auto" w:fill="C6EFCE"/>
            <w:noWrap/>
            <w:vAlign w:val="center"/>
            <w:hideMark/>
          </w:tcPr>
          <w:p w14:paraId="5367F00C"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5570D7C5" w14:textId="77777777" w:rsidR="00CB0FCB" w:rsidRDefault="009D2B11">
            <w:pPr>
              <w:pStyle w:val="P68B1DB1-Normal8"/>
              <w:keepNext/>
              <w:spacing w:before="40" w:after="0" w:line="240" w:lineRule="auto"/>
              <w:jc w:val="both"/>
              <w:rPr>
                <w:rFonts w:cs="Times New Roman"/>
                <w:noProof/>
                <w:szCs w:val="18"/>
              </w:rPr>
            </w:pPr>
            <w:r>
              <w:rPr>
                <w:noProof/>
              </w:rPr>
              <w:t xml:space="preserve">Atgūšanas samazinājums </w:t>
            </w:r>
          </w:p>
          <w:p w14:paraId="6512917B" w14:textId="5C604BB9" w:rsidR="00CB0FCB" w:rsidRDefault="009D2B11">
            <w:pPr>
              <w:pStyle w:val="P68B1DB1-Normal8"/>
              <w:keepNext/>
              <w:spacing w:before="40" w:after="0" w:line="240" w:lineRule="auto"/>
              <w:jc w:val="both"/>
              <w:rPr>
                <w:rFonts w:cs="Times New Roman"/>
                <w:noProof/>
                <w:szCs w:val="18"/>
              </w:rPr>
            </w:pPr>
            <w:r>
              <w:rPr>
                <w:noProof/>
              </w:rPr>
              <w:t>400000000–4. posms</w:t>
            </w:r>
          </w:p>
        </w:tc>
      </w:tr>
      <w:tr w:rsidR="00CB0FCB" w14:paraId="1B178BD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E04D6DA" w14:textId="77777777" w:rsidR="00CB0FCB" w:rsidRDefault="009D2B11">
            <w:pPr>
              <w:pStyle w:val="P68B1DB1-Normal49"/>
              <w:keepNext/>
              <w:spacing w:before="40" w:after="0" w:line="240" w:lineRule="auto"/>
              <w:jc w:val="both"/>
              <w:rPr>
                <w:noProof/>
              </w:rPr>
            </w:pPr>
            <w:r>
              <w:rPr>
                <w:noProof/>
              </w:rPr>
              <w:t>164.a</w:t>
            </w:r>
          </w:p>
        </w:tc>
        <w:tc>
          <w:tcPr>
            <w:tcW w:w="4320" w:type="dxa"/>
            <w:tcBorders>
              <w:top w:val="nil"/>
              <w:left w:val="nil"/>
              <w:bottom w:val="single" w:sz="4" w:space="0" w:color="auto"/>
              <w:right w:val="single" w:sz="4" w:space="0" w:color="auto"/>
            </w:tcBorders>
            <w:shd w:val="clear" w:color="auto" w:fill="C6EFCE"/>
            <w:noWrap/>
            <w:vAlign w:val="center"/>
            <w:hideMark/>
          </w:tcPr>
          <w:p w14:paraId="7AB35E15" w14:textId="77777777" w:rsidR="00CB0FCB" w:rsidRDefault="009D2B11">
            <w:pPr>
              <w:pStyle w:val="P68B1DB1-Normal8"/>
              <w:keepNext/>
              <w:spacing w:before="40" w:after="0" w:line="240" w:lineRule="auto"/>
              <w:jc w:val="both"/>
              <w:rPr>
                <w:noProof/>
              </w:rPr>
            </w:pPr>
            <w:r>
              <w:rPr>
                <w:noProof/>
              </w:rPr>
              <w:t xml:space="preserve">10–3.3. Uzlabot veselības aprūpes noturību, pieejamību un ilgtspēju — 16756_organizatoriskās reformas veselības aprūpes sistēmā </w:t>
            </w:r>
          </w:p>
        </w:tc>
        <w:tc>
          <w:tcPr>
            <w:tcW w:w="1680" w:type="dxa"/>
            <w:tcBorders>
              <w:top w:val="nil"/>
              <w:left w:val="nil"/>
              <w:bottom w:val="single" w:sz="4" w:space="0" w:color="auto"/>
              <w:right w:val="single" w:sz="4" w:space="0" w:color="auto"/>
            </w:tcBorders>
            <w:shd w:val="clear" w:color="auto" w:fill="C6EFCE"/>
            <w:noWrap/>
            <w:vAlign w:val="center"/>
            <w:hideMark/>
          </w:tcPr>
          <w:p w14:paraId="4E2D3341" w14:textId="77777777" w:rsidR="00CB0FCB" w:rsidRDefault="009D2B11">
            <w:pPr>
              <w:pStyle w:val="P68B1DB1-Normal8"/>
              <w:keepNext/>
              <w:spacing w:before="40" w:after="0" w:line="240" w:lineRule="auto"/>
              <w:jc w:val="both"/>
              <w:rPr>
                <w:noProof/>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3714268C" w14:textId="77777777" w:rsidR="00CB0FCB" w:rsidRDefault="009D2B11">
            <w:pPr>
              <w:pStyle w:val="P68B1DB1-Normal8"/>
              <w:keepNext/>
              <w:spacing w:before="40" w:after="0" w:line="240" w:lineRule="auto"/>
              <w:jc w:val="both"/>
              <w:rPr>
                <w:noProof/>
              </w:rPr>
            </w:pPr>
            <w:r>
              <w:rPr>
                <w:noProof/>
              </w:rPr>
              <w:t>Operāciju gaidīšanas saraksta samazināšana</w:t>
            </w:r>
          </w:p>
        </w:tc>
      </w:tr>
      <w:tr w:rsidR="00CB0FCB" w14:paraId="148D524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15CC62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165</w:t>
            </w:r>
          </w:p>
        </w:tc>
        <w:tc>
          <w:tcPr>
            <w:tcW w:w="4320" w:type="dxa"/>
            <w:tcBorders>
              <w:top w:val="nil"/>
              <w:left w:val="nil"/>
              <w:bottom w:val="single" w:sz="4" w:space="0" w:color="auto"/>
              <w:right w:val="single" w:sz="4" w:space="0" w:color="auto"/>
            </w:tcBorders>
            <w:shd w:val="clear" w:color="auto" w:fill="C6EFCE"/>
            <w:noWrap/>
            <w:vAlign w:val="center"/>
            <w:hideMark/>
          </w:tcPr>
          <w:p w14:paraId="0F2A49C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16783_Valsts sabiedrības veselības profilakses programmas “Spiros Doxiadis” (NPP) īstenošana</w:t>
            </w:r>
          </w:p>
        </w:tc>
        <w:tc>
          <w:tcPr>
            <w:tcW w:w="1680" w:type="dxa"/>
            <w:tcBorders>
              <w:top w:val="nil"/>
              <w:left w:val="nil"/>
              <w:bottom w:val="single" w:sz="4" w:space="0" w:color="auto"/>
              <w:right w:val="single" w:sz="4" w:space="0" w:color="auto"/>
            </w:tcBorders>
            <w:shd w:val="clear" w:color="auto" w:fill="C6EFCE"/>
            <w:noWrap/>
            <w:vAlign w:val="center"/>
            <w:hideMark/>
          </w:tcPr>
          <w:p w14:paraId="645CB34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355904A" w14:textId="57EBB878" w:rsidR="00CB0FCB" w:rsidRDefault="009D2B11">
            <w:pPr>
              <w:pStyle w:val="P68B1DB1-Normal8"/>
              <w:keepNext/>
              <w:spacing w:before="40" w:after="0" w:line="240" w:lineRule="auto"/>
              <w:jc w:val="both"/>
              <w:rPr>
                <w:rFonts w:eastAsia="Times New Roman" w:cs="Times New Roman"/>
                <w:noProof/>
                <w:szCs w:val="18"/>
              </w:rPr>
            </w:pPr>
            <w:r>
              <w:rPr>
                <w:noProof/>
              </w:rPr>
              <w:t>Valsts sabiedrības veselības profilakses programma “</w:t>
            </w:r>
            <w:r>
              <w:rPr>
                <w:noProof/>
                <w:szCs w:val="18"/>
              </w:rPr>
              <w:t xml:space="preserve">Spiros </w:t>
            </w:r>
            <w:r>
              <w:rPr>
                <w:noProof/>
              </w:rPr>
              <w:t>Doxiadis” — pabeigti visi projekti</w:t>
            </w:r>
          </w:p>
        </w:tc>
      </w:tr>
      <w:tr w:rsidR="00CB0FCB" w14:paraId="43E5A41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C996C9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166</w:t>
            </w:r>
          </w:p>
        </w:tc>
        <w:tc>
          <w:tcPr>
            <w:tcW w:w="4320" w:type="dxa"/>
            <w:tcBorders>
              <w:top w:val="nil"/>
              <w:left w:val="nil"/>
              <w:bottom w:val="single" w:sz="4" w:space="0" w:color="auto"/>
              <w:right w:val="single" w:sz="4" w:space="0" w:color="auto"/>
            </w:tcBorders>
            <w:shd w:val="clear" w:color="auto" w:fill="C6EFCE"/>
            <w:noWrap/>
            <w:vAlign w:val="center"/>
            <w:hideMark/>
          </w:tcPr>
          <w:p w14:paraId="74E8BD8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16755_Zaļās investīcijas — primārās veselības aprūpes sistēmas reforma</w:t>
            </w:r>
          </w:p>
        </w:tc>
        <w:tc>
          <w:tcPr>
            <w:tcW w:w="1680" w:type="dxa"/>
            <w:tcBorders>
              <w:top w:val="nil"/>
              <w:left w:val="nil"/>
              <w:bottom w:val="single" w:sz="4" w:space="0" w:color="auto"/>
              <w:right w:val="single" w:sz="4" w:space="0" w:color="auto"/>
            </w:tcBorders>
            <w:shd w:val="clear" w:color="auto" w:fill="C6EFCE"/>
            <w:noWrap/>
            <w:vAlign w:val="center"/>
            <w:hideMark/>
          </w:tcPr>
          <w:p w14:paraId="1FBC56AA"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1755713B" w14:textId="77777777" w:rsidR="00CB0FCB" w:rsidRDefault="009D2B11">
            <w:pPr>
              <w:pStyle w:val="P68B1DB1-Normal8"/>
              <w:keepNext/>
              <w:spacing w:before="40" w:after="0" w:line="240" w:lineRule="auto"/>
              <w:jc w:val="both"/>
              <w:rPr>
                <w:rFonts w:eastAsia="Times New Roman" w:cs="Times New Roman"/>
                <w:noProof/>
                <w:szCs w:val="18"/>
              </w:rPr>
            </w:pPr>
            <w:r>
              <w:rPr>
                <w:noProof/>
              </w:rPr>
              <w:t>PHC — pilnībā renovēti veselības centri</w:t>
            </w:r>
          </w:p>
        </w:tc>
      </w:tr>
      <w:tr w:rsidR="00CB0FCB" w14:paraId="56F34D7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BD6223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170</w:t>
            </w:r>
          </w:p>
        </w:tc>
        <w:tc>
          <w:tcPr>
            <w:tcW w:w="4320" w:type="dxa"/>
            <w:tcBorders>
              <w:top w:val="nil"/>
              <w:left w:val="nil"/>
              <w:bottom w:val="single" w:sz="4" w:space="0" w:color="auto"/>
              <w:right w:val="single" w:sz="4" w:space="0" w:color="auto"/>
            </w:tcBorders>
            <w:shd w:val="clear" w:color="auto" w:fill="C6EFCE"/>
            <w:noWrap/>
            <w:vAlign w:val="center"/>
            <w:hideMark/>
          </w:tcPr>
          <w:p w14:paraId="40EC43FE" w14:textId="0910BCB9" w:rsidR="00CB0FCB" w:rsidRDefault="009D2B11">
            <w:pPr>
              <w:pStyle w:val="P68B1DB1-Normal49"/>
              <w:keepNext/>
              <w:spacing w:before="40" w:after="0" w:line="240" w:lineRule="auto"/>
              <w:jc w:val="both"/>
              <w:rPr>
                <w:rFonts w:eastAsia="Times New Roman" w:cs="Times New Roman"/>
                <w:bCs/>
                <w:noProof/>
              </w:rPr>
            </w:pPr>
            <w:r>
              <w:rPr>
                <w:noProof/>
              </w:rPr>
              <w:t>10–3.3. Uzlabot veselības aprūpes noturību, pieejamību un ilgtspēju — 16795_ Veselības infrastruktūra</w:t>
            </w:r>
          </w:p>
        </w:tc>
        <w:tc>
          <w:tcPr>
            <w:tcW w:w="1680" w:type="dxa"/>
            <w:tcBorders>
              <w:top w:val="nil"/>
              <w:left w:val="nil"/>
              <w:bottom w:val="single" w:sz="4" w:space="0" w:color="auto"/>
              <w:right w:val="single" w:sz="4" w:space="0" w:color="auto"/>
            </w:tcBorders>
            <w:shd w:val="clear" w:color="auto" w:fill="C6EFCE"/>
            <w:noWrap/>
            <w:vAlign w:val="center"/>
            <w:hideMark/>
          </w:tcPr>
          <w:p w14:paraId="42F94C3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70ED3410" w14:textId="77777777" w:rsidR="00CB0FCB" w:rsidRDefault="009D2B11">
            <w:pPr>
              <w:pStyle w:val="P68B1DB1-Normal8"/>
              <w:keepNext/>
              <w:spacing w:before="40" w:after="0" w:line="240" w:lineRule="auto"/>
              <w:jc w:val="both"/>
              <w:rPr>
                <w:rFonts w:eastAsia="Times New Roman" w:cs="Times New Roman"/>
                <w:noProof/>
                <w:szCs w:val="18"/>
              </w:rPr>
            </w:pPr>
            <w:r>
              <w:rPr>
                <w:noProof/>
              </w:rPr>
              <w:t>NHS infrastruktūras modernizācijas pabeigšana</w:t>
            </w:r>
          </w:p>
        </w:tc>
      </w:tr>
      <w:tr w:rsidR="00CB0FCB" w14:paraId="62AB47C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EEF874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171</w:t>
            </w:r>
          </w:p>
        </w:tc>
        <w:tc>
          <w:tcPr>
            <w:tcW w:w="4320" w:type="dxa"/>
            <w:tcBorders>
              <w:top w:val="nil"/>
              <w:left w:val="nil"/>
              <w:bottom w:val="single" w:sz="4" w:space="0" w:color="auto"/>
              <w:right w:val="single" w:sz="4" w:space="0" w:color="auto"/>
            </w:tcBorders>
            <w:shd w:val="clear" w:color="auto" w:fill="C6EFCE"/>
            <w:noWrap/>
            <w:vAlign w:val="center"/>
            <w:hideMark/>
          </w:tcPr>
          <w:p w14:paraId="562484D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16757_ Radioterapijas centra izveide “Sotiria” torakikā</w:t>
            </w:r>
          </w:p>
        </w:tc>
        <w:tc>
          <w:tcPr>
            <w:tcW w:w="1680" w:type="dxa"/>
            <w:tcBorders>
              <w:top w:val="nil"/>
              <w:left w:val="nil"/>
              <w:bottom w:val="single" w:sz="4" w:space="0" w:color="auto"/>
              <w:right w:val="single" w:sz="4" w:space="0" w:color="auto"/>
            </w:tcBorders>
            <w:shd w:val="clear" w:color="auto" w:fill="C6EFCE"/>
            <w:noWrap/>
            <w:vAlign w:val="center"/>
            <w:hideMark/>
          </w:tcPr>
          <w:p w14:paraId="5209A0E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66E5B24" w14:textId="77777777" w:rsidR="00CB0FCB" w:rsidRDefault="009D2B11">
            <w:pPr>
              <w:pStyle w:val="P68B1DB1-Normal8"/>
              <w:keepNext/>
              <w:spacing w:before="40" w:after="0" w:line="240" w:lineRule="auto"/>
              <w:jc w:val="both"/>
              <w:rPr>
                <w:rFonts w:eastAsia="Times New Roman" w:cs="Times New Roman"/>
                <w:noProof/>
                <w:szCs w:val="18"/>
              </w:rPr>
            </w:pPr>
            <w:r>
              <w:rPr>
                <w:noProof/>
              </w:rPr>
              <w:t>Sotiria Radioterapijas centrs</w:t>
            </w:r>
          </w:p>
        </w:tc>
      </w:tr>
      <w:tr w:rsidR="00CB0FCB" w14:paraId="73243D3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FED4CA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172</w:t>
            </w:r>
          </w:p>
        </w:tc>
        <w:tc>
          <w:tcPr>
            <w:tcW w:w="4320" w:type="dxa"/>
            <w:tcBorders>
              <w:top w:val="nil"/>
              <w:left w:val="nil"/>
              <w:bottom w:val="single" w:sz="4" w:space="0" w:color="auto"/>
              <w:right w:val="single" w:sz="4" w:space="0" w:color="auto"/>
            </w:tcBorders>
            <w:shd w:val="clear" w:color="auto" w:fill="C6EFCE"/>
            <w:noWrap/>
            <w:vAlign w:val="center"/>
            <w:hideMark/>
          </w:tcPr>
          <w:p w14:paraId="2DA24E5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16793_Projekts ēkas būvniecībai, kas paredzēta šūnu un gēnu terapijām un hematoloģijas klīniskajām laboratorijām Saloniku Galvenajā slimnīcā “Papanikolaou”</w:t>
            </w:r>
          </w:p>
        </w:tc>
        <w:tc>
          <w:tcPr>
            <w:tcW w:w="1680" w:type="dxa"/>
            <w:tcBorders>
              <w:top w:val="nil"/>
              <w:left w:val="nil"/>
              <w:bottom w:val="single" w:sz="4" w:space="0" w:color="auto"/>
              <w:right w:val="single" w:sz="4" w:space="0" w:color="auto"/>
            </w:tcBorders>
            <w:shd w:val="clear" w:color="auto" w:fill="C6EFCE"/>
            <w:noWrap/>
            <w:vAlign w:val="center"/>
            <w:hideMark/>
          </w:tcPr>
          <w:p w14:paraId="46A4A89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5E37C4C" w14:textId="77777777" w:rsidR="00CB0FCB" w:rsidRDefault="009D2B11">
            <w:pPr>
              <w:pStyle w:val="P68B1DB1-Normal8"/>
              <w:keepNext/>
              <w:spacing w:before="40" w:after="0" w:line="240" w:lineRule="auto"/>
              <w:jc w:val="both"/>
              <w:rPr>
                <w:rFonts w:eastAsia="Times New Roman" w:cs="Times New Roman"/>
                <w:noProof/>
                <w:szCs w:val="18"/>
              </w:rPr>
            </w:pPr>
            <w:r>
              <w:rPr>
                <w:noProof/>
              </w:rPr>
              <w:t>Papanikolau slimnīcas pabeigšana</w:t>
            </w:r>
          </w:p>
        </w:tc>
      </w:tr>
      <w:tr w:rsidR="00CB0FCB" w14:paraId="253E1EE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04E078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173</w:t>
            </w:r>
          </w:p>
        </w:tc>
        <w:tc>
          <w:tcPr>
            <w:tcW w:w="4320" w:type="dxa"/>
            <w:tcBorders>
              <w:top w:val="nil"/>
              <w:left w:val="nil"/>
              <w:bottom w:val="single" w:sz="4" w:space="0" w:color="auto"/>
              <w:right w:val="single" w:sz="4" w:space="0" w:color="auto"/>
            </w:tcBorders>
            <w:shd w:val="clear" w:color="auto" w:fill="C6EFCE"/>
            <w:noWrap/>
            <w:vAlign w:val="center"/>
            <w:hideMark/>
          </w:tcPr>
          <w:p w14:paraId="5C83B31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10–3.3. Uzlabot veselības aprūpes noturību, pieejamību un ilgtspēju — 16752_Veselības digitālā pārveide (DigHealth)</w:t>
            </w:r>
          </w:p>
        </w:tc>
        <w:tc>
          <w:tcPr>
            <w:tcW w:w="1680" w:type="dxa"/>
            <w:tcBorders>
              <w:top w:val="nil"/>
              <w:left w:val="nil"/>
              <w:bottom w:val="single" w:sz="4" w:space="0" w:color="auto"/>
              <w:right w:val="single" w:sz="4" w:space="0" w:color="auto"/>
            </w:tcBorders>
            <w:shd w:val="clear" w:color="auto" w:fill="C6EFCE"/>
            <w:noWrap/>
            <w:vAlign w:val="center"/>
            <w:hideMark/>
          </w:tcPr>
          <w:p w14:paraId="437951A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03ED355" w14:textId="77777777" w:rsidR="00CB0FCB" w:rsidRDefault="009D2B11">
            <w:pPr>
              <w:pStyle w:val="P68B1DB1-Normal8"/>
              <w:keepNext/>
              <w:spacing w:before="40" w:after="0" w:line="240" w:lineRule="auto"/>
              <w:jc w:val="both"/>
              <w:rPr>
                <w:rFonts w:eastAsia="Times New Roman" w:cs="Times New Roman"/>
                <w:noProof/>
                <w:szCs w:val="18"/>
              </w:rPr>
            </w:pPr>
            <w:r>
              <w:rPr>
                <w:noProof/>
              </w:rPr>
              <w:t>Digitālā pārveide — pabeigti visi apakšprojekti</w:t>
            </w:r>
          </w:p>
        </w:tc>
      </w:tr>
      <w:tr w:rsidR="00CB0FCB" w14:paraId="7C30CDC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5B3522AB" w14:textId="77777777" w:rsidR="00CB0FCB" w:rsidRDefault="009D2B11">
            <w:pPr>
              <w:pStyle w:val="P68B1DB1-Normal8"/>
              <w:keepNext/>
              <w:spacing w:before="40" w:after="0" w:line="240" w:lineRule="auto"/>
              <w:jc w:val="both"/>
              <w:rPr>
                <w:rFonts w:cs="Times New Roman"/>
                <w:noProof/>
                <w:szCs w:val="18"/>
              </w:rPr>
            </w:pPr>
            <w:r>
              <w:rPr>
                <w:noProof/>
              </w:rPr>
              <w:t>174.a</w:t>
            </w:r>
          </w:p>
        </w:tc>
        <w:tc>
          <w:tcPr>
            <w:tcW w:w="4320" w:type="dxa"/>
            <w:tcBorders>
              <w:top w:val="nil"/>
              <w:left w:val="nil"/>
              <w:bottom w:val="single" w:sz="4" w:space="0" w:color="auto"/>
              <w:right w:val="single" w:sz="4" w:space="0" w:color="auto"/>
            </w:tcBorders>
            <w:shd w:val="clear" w:color="auto" w:fill="C6EFCE"/>
            <w:noWrap/>
            <w:hideMark/>
          </w:tcPr>
          <w:p w14:paraId="207FD948" w14:textId="6224B29D" w:rsidR="00CB0FCB" w:rsidRDefault="009D2B11">
            <w:pPr>
              <w:pStyle w:val="P68B1DB1-Normal24"/>
              <w:keepNext/>
              <w:spacing w:before="40" w:after="0" w:line="240" w:lineRule="auto"/>
              <w:jc w:val="both"/>
              <w:rPr>
                <w:noProof/>
                <w:color w:val="006100"/>
              </w:rPr>
            </w:pPr>
            <w:r>
              <w:rPr>
                <w:rFonts w:ascii="Times New Roman" w:hAnsi="Times New Roman"/>
                <w:noProof/>
              </w:rPr>
              <w:t>11–3.4. Palielināt piekļuvi efektīvai un iekļaujošai sociālajai politikai — 16904_</w:t>
            </w:r>
            <w:r>
              <w:rPr>
                <w:noProof/>
                <w:color w:val="006100"/>
              </w:rPr>
              <w:t xml:space="preserve"> Pieejamība un atbalsta infrastruktūra agrīnā bērnībā, personīgās palīdzības invaliditātes shēmas ieviešana valsts</w:t>
            </w:r>
            <w:r>
              <w:rPr>
                <w:rFonts w:ascii="Times New Roman" w:hAnsi="Times New Roman"/>
                <w:noProof/>
              </w:rPr>
              <w:t xml:space="preserve"> līmenī</w:t>
            </w:r>
          </w:p>
        </w:tc>
        <w:tc>
          <w:tcPr>
            <w:tcW w:w="1680" w:type="dxa"/>
            <w:tcBorders>
              <w:top w:val="nil"/>
              <w:left w:val="nil"/>
              <w:bottom w:val="single" w:sz="4" w:space="0" w:color="auto"/>
              <w:right w:val="single" w:sz="4" w:space="0" w:color="auto"/>
            </w:tcBorders>
            <w:shd w:val="clear" w:color="auto" w:fill="C6EFCE"/>
            <w:noWrap/>
            <w:hideMark/>
          </w:tcPr>
          <w:p w14:paraId="63BF6CDB"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41BFF542" w14:textId="524C4022" w:rsidR="00CB0FCB" w:rsidRDefault="009D2B11">
            <w:pPr>
              <w:pStyle w:val="P68B1DB1-Normal8"/>
              <w:keepNext/>
              <w:spacing w:before="40" w:after="0" w:line="240" w:lineRule="auto"/>
              <w:jc w:val="both"/>
              <w:rPr>
                <w:rFonts w:cs="Times New Roman"/>
                <w:noProof/>
                <w:szCs w:val="18"/>
              </w:rPr>
            </w:pPr>
            <w:r>
              <w:rPr>
                <w:noProof/>
              </w:rPr>
              <w:t>Piekļūstamība un atbalsta infrastruktūra, sociālā iekļaušana personām ar ASD, agrīnās bērnības intervences, personīgās palīdzības invaliditātes shēmas ieviešana valstī</w:t>
            </w:r>
          </w:p>
        </w:tc>
      </w:tr>
      <w:tr w:rsidR="00CB0FCB" w14:paraId="040FC55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8798B5C" w14:textId="6FB425B0" w:rsidR="00CB0FCB" w:rsidRDefault="009D2B11">
            <w:pPr>
              <w:pStyle w:val="P68B1DB1-Normal8"/>
              <w:keepNext/>
              <w:spacing w:before="40" w:after="0" w:line="240" w:lineRule="auto"/>
              <w:jc w:val="both"/>
              <w:rPr>
                <w:noProof/>
              </w:rPr>
            </w:pPr>
            <w:r>
              <w:rPr>
                <w:noProof/>
              </w:rPr>
              <w:t>178</w:t>
            </w:r>
          </w:p>
        </w:tc>
        <w:tc>
          <w:tcPr>
            <w:tcW w:w="4320" w:type="dxa"/>
            <w:tcBorders>
              <w:top w:val="nil"/>
              <w:left w:val="nil"/>
              <w:bottom w:val="single" w:sz="4" w:space="0" w:color="auto"/>
              <w:right w:val="single" w:sz="4" w:space="0" w:color="auto"/>
            </w:tcBorders>
            <w:shd w:val="clear" w:color="auto" w:fill="C6EFCE"/>
            <w:noWrap/>
            <w:vAlign w:val="center"/>
          </w:tcPr>
          <w:p w14:paraId="09E418D3" w14:textId="6D16BB30" w:rsidR="00CB0FCB" w:rsidRDefault="009D2B11">
            <w:pPr>
              <w:pStyle w:val="P68B1DB1-Normal8"/>
              <w:keepNext/>
              <w:spacing w:before="40" w:after="0" w:line="240" w:lineRule="auto"/>
              <w:jc w:val="both"/>
              <w:rPr>
                <w:noProof/>
              </w:rPr>
            </w:pPr>
            <w:r>
              <w:rPr>
                <w:noProof/>
              </w:rPr>
              <w:t>11–3.4. Uzlabot piekļuvi efektīvai un iekļaujošai sociālajai politikai — 16919_Bērnu aizsardzība</w:t>
            </w:r>
          </w:p>
        </w:tc>
        <w:tc>
          <w:tcPr>
            <w:tcW w:w="1680" w:type="dxa"/>
            <w:tcBorders>
              <w:top w:val="nil"/>
              <w:left w:val="nil"/>
              <w:bottom w:val="single" w:sz="4" w:space="0" w:color="auto"/>
              <w:right w:val="single" w:sz="4" w:space="0" w:color="auto"/>
            </w:tcBorders>
            <w:shd w:val="clear" w:color="auto" w:fill="C6EFCE"/>
            <w:noWrap/>
            <w:vAlign w:val="center"/>
          </w:tcPr>
          <w:p w14:paraId="0E99064F" w14:textId="1C1800B9" w:rsidR="00CB0FCB" w:rsidRDefault="009D2B11">
            <w:pPr>
              <w:pStyle w:val="P68B1DB1-Normal8"/>
              <w:keepNext/>
              <w:spacing w:before="40" w:after="0" w:line="240" w:lineRule="auto"/>
              <w:jc w:val="both"/>
              <w:rPr>
                <w:noProof/>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tcPr>
          <w:p w14:paraId="1F93CC42" w14:textId="5FE07C6B" w:rsidR="00CB0FCB" w:rsidRDefault="009D2B11">
            <w:pPr>
              <w:pStyle w:val="P68B1DB1-Normal8"/>
              <w:keepNext/>
              <w:spacing w:before="40" w:after="0" w:line="240" w:lineRule="auto"/>
              <w:jc w:val="both"/>
              <w:rPr>
                <w:noProof/>
              </w:rPr>
            </w:pPr>
            <w:r>
              <w:rPr>
                <w:noProof/>
              </w:rPr>
              <w:t xml:space="preserve">Pabeigti neatkarīgi dzīvokļi līdz 26 gadus vecu personu deinstitucionalizācijai </w:t>
            </w:r>
          </w:p>
        </w:tc>
      </w:tr>
      <w:tr w:rsidR="00CB0FCB" w14:paraId="2548114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8925BBA" w14:textId="603D622C" w:rsidR="00CB0FCB" w:rsidRDefault="009D2B11">
            <w:pPr>
              <w:pStyle w:val="P68B1DB1-Normal8"/>
              <w:keepNext/>
              <w:spacing w:before="40" w:after="0" w:line="240" w:lineRule="auto"/>
              <w:jc w:val="both"/>
              <w:rPr>
                <w:noProof/>
              </w:rPr>
            </w:pPr>
            <w:r>
              <w:rPr>
                <w:noProof/>
              </w:rPr>
              <w:t>179</w:t>
            </w:r>
          </w:p>
        </w:tc>
        <w:tc>
          <w:tcPr>
            <w:tcW w:w="4320" w:type="dxa"/>
            <w:tcBorders>
              <w:top w:val="nil"/>
              <w:left w:val="nil"/>
              <w:bottom w:val="single" w:sz="4" w:space="0" w:color="auto"/>
              <w:right w:val="single" w:sz="4" w:space="0" w:color="auto"/>
            </w:tcBorders>
            <w:shd w:val="clear" w:color="auto" w:fill="C6EFCE"/>
            <w:noWrap/>
            <w:vAlign w:val="center"/>
          </w:tcPr>
          <w:p w14:paraId="31D5C3D7" w14:textId="2DEC199D" w:rsidR="00CB0FCB" w:rsidRDefault="009D2B11">
            <w:pPr>
              <w:pStyle w:val="P68B1DB1-Normal8"/>
              <w:keepNext/>
              <w:spacing w:before="40" w:after="0" w:line="240" w:lineRule="auto"/>
              <w:jc w:val="both"/>
              <w:rPr>
                <w:noProof/>
              </w:rPr>
            </w:pPr>
            <w:r>
              <w:rPr>
                <w:noProof/>
              </w:rPr>
              <w:t>11–3.4. Uzlabot piekļuvi efektīvai un iekļaujošai sociālajai politikai — 16904_Invaliditāte</w:t>
            </w:r>
          </w:p>
        </w:tc>
        <w:tc>
          <w:tcPr>
            <w:tcW w:w="1680" w:type="dxa"/>
            <w:tcBorders>
              <w:top w:val="nil"/>
              <w:left w:val="nil"/>
              <w:bottom w:val="single" w:sz="4" w:space="0" w:color="auto"/>
              <w:right w:val="single" w:sz="4" w:space="0" w:color="auto"/>
            </w:tcBorders>
            <w:shd w:val="clear" w:color="auto" w:fill="C6EFCE"/>
            <w:noWrap/>
            <w:vAlign w:val="center"/>
          </w:tcPr>
          <w:p w14:paraId="70C6DDB4" w14:textId="559F5787" w:rsidR="00CB0FCB" w:rsidRDefault="009D2B11">
            <w:pPr>
              <w:pStyle w:val="P68B1DB1-Normal8"/>
              <w:keepNext/>
              <w:spacing w:before="40" w:after="0" w:line="240" w:lineRule="auto"/>
              <w:jc w:val="both"/>
              <w:rPr>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tcPr>
          <w:p w14:paraId="183430FD" w14:textId="5CEDB86C" w:rsidR="00CB0FCB" w:rsidRDefault="009D2B11">
            <w:pPr>
              <w:pStyle w:val="P68B1DB1-Normal8"/>
              <w:keepNext/>
              <w:spacing w:before="40" w:after="0" w:line="240" w:lineRule="auto"/>
              <w:jc w:val="both"/>
              <w:rPr>
                <w:noProof/>
              </w:rPr>
            </w:pPr>
            <w:r>
              <w:rPr>
                <w:noProof/>
              </w:rPr>
              <w:t>Personīgās palīdzības invaliditātes shēmas ieviešana valsts līmenī un personīgās palīdzības invaliditātes novērtējuma otrā posma pabeigšana — izvērtēšana.</w:t>
            </w:r>
          </w:p>
        </w:tc>
      </w:tr>
      <w:tr w:rsidR="00CB0FCB" w14:paraId="6A72480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77540FBB" w14:textId="77777777" w:rsidR="00CB0FCB" w:rsidRDefault="009D2B11">
            <w:pPr>
              <w:pStyle w:val="P68B1DB1-Normal8"/>
              <w:keepNext/>
              <w:spacing w:before="40" w:after="0" w:line="240" w:lineRule="auto"/>
              <w:jc w:val="both"/>
              <w:rPr>
                <w:rFonts w:cs="Times New Roman"/>
                <w:noProof/>
                <w:szCs w:val="18"/>
              </w:rPr>
            </w:pPr>
            <w:r>
              <w:rPr>
                <w:noProof/>
              </w:rPr>
              <w:t>180a</w:t>
            </w:r>
          </w:p>
        </w:tc>
        <w:tc>
          <w:tcPr>
            <w:tcW w:w="4320" w:type="dxa"/>
            <w:tcBorders>
              <w:top w:val="nil"/>
              <w:left w:val="nil"/>
              <w:bottom w:val="single" w:sz="4" w:space="0" w:color="auto"/>
              <w:right w:val="single" w:sz="4" w:space="0" w:color="auto"/>
            </w:tcBorders>
            <w:shd w:val="clear" w:color="auto" w:fill="C6EFCE"/>
            <w:noWrap/>
            <w:hideMark/>
          </w:tcPr>
          <w:p w14:paraId="6EEC6640"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16919_Bērnu aizsardzība</w:t>
            </w:r>
          </w:p>
        </w:tc>
        <w:tc>
          <w:tcPr>
            <w:tcW w:w="1680" w:type="dxa"/>
            <w:tcBorders>
              <w:top w:val="nil"/>
              <w:left w:val="nil"/>
              <w:bottom w:val="single" w:sz="4" w:space="0" w:color="auto"/>
              <w:right w:val="single" w:sz="4" w:space="0" w:color="auto"/>
            </w:tcBorders>
            <w:shd w:val="clear" w:color="auto" w:fill="C6EFCE"/>
            <w:noWrap/>
            <w:hideMark/>
          </w:tcPr>
          <w:p w14:paraId="7E1BA60C"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05BE23DB" w14:textId="77777777" w:rsidR="00CB0FCB" w:rsidRDefault="009D2B11">
            <w:pPr>
              <w:pStyle w:val="P68B1DB1-Normal8"/>
              <w:keepNext/>
              <w:spacing w:before="40" w:after="0" w:line="240" w:lineRule="auto"/>
              <w:jc w:val="both"/>
              <w:rPr>
                <w:rFonts w:cs="Times New Roman"/>
                <w:noProof/>
                <w:szCs w:val="18"/>
              </w:rPr>
            </w:pPr>
            <w:r>
              <w:rPr>
                <w:noProof/>
              </w:rPr>
              <w:t>Mācību programmas reforma</w:t>
            </w:r>
          </w:p>
        </w:tc>
      </w:tr>
      <w:tr w:rsidR="00CB0FCB" w14:paraId="243BF65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3D41E240" w14:textId="77777777" w:rsidR="00CB0FCB" w:rsidRDefault="009D2B11">
            <w:pPr>
              <w:pStyle w:val="P68B1DB1-Normal8"/>
              <w:keepNext/>
              <w:spacing w:before="40" w:after="0" w:line="240" w:lineRule="auto"/>
              <w:jc w:val="both"/>
              <w:rPr>
                <w:noProof/>
              </w:rPr>
            </w:pPr>
            <w:r>
              <w:rPr>
                <w:noProof/>
              </w:rPr>
              <w:t>181</w:t>
            </w:r>
          </w:p>
        </w:tc>
        <w:tc>
          <w:tcPr>
            <w:tcW w:w="4320" w:type="dxa"/>
            <w:tcBorders>
              <w:top w:val="nil"/>
              <w:left w:val="nil"/>
              <w:bottom w:val="single" w:sz="4" w:space="0" w:color="auto"/>
              <w:right w:val="single" w:sz="4" w:space="0" w:color="auto"/>
            </w:tcBorders>
            <w:shd w:val="clear" w:color="auto" w:fill="C6EFCE"/>
            <w:noWrap/>
          </w:tcPr>
          <w:p w14:paraId="23918373" w14:textId="77777777" w:rsidR="00CB0FCB" w:rsidRDefault="009D2B11">
            <w:pPr>
              <w:pStyle w:val="P68B1DB1-Normal8"/>
              <w:keepNext/>
              <w:spacing w:before="40" w:after="0" w:line="240" w:lineRule="auto"/>
              <w:jc w:val="both"/>
              <w:rPr>
                <w:noProof/>
              </w:rPr>
            </w:pPr>
            <w:r>
              <w:rPr>
                <w:noProof/>
              </w:rPr>
              <w:t>11–3.4. Palielināt piekļuvi efektīvai un iekļaujošai sociālajai politikai — 16402_Sociālie un cenas ziņā pieejami mājokļi</w:t>
            </w:r>
          </w:p>
        </w:tc>
        <w:tc>
          <w:tcPr>
            <w:tcW w:w="1680" w:type="dxa"/>
            <w:tcBorders>
              <w:top w:val="nil"/>
              <w:left w:val="nil"/>
              <w:bottom w:val="single" w:sz="4" w:space="0" w:color="auto"/>
              <w:right w:val="single" w:sz="4" w:space="0" w:color="auto"/>
            </w:tcBorders>
            <w:shd w:val="clear" w:color="auto" w:fill="C6EFCE"/>
            <w:noWrap/>
          </w:tcPr>
          <w:p w14:paraId="206C9039" w14:textId="77777777" w:rsidR="00CB0FCB" w:rsidRDefault="009D2B11">
            <w:pPr>
              <w:pStyle w:val="P68B1DB1-Normal8"/>
              <w:keepNext/>
              <w:spacing w:before="40" w:after="0" w:line="240" w:lineRule="auto"/>
              <w:jc w:val="both"/>
              <w:rPr>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tcPr>
          <w:p w14:paraId="7FE58C15" w14:textId="52452E98" w:rsidR="00CB0FCB" w:rsidRDefault="009D2B11">
            <w:pPr>
              <w:pStyle w:val="P68B1DB1-Normal8"/>
              <w:keepNext/>
              <w:spacing w:before="40" w:after="0" w:line="240" w:lineRule="auto"/>
              <w:jc w:val="both"/>
              <w:rPr>
                <w:noProof/>
              </w:rPr>
            </w:pPr>
            <w:r>
              <w:rPr>
                <w:noProof/>
              </w:rPr>
              <w:t>Valsts mājokļu STRATĒĢIJA</w:t>
            </w:r>
          </w:p>
        </w:tc>
      </w:tr>
      <w:tr w:rsidR="00CB0FCB" w14:paraId="162BC54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2B674DFD" w14:textId="77777777" w:rsidR="00CB0FCB" w:rsidRDefault="009D2B11">
            <w:pPr>
              <w:pStyle w:val="P68B1DB1-Normal8"/>
              <w:keepNext/>
              <w:spacing w:before="40" w:after="0" w:line="240" w:lineRule="auto"/>
              <w:jc w:val="both"/>
              <w:rPr>
                <w:rFonts w:cs="Times New Roman"/>
                <w:noProof/>
                <w:szCs w:val="18"/>
              </w:rPr>
            </w:pPr>
            <w:r>
              <w:rPr>
                <w:noProof/>
              </w:rPr>
              <w:t>182.a</w:t>
            </w:r>
          </w:p>
        </w:tc>
        <w:tc>
          <w:tcPr>
            <w:tcW w:w="4320" w:type="dxa"/>
            <w:tcBorders>
              <w:top w:val="nil"/>
              <w:left w:val="nil"/>
              <w:bottom w:val="single" w:sz="4" w:space="0" w:color="auto"/>
              <w:right w:val="single" w:sz="4" w:space="0" w:color="auto"/>
            </w:tcBorders>
            <w:shd w:val="clear" w:color="auto" w:fill="C6EFCE"/>
            <w:noWrap/>
            <w:hideMark/>
          </w:tcPr>
          <w:p w14:paraId="3527B495"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16925_Sociālā atbalsta sistēmas digitālā pārveide</w:t>
            </w:r>
          </w:p>
        </w:tc>
        <w:tc>
          <w:tcPr>
            <w:tcW w:w="1680" w:type="dxa"/>
            <w:tcBorders>
              <w:top w:val="nil"/>
              <w:left w:val="nil"/>
              <w:bottom w:val="single" w:sz="4" w:space="0" w:color="auto"/>
              <w:right w:val="single" w:sz="4" w:space="0" w:color="auto"/>
            </w:tcBorders>
            <w:shd w:val="clear" w:color="auto" w:fill="C6EFCE"/>
            <w:noWrap/>
            <w:hideMark/>
          </w:tcPr>
          <w:p w14:paraId="4F479185"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07A6698C" w14:textId="77777777" w:rsidR="00CB0FCB" w:rsidRDefault="009D2B11">
            <w:pPr>
              <w:pStyle w:val="P68B1DB1-Normal8"/>
              <w:keepNext/>
              <w:spacing w:before="40" w:after="0" w:line="240" w:lineRule="auto"/>
              <w:jc w:val="both"/>
              <w:rPr>
                <w:rFonts w:cs="Times New Roman"/>
                <w:noProof/>
                <w:szCs w:val="18"/>
              </w:rPr>
            </w:pPr>
            <w:r>
              <w:rPr>
                <w:noProof/>
              </w:rPr>
              <w:t>Vienotais digitālās piekļuves portāls, digitālā apmācība, pilnīga publiskā nekustamā īpašuma uzskaite</w:t>
            </w:r>
          </w:p>
        </w:tc>
      </w:tr>
      <w:tr w:rsidR="00CB0FCB" w14:paraId="627CA13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83AF43B" w14:textId="77777777" w:rsidR="00CB0FCB" w:rsidRDefault="009D2B11">
            <w:pPr>
              <w:pStyle w:val="P68B1DB1-Normal8"/>
              <w:keepNext/>
              <w:spacing w:before="40" w:after="0" w:line="240" w:lineRule="auto"/>
              <w:jc w:val="both"/>
              <w:rPr>
                <w:rFonts w:cs="Times New Roman"/>
                <w:noProof/>
                <w:szCs w:val="18"/>
              </w:rPr>
            </w:pPr>
            <w:r>
              <w:rPr>
                <w:noProof/>
              </w:rPr>
              <w:t>182</w:t>
            </w:r>
          </w:p>
        </w:tc>
        <w:tc>
          <w:tcPr>
            <w:tcW w:w="4320" w:type="dxa"/>
            <w:tcBorders>
              <w:top w:val="nil"/>
              <w:left w:val="nil"/>
              <w:bottom w:val="single" w:sz="4" w:space="0" w:color="auto"/>
              <w:right w:val="single" w:sz="4" w:space="0" w:color="auto"/>
            </w:tcBorders>
            <w:shd w:val="clear" w:color="auto" w:fill="C6EFCE"/>
            <w:noWrap/>
            <w:vAlign w:val="center"/>
            <w:hideMark/>
          </w:tcPr>
          <w:p w14:paraId="78B835F3"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16925_Sociālā atbalsta sistēmas digitālā pārveide</w:t>
            </w:r>
          </w:p>
        </w:tc>
        <w:tc>
          <w:tcPr>
            <w:tcW w:w="1680" w:type="dxa"/>
            <w:tcBorders>
              <w:top w:val="nil"/>
              <w:left w:val="nil"/>
              <w:bottom w:val="single" w:sz="4" w:space="0" w:color="auto"/>
              <w:right w:val="single" w:sz="4" w:space="0" w:color="auto"/>
            </w:tcBorders>
            <w:shd w:val="clear" w:color="auto" w:fill="C6EFCE"/>
            <w:noWrap/>
            <w:vAlign w:val="center"/>
            <w:hideMark/>
          </w:tcPr>
          <w:p w14:paraId="4DFAA629"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23C5488A" w14:textId="77777777" w:rsidR="00CB0FCB" w:rsidRDefault="009D2B11">
            <w:pPr>
              <w:pStyle w:val="P68B1DB1-Normal8"/>
              <w:keepNext/>
              <w:spacing w:before="40" w:after="0" w:line="240" w:lineRule="auto"/>
              <w:jc w:val="both"/>
              <w:rPr>
                <w:rFonts w:cs="Times New Roman"/>
                <w:noProof/>
                <w:szCs w:val="18"/>
              </w:rPr>
            </w:pPr>
            <w:r>
              <w:rPr>
                <w:noProof/>
              </w:rPr>
              <w:t>Informācija par invaliditātes kartēm, kas izsniegtas vadošajai iestādei</w:t>
            </w:r>
          </w:p>
        </w:tc>
      </w:tr>
      <w:tr w:rsidR="00CB0FCB" w14:paraId="399254F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2416E9B" w14:textId="77777777" w:rsidR="00CB0FCB" w:rsidRDefault="009D2B11">
            <w:pPr>
              <w:pStyle w:val="P68B1DB1-Normal8"/>
              <w:keepNext/>
              <w:spacing w:before="40" w:after="0" w:line="240" w:lineRule="auto"/>
              <w:jc w:val="both"/>
              <w:rPr>
                <w:rFonts w:cs="Times New Roman"/>
                <w:noProof/>
                <w:szCs w:val="18"/>
              </w:rPr>
            </w:pPr>
            <w:r>
              <w:rPr>
                <w:noProof/>
              </w:rPr>
              <w:t>183</w:t>
            </w:r>
          </w:p>
        </w:tc>
        <w:tc>
          <w:tcPr>
            <w:tcW w:w="4320" w:type="dxa"/>
            <w:tcBorders>
              <w:top w:val="nil"/>
              <w:left w:val="nil"/>
              <w:bottom w:val="single" w:sz="4" w:space="0" w:color="auto"/>
              <w:right w:val="single" w:sz="4" w:space="0" w:color="auto"/>
            </w:tcBorders>
            <w:shd w:val="clear" w:color="auto" w:fill="C6EFCE"/>
            <w:noWrap/>
            <w:vAlign w:val="center"/>
            <w:hideMark/>
          </w:tcPr>
          <w:p w14:paraId="033D0FEC"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16922_Sociālā integrācija</w:t>
            </w:r>
          </w:p>
        </w:tc>
        <w:tc>
          <w:tcPr>
            <w:tcW w:w="1680" w:type="dxa"/>
            <w:tcBorders>
              <w:top w:val="nil"/>
              <w:left w:val="nil"/>
              <w:bottom w:val="single" w:sz="4" w:space="0" w:color="auto"/>
              <w:right w:val="single" w:sz="4" w:space="0" w:color="auto"/>
            </w:tcBorders>
            <w:shd w:val="clear" w:color="auto" w:fill="C6EFCE"/>
            <w:noWrap/>
            <w:vAlign w:val="center"/>
            <w:hideMark/>
          </w:tcPr>
          <w:p w14:paraId="58987B84"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6CC76C4A" w14:textId="77777777" w:rsidR="00CB0FCB" w:rsidRDefault="009D2B11">
            <w:pPr>
              <w:pStyle w:val="P68B1DB1-Normal8"/>
              <w:keepNext/>
              <w:spacing w:before="40" w:after="0" w:line="240" w:lineRule="auto"/>
              <w:jc w:val="both"/>
              <w:rPr>
                <w:rFonts w:cs="Times New Roman"/>
                <w:noProof/>
                <w:szCs w:val="18"/>
              </w:rPr>
            </w:pPr>
            <w:r>
              <w:rPr>
                <w:noProof/>
              </w:rPr>
              <w:t xml:space="preserve">Sociālās integrācijas GMI saņēmēji bezpajumtniekiem </w:t>
            </w:r>
          </w:p>
        </w:tc>
      </w:tr>
      <w:tr w:rsidR="00CB0FCB" w14:paraId="3FC7910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3DD2216E" w14:textId="77777777" w:rsidR="00CB0FCB" w:rsidRDefault="009D2B11">
            <w:pPr>
              <w:pStyle w:val="P68B1DB1-Normal8"/>
              <w:keepNext/>
              <w:spacing w:before="40" w:after="0" w:line="240" w:lineRule="auto"/>
              <w:jc w:val="both"/>
              <w:rPr>
                <w:rFonts w:cs="Times New Roman"/>
                <w:noProof/>
                <w:szCs w:val="18"/>
              </w:rPr>
            </w:pPr>
            <w:r>
              <w:rPr>
                <w:noProof/>
              </w:rPr>
              <w:t>186.a</w:t>
            </w:r>
          </w:p>
        </w:tc>
        <w:tc>
          <w:tcPr>
            <w:tcW w:w="4320" w:type="dxa"/>
            <w:tcBorders>
              <w:top w:val="nil"/>
              <w:left w:val="nil"/>
              <w:bottom w:val="single" w:sz="4" w:space="0" w:color="auto"/>
              <w:right w:val="single" w:sz="4" w:space="0" w:color="auto"/>
            </w:tcBorders>
            <w:shd w:val="clear" w:color="auto" w:fill="C6EFCE"/>
            <w:noWrap/>
            <w:hideMark/>
          </w:tcPr>
          <w:p w14:paraId="41595E6A" w14:textId="77777777" w:rsidR="00CB0FCB" w:rsidRDefault="009D2B11">
            <w:pPr>
              <w:pStyle w:val="P68B1DB1-Normal8"/>
              <w:keepNext/>
              <w:spacing w:before="40" w:after="0" w:line="240" w:lineRule="auto"/>
              <w:jc w:val="both"/>
              <w:rPr>
                <w:rFonts w:cs="Times New Roman"/>
                <w:noProof/>
                <w:szCs w:val="18"/>
              </w:rPr>
            </w:pPr>
            <w:r>
              <w:rPr>
                <w:noProof/>
              </w:rPr>
              <w:t>11–3.4. Uzlabot piekļuvi efektīvai un iekļaujošai sociālajai politikai — 16922_Sociālā integrācija</w:t>
            </w:r>
          </w:p>
        </w:tc>
        <w:tc>
          <w:tcPr>
            <w:tcW w:w="1680" w:type="dxa"/>
            <w:tcBorders>
              <w:top w:val="nil"/>
              <w:left w:val="nil"/>
              <w:bottom w:val="single" w:sz="4" w:space="0" w:color="auto"/>
              <w:right w:val="single" w:sz="4" w:space="0" w:color="auto"/>
            </w:tcBorders>
            <w:shd w:val="clear" w:color="auto" w:fill="C6EFCE"/>
            <w:noWrap/>
            <w:hideMark/>
          </w:tcPr>
          <w:p w14:paraId="1C87E01A"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23AD05E3" w14:textId="77777777" w:rsidR="00CB0FCB" w:rsidRDefault="009D2B11">
            <w:pPr>
              <w:pStyle w:val="P68B1DB1-Normal8"/>
              <w:keepNext/>
              <w:spacing w:before="40" w:after="0" w:line="240" w:lineRule="auto"/>
              <w:jc w:val="both"/>
              <w:rPr>
                <w:rFonts w:cs="Times New Roman"/>
                <w:noProof/>
                <w:szCs w:val="18"/>
              </w:rPr>
            </w:pPr>
            <w:r>
              <w:rPr>
                <w:noProof/>
              </w:rPr>
              <w:t>Neaizsargātu grupu sociālā integrācija, digitālā apmācība</w:t>
            </w:r>
          </w:p>
        </w:tc>
      </w:tr>
      <w:tr w:rsidR="00CB0FCB" w14:paraId="4198F20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613C941" w14:textId="77777777" w:rsidR="00CB0FCB" w:rsidRDefault="009D2B11">
            <w:pPr>
              <w:pStyle w:val="P68B1DB1-Normal8"/>
              <w:keepNext/>
              <w:spacing w:before="40" w:after="0" w:line="240" w:lineRule="auto"/>
              <w:jc w:val="both"/>
              <w:rPr>
                <w:rFonts w:cs="Times New Roman"/>
                <w:noProof/>
                <w:szCs w:val="18"/>
              </w:rPr>
            </w:pPr>
            <w:r>
              <w:rPr>
                <w:noProof/>
              </w:rPr>
              <w:t>187</w:t>
            </w:r>
          </w:p>
        </w:tc>
        <w:tc>
          <w:tcPr>
            <w:tcW w:w="4320" w:type="dxa"/>
            <w:tcBorders>
              <w:top w:val="nil"/>
              <w:left w:val="nil"/>
              <w:bottom w:val="single" w:sz="4" w:space="0" w:color="auto"/>
              <w:right w:val="single" w:sz="4" w:space="0" w:color="auto"/>
            </w:tcBorders>
            <w:shd w:val="clear" w:color="auto" w:fill="C6EFCE"/>
            <w:noWrap/>
            <w:vAlign w:val="center"/>
            <w:hideMark/>
          </w:tcPr>
          <w:p w14:paraId="201CAB4A" w14:textId="77777777" w:rsidR="00CB0FCB" w:rsidRDefault="009D2B11">
            <w:pPr>
              <w:pStyle w:val="P68B1DB1-Normal8"/>
              <w:keepNext/>
              <w:spacing w:before="40" w:after="0" w:line="240" w:lineRule="auto"/>
              <w:jc w:val="both"/>
              <w:rPr>
                <w:rFonts w:cs="Times New Roman"/>
                <w:noProof/>
                <w:szCs w:val="18"/>
              </w:rPr>
            </w:pPr>
            <w:r>
              <w:rPr>
                <w:noProof/>
              </w:rPr>
              <w:t>11–3.4. Palielināt piekļuvi efektīvai un iekļaujošai sociālajai politikai — 16688: Veicināt bēgļu integrāciju darba tirgū </w:t>
            </w:r>
          </w:p>
        </w:tc>
        <w:tc>
          <w:tcPr>
            <w:tcW w:w="1680" w:type="dxa"/>
            <w:tcBorders>
              <w:top w:val="nil"/>
              <w:left w:val="nil"/>
              <w:bottom w:val="single" w:sz="4" w:space="0" w:color="auto"/>
              <w:right w:val="single" w:sz="4" w:space="0" w:color="auto"/>
            </w:tcBorders>
            <w:shd w:val="clear" w:color="auto" w:fill="C6EFCE"/>
            <w:noWrap/>
            <w:vAlign w:val="center"/>
            <w:hideMark/>
          </w:tcPr>
          <w:p w14:paraId="06E40636"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74CEEE4D" w14:textId="77777777" w:rsidR="00CB0FCB" w:rsidRDefault="009D2B11">
            <w:pPr>
              <w:pStyle w:val="P68B1DB1-Normal8"/>
              <w:keepNext/>
              <w:spacing w:before="40" w:after="0" w:line="240" w:lineRule="auto"/>
              <w:jc w:val="both"/>
              <w:rPr>
                <w:rFonts w:cs="Times New Roman"/>
                <w:noProof/>
                <w:szCs w:val="18"/>
              </w:rPr>
            </w:pPr>
            <w:r>
              <w:rPr>
                <w:noProof/>
              </w:rPr>
              <w:t>Bēgļu integrācija darba tirgū</w:t>
            </w:r>
          </w:p>
        </w:tc>
      </w:tr>
      <w:tr w:rsidR="00CB0FCB" w14:paraId="197A741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389489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194</w:t>
            </w:r>
          </w:p>
        </w:tc>
        <w:tc>
          <w:tcPr>
            <w:tcW w:w="4320" w:type="dxa"/>
            <w:tcBorders>
              <w:top w:val="nil"/>
              <w:left w:val="nil"/>
              <w:bottom w:val="single" w:sz="4" w:space="0" w:color="auto"/>
              <w:right w:val="single" w:sz="4" w:space="0" w:color="auto"/>
            </w:tcBorders>
            <w:shd w:val="clear" w:color="auto" w:fill="C6EFCE"/>
            <w:noWrap/>
            <w:vAlign w:val="center"/>
            <w:hideMark/>
          </w:tcPr>
          <w:p w14:paraId="64B37B9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nodokļu iekasēšanu — 16611_Nodokļu revīziju digitālā pārveide</w:t>
            </w:r>
          </w:p>
        </w:tc>
        <w:tc>
          <w:tcPr>
            <w:tcW w:w="1680" w:type="dxa"/>
            <w:tcBorders>
              <w:top w:val="nil"/>
              <w:left w:val="nil"/>
              <w:bottom w:val="single" w:sz="4" w:space="0" w:color="auto"/>
              <w:right w:val="single" w:sz="4" w:space="0" w:color="auto"/>
            </w:tcBorders>
            <w:shd w:val="clear" w:color="auto" w:fill="C6EFCE"/>
            <w:noWrap/>
            <w:vAlign w:val="center"/>
            <w:hideMark/>
          </w:tcPr>
          <w:p w14:paraId="549A01F0"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3492E1A" w14:textId="77777777" w:rsidR="00CB0FCB" w:rsidRDefault="009D2B11">
            <w:pPr>
              <w:pStyle w:val="P68B1DB1-Normal8"/>
              <w:keepNext/>
              <w:spacing w:before="40" w:after="0" w:line="240" w:lineRule="auto"/>
              <w:jc w:val="both"/>
              <w:rPr>
                <w:rFonts w:eastAsia="Times New Roman" w:cs="Times New Roman"/>
                <w:noProof/>
                <w:szCs w:val="18"/>
              </w:rPr>
            </w:pPr>
            <w:r>
              <w:rPr>
                <w:noProof/>
              </w:rPr>
              <w:t>Nodokļu revīziju digitālās pārveides pabeigšana</w:t>
            </w:r>
          </w:p>
        </w:tc>
      </w:tr>
      <w:tr w:rsidR="00CB0FCB" w14:paraId="1C15F71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9C4454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195</w:t>
            </w:r>
          </w:p>
        </w:tc>
        <w:tc>
          <w:tcPr>
            <w:tcW w:w="4320" w:type="dxa"/>
            <w:tcBorders>
              <w:top w:val="nil"/>
              <w:left w:val="nil"/>
              <w:bottom w:val="single" w:sz="4" w:space="0" w:color="auto"/>
              <w:right w:val="single" w:sz="4" w:space="0" w:color="auto"/>
            </w:tcBorders>
            <w:shd w:val="clear" w:color="auto" w:fill="C6EFCE"/>
            <w:noWrap/>
            <w:vAlign w:val="center"/>
            <w:hideMark/>
          </w:tcPr>
          <w:p w14:paraId="49A1E9F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16291_Nodokļu un muitas administrācijas digitālā pārveide</w:t>
            </w:r>
          </w:p>
        </w:tc>
        <w:tc>
          <w:tcPr>
            <w:tcW w:w="1680" w:type="dxa"/>
            <w:tcBorders>
              <w:top w:val="nil"/>
              <w:left w:val="nil"/>
              <w:bottom w:val="single" w:sz="4" w:space="0" w:color="auto"/>
              <w:right w:val="single" w:sz="4" w:space="0" w:color="auto"/>
            </w:tcBorders>
            <w:shd w:val="clear" w:color="auto" w:fill="C6EFCE"/>
            <w:noWrap/>
            <w:vAlign w:val="center"/>
            <w:hideMark/>
          </w:tcPr>
          <w:p w14:paraId="63988AC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E10F864" w14:textId="77777777" w:rsidR="00CB0FCB" w:rsidRDefault="009D2B11">
            <w:pPr>
              <w:keepNext/>
              <w:spacing w:before="40" w:after="0" w:line="240" w:lineRule="auto"/>
              <w:jc w:val="both"/>
              <w:rPr>
                <w:rFonts w:ascii="Times New Roman" w:eastAsia="Times New Roman" w:hAnsi="Times New Roman" w:cs="Times New Roman"/>
                <w:noProof/>
                <w:sz w:val="18"/>
                <w:szCs w:val="18"/>
              </w:rPr>
            </w:pPr>
            <w:r>
              <w:rPr>
                <w:noProof/>
              </w:rPr>
              <w:t xml:space="preserve">Valsts ieņēmumu neatkarīgās iestādes </w:t>
            </w:r>
            <w:r>
              <w:rPr>
                <w:rFonts w:ascii="Times New Roman" w:hAnsi="Times New Roman"/>
                <w:noProof/>
                <w:sz w:val="18"/>
              </w:rPr>
              <w:t xml:space="preserve">integrētās nodokļu un revīzijas IT vides pirmā posma nodevumu pabeigšana tās digitālās pārveides ietvaros. Apakšprojektu īstenošana </w:t>
            </w:r>
          </w:p>
        </w:tc>
      </w:tr>
      <w:tr w:rsidR="00CB0FCB" w14:paraId="7995CF6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1B4CA0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196</w:t>
            </w:r>
          </w:p>
        </w:tc>
        <w:tc>
          <w:tcPr>
            <w:tcW w:w="4320" w:type="dxa"/>
            <w:tcBorders>
              <w:top w:val="nil"/>
              <w:left w:val="nil"/>
              <w:bottom w:val="single" w:sz="4" w:space="0" w:color="auto"/>
              <w:right w:val="single" w:sz="4" w:space="0" w:color="auto"/>
            </w:tcBorders>
            <w:shd w:val="clear" w:color="auto" w:fill="C6EFCE"/>
            <w:noWrap/>
            <w:vAlign w:val="center"/>
            <w:hideMark/>
          </w:tcPr>
          <w:p w14:paraId="5FB8445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12–4.1. PUNKTS. Padarīt nodokļus labvēlīgākus izaugsmei un uzlabot nodokļu administrēšanu un iekasēšanu — 16291_Nodokļu un muitas administrācijas digitālā pārveide</w:t>
            </w:r>
          </w:p>
        </w:tc>
        <w:tc>
          <w:tcPr>
            <w:tcW w:w="1680" w:type="dxa"/>
            <w:tcBorders>
              <w:top w:val="nil"/>
              <w:left w:val="nil"/>
              <w:bottom w:val="single" w:sz="4" w:space="0" w:color="auto"/>
              <w:right w:val="single" w:sz="4" w:space="0" w:color="auto"/>
            </w:tcBorders>
            <w:shd w:val="clear" w:color="auto" w:fill="C6EFCE"/>
            <w:noWrap/>
            <w:vAlign w:val="center"/>
            <w:hideMark/>
          </w:tcPr>
          <w:p w14:paraId="3B23965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F4BCA1E" w14:textId="77777777" w:rsidR="00CB0FCB" w:rsidRDefault="009D2B11">
            <w:pPr>
              <w:pStyle w:val="P68B1DB1-Normal8"/>
              <w:keepNext/>
              <w:spacing w:before="40" w:after="0" w:line="240" w:lineRule="auto"/>
              <w:jc w:val="both"/>
              <w:rPr>
                <w:rFonts w:eastAsia="Times New Roman" w:cs="Times New Roman"/>
                <w:noProof/>
                <w:szCs w:val="18"/>
              </w:rPr>
            </w:pPr>
            <w:r>
              <w:rPr>
                <w:noProof/>
              </w:rPr>
              <w:t>Komerciālo transportlīdzekļu un konteineru uzraudzības sistēmas ieviešana. Apakšprojektu īstenošana.</w:t>
            </w:r>
          </w:p>
        </w:tc>
      </w:tr>
      <w:tr w:rsidR="00CB0FCB" w14:paraId="7184F57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7BDC322" w14:textId="161FC85E" w:rsidR="00CB0FCB" w:rsidRDefault="009D2B11">
            <w:pPr>
              <w:pStyle w:val="P68B1DB1-Normal8"/>
              <w:keepNext/>
              <w:spacing w:before="40" w:after="0" w:line="240" w:lineRule="auto"/>
              <w:jc w:val="both"/>
              <w:rPr>
                <w:noProof/>
              </w:rPr>
            </w:pPr>
            <w:r>
              <w:rPr>
                <w:noProof/>
              </w:rPr>
              <w:t>204.a</w:t>
            </w:r>
          </w:p>
        </w:tc>
        <w:tc>
          <w:tcPr>
            <w:tcW w:w="4320" w:type="dxa"/>
            <w:tcBorders>
              <w:top w:val="nil"/>
              <w:left w:val="nil"/>
              <w:bottom w:val="single" w:sz="4" w:space="0" w:color="auto"/>
              <w:right w:val="single" w:sz="4" w:space="0" w:color="auto"/>
            </w:tcBorders>
            <w:shd w:val="clear" w:color="auto" w:fill="C6EFCE"/>
            <w:noWrap/>
            <w:vAlign w:val="center"/>
          </w:tcPr>
          <w:p w14:paraId="15F3956B" w14:textId="47FA931F" w:rsidR="00CB0FCB" w:rsidRDefault="009D2B11">
            <w:pPr>
              <w:pStyle w:val="P68B1DB1-Normal8"/>
              <w:keepNext/>
              <w:spacing w:before="40" w:after="0" w:line="240" w:lineRule="auto"/>
              <w:jc w:val="both"/>
              <w:rPr>
                <w:noProof/>
              </w:rPr>
            </w:pPr>
            <w:r>
              <w:rPr>
                <w:noProof/>
              </w:rPr>
              <w:t>12–4.1. PUNKTS. Padarīt nodokļus labvēlīgākus izaugsmei un uzlabot nodokļu administrēšanu un iekasēšanu — 16643_nodokļu tiesību aktu kodifikācija un vienkāršošana</w:t>
            </w:r>
          </w:p>
        </w:tc>
        <w:tc>
          <w:tcPr>
            <w:tcW w:w="1680" w:type="dxa"/>
            <w:tcBorders>
              <w:top w:val="nil"/>
              <w:left w:val="nil"/>
              <w:bottom w:val="single" w:sz="4" w:space="0" w:color="auto"/>
              <w:right w:val="single" w:sz="4" w:space="0" w:color="auto"/>
            </w:tcBorders>
            <w:shd w:val="clear" w:color="auto" w:fill="C6EFCE"/>
            <w:noWrap/>
            <w:vAlign w:val="center"/>
          </w:tcPr>
          <w:p w14:paraId="3CB7E7D6" w14:textId="00876833" w:rsidR="00CB0FCB" w:rsidRDefault="009D2B11">
            <w:pPr>
              <w:pStyle w:val="P68B1DB1-Normal8"/>
              <w:keepNext/>
              <w:spacing w:before="40" w:after="0" w:line="240" w:lineRule="auto"/>
              <w:jc w:val="both"/>
              <w:rPr>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tcPr>
          <w:p w14:paraId="7645DEE5" w14:textId="2E11B28E" w:rsidR="00CB0FCB" w:rsidRDefault="009D2B11">
            <w:pPr>
              <w:pStyle w:val="P68B1DB1-Normal8"/>
              <w:keepNext/>
              <w:spacing w:before="40" w:after="0" w:line="240" w:lineRule="auto"/>
              <w:jc w:val="both"/>
              <w:rPr>
                <w:noProof/>
              </w:rPr>
            </w:pPr>
            <w:r>
              <w:rPr>
                <w:noProof/>
              </w:rPr>
              <w:t>Nodokļu maksātāju informācijas sistēmas pabeigšana</w:t>
            </w:r>
          </w:p>
        </w:tc>
      </w:tr>
      <w:tr w:rsidR="00CB0FCB" w14:paraId="63DDDCD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34312A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208</w:t>
            </w:r>
          </w:p>
        </w:tc>
        <w:tc>
          <w:tcPr>
            <w:tcW w:w="4320" w:type="dxa"/>
            <w:tcBorders>
              <w:top w:val="nil"/>
              <w:left w:val="nil"/>
              <w:bottom w:val="single" w:sz="4" w:space="0" w:color="auto"/>
              <w:right w:val="single" w:sz="4" w:space="0" w:color="auto"/>
            </w:tcBorders>
            <w:shd w:val="clear" w:color="auto" w:fill="C6EFCE"/>
            <w:noWrap/>
            <w:vAlign w:val="center"/>
            <w:hideMark/>
          </w:tcPr>
          <w:p w14:paraId="3F2EDE3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16972_Valsts pārvaldes reforma</w:t>
            </w:r>
          </w:p>
        </w:tc>
        <w:tc>
          <w:tcPr>
            <w:tcW w:w="1680" w:type="dxa"/>
            <w:tcBorders>
              <w:top w:val="nil"/>
              <w:left w:val="nil"/>
              <w:bottom w:val="single" w:sz="4" w:space="0" w:color="auto"/>
              <w:right w:val="single" w:sz="4" w:space="0" w:color="auto"/>
            </w:tcBorders>
            <w:shd w:val="clear" w:color="auto" w:fill="C6EFCE"/>
            <w:noWrap/>
            <w:vAlign w:val="center"/>
            <w:hideMark/>
          </w:tcPr>
          <w:p w14:paraId="0410C101"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11C8EAA1" w14:textId="77777777" w:rsidR="00CB0FCB" w:rsidRDefault="009D2B11">
            <w:pPr>
              <w:pStyle w:val="P68B1DB1-Normal8"/>
              <w:keepNext/>
              <w:spacing w:before="40" w:after="0" w:line="240" w:lineRule="auto"/>
              <w:jc w:val="both"/>
              <w:rPr>
                <w:rFonts w:eastAsia="Times New Roman" w:cs="Times New Roman"/>
                <w:noProof/>
                <w:szCs w:val="18"/>
              </w:rPr>
            </w:pPr>
            <w:r>
              <w:rPr>
                <w:noProof/>
              </w:rPr>
              <w:t>Valsts pārvalde — valsts ierēdņu mācību pabeigšana. Ar darbā pieņemšanas procedūrām un darbaspēka stratēģisko plānošanu saistīto akceptu pabeigšana</w:t>
            </w:r>
          </w:p>
        </w:tc>
      </w:tr>
      <w:tr w:rsidR="00CB0FCB" w14:paraId="5525E1E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02FB661" w14:textId="357ABA45" w:rsidR="00CB0FCB" w:rsidRDefault="009D2B11">
            <w:pPr>
              <w:pStyle w:val="P68B1DB1-Normal8"/>
              <w:keepNext/>
              <w:spacing w:before="40" w:after="0" w:line="240" w:lineRule="auto"/>
              <w:jc w:val="both"/>
              <w:rPr>
                <w:noProof/>
              </w:rPr>
            </w:pPr>
            <w:r>
              <w:rPr>
                <w:noProof/>
              </w:rPr>
              <w:t>211.a</w:t>
            </w:r>
          </w:p>
        </w:tc>
        <w:tc>
          <w:tcPr>
            <w:tcW w:w="4320" w:type="dxa"/>
            <w:tcBorders>
              <w:top w:val="nil"/>
              <w:left w:val="nil"/>
              <w:bottom w:val="single" w:sz="4" w:space="0" w:color="auto"/>
              <w:right w:val="single" w:sz="4" w:space="0" w:color="auto"/>
            </w:tcBorders>
            <w:shd w:val="clear" w:color="auto" w:fill="C6EFCE"/>
            <w:noWrap/>
            <w:vAlign w:val="center"/>
          </w:tcPr>
          <w:p w14:paraId="71749575" w14:textId="1EC80BF3" w:rsidR="00CB0FCB" w:rsidRDefault="009D2B11">
            <w:pPr>
              <w:pStyle w:val="P68B1DB1-Normal8"/>
              <w:keepNext/>
              <w:spacing w:before="40" w:after="0" w:line="240" w:lineRule="auto"/>
              <w:jc w:val="both"/>
              <w:rPr>
                <w:noProof/>
              </w:rPr>
            </w:pPr>
            <w:r>
              <w:rPr>
                <w:noProof/>
              </w:rPr>
              <w:t>13–4.2. Modernizēt valsts pārvaldi, tostarp paātrinot publisko investīciju īstenošanu, uzlabojot publiskā iepirkuma regulējumu, spēju veidošanas pasākumus un korupcijas apkarošanu — 16952_ Valsts pretkorupcijas regulējuma stiprināšana, veicot mērķtiecīgus pasākumus atklāšanas, novēršanas un izpratnes veicināšanas jomā</w:t>
            </w:r>
          </w:p>
        </w:tc>
        <w:tc>
          <w:tcPr>
            <w:tcW w:w="1680" w:type="dxa"/>
            <w:tcBorders>
              <w:top w:val="nil"/>
              <w:left w:val="nil"/>
              <w:bottom w:val="single" w:sz="4" w:space="0" w:color="auto"/>
              <w:right w:val="single" w:sz="4" w:space="0" w:color="auto"/>
            </w:tcBorders>
            <w:shd w:val="clear" w:color="auto" w:fill="C6EFCE"/>
            <w:noWrap/>
            <w:vAlign w:val="center"/>
          </w:tcPr>
          <w:p w14:paraId="20968AD7" w14:textId="54BF5256" w:rsidR="00CB0FCB" w:rsidRDefault="009D2B11">
            <w:pPr>
              <w:pStyle w:val="P68B1DB1-Normal8"/>
              <w:keepNext/>
              <w:spacing w:before="40" w:after="0" w:line="240" w:lineRule="auto"/>
              <w:jc w:val="both"/>
              <w:rPr>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tcPr>
          <w:p w14:paraId="4A590BC8" w14:textId="2E2FA9F5" w:rsidR="00CB0FCB" w:rsidRDefault="009D2B11">
            <w:pPr>
              <w:pStyle w:val="P68B1DB1-Normal8"/>
              <w:keepNext/>
              <w:spacing w:before="40" w:after="0" w:line="240" w:lineRule="auto"/>
              <w:jc w:val="both"/>
              <w:rPr>
                <w:noProof/>
              </w:rPr>
            </w:pPr>
            <w:r>
              <w:rPr>
                <w:noProof/>
              </w:rPr>
              <w:t>Tādu projektu pabeigšana, kas attiecas uz valsts pārredzamības iestādes digitālajām un infrastruktūras jaudām</w:t>
            </w:r>
          </w:p>
        </w:tc>
      </w:tr>
      <w:tr w:rsidR="00CB0FCB" w14:paraId="647E7A1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16EAA8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218</w:t>
            </w:r>
          </w:p>
        </w:tc>
        <w:tc>
          <w:tcPr>
            <w:tcW w:w="4320" w:type="dxa"/>
            <w:tcBorders>
              <w:top w:val="nil"/>
              <w:left w:val="nil"/>
              <w:bottom w:val="single" w:sz="4" w:space="0" w:color="auto"/>
              <w:right w:val="single" w:sz="4" w:space="0" w:color="auto"/>
            </w:tcBorders>
            <w:shd w:val="clear" w:color="auto" w:fill="C6EFCE"/>
            <w:noWrap/>
            <w:vAlign w:val="center"/>
            <w:hideMark/>
          </w:tcPr>
          <w:p w14:paraId="1D8FF4C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16711_Publiskā iepirkuma jomas profesionalizācija</w:t>
            </w:r>
          </w:p>
        </w:tc>
        <w:tc>
          <w:tcPr>
            <w:tcW w:w="1680" w:type="dxa"/>
            <w:tcBorders>
              <w:top w:val="nil"/>
              <w:left w:val="nil"/>
              <w:bottom w:val="single" w:sz="4" w:space="0" w:color="auto"/>
              <w:right w:val="single" w:sz="4" w:space="0" w:color="auto"/>
            </w:tcBorders>
            <w:shd w:val="clear" w:color="auto" w:fill="C6EFCE"/>
            <w:noWrap/>
            <w:vAlign w:val="center"/>
            <w:hideMark/>
          </w:tcPr>
          <w:p w14:paraId="36AD341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DB3C44D" w14:textId="77777777" w:rsidR="00CB0FCB" w:rsidRDefault="009D2B11">
            <w:pPr>
              <w:pStyle w:val="P68B1DB1-Normal8"/>
              <w:keepNext/>
              <w:spacing w:before="40" w:after="0" w:line="240" w:lineRule="auto"/>
              <w:jc w:val="both"/>
              <w:rPr>
                <w:rFonts w:eastAsia="Times New Roman" w:cs="Times New Roman"/>
                <w:noProof/>
                <w:szCs w:val="18"/>
              </w:rPr>
            </w:pPr>
            <w:r>
              <w:rPr>
                <w:noProof/>
              </w:rPr>
              <w:t>Valsts publiskā iepirkuma stratēģijas 2021.–2025. gadam īstenošana</w:t>
            </w:r>
          </w:p>
        </w:tc>
      </w:tr>
      <w:tr w:rsidR="00CB0FCB" w14:paraId="16D57ED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31DAB9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219</w:t>
            </w:r>
          </w:p>
        </w:tc>
        <w:tc>
          <w:tcPr>
            <w:tcW w:w="4320" w:type="dxa"/>
            <w:tcBorders>
              <w:top w:val="nil"/>
              <w:left w:val="nil"/>
              <w:bottom w:val="single" w:sz="4" w:space="0" w:color="auto"/>
              <w:right w:val="single" w:sz="4" w:space="0" w:color="auto"/>
            </w:tcBorders>
            <w:shd w:val="clear" w:color="auto" w:fill="C6EFCE"/>
            <w:noWrap/>
            <w:vAlign w:val="center"/>
            <w:hideMark/>
          </w:tcPr>
          <w:p w14:paraId="044C189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veicot spēju veidošanas pasākumus un apkarojot korupciju — 16974_Grāmatvedības reforma</w:t>
            </w:r>
          </w:p>
        </w:tc>
        <w:tc>
          <w:tcPr>
            <w:tcW w:w="1680" w:type="dxa"/>
            <w:tcBorders>
              <w:top w:val="nil"/>
              <w:left w:val="nil"/>
              <w:bottom w:val="single" w:sz="4" w:space="0" w:color="auto"/>
              <w:right w:val="single" w:sz="4" w:space="0" w:color="auto"/>
            </w:tcBorders>
            <w:shd w:val="clear" w:color="auto" w:fill="C6EFCE"/>
            <w:noWrap/>
            <w:vAlign w:val="center"/>
            <w:hideMark/>
          </w:tcPr>
          <w:p w14:paraId="76585229"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554F205" w14:textId="77777777" w:rsidR="00CB0FCB" w:rsidRDefault="009D2B11">
            <w:pPr>
              <w:pStyle w:val="P68B1DB1-Normal8"/>
              <w:keepNext/>
              <w:spacing w:before="40" w:after="0" w:line="240" w:lineRule="auto"/>
              <w:jc w:val="both"/>
              <w:rPr>
                <w:rFonts w:eastAsia="Times New Roman" w:cs="Times New Roman"/>
                <w:noProof/>
                <w:szCs w:val="18"/>
              </w:rPr>
            </w:pPr>
            <w:r>
              <w:rPr>
                <w:noProof/>
              </w:rPr>
              <w:t>Grāmatvedības reforma: Konsolidētie finanšu pārskati</w:t>
            </w:r>
          </w:p>
        </w:tc>
      </w:tr>
      <w:tr w:rsidR="00CB0FCB" w14:paraId="58557D8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7709DF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220</w:t>
            </w:r>
          </w:p>
        </w:tc>
        <w:tc>
          <w:tcPr>
            <w:tcW w:w="4320" w:type="dxa"/>
            <w:tcBorders>
              <w:top w:val="nil"/>
              <w:left w:val="nil"/>
              <w:bottom w:val="single" w:sz="4" w:space="0" w:color="auto"/>
              <w:right w:val="single" w:sz="4" w:space="0" w:color="auto"/>
            </w:tcBorders>
            <w:shd w:val="clear" w:color="auto" w:fill="C6EFCE"/>
            <w:noWrap/>
            <w:vAlign w:val="center"/>
            <w:hideMark/>
          </w:tcPr>
          <w:p w14:paraId="56697AC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16705_Fiskālās pārvaldības un uzraudzības digitālā pārveide pārvaldībā un elektronisko rēķinu sagatavošanā</w:t>
            </w:r>
          </w:p>
        </w:tc>
        <w:tc>
          <w:tcPr>
            <w:tcW w:w="1680" w:type="dxa"/>
            <w:tcBorders>
              <w:top w:val="nil"/>
              <w:left w:val="nil"/>
              <w:bottom w:val="single" w:sz="4" w:space="0" w:color="auto"/>
              <w:right w:val="single" w:sz="4" w:space="0" w:color="auto"/>
            </w:tcBorders>
            <w:shd w:val="clear" w:color="auto" w:fill="C6EFCE"/>
            <w:noWrap/>
            <w:vAlign w:val="center"/>
            <w:hideMark/>
          </w:tcPr>
          <w:p w14:paraId="279800E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0D678B3E" w14:textId="77777777" w:rsidR="00CB0FCB" w:rsidRDefault="009D2B11">
            <w:pPr>
              <w:pStyle w:val="P68B1DB1-Normal8"/>
              <w:keepNext/>
              <w:spacing w:before="40" w:after="0" w:line="240" w:lineRule="auto"/>
              <w:jc w:val="both"/>
              <w:rPr>
                <w:rFonts w:eastAsia="Times New Roman" w:cs="Times New Roman"/>
                <w:noProof/>
                <w:szCs w:val="18"/>
              </w:rPr>
            </w:pPr>
            <w:r>
              <w:rPr>
                <w:noProof/>
              </w:rPr>
              <w:t>Valdības uzņēmumu resursu plānošana (GOV-ERP)</w:t>
            </w:r>
          </w:p>
        </w:tc>
      </w:tr>
      <w:tr w:rsidR="00CB0FCB" w14:paraId="5D18828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2BD59C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221</w:t>
            </w:r>
          </w:p>
        </w:tc>
        <w:tc>
          <w:tcPr>
            <w:tcW w:w="4320" w:type="dxa"/>
            <w:tcBorders>
              <w:top w:val="nil"/>
              <w:left w:val="nil"/>
              <w:bottom w:val="single" w:sz="4" w:space="0" w:color="auto"/>
              <w:right w:val="single" w:sz="4" w:space="0" w:color="auto"/>
            </w:tcBorders>
            <w:shd w:val="clear" w:color="auto" w:fill="C6EFCE"/>
            <w:noWrap/>
            <w:vAlign w:val="center"/>
            <w:hideMark/>
          </w:tcPr>
          <w:p w14:paraId="1529971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13–4.2. Modernizēt valsts pārvaldi, tostarp paātrinot publisko investīciju īstenošanu, uzlabojot publiskā iepirkuma regulējumu, spēju veidošanas pasākumus un korupcijas apkarošanu — 16711_Publiskā iepirkuma jomas profesionalizācija</w:t>
            </w:r>
          </w:p>
        </w:tc>
        <w:tc>
          <w:tcPr>
            <w:tcW w:w="1680" w:type="dxa"/>
            <w:tcBorders>
              <w:top w:val="nil"/>
              <w:left w:val="nil"/>
              <w:bottom w:val="single" w:sz="4" w:space="0" w:color="auto"/>
              <w:right w:val="single" w:sz="4" w:space="0" w:color="auto"/>
            </w:tcBorders>
            <w:shd w:val="clear" w:color="auto" w:fill="C6EFCE"/>
            <w:noWrap/>
            <w:vAlign w:val="center"/>
            <w:hideMark/>
          </w:tcPr>
          <w:p w14:paraId="7796DE04" w14:textId="77777777" w:rsidR="00CB0FCB" w:rsidRDefault="009D2B11">
            <w:pPr>
              <w:pStyle w:val="P68B1DB1-Normal8"/>
              <w:keepNext/>
              <w:spacing w:before="40" w:after="0" w:line="240" w:lineRule="auto"/>
              <w:jc w:val="both"/>
              <w:rPr>
                <w:rFonts w:eastAsia="Times New Roman"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71D03F47" w14:textId="77777777" w:rsidR="00CB0FCB" w:rsidRDefault="009D2B11">
            <w:pPr>
              <w:pStyle w:val="P68B1DB1-Normal8"/>
              <w:keepNext/>
              <w:spacing w:before="40" w:after="0" w:line="240" w:lineRule="auto"/>
              <w:jc w:val="both"/>
              <w:rPr>
                <w:rFonts w:eastAsia="Times New Roman" w:cs="Times New Roman"/>
                <w:noProof/>
                <w:szCs w:val="18"/>
              </w:rPr>
            </w:pPr>
            <w:r>
              <w:rPr>
                <w:noProof/>
              </w:rPr>
              <w:t>Prasmju pilnveides/pārkvalifikācijas programmu pabeigšana publiskā iepirkuma jomā</w:t>
            </w:r>
          </w:p>
        </w:tc>
      </w:tr>
      <w:tr w:rsidR="00CB0FCB" w14:paraId="1F2F5C1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0533E2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237</w:t>
            </w:r>
          </w:p>
        </w:tc>
        <w:tc>
          <w:tcPr>
            <w:tcW w:w="4320" w:type="dxa"/>
            <w:tcBorders>
              <w:top w:val="nil"/>
              <w:left w:val="nil"/>
              <w:bottom w:val="single" w:sz="4" w:space="0" w:color="auto"/>
              <w:right w:val="single" w:sz="4" w:space="0" w:color="auto"/>
            </w:tcBorders>
            <w:shd w:val="clear" w:color="auto" w:fill="C6EFCE"/>
            <w:noWrap/>
            <w:vAlign w:val="center"/>
            <w:hideMark/>
          </w:tcPr>
          <w:p w14:paraId="6483DC8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16292_Jaunas tiesu ēkas</w:t>
            </w:r>
          </w:p>
        </w:tc>
        <w:tc>
          <w:tcPr>
            <w:tcW w:w="1680" w:type="dxa"/>
            <w:tcBorders>
              <w:top w:val="nil"/>
              <w:left w:val="nil"/>
              <w:bottom w:val="single" w:sz="4" w:space="0" w:color="auto"/>
              <w:right w:val="single" w:sz="4" w:space="0" w:color="auto"/>
            </w:tcBorders>
            <w:shd w:val="clear" w:color="auto" w:fill="C6EFCE"/>
            <w:noWrap/>
            <w:vAlign w:val="center"/>
            <w:hideMark/>
          </w:tcPr>
          <w:p w14:paraId="31AFB44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CA4F3F2"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Būvniecības un renovācijas darbi — e-identitāte — pabeigšana </w:t>
            </w:r>
          </w:p>
        </w:tc>
      </w:tr>
      <w:tr w:rsidR="00CB0FCB" w14:paraId="2658106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6EBA0C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238</w:t>
            </w:r>
          </w:p>
        </w:tc>
        <w:tc>
          <w:tcPr>
            <w:tcW w:w="4320" w:type="dxa"/>
            <w:tcBorders>
              <w:top w:val="nil"/>
              <w:left w:val="nil"/>
              <w:bottom w:val="single" w:sz="4" w:space="0" w:color="auto"/>
              <w:right w:val="single" w:sz="4" w:space="0" w:color="auto"/>
            </w:tcBorders>
            <w:shd w:val="clear" w:color="auto" w:fill="C6EFCE"/>
            <w:noWrap/>
            <w:vAlign w:val="center"/>
            <w:hideMark/>
          </w:tcPr>
          <w:p w14:paraId="48842A1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16575 tiesvedības paātrināšana</w:t>
            </w:r>
          </w:p>
        </w:tc>
        <w:tc>
          <w:tcPr>
            <w:tcW w:w="1680" w:type="dxa"/>
            <w:tcBorders>
              <w:top w:val="nil"/>
              <w:left w:val="nil"/>
              <w:bottom w:val="single" w:sz="4" w:space="0" w:color="auto"/>
              <w:right w:val="single" w:sz="4" w:space="0" w:color="auto"/>
            </w:tcBorders>
            <w:shd w:val="clear" w:color="auto" w:fill="C6EFCE"/>
            <w:noWrap/>
            <w:vAlign w:val="center"/>
            <w:hideMark/>
          </w:tcPr>
          <w:p w14:paraId="114FA3E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tcPr>
          <w:p w14:paraId="37508055" w14:textId="431959AE" w:rsidR="00CB0FCB" w:rsidRDefault="009D2B11">
            <w:pPr>
              <w:pStyle w:val="P68B1DB1-Normal8"/>
              <w:keepNext/>
              <w:spacing w:before="40" w:after="0" w:line="240" w:lineRule="auto"/>
              <w:jc w:val="both"/>
              <w:rPr>
                <w:rFonts w:eastAsia="Times New Roman" w:cs="Times New Roman"/>
                <w:noProof/>
                <w:szCs w:val="18"/>
              </w:rPr>
            </w:pPr>
            <w:r>
              <w:rPr>
                <w:noProof/>
              </w:rPr>
              <w:t xml:space="preserve"> Apmācība par mediāciju un vienotas digitālās sistēmas darbību akreditētiem mediācijas centriem</w:t>
            </w:r>
          </w:p>
        </w:tc>
      </w:tr>
      <w:tr w:rsidR="00CB0FCB" w14:paraId="751A293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B7AED6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239</w:t>
            </w:r>
          </w:p>
        </w:tc>
        <w:tc>
          <w:tcPr>
            <w:tcW w:w="4320" w:type="dxa"/>
            <w:tcBorders>
              <w:top w:val="nil"/>
              <w:left w:val="nil"/>
              <w:bottom w:val="single" w:sz="4" w:space="0" w:color="auto"/>
              <w:right w:val="single" w:sz="4" w:space="0" w:color="auto"/>
            </w:tcBorders>
            <w:shd w:val="clear" w:color="auto" w:fill="C6EFCE"/>
            <w:noWrap/>
            <w:vAlign w:val="center"/>
            <w:hideMark/>
          </w:tcPr>
          <w:p w14:paraId="55F17C8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14–4.3. Uzlabot tiesu sistēmas efektivitāti — 16727_Tiesu digitālā pārveide (e-tiesiskums)</w:t>
            </w:r>
          </w:p>
        </w:tc>
        <w:tc>
          <w:tcPr>
            <w:tcW w:w="1680" w:type="dxa"/>
            <w:tcBorders>
              <w:top w:val="nil"/>
              <w:left w:val="nil"/>
              <w:bottom w:val="single" w:sz="4" w:space="0" w:color="auto"/>
              <w:right w:val="single" w:sz="4" w:space="0" w:color="auto"/>
            </w:tcBorders>
            <w:shd w:val="clear" w:color="auto" w:fill="C6EFCE"/>
            <w:noWrap/>
            <w:vAlign w:val="center"/>
            <w:hideMark/>
          </w:tcPr>
          <w:p w14:paraId="2C431C2A"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59C37EC" w14:textId="77777777" w:rsidR="00CB0FCB" w:rsidRDefault="009D2B11">
            <w:pPr>
              <w:pStyle w:val="P68B1DB1-Normal8"/>
              <w:keepNext/>
              <w:spacing w:before="40" w:after="0" w:line="240" w:lineRule="auto"/>
              <w:jc w:val="both"/>
              <w:rPr>
                <w:rFonts w:eastAsia="Times New Roman" w:cs="Times New Roman"/>
                <w:noProof/>
                <w:szCs w:val="18"/>
              </w:rPr>
            </w:pPr>
            <w:r>
              <w:rPr>
                <w:noProof/>
              </w:rPr>
              <w:t>Lietvedība un IT uzlabojumi</w:t>
            </w:r>
          </w:p>
        </w:tc>
      </w:tr>
      <w:tr w:rsidR="00CB0FCB" w14:paraId="60085FF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7ABB33E" w14:textId="77777777" w:rsidR="00CB0FCB" w:rsidRDefault="009D2B11">
            <w:pPr>
              <w:pStyle w:val="P68B1DB1-Normal8"/>
              <w:keepNext/>
              <w:spacing w:before="40" w:after="0" w:line="240" w:lineRule="auto"/>
              <w:jc w:val="both"/>
              <w:rPr>
                <w:rFonts w:cs="Times New Roman"/>
                <w:noProof/>
                <w:szCs w:val="18"/>
              </w:rPr>
            </w:pPr>
            <w:r>
              <w:rPr>
                <w:noProof/>
              </w:rPr>
              <w:t>241</w:t>
            </w:r>
          </w:p>
        </w:tc>
        <w:tc>
          <w:tcPr>
            <w:tcW w:w="4320" w:type="dxa"/>
            <w:tcBorders>
              <w:top w:val="nil"/>
              <w:left w:val="nil"/>
              <w:bottom w:val="single" w:sz="4" w:space="0" w:color="auto"/>
              <w:right w:val="single" w:sz="4" w:space="0" w:color="auto"/>
            </w:tcBorders>
            <w:shd w:val="clear" w:color="auto" w:fill="C6EFCE"/>
            <w:noWrap/>
            <w:vAlign w:val="center"/>
            <w:hideMark/>
          </w:tcPr>
          <w:p w14:paraId="61081508" w14:textId="77777777" w:rsidR="00CB0FCB" w:rsidRDefault="009D2B11">
            <w:pPr>
              <w:pStyle w:val="P68B1DB1-Normal8"/>
              <w:keepNext/>
              <w:spacing w:before="40" w:after="0" w:line="240" w:lineRule="auto"/>
              <w:jc w:val="both"/>
              <w:rPr>
                <w:rFonts w:cs="Times New Roman"/>
                <w:noProof/>
                <w:szCs w:val="18"/>
              </w:rPr>
            </w:pPr>
            <w:r>
              <w:rPr>
                <w:noProof/>
              </w:rPr>
              <w:t>15–4.4. Stiprināt finanšu nozari un kapitāla tirgus — 16580_Jaunā vienotā maksātnespējas regulējuma īstenošana parāda pārstrukturēšanai un 2. iespēja</w:t>
            </w:r>
          </w:p>
        </w:tc>
        <w:tc>
          <w:tcPr>
            <w:tcW w:w="1680" w:type="dxa"/>
            <w:tcBorders>
              <w:top w:val="nil"/>
              <w:left w:val="nil"/>
              <w:bottom w:val="single" w:sz="4" w:space="0" w:color="auto"/>
              <w:right w:val="single" w:sz="4" w:space="0" w:color="auto"/>
            </w:tcBorders>
            <w:shd w:val="clear" w:color="auto" w:fill="C6EFCE"/>
            <w:noWrap/>
            <w:vAlign w:val="center"/>
            <w:hideMark/>
          </w:tcPr>
          <w:p w14:paraId="0E1BC700"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AADFE79" w14:textId="77777777" w:rsidR="00CB0FCB" w:rsidRDefault="009D2B11">
            <w:pPr>
              <w:pStyle w:val="P68B1DB1-Normal8"/>
              <w:keepNext/>
              <w:spacing w:before="40" w:after="0" w:line="240" w:lineRule="auto"/>
              <w:jc w:val="both"/>
              <w:rPr>
                <w:rFonts w:cs="Times New Roman"/>
                <w:noProof/>
                <w:szCs w:val="18"/>
              </w:rPr>
            </w:pPr>
            <w:r>
              <w:rPr>
                <w:noProof/>
              </w:rPr>
              <w:t>Uzraudzība, uzraudzības procesu digitalizācija, KTS, kapitāla tirgi, preventīva parāda pārstrukturēšana</w:t>
            </w:r>
          </w:p>
        </w:tc>
      </w:tr>
      <w:tr w:rsidR="00CB0FCB" w14:paraId="52F60DA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C576CA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243</w:t>
            </w:r>
          </w:p>
        </w:tc>
        <w:tc>
          <w:tcPr>
            <w:tcW w:w="4320" w:type="dxa"/>
            <w:tcBorders>
              <w:top w:val="nil"/>
              <w:left w:val="nil"/>
              <w:bottom w:val="single" w:sz="4" w:space="0" w:color="auto"/>
              <w:right w:val="single" w:sz="4" w:space="0" w:color="auto"/>
            </w:tcBorders>
            <w:shd w:val="clear" w:color="auto" w:fill="C6EFCE"/>
            <w:noWrap/>
            <w:vAlign w:val="center"/>
            <w:hideMark/>
          </w:tcPr>
          <w:p w14:paraId="00F083F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15–4.4. Stiprināt finanšu nozari un kapitāla tirgus — 16581_Uzlabota kapitāla tirgus uzraudzība un uzticamība</w:t>
            </w:r>
          </w:p>
        </w:tc>
        <w:tc>
          <w:tcPr>
            <w:tcW w:w="1680" w:type="dxa"/>
            <w:tcBorders>
              <w:top w:val="nil"/>
              <w:left w:val="nil"/>
              <w:bottom w:val="single" w:sz="4" w:space="0" w:color="auto"/>
              <w:right w:val="single" w:sz="4" w:space="0" w:color="auto"/>
            </w:tcBorders>
            <w:shd w:val="clear" w:color="auto" w:fill="C6EFCE"/>
            <w:noWrap/>
            <w:vAlign w:val="center"/>
            <w:hideMark/>
          </w:tcPr>
          <w:p w14:paraId="2604264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083E23F4" w14:textId="77777777" w:rsidR="00CB0FCB" w:rsidRDefault="009D2B11">
            <w:pPr>
              <w:pStyle w:val="P68B1DB1-Normal8"/>
              <w:keepNext/>
              <w:spacing w:before="40" w:after="0" w:line="240" w:lineRule="auto"/>
              <w:jc w:val="both"/>
              <w:rPr>
                <w:rFonts w:eastAsia="Times New Roman" w:cs="Times New Roman"/>
                <w:noProof/>
                <w:szCs w:val="18"/>
              </w:rPr>
            </w:pPr>
            <w:r>
              <w:rPr>
                <w:noProof/>
              </w:rPr>
              <w:t>Uzraudzības procesa digitalizācija un Grieķijas Kapitāla tirgus komisijas organizācija</w:t>
            </w:r>
          </w:p>
        </w:tc>
      </w:tr>
      <w:tr w:rsidR="00CB0FCB" w14:paraId="591AFF2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476EF90" w14:textId="77777777" w:rsidR="00CB0FCB" w:rsidRDefault="009D2B11">
            <w:pPr>
              <w:pStyle w:val="P68B1DB1-Normal8"/>
              <w:keepNext/>
              <w:spacing w:before="40" w:after="0" w:line="240" w:lineRule="auto"/>
              <w:jc w:val="both"/>
              <w:rPr>
                <w:rFonts w:cs="Times New Roman"/>
                <w:noProof/>
                <w:szCs w:val="18"/>
              </w:rPr>
            </w:pPr>
            <w:r>
              <w:rPr>
                <w:noProof/>
              </w:rPr>
              <w:t>244c</w:t>
            </w:r>
          </w:p>
        </w:tc>
        <w:tc>
          <w:tcPr>
            <w:tcW w:w="4320" w:type="dxa"/>
            <w:tcBorders>
              <w:top w:val="nil"/>
              <w:left w:val="nil"/>
              <w:bottom w:val="single" w:sz="4" w:space="0" w:color="auto"/>
              <w:right w:val="single" w:sz="4" w:space="0" w:color="auto"/>
            </w:tcBorders>
            <w:shd w:val="clear" w:color="auto" w:fill="C6EFCE"/>
            <w:noWrap/>
            <w:hideMark/>
          </w:tcPr>
          <w:p w14:paraId="21D13D55" w14:textId="77777777" w:rsidR="00CB0FCB" w:rsidRDefault="009D2B11">
            <w:pPr>
              <w:pStyle w:val="P68B1DB1-Normal8"/>
              <w:keepNext/>
              <w:spacing w:before="40" w:after="0" w:line="240" w:lineRule="auto"/>
              <w:jc w:val="both"/>
              <w:rPr>
                <w:rFonts w:cs="Times New Roman"/>
                <w:noProof/>
                <w:szCs w:val="18"/>
              </w:rPr>
            </w:pPr>
            <w:r>
              <w:rPr>
                <w:noProof/>
              </w:rPr>
              <w:t>15–4.4. Stiprināt finanšu nozari un kapitāla tirgus — 16957_Stiprināt finanšu sistēmas spēju pārvarēt mantotās problēmas un finansēt reālo ekonomiku</w:t>
            </w:r>
          </w:p>
        </w:tc>
        <w:tc>
          <w:tcPr>
            <w:tcW w:w="1680" w:type="dxa"/>
            <w:tcBorders>
              <w:top w:val="nil"/>
              <w:left w:val="nil"/>
              <w:bottom w:val="single" w:sz="4" w:space="0" w:color="auto"/>
              <w:right w:val="single" w:sz="4" w:space="0" w:color="auto"/>
            </w:tcBorders>
            <w:shd w:val="clear" w:color="auto" w:fill="C6EFCE"/>
            <w:noWrap/>
            <w:hideMark/>
          </w:tcPr>
          <w:p w14:paraId="732AAD6F"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474C6712" w14:textId="77777777" w:rsidR="00CB0FCB" w:rsidRDefault="009D2B11">
            <w:pPr>
              <w:pStyle w:val="P68B1DB1-Normal8"/>
              <w:keepNext/>
              <w:spacing w:before="40" w:after="0" w:line="240" w:lineRule="auto"/>
              <w:jc w:val="both"/>
              <w:rPr>
                <w:rFonts w:cs="Times New Roman"/>
                <w:noProof/>
                <w:szCs w:val="18"/>
              </w:rPr>
            </w:pPr>
            <w:r>
              <w:rPr>
                <w:noProof/>
              </w:rPr>
              <w:t>Valsts privātā parāda pārvaldības stratēģijas politikas darbību pabeigšana, Centrālā kredītu reģistra izveide</w:t>
            </w:r>
          </w:p>
        </w:tc>
      </w:tr>
      <w:tr w:rsidR="00CB0FCB" w14:paraId="45C0ADE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BBC087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249</w:t>
            </w:r>
          </w:p>
        </w:tc>
        <w:tc>
          <w:tcPr>
            <w:tcW w:w="4320" w:type="dxa"/>
            <w:tcBorders>
              <w:top w:val="nil"/>
              <w:left w:val="nil"/>
              <w:bottom w:val="single" w:sz="4" w:space="0" w:color="auto"/>
              <w:right w:val="single" w:sz="4" w:space="0" w:color="auto"/>
            </w:tcBorders>
            <w:shd w:val="clear" w:color="auto" w:fill="C6EFCE"/>
            <w:noWrap/>
            <w:vAlign w:val="center"/>
            <w:hideMark/>
          </w:tcPr>
          <w:p w14:paraId="779D69A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16–4,5. Veicināt pētniecību un inovāciju — 16624_Creation — Izvēršana — Pētniecības un inovācijas ģenerālsekretariāta (GSRI) uzraudzīto pētniecības centru infrastruktūras modernizācija</w:t>
            </w:r>
          </w:p>
        </w:tc>
        <w:tc>
          <w:tcPr>
            <w:tcW w:w="1680" w:type="dxa"/>
            <w:tcBorders>
              <w:top w:val="nil"/>
              <w:left w:val="nil"/>
              <w:bottom w:val="single" w:sz="4" w:space="0" w:color="auto"/>
              <w:right w:val="single" w:sz="4" w:space="0" w:color="auto"/>
            </w:tcBorders>
            <w:shd w:val="clear" w:color="auto" w:fill="C6EFCE"/>
            <w:noWrap/>
            <w:vAlign w:val="center"/>
            <w:hideMark/>
          </w:tcPr>
          <w:p w14:paraId="6CEB6DA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EDAAA36" w14:textId="77777777" w:rsidR="00CB0FCB" w:rsidRDefault="009D2B11">
            <w:pPr>
              <w:pStyle w:val="P68B1DB1-Normal8"/>
              <w:keepNext/>
              <w:spacing w:before="40" w:after="0" w:line="240" w:lineRule="auto"/>
              <w:jc w:val="both"/>
              <w:rPr>
                <w:rFonts w:eastAsia="Times New Roman" w:cs="Times New Roman"/>
                <w:noProof/>
                <w:szCs w:val="18"/>
              </w:rPr>
            </w:pPr>
            <w:r>
              <w:rPr>
                <w:noProof/>
              </w:rPr>
              <w:t>Pētniecības centru projektu pabeigšana</w:t>
            </w:r>
          </w:p>
        </w:tc>
      </w:tr>
      <w:tr w:rsidR="00CB0FCB" w14:paraId="3582AD3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BDCAAC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250</w:t>
            </w:r>
          </w:p>
        </w:tc>
        <w:tc>
          <w:tcPr>
            <w:tcW w:w="4320" w:type="dxa"/>
            <w:tcBorders>
              <w:top w:val="nil"/>
              <w:left w:val="nil"/>
              <w:bottom w:val="single" w:sz="4" w:space="0" w:color="auto"/>
              <w:right w:val="single" w:sz="4" w:space="0" w:color="auto"/>
            </w:tcBorders>
            <w:shd w:val="clear" w:color="auto" w:fill="C6EFCE"/>
            <w:noWrap/>
            <w:vAlign w:val="center"/>
            <w:hideMark/>
          </w:tcPr>
          <w:p w14:paraId="2B8F38D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16–4,5. Veicināt pētniecību un inovāciju — 16618_Pamatpētniecība un lietišķā pētniecība</w:t>
            </w:r>
          </w:p>
        </w:tc>
        <w:tc>
          <w:tcPr>
            <w:tcW w:w="1680" w:type="dxa"/>
            <w:tcBorders>
              <w:top w:val="nil"/>
              <w:left w:val="nil"/>
              <w:bottom w:val="single" w:sz="4" w:space="0" w:color="auto"/>
              <w:right w:val="single" w:sz="4" w:space="0" w:color="auto"/>
            </w:tcBorders>
            <w:shd w:val="clear" w:color="auto" w:fill="C6EFCE"/>
            <w:noWrap/>
            <w:vAlign w:val="center"/>
            <w:hideMark/>
          </w:tcPr>
          <w:p w14:paraId="3083F5E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17CA2E9" w14:textId="77777777" w:rsidR="00CB0FCB" w:rsidRDefault="009D2B11">
            <w:pPr>
              <w:pStyle w:val="P68B1DB1-Normal8"/>
              <w:keepNext/>
              <w:spacing w:before="40" w:after="0" w:line="240" w:lineRule="auto"/>
              <w:jc w:val="both"/>
              <w:rPr>
                <w:rFonts w:eastAsia="Times New Roman" w:cs="Times New Roman"/>
                <w:noProof/>
                <w:szCs w:val="18"/>
              </w:rPr>
            </w:pPr>
            <w:r>
              <w:rPr>
                <w:noProof/>
              </w:rPr>
              <w:t>Fundamentālo un lietišķo pētījumu projektu pabeigšana</w:t>
            </w:r>
          </w:p>
        </w:tc>
      </w:tr>
      <w:tr w:rsidR="00CB0FCB" w14:paraId="1B320E2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13D133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251</w:t>
            </w:r>
          </w:p>
        </w:tc>
        <w:tc>
          <w:tcPr>
            <w:tcW w:w="4320" w:type="dxa"/>
            <w:tcBorders>
              <w:top w:val="nil"/>
              <w:left w:val="nil"/>
              <w:bottom w:val="single" w:sz="4" w:space="0" w:color="auto"/>
              <w:right w:val="single" w:sz="4" w:space="0" w:color="auto"/>
            </w:tcBorders>
            <w:shd w:val="clear" w:color="auto" w:fill="C6EFCE"/>
            <w:noWrap/>
            <w:vAlign w:val="center"/>
            <w:hideMark/>
          </w:tcPr>
          <w:p w14:paraId="4F1804B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16–4,5. Veicināt pētniecību un inovāciju — 16654_TH 2 ORAX: Trellis Holistic &amp; Hybrid Operation Rackggedised Autonomā eXemplary sistēma</w:t>
            </w:r>
          </w:p>
        </w:tc>
        <w:tc>
          <w:tcPr>
            <w:tcW w:w="1680" w:type="dxa"/>
            <w:tcBorders>
              <w:top w:val="nil"/>
              <w:left w:val="nil"/>
              <w:bottom w:val="single" w:sz="4" w:space="0" w:color="auto"/>
              <w:right w:val="single" w:sz="4" w:space="0" w:color="auto"/>
            </w:tcBorders>
            <w:shd w:val="clear" w:color="auto" w:fill="C6EFCE"/>
            <w:noWrap/>
            <w:vAlign w:val="center"/>
            <w:hideMark/>
          </w:tcPr>
          <w:p w14:paraId="6778EC1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507115E" w14:textId="77777777" w:rsidR="00CB0FCB" w:rsidRDefault="009D2B11">
            <w:pPr>
              <w:pStyle w:val="P68B1DB1-Normal8"/>
              <w:keepNext/>
              <w:spacing w:before="40" w:after="0" w:line="240" w:lineRule="auto"/>
              <w:jc w:val="both"/>
              <w:rPr>
                <w:rFonts w:eastAsia="Times New Roman" w:cs="Times New Roman"/>
                <w:noProof/>
                <w:szCs w:val="18"/>
              </w:rPr>
            </w:pPr>
            <w:r>
              <w:rPr>
                <w:noProof/>
              </w:rPr>
              <w:t>Projekta TH2ORAX pabeigšana</w:t>
            </w:r>
          </w:p>
        </w:tc>
      </w:tr>
      <w:tr w:rsidR="00CB0FCB" w14:paraId="49EE977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A55C13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252</w:t>
            </w:r>
          </w:p>
        </w:tc>
        <w:tc>
          <w:tcPr>
            <w:tcW w:w="4320" w:type="dxa"/>
            <w:tcBorders>
              <w:top w:val="nil"/>
              <w:left w:val="nil"/>
              <w:bottom w:val="single" w:sz="4" w:space="0" w:color="auto"/>
              <w:right w:val="single" w:sz="4" w:space="0" w:color="auto"/>
            </w:tcBorders>
            <w:shd w:val="clear" w:color="auto" w:fill="C6EFCE"/>
            <w:noWrap/>
            <w:vAlign w:val="center"/>
            <w:hideMark/>
          </w:tcPr>
          <w:p w14:paraId="76E1322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16–4,5. Pētniecības un inovācijas veicināšana — 16971_Pētniecība — Izveidot — Inovācijas</w:t>
            </w:r>
          </w:p>
        </w:tc>
        <w:tc>
          <w:tcPr>
            <w:tcW w:w="1680" w:type="dxa"/>
            <w:tcBorders>
              <w:top w:val="nil"/>
              <w:left w:val="nil"/>
              <w:bottom w:val="single" w:sz="4" w:space="0" w:color="auto"/>
              <w:right w:val="single" w:sz="4" w:space="0" w:color="auto"/>
            </w:tcBorders>
            <w:shd w:val="clear" w:color="auto" w:fill="C6EFCE"/>
            <w:noWrap/>
            <w:vAlign w:val="center"/>
            <w:hideMark/>
          </w:tcPr>
          <w:p w14:paraId="384E6C6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3A13157" w14:textId="77777777" w:rsidR="00CB0FCB" w:rsidRDefault="009D2B11">
            <w:pPr>
              <w:pStyle w:val="P68B1DB1-Normal8"/>
              <w:keepNext/>
              <w:spacing w:before="40" w:after="0" w:line="240" w:lineRule="auto"/>
              <w:jc w:val="both"/>
              <w:rPr>
                <w:rFonts w:eastAsia="Times New Roman" w:cs="Times New Roman"/>
                <w:noProof/>
                <w:szCs w:val="18"/>
              </w:rPr>
            </w:pPr>
            <w:r>
              <w:rPr>
                <w:noProof/>
              </w:rPr>
              <w:t>Pētniecības pabeigšana — Izveidot — Inovācijas projekti</w:t>
            </w:r>
          </w:p>
        </w:tc>
      </w:tr>
      <w:tr w:rsidR="00CB0FCB" w14:paraId="4B5FFEB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136A22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253</w:t>
            </w:r>
          </w:p>
        </w:tc>
        <w:tc>
          <w:tcPr>
            <w:tcW w:w="4320" w:type="dxa"/>
            <w:tcBorders>
              <w:top w:val="nil"/>
              <w:left w:val="nil"/>
              <w:bottom w:val="single" w:sz="4" w:space="0" w:color="auto"/>
              <w:right w:val="single" w:sz="4" w:space="0" w:color="auto"/>
            </w:tcBorders>
            <w:shd w:val="clear" w:color="auto" w:fill="C6EFCE"/>
            <w:noWrap/>
            <w:vAlign w:val="center"/>
            <w:hideMark/>
          </w:tcPr>
          <w:p w14:paraId="07F782C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16–4,5. Veicināt pētniecību un inovāciju — 16621_Grieķijas pētniecības un inovācijas ekosistēmas paplašināšana</w:t>
            </w:r>
          </w:p>
        </w:tc>
        <w:tc>
          <w:tcPr>
            <w:tcW w:w="1680" w:type="dxa"/>
            <w:tcBorders>
              <w:top w:val="nil"/>
              <w:left w:val="nil"/>
              <w:bottom w:val="single" w:sz="4" w:space="0" w:color="auto"/>
              <w:right w:val="single" w:sz="4" w:space="0" w:color="auto"/>
            </w:tcBorders>
            <w:shd w:val="clear" w:color="auto" w:fill="C6EFCE"/>
            <w:noWrap/>
            <w:vAlign w:val="center"/>
            <w:hideMark/>
          </w:tcPr>
          <w:p w14:paraId="3D616A4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D3813E4" w14:textId="77777777" w:rsidR="00CB0FCB" w:rsidRDefault="009D2B11">
            <w:pPr>
              <w:pStyle w:val="P68B1DB1-Normal8"/>
              <w:keepNext/>
              <w:spacing w:before="40" w:after="0" w:line="240" w:lineRule="auto"/>
              <w:jc w:val="both"/>
              <w:rPr>
                <w:rFonts w:eastAsia="Times New Roman" w:cs="Times New Roman"/>
                <w:noProof/>
                <w:szCs w:val="18"/>
              </w:rPr>
            </w:pPr>
            <w:r>
              <w:rPr>
                <w:noProof/>
              </w:rPr>
              <w:t>Pētniecības un inovācijas ekosistēmu projektu izvirduma pabeigšana</w:t>
            </w:r>
          </w:p>
        </w:tc>
      </w:tr>
      <w:tr w:rsidR="00CB0FCB" w14:paraId="04EB188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CBAEFF2" w14:textId="77777777" w:rsidR="00CB0FCB" w:rsidRDefault="009D2B11">
            <w:pPr>
              <w:pStyle w:val="P68B1DB1-Normal8"/>
              <w:keepNext/>
              <w:spacing w:before="40" w:after="0" w:line="240" w:lineRule="auto"/>
              <w:jc w:val="both"/>
              <w:rPr>
                <w:rFonts w:cs="Times New Roman"/>
                <w:noProof/>
                <w:szCs w:val="18"/>
              </w:rPr>
            </w:pPr>
            <w:r>
              <w:rPr>
                <w:noProof/>
              </w:rPr>
              <w:t>256</w:t>
            </w:r>
          </w:p>
        </w:tc>
        <w:tc>
          <w:tcPr>
            <w:tcW w:w="4320" w:type="dxa"/>
            <w:tcBorders>
              <w:top w:val="nil"/>
              <w:left w:val="nil"/>
              <w:bottom w:val="single" w:sz="4" w:space="0" w:color="auto"/>
              <w:right w:val="single" w:sz="4" w:space="0" w:color="auto"/>
            </w:tcBorders>
            <w:shd w:val="clear" w:color="auto" w:fill="C6EFCE"/>
            <w:noWrap/>
            <w:vAlign w:val="center"/>
            <w:hideMark/>
          </w:tcPr>
          <w:p w14:paraId="1CE1BA5A" w14:textId="3E924798" w:rsidR="00CB0FCB" w:rsidRDefault="009D2B11">
            <w:pPr>
              <w:pStyle w:val="P68B1DB1-Normal8"/>
              <w:keepNext/>
              <w:spacing w:before="40" w:after="0" w:line="240" w:lineRule="auto"/>
              <w:jc w:val="both"/>
              <w:rPr>
                <w:noProof/>
              </w:rPr>
            </w:pPr>
            <w:r>
              <w:rPr>
                <w:noProof/>
              </w:rPr>
              <w:t> 17–4.6. Modernizēt un uzlabot galveno ekonomikas nozaru noturību — 16628</w:t>
            </w:r>
          </w:p>
          <w:p w14:paraId="6A93E55D" w14:textId="12247D25" w:rsidR="00CB0FCB" w:rsidRDefault="009D2B11">
            <w:pPr>
              <w:pStyle w:val="P68B1DB1-Normal8"/>
              <w:keepNext/>
              <w:spacing w:before="40" w:after="0" w:line="240" w:lineRule="auto"/>
              <w:jc w:val="both"/>
              <w:rPr>
                <w:rFonts w:cs="Times New Roman"/>
                <w:noProof/>
                <w:szCs w:val="18"/>
              </w:rPr>
            </w:pPr>
            <w:r>
              <w:rPr>
                <w:noProof/>
              </w:rPr>
              <w:t>Grieķijas centrālās daļas automaģistrāle E-65: Trikala-Egnatia nodaļa</w:t>
            </w:r>
          </w:p>
        </w:tc>
        <w:tc>
          <w:tcPr>
            <w:tcW w:w="1680" w:type="dxa"/>
            <w:tcBorders>
              <w:top w:val="nil"/>
              <w:left w:val="nil"/>
              <w:bottom w:val="single" w:sz="4" w:space="0" w:color="auto"/>
              <w:right w:val="single" w:sz="4" w:space="0" w:color="auto"/>
            </w:tcBorders>
            <w:shd w:val="clear" w:color="auto" w:fill="C6EFCE"/>
            <w:noWrap/>
            <w:vAlign w:val="center"/>
            <w:hideMark/>
          </w:tcPr>
          <w:p w14:paraId="46D30171"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7EB3208" w14:textId="77777777" w:rsidR="00CB0FCB" w:rsidRDefault="009D2B11">
            <w:pPr>
              <w:pStyle w:val="P68B1DB1-Normal8"/>
              <w:keepNext/>
              <w:spacing w:before="40" w:after="0" w:line="240" w:lineRule="auto"/>
              <w:jc w:val="both"/>
              <w:rPr>
                <w:rFonts w:cs="Times New Roman"/>
                <w:noProof/>
                <w:szCs w:val="18"/>
              </w:rPr>
            </w:pPr>
            <w:r>
              <w:rPr>
                <w:noProof/>
              </w:rPr>
              <w:t>E-65 darbi — pabeigšana</w:t>
            </w:r>
          </w:p>
        </w:tc>
      </w:tr>
      <w:tr w:rsidR="00CB0FCB" w14:paraId="6328948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A19A32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262</w:t>
            </w:r>
          </w:p>
        </w:tc>
        <w:tc>
          <w:tcPr>
            <w:tcW w:w="4320" w:type="dxa"/>
            <w:tcBorders>
              <w:top w:val="nil"/>
              <w:left w:val="nil"/>
              <w:bottom w:val="single" w:sz="4" w:space="0" w:color="auto"/>
              <w:right w:val="single" w:sz="4" w:space="0" w:color="auto"/>
            </w:tcBorders>
            <w:shd w:val="clear" w:color="auto" w:fill="C6EFCE"/>
            <w:noWrap/>
            <w:vAlign w:val="center"/>
            <w:hideMark/>
          </w:tcPr>
          <w:p w14:paraId="5495D9E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17–4.6. Modernizēt un uzlabot galveno ekonomikas nozaru noturību — 16630_Kreānas Ziemeļu automaģistrāle (θ.θ.Α.Κ.)</w:t>
            </w:r>
          </w:p>
        </w:tc>
        <w:tc>
          <w:tcPr>
            <w:tcW w:w="1680" w:type="dxa"/>
            <w:tcBorders>
              <w:top w:val="nil"/>
              <w:left w:val="nil"/>
              <w:bottom w:val="single" w:sz="4" w:space="0" w:color="auto"/>
              <w:right w:val="single" w:sz="4" w:space="0" w:color="auto"/>
            </w:tcBorders>
            <w:shd w:val="clear" w:color="auto" w:fill="C6EFCE"/>
            <w:noWrap/>
            <w:vAlign w:val="center"/>
            <w:hideMark/>
          </w:tcPr>
          <w:p w14:paraId="13D5439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778FCFEC" w14:textId="77777777" w:rsidR="00CB0FCB" w:rsidRDefault="009D2B11">
            <w:pPr>
              <w:pStyle w:val="P68B1DB1-Normal8"/>
              <w:keepNext/>
              <w:spacing w:before="40" w:after="0" w:line="240" w:lineRule="auto"/>
              <w:jc w:val="both"/>
              <w:rPr>
                <w:rFonts w:eastAsia="Times New Roman" w:cs="Times New Roman"/>
                <w:noProof/>
                <w:szCs w:val="18"/>
              </w:rPr>
            </w:pPr>
            <w:r>
              <w:rPr>
                <w:noProof/>
              </w:rPr>
              <w:t>BOAK projekta pabeigšana</w:t>
            </w:r>
          </w:p>
        </w:tc>
      </w:tr>
      <w:tr w:rsidR="00CB0FCB" w14:paraId="0147C61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6D712BA" w14:textId="77777777" w:rsidR="00CB0FCB" w:rsidRDefault="009D2B11">
            <w:pPr>
              <w:pStyle w:val="P68B1DB1-Normal8"/>
              <w:keepNext/>
              <w:spacing w:before="40" w:after="0" w:line="240" w:lineRule="auto"/>
              <w:jc w:val="both"/>
              <w:rPr>
                <w:rFonts w:cs="Times New Roman"/>
                <w:noProof/>
                <w:szCs w:val="18"/>
              </w:rPr>
            </w:pPr>
            <w:r>
              <w:rPr>
                <w:noProof/>
              </w:rPr>
              <w:t>268c</w:t>
            </w:r>
          </w:p>
        </w:tc>
        <w:tc>
          <w:tcPr>
            <w:tcW w:w="4320" w:type="dxa"/>
            <w:tcBorders>
              <w:top w:val="nil"/>
              <w:left w:val="nil"/>
              <w:bottom w:val="single" w:sz="4" w:space="0" w:color="auto"/>
              <w:right w:val="single" w:sz="4" w:space="0" w:color="auto"/>
            </w:tcBorders>
            <w:shd w:val="clear" w:color="auto" w:fill="C6EFCE"/>
            <w:noWrap/>
            <w:hideMark/>
          </w:tcPr>
          <w:p w14:paraId="23F643F0"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16982_Organizācijas reforma dzelzceļa nozarē</w:t>
            </w:r>
          </w:p>
        </w:tc>
        <w:tc>
          <w:tcPr>
            <w:tcW w:w="1680" w:type="dxa"/>
            <w:tcBorders>
              <w:top w:val="nil"/>
              <w:left w:val="nil"/>
              <w:bottom w:val="single" w:sz="4" w:space="0" w:color="auto"/>
              <w:right w:val="single" w:sz="4" w:space="0" w:color="auto"/>
            </w:tcBorders>
            <w:shd w:val="clear" w:color="auto" w:fill="C6EFCE"/>
            <w:noWrap/>
            <w:hideMark/>
          </w:tcPr>
          <w:p w14:paraId="399903E9"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hideMark/>
          </w:tcPr>
          <w:p w14:paraId="3E37E48D" w14:textId="77777777" w:rsidR="00CB0FCB" w:rsidRDefault="009D2B11">
            <w:pPr>
              <w:pStyle w:val="P68B1DB1-Normal8"/>
              <w:keepNext/>
              <w:spacing w:before="40" w:after="0" w:line="240" w:lineRule="auto"/>
              <w:jc w:val="both"/>
              <w:rPr>
                <w:rFonts w:cs="Times New Roman"/>
                <w:noProof/>
                <w:szCs w:val="18"/>
              </w:rPr>
            </w:pPr>
            <w:r>
              <w:rPr>
                <w:noProof/>
              </w:rPr>
              <w:t>Dzelzceļa organizatoriskās reformas pabeigšana</w:t>
            </w:r>
          </w:p>
        </w:tc>
      </w:tr>
      <w:tr w:rsidR="00CB0FCB" w14:paraId="0DEF333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9867A01" w14:textId="77777777" w:rsidR="00CB0FCB" w:rsidRDefault="009D2B11">
            <w:pPr>
              <w:pStyle w:val="P68B1DB1-Normal8"/>
              <w:keepNext/>
              <w:spacing w:before="40" w:after="0" w:line="240" w:lineRule="auto"/>
              <w:jc w:val="both"/>
              <w:rPr>
                <w:rFonts w:cs="Times New Roman"/>
                <w:noProof/>
                <w:szCs w:val="18"/>
              </w:rPr>
            </w:pPr>
            <w:r>
              <w:rPr>
                <w:noProof/>
              </w:rPr>
              <w:t>269</w:t>
            </w:r>
          </w:p>
        </w:tc>
        <w:tc>
          <w:tcPr>
            <w:tcW w:w="4320" w:type="dxa"/>
            <w:tcBorders>
              <w:top w:val="nil"/>
              <w:left w:val="nil"/>
              <w:bottom w:val="single" w:sz="4" w:space="0" w:color="auto"/>
              <w:right w:val="single" w:sz="4" w:space="0" w:color="auto"/>
            </w:tcBorders>
            <w:shd w:val="clear" w:color="auto" w:fill="C6EFCE"/>
            <w:noWrap/>
            <w:vAlign w:val="center"/>
            <w:hideMark/>
          </w:tcPr>
          <w:p w14:paraId="77034D8E"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16833_EASA atbilstības labošanas darbu īstenošana</w:t>
            </w:r>
          </w:p>
        </w:tc>
        <w:tc>
          <w:tcPr>
            <w:tcW w:w="1680" w:type="dxa"/>
            <w:tcBorders>
              <w:top w:val="nil"/>
              <w:left w:val="nil"/>
              <w:bottom w:val="single" w:sz="4" w:space="0" w:color="auto"/>
              <w:right w:val="single" w:sz="4" w:space="0" w:color="auto"/>
            </w:tcBorders>
            <w:shd w:val="clear" w:color="auto" w:fill="C6EFCE"/>
            <w:noWrap/>
            <w:vAlign w:val="center"/>
            <w:hideMark/>
          </w:tcPr>
          <w:p w14:paraId="54C33A0B"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096A2C4" w14:textId="5ECD31EB" w:rsidR="00CB0FCB" w:rsidRDefault="009D2B11">
            <w:pPr>
              <w:pStyle w:val="P68B1DB1-Normal49"/>
              <w:keepNext/>
              <w:spacing w:before="40" w:after="0" w:line="240" w:lineRule="auto"/>
              <w:jc w:val="both"/>
              <w:rPr>
                <w:rFonts w:cs="Times New Roman"/>
                <w:noProof/>
              </w:rPr>
            </w:pPr>
            <w:r>
              <w:rPr>
                <w:noProof/>
              </w:rPr>
              <w:t xml:space="preserve">EASA atbilstības labošanas darbu pabeigšana </w:t>
            </w:r>
          </w:p>
        </w:tc>
      </w:tr>
      <w:tr w:rsidR="00CB0FCB" w14:paraId="6587A8E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C8B873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271</w:t>
            </w:r>
          </w:p>
        </w:tc>
        <w:tc>
          <w:tcPr>
            <w:tcW w:w="4320" w:type="dxa"/>
            <w:tcBorders>
              <w:top w:val="nil"/>
              <w:left w:val="nil"/>
              <w:bottom w:val="single" w:sz="4" w:space="0" w:color="auto"/>
              <w:right w:val="single" w:sz="4" w:space="0" w:color="auto"/>
            </w:tcBorders>
            <w:shd w:val="clear" w:color="auto" w:fill="C6EFCE"/>
            <w:noWrap/>
            <w:vAlign w:val="center"/>
            <w:hideMark/>
          </w:tcPr>
          <w:p w14:paraId="7FCE129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16892_RietumAtikas piepilsētas dzelzceļa modernizācija</w:t>
            </w:r>
          </w:p>
        </w:tc>
        <w:tc>
          <w:tcPr>
            <w:tcW w:w="1680" w:type="dxa"/>
            <w:tcBorders>
              <w:top w:val="nil"/>
              <w:left w:val="nil"/>
              <w:bottom w:val="single" w:sz="4" w:space="0" w:color="auto"/>
              <w:right w:val="single" w:sz="4" w:space="0" w:color="auto"/>
            </w:tcBorders>
            <w:shd w:val="clear" w:color="auto" w:fill="C6EFCE"/>
            <w:noWrap/>
            <w:vAlign w:val="center"/>
            <w:hideMark/>
          </w:tcPr>
          <w:p w14:paraId="1FAC99CE"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B95310E" w14:textId="14581627" w:rsidR="00CB0FCB" w:rsidRDefault="009D2B11">
            <w:pPr>
              <w:pStyle w:val="P68B1DB1-Normal49"/>
              <w:keepNext/>
              <w:spacing w:before="40" w:after="0" w:line="240" w:lineRule="auto"/>
              <w:jc w:val="both"/>
              <w:rPr>
                <w:noProof/>
                <w:sz w:val="24"/>
                <w:szCs w:val="24"/>
              </w:rPr>
            </w:pPr>
            <w:r>
              <w:rPr>
                <w:noProof/>
              </w:rPr>
              <w:t>Atikas rietumu daļas pabeigšana no Ano Liossia līdz posma sākumam ELPE Elefsina un no ELPE Elefsina posma beigām līdz jaunajai Megara stacijai</w:t>
            </w:r>
          </w:p>
        </w:tc>
      </w:tr>
      <w:tr w:rsidR="00CB0FCB" w14:paraId="5A6E732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068407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272</w:t>
            </w:r>
          </w:p>
        </w:tc>
        <w:tc>
          <w:tcPr>
            <w:tcW w:w="4320" w:type="dxa"/>
            <w:tcBorders>
              <w:top w:val="nil"/>
              <w:left w:val="nil"/>
              <w:bottom w:val="single" w:sz="4" w:space="0" w:color="auto"/>
              <w:right w:val="single" w:sz="4" w:space="0" w:color="auto"/>
            </w:tcBorders>
            <w:shd w:val="clear" w:color="auto" w:fill="C6EFCE"/>
            <w:noWrap/>
            <w:vAlign w:val="center"/>
            <w:hideMark/>
          </w:tcPr>
          <w:p w14:paraId="5A7E3A8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16949_Viedie tilti</w:t>
            </w:r>
          </w:p>
        </w:tc>
        <w:tc>
          <w:tcPr>
            <w:tcW w:w="1680" w:type="dxa"/>
            <w:tcBorders>
              <w:top w:val="nil"/>
              <w:left w:val="nil"/>
              <w:bottom w:val="single" w:sz="4" w:space="0" w:color="auto"/>
              <w:right w:val="single" w:sz="4" w:space="0" w:color="auto"/>
            </w:tcBorders>
            <w:shd w:val="clear" w:color="auto" w:fill="C6EFCE"/>
            <w:noWrap/>
            <w:vAlign w:val="center"/>
            <w:hideMark/>
          </w:tcPr>
          <w:p w14:paraId="3797F4F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B9E13E7" w14:textId="77777777" w:rsidR="00CB0FCB" w:rsidRDefault="009D2B11">
            <w:pPr>
              <w:pStyle w:val="P68B1DB1-Normal8"/>
              <w:keepNext/>
              <w:spacing w:before="40" w:after="0" w:line="240" w:lineRule="auto"/>
              <w:jc w:val="both"/>
              <w:rPr>
                <w:rFonts w:eastAsia="Times New Roman" w:cs="Times New Roman"/>
                <w:noProof/>
                <w:szCs w:val="18"/>
              </w:rPr>
            </w:pPr>
            <w:r>
              <w:rPr>
                <w:noProof/>
              </w:rPr>
              <w:t>Viedo tiltu projekta I posma pabeigšana</w:t>
            </w:r>
          </w:p>
        </w:tc>
      </w:tr>
      <w:tr w:rsidR="00CB0FCB" w14:paraId="39A33D2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A43E6F8" w14:textId="77777777" w:rsidR="00CB0FCB" w:rsidRDefault="009D2B11">
            <w:pPr>
              <w:pStyle w:val="P68B1DB1-Normal8"/>
              <w:keepNext/>
              <w:spacing w:before="40" w:after="0" w:line="240" w:lineRule="auto"/>
              <w:jc w:val="both"/>
              <w:rPr>
                <w:rFonts w:cs="Times New Roman"/>
                <w:noProof/>
                <w:szCs w:val="18"/>
              </w:rPr>
            </w:pPr>
            <w:r>
              <w:rPr>
                <w:noProof/>
              </w:rPr>
              <w:t>272a</w:t>
            </w:r>
          </w:p>
        </w:tc>
        <w:tc>
          <w:tcPr>
            <w:tcW w:w="4320" w:type="dxa"/>
            <w:tcBorders>
              <w:top w:val="nil"/>
              <w:left w:val="nil"/>
              <w:bottom w:val="single" w:sz="4" w:space="0" w:color="auto"/>
              <w:right w:val="single" w:sz="4" w:space="0" w:color="auto"/>
            </w:tcBorders>
            <w:shd w:val="clear" w:color="auto" w:fill="C6EFCE"/>
            <w:noWrap/>
            <w:vAlign w:val="center"/>
            <w:hideMark/>
          </w:tcPr>
          <w:p w14:paraId="7A00AF74"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16949_Viedie tilti</w:t>
            </w:r>
          </w:p>
        </w:tc>
        <w:tc>
          <w:tcPr>
            <w:tcW w:w="1680" w:type="dxa"/>
            <w:tcBorders>
              <w:top w:val="nil"/>
              <w:left w:val="nil"/>
              <w:bottom w:val="single" w:sz="4" w:space="0" w:color="auto"/>
              <w:right w:val="single" w:sz="4" w:space="0" w:color="auto"/>
            </w:tcBorders>
            <w:shd w:val="clear" w:color="auto" w:fill="C6EFCE"/>
            <w:noWrap/>
            <w:vAlign w:val="center"/>
            <w:hideMark/>
          </w:tcPr>
          <w:p w14:paraId="0757DC8C"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0B48D72" w14:textId="77777777" w:rsidR="00CB0FCB" w:rsidRDefault="009D2B11">
            <w:pPr>
              <w:pStyle w:val="P68B1DB1-Normal8"/>
              <w:keepNext/>
              <w:spacing w:before="40" w:after="0" w:line="240" w:lineRule="auto"/>
              <w:jc w:val="both"/>
              <w:rPr>
                <w:rFonts w:cs="Times New Roman"/>
                <w:noProof/>
                <w:szCs w:val="18"/>
              </w:rPr>
            </w:pPr>
            <w:r>
              <w:rPr>
                <w:noProof/>
              </w:rPr>
              <w:t>Viedo tiltu projekta pabeigšana II posmā</w:t>
            </w:r>
          </w:p>
        </w:tc>
      </w:tr>
      <w:tr w:rsidR="00CB0FCB" w14:paraId="4F98E01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66E133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274</w:t>
            </w:r>
          </w:p>
        </w:tc>
        <w:tc>
          <w:tcPr>
            <w:tcW w:w="4320" w:type="dxa"/>
            <w:tcBorders>
              <w:top w:val="nil"/>
              <w:left w:val="nil"/>
              <w:bottom w:val="single" w:sz="4" w:space="0" w:color="auto"/>
              <w:right w:val="single" w:sz="4" w:space="0" w:color="auto"/>
            </w:tcBorders>
            <w:shd w:val="clear" w:color="auto" w:fill="C6EFCE"/>
            <w:noWrap/>
            <w:vAlign w:val="center"/>
            <w:hideMark/>
          </w:tcPr>
          <w:p w14:paraId="07E38C6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16959_Grieķijas Dzelzceļa organizācijas digitālā pārveide</w:t>
            </w:r>
          </w:p>
        </w:tc>
        <w:tc>
          <w:tcPr>
            <w:tcW w:w="1680" w:type="dxa"/>
            <w:tcBorders>
              <w:top w:val="nil"/>
              <w:left w:val="nil"/>
              <w:bottom w:val="single" w:sz="4" w:space="0" w:color="auto"/>
              <w:right w:val="single" w:sz="4" w:space="0" w:color="auto"/>
            </w:tcBorders>
            <w:shd w:val="clear" w:color="auto" w:fill="C6EFCE"/>
            <w:noWrap/>
            <w:vAlign w:val="center"/>
            <w:hideMark/>
          </w:tcPr>
          <w:p w14:paraId="3F8E3571"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DA50AB7" w14:textId="77777777" w:rsidR="00CB0FCB" w:rsidRDefault="009D2B11">
            <w:pPr>
              <w:pStyle w:val="P68B1DB1-Normal8"/>
              <w:keepNext/>
              <w:spacing w:before="40" w:after="0" w:line="240" w:lineRule="auto"/>
              <w:jc w:val="both"/>
              <w:rPr>
                <w:rFonts w:eastAsia="Times New Roman" w:cs="Times New Roman"/>
                <w:noProof/>
                <w:szCs w:val="18"/>
              </w:rPr>
            </w:pPr>
            <w:r>
              <w:rPr>
                <w:noProof/>
              </w:rPr>
              <w:t>OSE projekta digitālās pārveides pabeigšana</w:t>
            </w:r>
          </w:p>
        </w:tc>
      </w:tr>
      <w:tr w:rsidR="00CB0FCB" w14:paraId="7652813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6D931B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275</w:t>
            </w:r>
          </w:p>
        </w:tc>
        <w:tc>
          <w:tcPr>
            <w:tcW w:w="4320" w:type="dxa"/>
            <w:tcBorders>
              <w:top w:val="nil"/>
              <w:left w:val="nil"/>
              <w:bottom w:val="single" w:sz="4" w:space="0" w:color="auto"/>
              <w:right w:val="single" w:sz="4" w:space="0" w:color="auto"/>
            </w:tcBorders>
            <w:shd w:val="clear" w:color="auto" w:fill="C6EFCE"/>
            <w:noWrap/>
            <w:vAlign w:val="center"/>
            <w:hideMark/>
          </w:tcPr>
          <w:p w14:paraId="4553FF4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16960_Vieda infrastruktūra ar uzsvaru uz vidi un kultūru</w:t>
            </w:r>
          </w:p>
        </w:tc>
        <w:tc>
          <w:tcPr>
            <w:tcW w:w="1680" w:type="dxa"/>
            <w:tcBorders>
              <w:top w:val="nil"/>
              <w:left w:val="nil"/>
              <w:bottom w:val="single" w:sz="4" w:space="0" w:color="auto"/>
              <w:right w:val="single" w:sz="4" w:space="0" w:color="auto"/>
            </w:tcBorders>
            <w:shd w:val="clear" w:color="auto" w:fill="C6EFCE"/>
            <w:noWrap/>
            <w:vAlign w:val="center"/>
            <w:hideMark/>
          </w:tcPr>
          <w:p w14:paraId="42755EE6"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BC66D0E" w14:textId="77777777" w:rsidR="00CB0FCB" w:rsidRDefault="009D2B11">
            <w:pPr>
              <w:pStyle w:val="P68B1DB1-Normal8"/>
              <w:keepNext/>
              <w:spacing w:before="40" w:after="0" w:line="240" w:lineRule="auto"/>
              <w:jc w:val="both"/>
              <w:rPr>
                <w:rFonts w:eastAsia="Times New Roman" w:cs="Times New Roman"/>
                <w:noProof/>
                <w:szCs w:val="18"/>
              </w:rPr>
            </w:pPr>
            <w:r>
              <w:rPr>
                <w:noProof/>
              </w:rPr>
              <w:t>Viedās infrastruktūras projekta pabeigšana</w:t>
            </w:r>
          </w:p>
        </w:tc>
      </w:tr>
      <w:tr w:rsidR="00CB0FCB" w14:paraId="60CC7BF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633C74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276</w:t>
            </w:r>
          </w:p>
        </w:tc>
        <w:tc>
          <w:tcPr>
            <w:tcW w:w="4320" w:type="dxa"/>
            <w:tcBorders>
              <w:top w:val="nil"/>
              <w:left w:val="nil"/>
              <w:bottom w:val="single" w:sz="4" w:space="0" w:color="auto"/>
              <w:right w:val="single" w:sz="4" w:space="0" w:color="auto"/>
            </w:tcBorders>
            <w:shd w:val="clear" w:color="auto" w:fill="C6EFCE"/>
            <w:noWrap/>
            <w:vAlign w:val="center"/>
            <w:hideMark/>
          </w:tcPr>
          <w:p w14:paraId="1B703CA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16937_Infrastruktūras un transporta ministrijas Tehnisko darbu un strukturālo aktīvu pārvaldības digitālā integrētā programmu pārvaldības sistēma</w:t>
            </w:r>
          </w:p>
        </w:tc>
        <w:tc>
          <w:tcPr>
            <w:tcW w:w="1680" w:type="dxa"/>
            <w:tcBorders>
              <w:top w:val="nil"/>
              <w:left w:val="nil"/>
              <w:bottom w:val="single" w:sz="4" w:space="0" w:color="auto"/>
              <w:right w:val="single" w:sz="4" w:space="0" w:color="auto"/>
            </w:tcBorders>
            <w:shd w:val="clear" w:color="auto" w:fill="C6EFCE"/>
            <w:noWrap/>
            <w:vAlign w:val="center"/>
            <w:hideMark/>
          </w:tcPr>
          <w:p w14:paraId="3BD4321B"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693024F" w14:textId="77777777" w:rsidR="00CB0FCB" w:rsidRDefault="009D2B11">
            <w:pPr>
              <w:pStyle w:val="P68B1DB1-Normal8"/>
              <w:keepNext/>
              <w:spacing w:before="40" w:after="0" w:line="240" w:lineRule="auto"/>
              <w:jc w:val="both"/>
              <w:rPr>
                <w:rFonts w:eastAsia="Times New Roman" w:cs="Times New Roman"/>
                <w:noProof/>
                <w:szCs w:val="18"/>
              </w:rPr>
            </w:pPr>
            <w:r>
              <w:rPr>
                <w:noProof/>
              </w:rPr>
              <w:t>Infrastruktūras ministrijas PMIS pabeigšana</w:t>
            </w:r>
          </w:p>
        </w:tc>
      </w:tr>
      <w:tr w:rsidR="00CB0FCB" w14:paraId="3935257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DEE73C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283</w:t>
            </w:r>
          </w:p>
        </w:tc>
        <w:tc>
          <w:tcPr>
            <w:tcW w:w="4320" w:type="dxa"/>
            <w:tcBorders>
              <w:top w:val="nil"/>
              <w:left w:val="nil"/>
              <w:bottom w:val="single" w:sz="4" w:space="0" w:color="auto"/>
              <w:right w:val="single" w:sz="4" w:space="0" w:color="auto"/>
            </w:tcBorders>
            <w:shd w:val="clear" w:color="auto" w:fill="C6EFCE"/>
            <w:noWrap/>
            <w:vAlign w:val="center"/>
            <w:hideMark/>
          </w:tcPr>
          <w:p w14:paraId="0FDCC3C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16293_Kultūra kā izaugsmes virzītājspēks</w:t>
            </w:r>
          </w:p>
        </w:tc>
        <w:tc>
          <w:tcPr>
            <w:tcW w:w="1680" w:type="dxa"/>
            <w:tcBorders>
              <w:top w:val="nil"/>
              <w:left w:val="nil"/>
              <w:bottom w:val="single" w:sz="4" w:space="0" w:color="auto"/>
              <w:right w:val="single" w:sz="4" w:space="0" w:color="auto"/>
            </w:tcBorders>
            <w:shd w:val="clear" w:color="auto" w:fill="C6EFCE"/>
            <w:noWrap/>
            <w:vAlign w:val="center"/>
            <w:hideMark/>
          </w:tcPr>
          <w:p w14:paraId="234EA5DF"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B3E1EED" w14:textId="77777777" w:rsidR="00CB0FCB" w:rsidRDefault="009D2B11">
            <w:pPr>
              <w:pStyle w:val="P68B1DB1-Normal8"/>
              <w:keepNext/>
              <w:spacing w:before="40" w:after="0" w:line="240" w:lineRule="auto"/>
              <w:jc w:val="both"/>
              <w:rPr>
                <w:rFonts w:eastAsia="Times New Roman" w:cs="Times New Roman"/>
                <w:noProof/>
                <w:szCs w:val="18"/>
              </w:rPr>
            </w:pPr>
            <w:r>
              <w:rPr>
                <w:noProof/>
              </w:rPr>
              <w:t>Kultūra kā izaugsmes virzītājspēks</w:t>
            </w:r>
          </w:p>
        </w:tc>
      </w:tr>
      <w:tr w:rsidR="00CB0FCB" w14:paraId="741BBB4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6EA347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284</w:t>
            </w:r>
          </w:p>
        </w:tc>
        <w:tc>
          <w:tcPr>
            <w:tcW w:w="4320" w:type="dxa"/>
            <w:tcBorders>
              <w:top w:val="nil"/>
              <w:left w:val="nil"/>
              <w:bottom w:val="single" w:sz="4" w:space="0" w:color="auto"/>
              <w:right w:val="single" w:sz="4" w:space="0" w:color="auto"/>
            </w:tcBorders>
            <w:shd w:val="clear" w:color="auto" w:fill="C6EFCE"/>
            <w:noWrap/>
            <w:vAlign w:val="center"/>
            <w:hideMark/>
          </w:tcPr>
          <w:p w14:paraId="21ECBAD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16536_Infrastruktūras modernizācija, aprīkojuma atjaunošana un HOCRED Storu — bijušo ARF krājumu (uz vietas un elektroniski) sniegto pakalpojumu kvalitātes uzlabošana</w:t>
            </w:r>
          </w:p>
        </w:tc>
        <w:tc>
          <w:tcPr>
            <w:tcW w:w="1680" w:type="dxa"/>
            <w:tcBorders>
              <w:top w:val="nil"/>
              <w:left w:val="nil"/>
              <w:bottom w:val="single" w:sz="4" w:space="0" w:color="auto"/>
              <w:right w:val="single" w:sz="4" w:space="0" w:color="auto"/>
            </w:tcBorders>
            <w:shd w:val="clear" w:color="auto" w:fill="C6EFCE"/>
            <w:noWrap/>
            <w:vAlign w:val="center"/>
            <w:hideMark/>
          </w:tcPr>
          <w:p w14:paraId="11C78CC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F6FEE75"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Grieķijas Kultūras resursu attīstības organizācijas (HOCRED) modernizācija </w:t>
            </w:r>
          </w:p>
        </w:tc>
      </w:tr>
      <w:tr w:rsidR="00CB0FCB" w14:paraId="7D6F172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6EC2BD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285</w:t>
            </w:r>
          </w:p>
        </w:tc>
        <w:tc>
          <w:tcPr>
            <w:tcW w:w="4320" w:type="dxa"/>
            <w:tcBorders>
              <w:top w:val="nil"/>
              <w:left w:val="nil"/>
              <w:bottom w:val="single" w:sz="4" w:space="0" w:color="auto"/>
              <w:right w:val="single" w:sz="4" w:space="0" w:color="auto"/>
            </w:tcBorders>
            <w:shd w:val="clear" w:color="auto" w:fill="C6EFCE"/>
            <w:noWrap/>
            <w:vAlign w:val="center"/>
            <w:hideMark/>
          </w:tcPr>
          <w:p w14:paraId="0D59E48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16725_Augstākās mākslas izglītības modernizācija</w:t>
            </w:r>
          </w:p>
        </w:tc>
        <w:tc>
          <w:tcPr>
            <w:tcW w:w="1680" w:type="dxa"/>
            <w:tcBorders>
              <w:top w:val="nil"/>
              <w:left w:val="nil"/>
              <w:bottom w:val="single" w:sz="4" w:space="0" w:color="auto"/>
              <w:right w:val="single" w:sz="4" w:space="0" w:color="auto"/>
            </w:tcBorders>
            <w:shd w:val="clear" w:color="auto" w:fill="C6EFCE"/>
            <w:noWrap/>
            <w:vAlign w:val="center"/>
            <w:hideMark/>
          </w:tcPr>
          <w:p w14:paraId="4CA16663"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6E1BF27" w14:textId="77777777" w:rsidR="00CB0FCB" w:rsidRDefault="009D2B11">
            <w:pPr>
              <w:pStyle w:val="P68B1DB1-Normal8"/>
              <w:keepNext/>
              <w:spacing w:before="40" w:after="0" w:line="240" w:lineRule="auto"/>
              <w:jc w:val="both"/>
              <w:rPr>
                <w:rFonts w:eastAsia="Times New Roman" w:cs="Times New Roman"/>
                <w:noProof/>
                <w:szCs w:val="18"/>
              </w:rPr>
            </w:pPr>
            <w:r>
              <w:rPr>
                <w:noProof/>
              </w:rPr>
              <w:t>Augstākās mākslas izglītības uzlabošana</w:t>
            </w:r>
          </w:p>
        </w:tc>
      </w:tr>
      <w:tr w:rsidR="00CB0FCB" w14:paraId="10DDC45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9D91BA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287</w:t>
            </w:r>
          </w:p>
        </w:tc>
        <w:tc>
          <w:tcPr>
            <w:tcW w:w="4320" w:type="dxa"/>
            <w:tcBorders>
              <w:top w:val="nil"/>
              <w:left w:val="nil"/>
              <w:bottom w:val="single" w:sz="4" w:space="0" w:color="auto"/>
              <w:right w:val="single" w:sz="4" w:space="0" w:color="auto"/>
            </w:tcBorders>
            <w:shd w:val="clear" w:color="auto" w:fill="C6EFCE"/>
            <w:noWrap/>
            <w:vAlign w:val="center"/>
            <w:hideMark/>
          </w:tcPr>
          <w:p w14:paraId="0906845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16486_zemūdens senlietu muzejs</w:t>
            </w:r>
          </w:p>
        </w:tc>
        <w:tc>
          <w:tcPr>
            <w:tcW w:w="1680" w:type="dxa"/>
            <w:tcBorders>
              <w:top w:val="nil"/>
              <w:left w:val="nil"/>
              <w:bottom w:val="single" w:sz="4" w:space="0" w:color="auto"/>
              <w:right w:val="single" w:sz="4" w:space="0" w:color="auto"/>
            </w:tcBorders>
            <w:shd w:val="clear" w:color="auto" w:fill="C6EFCE"/>
            <w:noWrap/>
            <w:vAlign w:val="center"/>
            <w:hideMark/>
          </w:tcPr>
          <w:p w14:paraId="5A102A64"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393712EC" w14:textId="77777777" w:rsidR="00CB0FCB" w:rsidRDefault="009D2B11">
            <w:pPr>
              <w:pStyle w:val="P68B1DB1-Normal8"/>
              <w:keepNext/>
              <w:spacing w:before="40" w:after="0" w:line="240" w:lineRule="auto"/>
              <w:jc w:val="both"/>
              <w:rPr>
                <w:rFonts w:eastAsia="Times New Roman" w:cs="Times New Roman"/>
                <w:noProof/>
                <w:szCs w:val="18"/>
              </w:rPr>
            </w:pPr>
            <w:r>
              <w:rPr>
                <w:noProof/>
              </w:rPr>
              <w:t>Zemūdens senlietu muzejs</w:t>
            </w:r>
          </w:p>
        </w:tc>
      </w:tr>
      <w:tr w:rsidR="00CB0FCB" w14:paraId="3081C9A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6C2514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288</w:t>
            </w:r>
          </w:p>
        </w:tc>
        <w:tc>
          <w:tcPr>
            <w:tcW w:w="4320" w:type="dxa"/>
            <w:tcBorders>
              <w:top w:val="nil"/>
              <w:left w:val="nil"/>
              <w:bottom w:val="single" w:sz="4" w:space="0" w:color="auto"/>
              <w:right w:val="single" w:sz="4" w:space="0" w:color="auto"/>
            </w:tcBorders>
            <w:shd w:val="clear" w:color="auto" w:fill="C6EFCE"/>
            <w:noWrap/>
            <w:vAlign w:val="center"/>
            <w:hideMark/>
          </w:tcPr>
          <w:p w14:paraId="07B55E4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16485_Kultūras ceļi Emblemātiskos arheoloģiskos objektos un piemineļos</w:t>
            </w:r>
          </w:p>
        </w:tc>
        <w:tc>
          <w:tcPr>
            <w:tcW w:w="1680" w:type="dxa"/>
            <w:tcBorders>
              <w:top w:val="nil"/>
              <w:left w:val="nil"/>
              <w:bottom w:val="single" w:sz="4" w:space="0" w:color="auto"/>
              <w:right w:val="single" w:sz="4" w:space="0" w:color="auto"/>
            </w:tcBorders>
            <w:shd w:val="clear" w:color="auto" w:fill="C6EFCE"/>
            <w:noWrap/>
            <w:vAlign w:val="center"/>
            <w:hideMark/>
          </w:tcPr>
          <w:p w14:paraId="53ED72F9"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57609D5C" w14:textId="77777777" w:rsidR="00CB0FCB" w:rsidRDefault="009D2B11">
            <w:pPr>
              <w:pStyle w:val="P68B1DB1-Normal8"/>
              <w:keepNext/>
              <w:spacing w:before="40" w:after="0" w:line="240" w:lineRule="auto"/>
              <w:jc w:val="both"/>
              <w:rPr>
                <w:rFonts w:eastAsia="Times New Roman" w:cs="Times New Roman"/>
                <w:noProof/>
                <w:szCs w:val="18"/>
              </w:rPr>
            </w:pPr>
            <w:r>
              <w:rPr>
                <w:noProof/>
              </w:rPr>
              <w:t>Kultūras maršruti Emblemātisko arheoloģisko objektu vietās</w:t>
            </w:r>
          </w:p>
        </w:tc>
      </w:tr>
      <w:tr w:rsidR="00CB0FCB" w14:paraId="6350803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E21255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289</w:t>
            </w:r>
          </w:p>
        </w:tc>
        <w:tc>
          <w:tcPr>
            <w:tcW w:w="4320" w:type="dxa"/>
            <w:tcBorders>
              <w:top w:val="nil"/>
              <w:left w:val="nil"/>
              <w:bottom w:val="single" w:sz="4" w:space="0" w:color="auto"/>
              <w:right w:val="single" w:sz="4" w:space="0" w:color="auto"/>
            </w:tcBorders>
            <w:shd w:val="clear" w:color="auto" w:fill="C6EFCE"/>
            <w:noWrap/>
            <w:vAlign w:val="center"/>
            <w:hideMark/>
          </w:tcPr>
          <w:p w14:paraId="58A1699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16735_Mākslas pret recepti izmantošana, sociālās kohēzijas veicināšana un senioru ekonomikas izmantošana</w:t>
            </w:r>
          </w:p>
        </w:tc>
        <w:tc>
          <w:tcPr>
            <w:tcW w:w="1680" w:type="dxa"/>
            <w:tcBorders>
              <w:top w:val="nil"/>
              <w:left w:val="nil"/>
              <w:bottom w:val="single" w:sz="4" w:space="0" w:color="auto"/>
              <w:right w:val="single" w:sz="4" w:space="0" w:color="auto"/>
            </w:tcBorders>
            <w:shd w:val="clear" w:color="auto" w:fill="C6EFCE"/>
            <w:noWrap/>
            <w:vAlign w:val="center"/>
            <w:hideMark/>
          </w:tcPr>
          <w:p w14:paraId="435DC07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7EAD8EE9" w14:textId="77777777" w:rsidR="00CB0FCB" w:rsidRDefault="009D2B11">
            <w:pPr>
              <w:pStyle w:val="P68B1DB1-Normal8"/>
              <w:keepNext/>
              <w:spacing w:before="40" w:after="0" w:line="240" w:lineRule="auto"/>
              <w:jc w:val="both"/>
              <w:rPr>
                <w:rFonts w:eastAsia="Times New Roman" w:cs="Times New Roman"/>
                <w:noProof/>
                <w:szCs w:val="18"/>
              </w:rPr>
            </w:pPr>
            <w:r>
              <w:rPr>
                <w:noProof/>
              </w:rPr>
              <w:t>“Mākslas par recepti” izmantošana,</w:t>
            </w:r>
          </w:p>
        </w:tc>
      </w:tr>
      <w:tr w:rsidR="00CB0FCB" w14:paraId="5D6F5A0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254D79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290</w:t>
            </w:r>
          </w:p>
        </w:tc>
        <w:tc>
          <w:tcPr>
            <w:tcW w:w="4320" w:type="dxa"/>
            <w:tcBorders>
              <w:top w:val="nil"/>
              <w:left w:val="nil"/>
              <w:bottom w:val="single" w:sz="4" w:space="0" w:color="auto"/>
              <w:right w:val="single" w:sz="4" w:space="0" w:color="auto"/>
            </w:tcBorders>
            <w:shd w:val="clear" w:color="auto" w:fill="C6EFCE"/>
            <w:noWrap/>
            <w:vAlign w:val="center"/>
            <w:hideMark/>
          </w:tcPr>
          <w:p w14:paraId="2BE07D0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16433_Kultūras pieminekļu un arheoloģisko objektu aizsardzība pret klimata pārmaiņām</w:t>
            </w:r>
          </w:p>
        </w:tc>
        <w:tc>
          <w:tcPr>
            <w:tcW w:w="1680" w:type="dxa"/>
            <w:tcBorders>
              <w:top w:val="nil"/>
              <w:left w:val="nil"/>
              <w:bottom w:val="single" w:sz="4" w:space="0" w:color="auto"/>
              <w:right w:val="single" w:sz="4" w:space="0" w:color="auto"/>
            </w:tcBorders>
            <w:shd w:val="clear" w:color="auto" w:fill="C6EFCE"/>
            <w:noWrap/>
            <w:vAlign w:val="center"/>
            <w:hideMark/>
          </w:tcPr>
          <w:p w14:paraId="5E28301B" w14:textId="77777777" w:rsidR="00CB0FCB" w:rsidRDefault="009D2B11">
            <w:pPr>
              <w:pStyle w:val="P68B1DB1-Normal8"/>
              <w:keepNext/>
              <w:spacing w:before="40" w:after="0" w:line="240" w:lineRule="auto"/>
              <w:jc w:val="both"/>
              <w:rPr>
                <w:rFonts w:eastAsia="Times New Roman" w:cs="Times New Roman"/>
                <w:noProof/>
                <w:szCs w:val="18"/>
              </w:rPr>
            </w:pPr>
            <w:r>
              <w:rPr>
                <w:noProof/>
              </w:rPr>
              <w:t xml:space="preserve">Atskaites punkts </w:t>
            </w:r>
          </w:p>
        </w:tc>
        <w:tc>
          <w:tcPr>
            <w:tcW w:w="2280" w:type="dxa"/>
            <w:tcBorders>
              <w:top w:val="nil"/>
              <w:left w:val="nil"/>
              <w:bottom w:val="single" w:sz="4" w:space="0" w:color="auto"/>
              <w:right w:val="single" w:sz="4" w:space="0" w:color="auto"/>
            </w:tcBorders>
            <w:shd w:val="clear" w:color="auto" w:fill="C6EFCE"/>
            <w:noWrap/>
            <w:vAlign w:val="center"/>
            <w:hideMark/>
          </w:tcPr>
          <w:p w14:paraId="46CA641C" w14:textId="77777777" w:rsidR="00CB0FCB" w:rsidRDefault="009D2B11">
            <w:pPr>
              <w:pStyle w:val="P68B1DB1-Normal8"/>
              <w:keepNext/>
              <w:spacing w:before="40" w:after="0" w:line="240" w:lineRule="auto"/>
              <w:jc w:val="both"/>
              <w:rPr>
                <w:rFonts w:eastAsia="Times New Roman" w:cs="Times New Roman"/>
                <w:noProof/>
                <w:szCs w:val="18"/>
              </w:rPr>
            </w:pPr>
            <w:r>
              <w:rPr>
                <w:noProof/>
              </w:rPr>
              <w:t>Kultūras pieminekļu aizsardzība pret klimata pārmaiņām</w:t>
            </w:r>
          </w:p>
        </w:tc>
      </w:tr>
      <w:tr w:rsidR="00CB0FCB" w14:paraId="0D0F235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3DD2F1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291</w:t>
            </w:r>
          </w:p>
        </w:tc>
        <w:tc>
          <w:tcPr>
            <w:tcW w:w="4320" w:type="dxa"/>
            <w:tcBorders>
              <w:top w:val="nil"/>
              <w:left w:val="nil"/>
              <w:bottom w:val="single" w:sz="4" w:space="0" w:color="auto"/>
              <w:right w:val="single" w:sz="4" w:space="0" w:color="auto"/>
            </w:tcBorders>
            <w:shd w:val="clear" w:color="auto" w:fill="C6EFCE"/>
            <w:noWrap/>
            <w:vAlign w:val="center"/>
            <w:hideMark/>
          </w:tcPr>
          <w:p w14:paraId="27650EF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16435_Restoration — Saglabāšana — Akropoles pieminekļu uzlabošana</w:t>
            </w:r>
          </w:p>
        </w:tc>
        <w:tc>
          <w:tcPr>
            <w:tcW w:w="1680" w:type="dxa"/>
            <w:tcBorders>
              <w:top w:val="nil"/>
              <w:left w:val="nil"/>
              <w:bottom w:val="single" w:sz="4" w:space="0" w:color="auto"/>
              <w:right w:val="single" w:sz="4" w:space="0" w:color="auto"/>
            </w:tcBorders>
            <w:shd w:val="clear" w:color="auto" w:fill="C6EFCE"/>
            <w:noWrap/>
            <w:vAlign w:val="center"/>
            <w:hideMark/>
          </w:tcPr>
          <w:p w14:paraId="6AFC636F"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6F7F98A0" w14:textId="77777777" w:rsidR="00CB0FCB" w:rsidRDefault="009D2B11">
            <w:pPr>
              <w:pStyle w:val="P68B1DB1-Normal8"/>
              <w:keepNext/>
              <w:spacing w:before="40" w:after="0" w:line="240" w:lineRule="auto"/>
              <w:jc w:val="both"/>
              <w:rPr>
                <w:rFonts w:eastAsia="Times New Roman" w:cs="Times New Roman"/>
                <w:noProof/>
                <w:szCs w:val="18"/>
              </w:rPr>
            </w:pPr>
            <w:r>
              <w:rPr>
                <w:noProof/>
              </w:rPr>
              <w:t>Atjaunošana — Saglabāšana — Akropoles uzlabošana</w:t>
            </w:r>
          </w:p>
        </w:tc>
      </w:tr>
      <w:tr w:rsidR="00CB0FCB" w14:paraId="1D37CED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8CBAC21" w14:textId="77777777" w:rsidR="00CB0FCB" w:rsidRDefault="009D2B11">
            <w:pPr>
              <w:pStyle w:val="P68B1DB1-Normal8"/>
              <w:keepNext/>
              <w:spacing w:before="40" w:after="0" w:line="240" w:lineRule="auto"/>
              <w:jc w:val="both"/>
              <w:rPr>
                <w:rFonts w:cs="Times New Roman"/>
                <w:noProof/>
                <w:szCs w:val="18"/>
              </w:rPr>
            </w:pPr>
            <w:r>
              <w:rPr>
                <w:noProof/>
              </w:rPr>
              <w:t>296</w:t>
            </w:r>
          </w:p>
        </w:tc>
        <w:tc>
          <w:tcPr>
            <w:tcW w:w="4320" w:type="dxa"/>
            <w:tcBorders>
              <w:top w:val="nil"/>
              <w:left w:val="nil"/>
              <w:bottom w:val="single" w:sz="4" w:space="0" w:color="auto"/>
              <w:right w:val="single" w:sz="4" w:space="0" w:color="auto"/>
            </w:tcBorders>
            <w:shd w:val="clear" w:color="auto" w:fill="C6EFCE"/>
            <w:noWrap/>
            <w:vAlign w:val="center"/>
            <w:hideMark/>
          </w:tcPr>
          <w:p w14:paraId="58973A90" w14:textId="77777777" w:rsidR="00CB0FCB" w:rsidRDefault="009D2B11">
            <w:pPr>
              <w:pStyle w:val="P68B1DB1-Normal8"/>
              <w:keepNext/>
              <w:spacing w:before="40" w:after="0" w:line="240" w:lineRule="auto"/>
              <w:jc w:val="both"/>
              <w:rPr>
                <w:rFonts w:cs="Times New Roman"/>
                <w:noProof/>
                <w:szCs w:val="18"/>
              </w:rPr>
            </w:pPr>
            <w:r>
              <w:rPr>
                <w:noProof/>
              </w:rPr>
              <w:t>17–4.6. Modernizēt un uzlabot galveno ekonomikas nozaru noturību — 16921_Pārkvalifikācija un prasmju pilnveide tūrisma nozarē</w:t>
            </w:r>
          </w:p>
        </w:tc>
        <w:tc>
          <w:tcPr>
            <w:tcW w:w="1680" w:type="dxa"/>
            <w:tcBorders>
              <w:top w:val="nil"/>
              <w:left w:val="nil"/>
              <w:bottom w:val="single" w:sz="4" w:space="0" w:color="auto"/>
              <w:right w:val="single" w:sz="4" w:space="0" w:color="auto"/>
            </w:tcBorders>
            <w:shd w:val="clear" w:color="auto" w:fill="C6EFCE"/>
            <w:noWrap/>
            <w:vAlign w:val="center"/>
            <w:hideMark/>
          </w:tcPr>
          <w:p w14:paraId="3CAE9894" w14:textId="77777777" w:rsidR="00CB0FCB" w:rsidRDefault="009D2B11">
            <w:pPr>
              <w:pStyle w:val="P68B1DB1-Normal8"/>
              <w:keepNext/>
              <w:spacing w:before="40" w:after="0" w:line="240" w:lineRule="auto"/>
              <w:jc w:val="both"/>
              <w:rPr>
                <w:rFonts w:cs="Times New Roman"/>
                <w:noProof/>
                <w:szCs w:val="18"/>
              </w:rPr>
            </w:pPr>
            <w:r>
              <w:rPr>
                <w:noProof/>
              </w:rPr>
              <w:t>Mērķa</w:t>
            </w:r>
          </w:p>
        </w:tc>
        <w:tc>
          <w:tcPr>
            <w:tcW w:w="2280" w:type="dxa"/>
            <w:tcBorders>
              <w:top w:val="nil"/>
              <w:left w:val="nil"/>
              <w:bottom w:val="single" w:sz="4" w:space="0" w:color="auto"/>
              <w:right w:val="single" w:sz="4" w:space="0" w:color="auto"/>
            </w:tcBorders>
            <w:shd w:val="clear" w:color="auto" w:fill="C6EFCE"/>
            <w:noWrap/>
            <w:vAlign w:val="center"/>
            <w:hideMark/>
          </w:tcPr>
          <w:p w14:paraId="11203FAF" w14:textId="77777777" w:rsidR="00CB0FCB" w:rsidRDefault="009D2B11">
            <w:pPr>
              <w:pStyle w:val="P68B1DB1-Normal8"/>
              <w:keepNext/>
              <w:spacing w:before="40" w:after="0" w:line="240" w:lineRule="auto"/>
              <w:jc w:val="both"/>
              <w:rPr>
                <w:rFonts w:cs="Times New Roman"/>
                <w:noProof/>
                <w:szCs w:val="18"/>
              </w:rPr>
            </w:pPr>
            <w:r>
              <w:rPr>
                <w:noProof/>
              </w:rPr>
              <w:t>Pārkvalifikācija un kvalifikācijas celšana tūrisma nozarē (pabeigšana)</w:t>
            </w:r>
          </w:p>
        </w:tc>
      </w:tr>
      <w:tr w:rsidR="00CB0FCB" w14:paraId="17FC2AB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107567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297</w:t>
            </w:r>
          </w:p>
        </w:tc>
        <w:tc>
          <w:tcPr>
            <w:tcW w:w="4320" w:type="dxa"/>
            <w:tcBorders>
              <w:top w:val="nil"/>
              <w:left w:val="nil"/>
              <w:bottom w:val="single" w:sz="4" w:space="0" w:color="auto"/>
              <w:right w:val="single" w:sz="4" w:space="0" w:color="auto"/>
            </w:tcBorders>
            <w:shd w:val="clear" w:color="auto" w:fill="C6EFCE"/>
            <w:noWrap/>
            <w:vAlign w:val="center"/>
            <w:hideMark/>
          </w:tcPr>
          <w:p w14:paraId="118CE1D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16931_Tūrisma attīstība</w:t>
            </w:r>
          </w:p>
        </w:tc>
        <w:tc>
          <w:tcPr>
            <w:tcW w:w="1680" w:type="dxa"/>
            <w:tcBorders>
              <w:top w:val="nil"/>
              <w:left w:val="nil"/>
              <w:bottom w:val="single" w:sz="4" w:space="0" w:color="auto"/>
              <w:right w:val="single" w:sz="4" w:space="0" w:color="auto"/>
            </w:tcBorders>
            <w:shd w:val="clear" w:color="auto" w:fill="C6EFCE"/>
            <w:noWrap/>
            <w:vAlign w:val="center"/>
            <w:hideMark/>
          </w:tcPr>
          <w:p w14:paraId="64C0709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5ACF9E9" w14:textId="77777777" w:rsidR="00CB0FCB" w:rsidRDefault="009D2B11">
            <w:pPr>
              <w:pStyle w:val="P68B1DB1-Normal8"/>
              <w:keepNext/>
              <w:spacing w:before="40" w:after="0" w:line="240" w:lineRule="auto"/>
              <w:jc w:val="both"/>
              <w:rPr>
                <w:rFonts w:eastAsia="Times New Roman" w:cs="Times New Roman"/>
                <w:noProof/>
                <w:szCs w:val="18"/>
              </w:rPr>
            </w:pPr>
            <w:r>
              <w:rPr>
                <w:noProof/>
              </w:rPr>
              <w:t>Tūrisma attīstības projekta pabeigšana</w:t>
            </w:r>
          </w:p>
        </w:tc>
      </w:tr>
      <w:tr w:rsidR="00CB0FCB" w14:paraId="23AAC03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FFFD53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298</w:t>
            </w:r>
          </w:p>
        </w:tc>
        <w:tc>
          <w:tcPr>
            <w:tcW w:w="4320" w:type="dxa"/>
            <w:tcBorders>
              <w:top w:val="nil"/>
              <w:left w:val="nil"/>
              <w:bottom w:val="single" w:sz="4" w:space="0" w:color="auto"/>
              <w:right w:val="single" w:sz="4" w:space="0" w:color="auto"/>
            </w:tcBorders>
            <w:shd w:val="clear" w:color="auto" w:fill="C6EFCE"/>
            <w:noWrap/>
            <w:vAlign w:val="center"/>
            <w:hideMark/>
          </w:tcPr>
          <w:p w14:paraId="54A2BEC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16975_Atjaunināt intervences pasākumus reģionālajām ostām</w:t>
            </w:r>
          </w:p>
        </w:tc>
        <w:tc>
          <w:tcPr>
            <w:tcW w:w="1680" w:type="dxa"/>
            <w:tcBorders>
              <w:top w:val="nil"/>
              <w:left w:val="nil"/>
              <w:bottom w:val="single" w:sz="4" w:space="0" w:color="auto"/>
              <w:right w:val="single" w:sz="4" w:space="0" w:color="auto"/>
            </w:tcBorders>
            <w:shd w:val="clear" w:color="auto" w:fill="C6EFCE"/>
            <w:noWrap/>
            <w:vAlign w:val="center"/>
            <w:hideMark/>
          </w:tcPr>
          <w:p w14:paraId="027D8315" w14:textId="0CD174D4" w:rsidR="00CB0FCB" w:rsidRDefault="009D2B11">
            <w:pPr>
              <w:pStyle w:val="P68B1DB1-Normal49"/>
              <w:keepNext/>
              <w:spacing w:before="40" w:after="0" w:line="240" w:lineRule="auto"/>
              <w:jc w:val="both"/>
              <w:rPr>
                <w:rFonts w:eastAsia="Times New Roman" w:cs="Times New Roman"/>
                <w:noProof/>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41A653E" w14:textId="77777777" w:rsidR="00CB0FCB" w:rsidRDefault="009D2B11">
            <w:pPr>
              <w:pStyle w:val="P68B1DB1-Normal8"/>
              <w:keepNext/>
              <w:spacing w:before="40" w:after="0" w:line="240" w:lineRule="auto"/>
              <w:jc w:val="both"/>
              <w:rPr>
                <w:rFonts w:eastAsia="Times New Roman" w:cs="Times New Roman"/>
                <w:noProof/>
                <w:szCs w:val="18"/>
              </w:rPr>
            </w:pPr>
            <w:r>
              <w:rPr>
                <w:noProof/>
              </w:rPr>
              <w:t>Reģionālo ostu modernizācijas pasākumi</w:t>
            </w:r>
          </w:p>
        </w:tc>
      </w:tr>
      <w:tr w:rsidR="00CB0FCB" w14:paraId="751C7B7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B67775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307</w:t>
            </w:r>
          </w:p>
        </w:tc>
        <w:tc>
          <w:tcPr>
            <w:tcW w:w="4320" w:type="dxa"/>
            <w:tcBorders>
              <w:top w:val="nil"/>
              <w:left w:val="nil"/>
              <w:bottom w:val="single" w:sz="4" w:space="0" w:color="auto"/>
              <w:right w:val="single" w:sz="4" w:space="0" w:color="auto"/>
            </w:tcBorders>
            <w:shd w:val="clear" w:color="auto" w:fill="C6EFCE"/>
            <w:noWrap/>
            <w:vAlign w:val="center"/>
            <w:hideMark/>
          </w:tcPr>
          <w:p w14:paraId="3B5A509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16634_Jaunie industriālie parki</w:t>
            </w:r>
          </w:p>
        </w:tc>
        <w:tc>
          <w:tcPr>
            <w:tcW w:w="1680" w:type="dxa"/>
            <w:tcBorders>
              <w:top w:val="nil"/>
              <w:left w:val="nil"/>
              <w:bottom w:val="single" w:sz="4" w:space="0" w:color="auto"/>
              <w:right w:val="single" w:sz="4" w:space="0" w:color="auto"/>
            </w:tcBorders>
            <w:shd w:val="clear" w:color="auto" w:fill="C6EFCE"/>
            <w:noWrap/>
            <w:vAlign w:val="center"/>
            <w:hideMark/>
          </w:tcPr>
          <w:p w14:paraId="12D1D692"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721573D" w14:textId="77777777" w:rsidR="00CB0FCB" w:rsidRDefault="009D2B11">
            <w:pPr>
              <w:pStyle w:val="P68B1DB1-Normal8"/>
              <w:keepNext/>
              <w:spacing w:before="40" w:after="0" w:line="240" w:lineRule="auto"/>
              <w:jc w:val="both"/>
              <w:rPr>
                <w:rFonts w:eastAsia="Times New Roman" w:cs="Times New Roman"/>
                <w:noProof/>
                <w:szCs w:val="18"/>
              </w:rPr>
            </w:pPr>
            <w:r>
              <w:rPr>
                <w:noProof/>
              </w:rPr>
              <w:t>Industriālie parki — investīciju īstenošana</w:t>
            </w:r>
          </w:p>
        </w:tc>
      </w:tr>
      <w:tr w:rsidR="00CB0FCB" w14:paraId="59CEA0F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0B9D9A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308</w:t>
            </w:r>
          </w:p>
        </w:tc>
        <w:tc>
          <w:tcPr>
            <w:tcW w:w="4320" w:type="dxa"/>
            <w:tcBorders>
              <w:top w:val="nil"/>
              <w:left w:val="nil"/>
              <w:bottom w:val="single" w:sz="4" w:space="0" w:color="auto"/>
              <w:right w:val="single" w:sz="4" w:space="0" w:color="auto"/>
            </w:tcBorders>
            <w:shd w:val="clear" w:color="auto" w:fill="C6EFCE"/>
            <w:noWrap/>
            <w:vAlign w:val="center"/>
            <w:hideMark/>
          </w:tcPr>
          <w:p w14:paraId="54DEB4F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16593_Grozījums tiesiskajā regulējumā stratēģisko investīciju piesaistīšanai</w:t>
            </w:r>
          </w:p>
        </w:tc>
        <w:tc>
          <w:tcPr>
            <w:tcW w:w="1680" w:type="dxa"/>
            <w:tcBorders>
              <w:top w:val="nil"/>
              <w:left w:val="nil"/>
              <w:bottom w:val="single" w:sz="4" w:space="0" w:color="auto"/>
              <w:right w:val="single" w:sz="4" w:space="0" w:color="auto"/>
            </w:tcBorders>
            <w:shd w:val="clear" w:color="auto" w:fill="C6EFCE"/>
            <w:noWrap/>
            <w:vAlign w:val="center"/>
            <w:hideMark/>
          </w:tcPr>
          <w:p w14:paraId="7ED0C8B5"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2AB0C051" w14:textId="77777777" w:rsidR="00CB0FCB" w:rsidRDefault="009D2B11">
            <w:pPr>
              <w:pStyle w:val="P68B1DB1-Normal8"/>
              <w:keepNext/>
              <w:spacing w:before="40" w:after="0" w:line="240" w:lineRule="auto"/>
              <w:jc w:val="both"/>
              <w:rPr>
                <w:rFonts w:eastAsia="Times New Roman" w:cs="Times New Roman"/>
                <w:noProof/>
                <w:szCs w:val="18"/>
              </w:rPr>
            </w:pPr>
            <w:r>
              <w:rPr>
                <w:noProof/>
              </w:rPr>
              <w:t>Stratēģiskās investīcijas — investīciju īstenošana</w:t>
            </w:r>
          </w:p>
        </w:tc>
      </w:tr>
      <w:tr w:rsidR="00CB0FCB" w14:paraId="55F8526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7011C4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309</w:t>
            </w:r>
          </w:p>
        </w:tc>
        <w:tc>
          <w:tcPr>
            <w:tcW w:w="4320" w:type="dxa"/>
            <w:tcBorders>
              <w:top w:val="nil"/>
              <w:left w:val="nil"/>
              <w:bottom w:val="single" w:sz="4" w:space="0" w:color="auto"/>
              <w:right w:val="single" w:sz="4" w:space="0" w:color="auto"/>
            </w:tcBorders>
            <w:shd w:val="clear" w:color="auto" w:fill="C6EFCE"/>
            <w:noWrap/>
            <w:vAlign w:val="center"/>
            <w:hideMark/>
          </w:tcPr>
          <w:p w14:paraId="30A6009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16721_Viedās ražošanas paātrināšana</w:t>
            </w:r>
          </w:p>
        </w:tc>
        <w:tc>
          <w:tcPr>
            <w:tcW w:w="1680" w:type="dxa"/>
            <w:tcBorders>
              <w:top w:val="nil"/>
              <w:left w:val="nil"/>
              <w:bottom w:val="single" w:sz="4" w:space="0" w:color="auto"/>
              <w:right w:val="single" w:sz="4" w:space="0" w:color="auto"/>
            </w:tcBorders>
            <w:shd w:val="clear" w:color="auto" w:fill="C6EFCE"/>
            <w:noWrap/>
            <w:vAlign w:val="center"/>
            <w:hideMark/>
          </w:tcPr>
          <w:p w14:paraId="6B71A148"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01452DBD" w14:textId="77777777" w:rsidR="00CB0FCB" w:rsidRDefault="009D2B11">
            <w:pPr>
              <w:pStyle w:val="P68B1DB1-Normal8"/>
              <w:keepNext/>
              <w:spacing w:before="40" w:after="0" w:line="240" w:lineRule="auto"/>
              <w:jc w:val="both"/>
              <w:rPr>
                <w:rFonts w:eastAsia="Times New Roman" w:cs="Times New Roman"/>
                <w:noProof/>
                <w:szCs w:val="18"/>
              </w:rPr>
            </w:pPr>
            <w:r>
              <w:rPr>
                <w:noProof/>
              </w:rPr>
              <w:t>Ražošana, nozare — investīciju īstenošana</w:t>
            </w:r>
          </w:p>
        </w:tc>
      </w:tr>
      <w:tr w:rsidR="00CB0FCB" w14:paraId="4BA73D7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27DE96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314</w:t>
            </w:r>
          </w:p>
        </w:tc>
        <w:tc>
          <w:tcPr>
            <w:tcW w:w="4320" w:type="dxa"/>
            <w:tcBorders>
              <w:top w:val="nil"/>
              <w:left w:val="nil"/>
              <w:bottom w:val="single" w:sz="4" w:space="0" w:color="auto"/>
              <w:right w:val="single" w:sz="4" w:space="0" w:color="auto"/>
            </w:tcBorders>
            <w:shd w:val="clear" w:color="auto" w:fill="C6EFCE"/>
            <w:noWrap/>
            <w:vAlign w:val="center"/>
            <w:hideMark/>
          </w:tcPr>
          <w:p w14:paraId="236ED06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16626_Lauksaimniecības nozares ekonomiskā pārveide</w:t>
            </w:r>
          </w:p>
        </w:tc>
        <w:tc>
          <w:tcPr>
            <w:tcW w:w="1680" w:type="dxa"/>
            <w:tcBorders>
              <w:top w:val="nil"/>
              <w:left w:val="nil"/>
              <w:bottom w:val="single" w:sz="4" w:space="0" w:color="auto"/>
              <w:right w:val="single" w:sz="4" w:space="0" w:color="auto"/>
            </w:tcBorders>
            <w:shd w:val="clear" w:color="auto" w:fill="C6EFCE"/>
            <w:noWrap/>
            <w:vAlign w:val="center"/>
            <w:hideMark/>
          </w:tcPr>
          <w:p w14:paraId="6D3DF906"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7D8753D0" w14:textId="77777777" w:rsidR="00CB0FCB" w:rsidRDefault="009D2B11">
            <w:pPr>
              <w:pStyle w:val="P68B1DB1-Normal8"/>
              <w:keepNext/>
              <w:spacing w:before="40" w:after="0" w:line="240" w:lineRule="auto"/>
              <w:jc w:val="both"/>
              <w:rPr>
                <w:rFonts w:eastAsia="Times New Roman" w:cs="Times New Roman"/>
                <w:noProof/>
                <w:szCs w:val="18"/>
              </w:rPr>
            </w:pPr>
            <w:r>
              <w:rPr>
                <w:noProof/>
              </w:rPr>
              <w:t>Lauksaimniecības ekonomikas pārveides pabeigšana</w:t>
            </w:r>
          </w:p>
        </w:tc>
      </w:tr>
      <w:tr w:rsidR="00CB0FCB" w14:paraId="0272396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9EE9FAD"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315</w:t>
            </w:r>
          </w:p>
        </w:tc>
        <w:tc>
          <w:tcPr>
            <w:tcW w:w="4320" w:type="dxa"/>
            <w:tcBorders>
              <w:top w:val="nil"/>
              <w:left w:val="nil"/>
              <w:bottom w:val="single" w:sz="4" w:space="0" w:color="auto"/>
              <w:right w:val="single" w:sz="4" w:space="0" w:color="auto"/>
            </w:tcBorders>
            <w:shd w:val="clear" w:color="auto" w:fill="C6EFCE"/>
            <w:noWrap/>
            <w:vAlign w:val="center"/>
            <w:hideMark/>
          </w:tcPr>
          <w:p w14:paraId="0270A3B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17–4.6. Modernizēt un uzlabot galveno ekonomikas nozaru noturību — 16584_Priekšlikumi darbībām akvakultūras nozarē</w:t>
            </w:r>
          </w:p>
        </w:tc>
        <w:tc>
          <w:tcPr>
            <w:tcW w:w="1680" w:type="dxa"/>
            <w:tcBorders>
              <w:top w:val="nil"/>
              <w:left w:val="nil"/>
              <w:bottom w:val="single" w:sz="4" w:space="0" w:color="auto"/>
              <w:right w:val="single" w:sz="4" w:space="0" w:color="auto"/>
            </w:tcBorders>
            <w:shd w:val="clear" w:color="auto" w:fill="C6EFCE"/>
            <w:noWrap/>
            <w:vAlign w:val="center"/>
            <w:hideMark/>
          </w:tcPr>
          <w:p w14:paraId="364469BC"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7999201F" w14:textId="77777777" w:rsidR="00CB0FCB" w:rsidRDefault="009D2B11">
            <w:pPr>
              <w:pStyle w:val="P68B1DB1-Normal8"/>
              <w:keepNext/>
              <w:spacing w:before="40" w:after="0" w:line="240" w:lineRule="auto"/>
              <w:jc w:val="both"/>
              <w:rPr>
                <w:rFonts w:eastAsia="Times New Roman" w:cs="Times New Roman"/>
                <w:noProof/>
                <w:szCs w:val="18"/>
              </w:rPr>
            </w:pPr>
            <w:r>
              <w:rPr>
                <w:noProof/>
              </w:rPr>
              <w:t>Pabeigta akvakultūra</w:t>
            </w:r>
          </w:p>
        </w:tc>
      </w:tr>
      <w:tr w:rsidR="00CB0FCB" w14:paraId="2BB7892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310ECD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316</w:t>
            </w:r>
          </w:p>
        </w:tc>
        <w:tc>
          <w:tcPr>
            <w:tcW w:w="4320" w:type="dxa"/>
            <w:tcBorders>
              <w:top w:val="nil"/>
              <w:left w:val="nil"/>
              <w:bottom w:val="single" w:sz="4" w:space="0" w:color="auto"/>
              <w:right w:val="single" w:sz="4" w:space="0" w:color="auto"/>
            </w:tcBorders>
            <w:shd w:val="clear" w:color="auto" w:fill="C6EFCE"/>
            <w:noWrap/>
            <w:vAlign w:val="center"/>
            <w:hideMark/>
          </w:tcPr>
          <w:p w14:paraId="6B5C19A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4–1.4. Resursu ilgtspējīga izmantošana, klimatnoturība un vides aizsardzība — 16285_Ieguldījumi valsts apūdeņošanas tīklā, izmantojot PPP shēmas</w:t>
            </w:r>
          </w:p>
        </w:tc>
        <w:tc>
          <w:tcPr>
            <w:tcW w:w="1680" w:type="dxa"/>
            <w:tcBorders>
              <w:top w:val="nil"/>
              <w:left w:val="nil"/>
              <w:bottom w:val="single" w:sz="4" w:space="0" w:color="auto"/>
              <w:right w:val="single" w:sz="4" w:space="0" w:color="auto"/>
            </w:tcBorders>
            <w:shd w:val="clear" w:color="auto" w:fill="C6EFCE"/>
            <w:noWrap/>
            <w:vAlign w:val="center"/>
            <w:hideMark/>
          </w:tcPr>
          <w:p w14:paraId="47510923"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0AD86C18" w14:textId="77777777" w:rsidR="00CB0FCB" w:rsidRDefault="009D2B11">
            <w:pPr>
              <w:pStyle w:val="P68B1DB1-Normal8"/>
              <w:keepNext/>
              <w:spacing w:before="40" w:after="0" w:line="240" w:lineRule="auto"/>
              <w:jc w:val="both"/>
              <w:rPr>
                <w:rFonts w:eastAsia="Times New Roman" w:cs="Times New Roman"/>
                <w:noProof/>
                <w:szCs w:val="18"/>
              </w:rPr>
            </w:pPr>
            <w:r>
              <w:rPr>
                <w:noProof/>
              </w:rPr>
              <w:t>Apūdeņošanas pabeigšana</w:t>
            </w:r>
          </w:p>
        </w:tc>
      </w:tr>
      <w:tr w:rsidR="00CB0FCB" w14:paraId="0F77291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B16162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319</w:t>
            </w:r>
          </w:p>
        </w:tc>
        <w:tc>
          <w:tcPr>
            <w:tcW w:w="4320" w:type="dxa"/>
            <w:tcBorders>
              <w:top w:val="nil"/>
              <w:left w:val="nil"/>
              <w:bottom w:val="single" w:sz="4" w:space="0" w:color="auto"/>
              <w:right w:val="single" w:sz="4" w:space="0" w:color="auto"/>
            </w:tcBorders>
            <w:shd w:val="clear" w:color="auto" w:fill="C6EFCE"/>
            <w:noWrap/>
            <w:vAlign w:val="center"/>
            <w:hideMark/>
          </w:tcPr>
          <w:p w14:paraId="595CC6B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18–4.7. Uzlabot konkurētspēju un veicināt privātos ieguldījumus un eksportu — 16543_Darbības uzņēmējdarbības vides vienkāršošanai un tās kvalitātes un drošības uzlabošanai</w:t>
            </w:r>
          </w:p>
        </w:tc>
        <w:tc>
          <w:tcPr>
            <w:tcW w:w="1680" w:type="dxa"/>
            <w:tcBorders>
              <w:top w:val="nil"/>
              <w:left w:val="nil"/>
              <w:bottom w:val="single" w:sz="4" w:space="0" w:color="auto"/>
              <w:right w:val="single" w:sz="4" w:space="0" w:color="auto"/>
            </w:tcBorders>
            <w:shd w:val="clear" w:color="auto" w:fill="C6EFCE"/>
            <w:noWrap/>
            <w:vAlign w:val="center"/>
            <w:hideMark/>
          </w:tcPr>
          <w:p w14:paraId="57400736"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E618D51" w14:textId="77777777" w:rsidR="00CB0FCB" w:rsidRDefault="009D2B11">
            <w:pPr>
              <w:pStyle w:val="P68B1DB1-Normal8"/>
              <w:keepNext/>
              <w:spacing w:before="40" w:after="0" w:line="240" w:lineRule="auto"/>
              <w:jc w:val="both"/>
              <w:rPr>
                <w:rFonts w:eastAsia="Times New Roman" w:cs="Times New Roman"/>
                <w:noProof/>
                <w:szCs w:val="18"/>
              </w:rPr>
            </w:pPr>
            <w:r>
              <w:rPr>
                <w:noProof/>
              </w:rPr>
              <w:t>Uzņēmējdarbības vides uzlabošana — vienkāršošana un tirgus uzraudzība</w:t>
            </w:r>
          </w:p>
        </w:tc>
      </w:tr>
      <w:tr w:rsidR="00CB0FCB" w14:paraId="1A7D228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96FB72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259</w:t>
            </w:r>
          </w:p>
        </w:tc>
        <w:tc>
          <w:tcPr>
            <w:tcW w:w="4320" w:type="dxa"/>
            <w:tcBorders>
              <w:top w:val="nil"/>
              <w:left w:val="nil"/>
              <w:bottom w:val="single" w:sz="4" w:space="0" w:color="auto"/>
              <w:right w:val="single" w:sz="4" w:space="0" w:color="auto"/>
            </w:tcBorders>
            <w:shd w:val="clear" w:color="auto" w:fill="C6EFCE"/>
            <w:noWrap/>
            <w:vAlign w:val="center"/>
            <w:hideMark/>
          </w:tcPr>
          <w:p w14:paraId="7DD18F8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 17–4.6. Modernizēt un uzlabot galveno ekonomikas nozaru noturību — 16631_Ceļu satiksmes drošības modernizācija</w:t>
            </w:r>
          </w:p>
        </w:tc>
        <w:tc>
          <w:tcPr>
            <w:tcW w:w="1680" w:type="dxa"/>
            <w:tcBorders>
              <w:top w:val="nil"/>
              <w:left w:val="nil"/>
              <w:bottom w:val="single" w:sz="4" w:space="0" w:color="auto"/>
              <w:right w:val="single" w:sz="4" w:space="0" w:color="auto"/>
            </w:tcBorders>
            <w:shd w:val="clear" w:color="auto" w:fill="C6EFCE"/>
            <w:noWrap/>
            <w:vAlign w:val="center"/>
            <w:hideMark/>
          </w:tcPr>
          <w:p w14:paraId="6B7B473D" w14:textId="77777777" w:rsidR="00CB0FCB" w:rsidRDefault="009D2B11">
            <w:pPr>
              <w:pStyle w:val="P68B1DB1-Normal8"/>
              <w:keepNext/>
              <w:spacing w:before="40" w:after="0" w:line="240" w:lineRule="auto"/>
              <w:jc w:val="both"/>
              <w:rPr>
                <w:rFonts w:eastAsia="Times New Roman"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7368E744" w14:textId="77777777" w:rsidR="00CB0FCB" w:rsidRDefault="009D2B11">
            <w:pPr>
              <w:pStyle w:val="P68B1DB1-Normal8"/>
              <w:keepNext/>
              <w:spacing w:before="40" w:after="0" w:line="240" w:lineRule="auto"/>
              <w:jc w:val="both"/>
              <w:rPr>
                <w:rFonts w:eastAsia="Times New Roman" w:cs="Times New Roman"/>
                <w:noProof/>
                <w:szCs w:val="18"/>
              </w:rPr>
            </w:pPr>
            <w:r>
              <w:rPr>
                <w:noProof/>
              </w:rPr>
              <w:t>Ceļu satiksmes drošības projekta pabeigšana</w:t>
            </w:r>
          </w:p>
        </w:tc>
      </w:tr>
      <w:tr w:rsidR="00CB0FCB" w14:paraId="0D2501E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DA159A6" w14:textId="77777777" w:rsidR="00CB0FCB" w:rsidRDefault="009D2B11">
            <w:pPr>
              <w:pStyle w:val="P68B1DB1-Normal8"/>
              <w:keepNext/>
              <w:spacing w:before="40" w:after="0" w:line="240" w:lineRule="auto"/>
              <w:jc w:val="both"/>
              <w:rPr>
                <w:rFonts w:cs="Times New Roman"/>
                <w:noProof/>
                <w:szCs w:val="18"/>
              </w:rPr>
            </w:pPr>
            <w:r>
              <w:rPr>
                <w:noProof/>
              </w:rPr>
              <w:t>346</w:t>
            </w:r>
          </w:p>
        </w:tc>
        <w:tc>
          <w:tcPr>
            <w:tcW w:w="4320" w:type="dxa"/>
            <w:tcBorders>
              <w:top w:val="nil"/>
              <w:left w:val="nil"/>
              <w:bottom w:val="single" w:sz="4" w:space="0" w:color="auto"/>
              <w:right w:val="single" w:sz="4" w:space="0" w:color="auto"/>
            </w:tcBorders>
            <w:shd w:val="clear" w:color="auto" w:fill="C6EFCE"/>
            <w:noWrap/>
            <w:vAlign w:val="center"/>
            <w:hideMark/>
          </w:tcPr>
          <w:p w14:paraId="41F90448" w14:textId="77777777" w:rsidR="00CB0FCB" w:rsidRDefault="009D2B11">
            <w:pPr>
              <w:pStyle w:val="P68B1DB1-Normal8"/>
              <w:keepNext/>
              <w:spacing w:before="40" w:after="0" w:line="240" w:lineRule="auto"/>
              <w:jc w:val="both"/>
              <w:rPr>
                <w:rFonts w:cs="Times New Roman"/>
                <w:noProof/>
                <w:szCs w:val="18"/>
              </w:rPr>
            </w:pPr>
            <w:r>
              <w:rPr>
                <w:noProof/>
              </w:rPr>
              <w:t>16–4,5. Pētniecības un inovācijas veicināšana — 16622_HORIZON 2020 “Izcilības zīmogs”: galveno inovatīvo uzņēmumu finansēšana</w:t>
            </w:r>
          </w:p>
        </w:tc>
        <w:tc>
          <w:tcPr>
            <w:tcW w:w="1680" w:type="dxa"/>
            <w:tcBorders>
              <w:top w:val="nil"/>
              <w:left w:val="nil"/>
              <w:bottom w:val="single" w:sz="4" w:space="0" w:color="auto"/>
              <w:right w:val="single" w:sz="4" w:space="0" w:color="auto"/>
            </w:tcBorders>
            <w:shd w:val="clear" w:color="auto" w:fill="C6EFCE"/>
            <w:noWrap/>
            <w:vAlign w:val="center"/>
            <w:hideMark/>
          </w:tcPr>
          <w:p w14:paraId="092602DF"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248C7C8" w14:textId="77777777" w:rsidR="00CB0FCB" w:rsidRDefault="009D2B11">
            <w:pPr>
              <w:pStyle w:val="P68B1DB1-Normal8"/>
              <w:keepNext/>
              <w:spacing w:before="40" w:after="0" w:line="240" w:lineRule="auto"/>
              <w:jc w:val="both"/>
              <w:rPr>
                <w:rFonts w:cs="Times New Roman"/>
                <w:noProof/>
                <w:szCs w:val="18"/>
              </w:rPr>
            </w:pPr>
            <w:r>
              <w:rPr>
                <w:noProof/>
              </w:rPr>
              <w:t>Mazo un vidējo uzņēmumu īstenoto projektu pabeigšana</w:t>
            </w:r>
          </w:p>
        </w:tc>
      </w:tr>
      <w:tr w:rsidR="00CB0FCB" w14:paraId="02B35A0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FC79266" w14:textId="77777777" w:rsidR="00CB0FCB" w:rsidRDefault="009D2B11">
            <w:pPr>
              <w:pStyle w:val="P68B1DB1-Normal8"/>
              <w:keepNext/>
              <w:spacing w:before="40" w:after="0" w:line="240" w:lineRule="auto"/>
              <w:jc w:val="both"/>
              <w:rPr>
                <w:rFonts w:cs="Times New Roman"/>
                <w:noProof/>
                <w:szCs w:val="18"/>
              </w:rPr>
            </w:pPr>
            <w:r>
              <w:rPr>
                <w:noProof/>
              </w:rPr>
              <w:t>349</w:t>
            </w:r>
          </w:p>
        </w:tc>
        <w:tc>
          <w:tcPr>
            <w:tcW w:w="4320" w:type="dxa"/>
            <w:tcBorders>
              <w:top w:val="nil"/>
              <w:left w:val="nil"/>
              <w:bottom w:val="single" w:sz="4" w:space="0" w:color="auto"/>
              <w:right w:val="single" w:sz="4" w:space="0" w:color="auto"/>
            </w:tcBorders>
            <w:shd w:val="clear" w:color="auto" w:fill="C6EFCE"/>
            <w:noWrap/>
            <w:vAlign w:val="center"/>
            <w:hideMark/>
          </w:tcPr>
          <w:p w14:paraId="064840D4" w14:textId="77777777" w:rsidR="00CB0FCB" w:rsidRDefault="009D2B11">
            <w:pPr>
              <w:pStyle w:val="P68B1DB1-Normal8"/>
              <w:keepNext/>
              <w:spacing w:before="40" w:after="0" w:line="240" w:lineRule="auto"/>
              <w:jc w:val="both"/>
              <w:rPr>
                <w:rFonts w:cs="Times New Roman"/>
                <w:noProof/>
                <w:szCs w:val="18"/>
              </w:rPr>
            </w:pPr>
            <w:r>
              <w:rPr>
                <w:noProof/>
              </w:rPr>
              <w:t>4.6. Modernizēt un uzlabot galveno ekonomikas nozaru noturību — 16999_Pieejamības atjaunošana pēc vētras “DANIEL” postošās ietekmes</w:t>
            </w:r>
          </w:p>
        </w:tc>
        <w:tc>
          <w:tcPr>
            <w:tcW w:w="1680" w:type="dxa"/>
            <w:tcBorders>
              <w:top w:val="nil"/>
              <w:left w:val="nil"/>
              <w:bottom w:val="single" w:sz="4" w:space="0" w:color="auto"/>
              <w:right w:val="single" w:sz="4" w:space="0" w:color="auto"/>
            </w:tcBorders>
            <w:shd w:val="clear" w:color="auto" w:fill="C6EFCE"/>
            <w:noWrap/>
            <w:vAlign w:val="center"/>
            <w:hideMark/>
          </w:tcPr>
          <w:p w14:paraId="1CEBBC77"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1AA9E498" w14:textId="77777777" w:rsidR="00CB0FCB" w:rsidRDefault="009D2B11">
            <w:pPr>
              <w:pStyle w:val="P68B1DB1-Normal8"/>
              <w:keepNext/>
              <w:spacing w:before="40" w:after="0" w:line="240" w:lineRule="auto"/>
              <w:jc w:val="both"/>
              <w:rPr>
                <w:rFonts w:cs="Times New Roman"/>
                <w:noProof/>
                <w:szCs w:val="18"/>
              </w:rPr>
            </w:pPr>
            <w:r>
              <w:rPr>
                <w:noProof/>
              </w:rPr>
              <w:t>Pabeigti ceļu atjaunošanas projekti</w:t>
            </w:r>
          </w:p>
        </w:tc>
      </w:tr>
      <w:tr w:rsidR="00CB0FCB" w14:paraId="2CE4FB1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590E0CF" w14:textId="77777777" w:rsidR="00CB0FCB" w:rsidRDefault="009D2B11">
            <w:pPr>
              <w:pStyle w:val="P68B1DB1-Normal8"/>
              <w:keepNext/>
              <w:spacing w:before="40" w:after="0" w:line="240" w:lineRule="auto"/>
              <w:jc w:val="both"/>
              <w:rPr>
                <w:rFonts w:cs="Times New Roman"/>
                <w:noProof/>
                <w:szCs w:val="18"/>
              </w:rPr>
            </w:pPr>
            <w:r>
              <w:rPr>
                <w:noProof/>
              </w:rPr>
              <w:t>350</w:t>
            </w:r>
          </w:p>
        </w:tc>
        <w:tc>
          <w:tcPr>
            <w:tcW w:w="4320" w:type="dxa"/>
            <w:tcBorders>
              <w:top w:val="nil"/>
              <w:left w:val="nil"/>
              <w:bottom w:val="single" w:sz="4" w:space="0" w:color="auto"/>
              <w:right w:val="single" w:sz="4" w:space="0" w:color="auto"/>
            </w:tcBorders>
            <w:shd w:val="clear" w:color="auto" w:fill="C6EFCE"/>
            <w:noWrap/>
            <w:vAlign w:val="center"/>
            <w:hideMark/>
          </w:tcPr>
          <w:p w14:paraId="120D3621" w14:textId="77777777" w:rsidR="00CB0FCB" w:rsidRDefault="009D2B11">
            <w:pPr>
              <w:pStyle w:val="P68B1DB1-Normal8"/>
              <w:keepNext/>
              <w:spacing w:before="40" w:after="0" w:line="240" w:lineRule="auto"/>
              <w:jc w:val="both"/>
              <w:rPr>
                <w:rFonts w:cs="Times New Roman"/>
                <w:noProof/>
                <w:szCs w:val="18"/>
              </w:rPr>
            </w:pPr>
            <w:r>
              <w:rPr>
                <w:noProof/>
              </w:rPr>
              <w:t>4.6. Modernizēt un uzlabot galveno ekonomikas nozaru noturību — 16999_Pieejamības atjaunošana pēc vētras “DANIEL” postošās ietekmes</w:t>
            </w:r>
          </w:p>
        </w:tc>
        <w:tc>
          <w:tcPr>
            <w:tcW w:w="1680" w:type="dxa"/>
            <w:tcBorders>
              <w:top w:val="nil"/>
              <w:left w:val="nil"/>
              <w:bottom w:val="single" w:sz="4" w:space="0" w:color="auto"/>
              <w:right w:val="single" w:sz="4" w:space="0" w:color="auto"/>
            </w:tcBorders>
            <w:shd w:val="clear" w:color="auto" w:fill="C6EFCE"/>
            <w:noWrap/>
            <w:vAlign w:val="center"/>
            <w:hideMark/>
          </w:tcPr>
          <w:p w14:paraId="1FE23AB3"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2280" w:type="dxa"/>
            <w:tcBorders>
              <w:top w:val="nil"/>
              <w:left w:val="nil"/>
              <w:bottom w:val="single" w:sz="4" w:space="0" w:color="auto"/>
              <w:right w:val="single" w:sz="4" w:space="0" w:color="auto"/>
            </w:tcBorders>
            <w:shd w:val="clear" w:color="auto" w:fill="C6EFCE"/>
            <w:noWrap/>
            <w:vAlign w:val="center"/>
            <w:hideMark/>
          </w:tcPr>
          <w:p w14:paraId="44F2AD09" w14:textId="77777777" w:rsidR="00CB0FCB" w:rsidRDefault="009D2B11">
            <w:pPr>
              <w:pStyle w:val="P68B1DB1-Normal8"/>
              <w:keepNext/>
              <w:spacing w:before="40" w:after="0" w:line="240" w:lineRule="auto"/>
              <w:jc w:val="both"/>
              <w:rPr>
                <w:rFonts w:cs="Times New Roman"/>
                <w:noProof/>
                <w:szCs w:val="18"/>
              </w:rPr>
            </w:pPr>
            <w:r>
              <w:rPr>
                <w:noProof/>
              </w:rPr>
              <w:t>Pabeigti dzelzceļa atjaunošanas projekti</w:t>
            </w:r>
          </w:p>
        </w:tc>
      </w:tr>
      <w:tr w:rsidR="00CB0FCB" w14:paraId="46AA4709"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hideMark/>
          </w:tcPr>
          <w:p w14:paraId="6781DD33" w14:textId="77777777" w:rsidR="00CB0FCB" w:rsidRDefault="009D2B11">
            <w:pPr>
              <w:pStyle w:val="P68B1DB1-Normal8"/>
              <w:keepNext/>
              <w:spacing w:before="40" w:after="0" w:line="256" w:lineRule="auto"/>
              <w:jc w:val="both"/>
              <w:rPr>
                <w:rFonts w:eastAsia="Times New Roman" w:cs="Times New Roman"/>
                <w:bCs/>
                <w:noProof/>
                <w:szCs w:val="18"/>
              </w:rPr>
            </w:pPr>
            <w:r>
              <w:rPr>
                <w:noProof/>
              </w:rPr>
              <w:t>360</w:t>
            </w:r>
          </w:p>
        </w:tc>
        <w:tc>
          <w:tcPr>
            <w:tcW w:w="4320" w:type="dxa"/>
            <w:tcBorders>
              <w:top w:val="single" w:sz="4" w:space="0" w:color="auto"/>
              <w:left w:val="nil"/>
              <w:bottom w:val="single" w:sz="4" w:space="0" w:color="auto"/>
              <w:right w:val="single" w:sz="4" w:space="0" w:color="auto"/>
            </w:tcBorders>
            <w:shd w:val="clear" w:color="auto" w:fill="C6EFCE"/>
            <w:noWrap/>
            <w:hideMark/>
          </w:tcPr>
          <w:p w14:paraId="7C0FD5AD" w14:textId="77777777" w:rsidR="00CB0FCB" w:rsidRDefault="009D2B11">
            <w:pPr>
              <w:pStyle w:val="P68B1DB1-Normal8"/>
              <w:keepNext/>
              <w:spacing w:before="40" w:after="0" w:line="256" w:lineRule="auto"/>
              <w:jc w:val="both"/>
              <w:rPr>
                <w:rFonts w:eastAsia="Times New Roman" w:cs="Times New Roman"/>
                <w:bCs/>
                <w:noProof/>
                <w:szCs w:val="18"/>
              </w:rPr>
            </w:pPr>
            <w:r>
              <w:rPr>
                <w:noProof/>
              </w:rPr>
              <w:t>20–5.1. REPowerEU reformas — 16991_Normatīvais satvars virzībā uz viedu tīklu</w:t>
            </w:r>
          </w:p>
        </w:tc>
        <w:tc>
          <w:tcPr>
            <w:tcW w:w="1680" w:type="dxa"/>
            <w:tcBorders>
              <w:top w:val="single" w:sz="4" w:space="0" w:color="auto"/>
              <w:left w:val="nil"/>
              <w:bottom w:val="single" w:sz="4" w:space="0" w:color="auto"/>
              <w:right w:val="single" w:sz="4" w:space="0" w:color="auto"/>
            </w:tcBorders>
            <w:shd w:val="clear" w:color="auto" w:fill="C6EFCE"/>
            <w:noWrap/>
            <w:hideMark/>
          </w:tcPr>
          <w:p w14:paraId="06853A1F" w14:textId="77777777" w:rsidR="00CB0FCB" w:rsidRDefault="009D2B11">
            <w:pPr>
              <w:pStyle w:val="P68B1DB1-Normal8"/>
              <w:keepNext/>
              <w:spacing w:before="40" w:after="0" w:line="256" w:lineRule="auto"/>
              <w:jc w:val="both"/>
              <w:rPr>
                <w:rFonts w:eastAsia="Times New Roman" w:cs="Times New Roman"/>
                <w:noProof/>
                <w:szCs w:val="18"/>
              </w:rPr>
            </w:pPr>
            <w:r>
              <w:rPr>
                <w:noProof/>
              </w:rPr>
              <w:t>Atskaites punkts</w:t>
            </w:r>
          </w:p>
        </w:tc>
        <w:tc>
          <w:tcPr>
            <w:tcW w:w="2280" w:type="dxa"/>
            <w:tcBorders>
              <w:top w:val="single" w:sz="4" w:space="0" w:color="auto"/>
              <w:left w:val="nil"/>
              <w:bottom w:val="single" w:sz="4" w:space="0" w:color="auto"/>
              <w:right w:val="single" w:sz="4" w:space="0" w:color="auto"/>
            </w:tcBorders>
            <w:shd w:val="clear" w:color="auto" w:fill="C6EFCE"/>
            <w:noWrap/>
            <w:hideMark/>
          </w:tcPr>
          <w:p w14:paraId="40137CDF" w14:textId="77777777" w:rsidR="00CB0FCB" w:rsidRDefault="009D2B11">
            <w:pPr>
              <w:pStyle w:val="P68B1DB1-Normal8"/>
              <w:keepNext/>
              <w:spacing w:before="40" w:after="0" w:line="256" w:lineRule="auto"/>
              <w:jc w:val="both"/>
              <w:rPr>
                <w:rFonts w:eastAsia="Times New Roman" w:cs="Times New Roman"/>
                <w:noProof/>
                <w:szCs w:val="18"/>
              </w:rPr>
            </w:pPr>
            <w:r>
              <w:rPr>
                <w:noProof/>
              </w:rPr>
              <w:t>Sadales sistēmas operatora kontroles centra izveide</w:t>
            </w:r>
          </w:p>
        </w:tc>
      </w:tr>
      <w:tr w:rsidR="00CB0FCB" w14:paraId="1E40AA15"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hideMark/>
          </w:tcPr>
          <w:p w14:paraId="0D73FDD0" w14:textId="77777777" w:rsidR="00CB0FCB" w:rsidRDefault="009D2B11">
            <w:pPr>
              <w:pStyle w:val="P68B1DB1-Normal8"/>
              <w:keepNext/>
              <w:spacing w:before="40" w:after="0" w:line="256" w:lineRule="auto"/>
              <w:jc w:val="both"/>
              <w:rPr>
                <w:rFonts w:eastAsia="Times New Roman" w:cs="Times New Roman"/>
                <w:bCs/>
                <w:noProof/>
                <w:szCs w:val="18"/>
              </w:rPr>
            </w:pPr>
            <w:r>
              <w:rPr>
                <w:noProof/>
              </w:rPr>
              <w:t>366</w:t>
            </w:r>
          </w:p>
        </w:tc>
        <w:tc>
          <w:tcPr>
            <w:tcW w:w="4320" w:type="dxa"/>
            <w:tcBorders>
              <w:top w:val="single" w:sz="4" w:space="0" w:color="auto"/>
              <w:left w:val="nil"/>
              <w:bottom w:val="single" w:sz="4" w:space="0" w:color="auto"/>
              <w:right w:val="single" w:sz="4" w:space="0" w:color="auto"/>
            </w:tcBorders>
            <w:shd w:val="clear" w:color="auto" w:fill="C6EFCE"/>
            <w:noWrap/>
            <w:hideMark/>
          </w:tcPr>
          <w:p w14:paraId="35DCCA5D" w14:textId="77777777" w:rsidR="00CB0FCB" w:rsidRDefault="009D2B11">
            <w:pPr>
              <w:pStyle w:val="P68B1DB1-Normal8"/>
              <w:keepNext/>
              <w:spacing w:before="40" w:after="0" w:line="256" w:lineRule="auto"/>
              <w:jc w:val="both"/>
              <w:rPr>
                <w:rFonts w:eastAsia="Times New Roman" w:cs="Times New Roman"/>
                <w:bCs/>
                <w:noProof/>
                <w:szCs w:val="18"/>
              </w:rPr>
            </w:pPr>
            <w:r>
              <w:rPr>
                <w:noProof/>
              </w:rPr>
              <w:t>21–5,2 REPowerEU investīcijas — 16996_Enerģijas uzkrāšanas uzstādīšana papildu AER izplatībai</w:t>
            </w:r>
          </w:p>
        </w:tc>
        <w:tc>
          <w:tcPr>
            <w:tcW w:w="1680" w:type="dxa"/>
            <w:tcBorders>
              <w:top w:val="single" w:sz="4" w:space="0" w:color="auto"/>
              <w:left w:val="nil"/>
              <w:bottom w:val="single" w:sz="4" w:space="0" w:color="auto"/>
              <w:right w:val="single" w:sz="4" w:space="0" w:color="auto"/>
            </w:tcBorders>
            <w:shd w:val="clear" w:color="auto" w:fill="C6EFCE"/>
            <w:noWrap/>
            <w:hideMark/>
          </w:tcPr>
          <w:p w14:paraId="724C154B" w14:textId="77777777" w:rsidR="00CB0FCB" w:rsidRDefault="009D2B11">
            <w:pPr>
              <w:pStyle w:val="P68B1DB1-Normal8"/>
              <w:keepNext/>
              <w:spacing w:before="40" w:after="0" w:line="256" w:lineRule="auto"/>
              <w:jc w:val="both"/>
              <w:rPr>
                <w:rFonts w:eastAsia="Times New Roman" w:cs="Times New Roman"/>
                <w:noProof/>
                <w:szCs w:val="18"/>
              </w:rPr>
            </w:pPr>
            <w:r>
              <w:rPr>
                <w:noProof/>
              </w:rPr>
              <w:t>Atskaites punkts</w:t>
            </w:r>
          </w:p>
        </w:tc>
        <w:tc>
          <w:tcPr>
            <w:tcW w:w="2280" w:type="dxa"/>
            <w:tcBorders>
              <w:top w:val="single" w:sz="4" w:space="0" w:color="auto"/>
              <w:left w:val="nil"/>
              <w:bottom w:val="single" w:sz="4" w:space="0" w:color="auto"/>
              <w:right w:val="single" w:sz="4" w:space="0" w:color="auto"/>
            </w:tcBorders>
            <w:shd w:val="clear" w:color="auto" w:fill="C6EFCE"/>
            <w:noWrap/>
            <w:hideMark/>
          </w:tcPr>
          <w:p w14:paraId="6BD9D155" w14:textId="647E0D5E" w:rsidR="00CB0FCB" w:rsidRDefault="009D2B11">
            <w:pPr>
              <w:pStyle w:val="P68B1DB1-Normal8"/>
              <w:keepNext/>
              <w:spacing w:before="40" w:after="0" w:line="256" w:lineRule="auto"/>
              <w:jc w:val="both"/>
              <w:rPr>
                <w:rFonts w:eastAsia="Times New Roman" w:cs="Times New Roman"/>
                <w:noProof/>
                <w:szCs w:val="18"/>
              </w:rPr>
            </w:pPr>
            <w:r>
              <w:rPr>
                <w:noProof/>
              </w:rPr>
              <w:t>Uzglabāšanas iekārtu uzstādīšanas pabeigšana</w:t>
            </w:r>
          </w:p>
        </w:tc>
      </w:tr>
      <w:tr w:rsidR="00CB0FCB" w14:paraId="5207ADD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hideMark/>
          </w:tcPr>
          <w:p w14:paraId="31C9B960" w14:textId="77777777" w:rsidR="00CB0FCB" w:rsidRDefault="009D2B11">
            <w:pPr>
              <w:pStyle w:val="P68B1DB1-Normal8"/>
              <w:keepNext/>
              <w:spacing w:before="40" w:after="0" w:line="256" w:lineRule="auto"/>
              <w:jc w:val="both"/>
              <w:rPr>
                <w:rFonts w:eastAsia="Times New Roman" w:cs="Times New Roman"/>
                <w:bCs/>
                <w:noProof/>
                <w:szCs w:val="18"/>
              </w:rPr>
            </w:pPr>
            <w:r>
              <w:rPr>
                <w:noProof/>
              </w:rPr>
              <w:t>369</w:t>
            </w:r>
          </w:p>
        </w:tc>
        <w:tc>
          <w:tcPr>
            <w:tcW w:w="4320" w:type="dxa"/>
            <w:tcBorders>
              <w:top w:val="single" w:sz="4" w:space="0" w:color="auto"/>
              <w:left w:val="nil"/>
              <w:bottom w:val="single" w:sz="4" w:space="0" w:color="auto"/>
              <w:right w:val="single" w:sz="4" w:space="0" w:color="auto"/>
            </w:tcBorders>
            <w:shd w:val="clear" w:color="auto" w:fill="C6EFCE"/>
            <w:noWrap/>
            <w:hideMark/>
          </w:tcPr>
          <w:p w14:paraId="22D9783C" w14:textId="77777777" w:rsidR="00CB0FCB" w:rsidRDefault="009D2B11">
            <w:pPr>
              <w:pStyle w:val="P68B1DB1-Normal8"/>
              <w:keepNext/>
              <w:spacing w:before="40" w:after="0" w:line="256" w:lineRule="auto"/>
              <w:jc w:val="both"/>
              <w:rPr>
                <w:rFonts w:eastAsia="Times New Roman" w:cs="Times New Roman"/>
                <w:bCs/>
                <w:noProof/>
                <w:szCs w:val="18"/>
              </w:rPr>
            </w:pPr>
            <w:r>
              <w:rPr>
                <w:noProof/>
              </w:rPr>
              <w:t>21–5,2 REPowerEU investīcijas — 16994_Energoefektivitāte un AER veicināšana pašpatēriņam</w:t>
            </w:r>
          </w:p>
        </w:tc>
        <w:tc>
          <w:tcPr>
            <w:tcW w:w="1680" w:type="dxa"/>
            <w:tcBorders>
              <w:top w:val="single" w:sz="4" w:space="0" w:color="auto"/>
              <w:left w:val="nil"/>
              <w:bottom w:val="single" w:sz="4" w:space="0" w:color="auto"/>
              <w:right w:val="single" w:sz="4" w:space="0" w:color="auto"/>
            </w:tcBorders>
            <w:shd w:val="clear" w:color="auto" w:fill="C6EFCE"/>
            <w:noWrap/>
            <w:hideMark/>
          </w:tcPr>
          <w:p w14:paraId="0BE65FE8" w14:textId="77777777" w:rsidR="00CB0FCB" w:rsidRDefault="009D2B11">
            <w:pPr>
              <w:pStyle w:val="P68B1DB1-Normal8"/>
              <w:keepNext/>
              <w:spacing w:before="40" w:after="0" w:line="256" w:lineRule="auto"/>
              <w:jc w:val="both"/>
              <w:rPr>
                <w:rFonts w:eastAsia="Times New Roman" w:cs="Times New Roman"/>
                <w:noProof/>
                <w:szCs w:val="18"/>
              </w:rPr>
            </w:pPr>
            <w:r>
              <w:rPr>
                <w:noProof/>
              </w:rPr>
              <w:t>Mērķa</w:t>
            </w:r>
          </w:p>
        </w:tc>
        <w:tc>
          <w:tcPr>
            <w:tcW w:w="2280" w:type="dxa"/>
            <w:tcBorders>
              <w:top w:val="single" w:sz="4" w:space="0" w:color="auto"/>
              <w:left w:val="nil"/>
              <w:bottom w:val="single" w:sz="4" w:space="0" w:color="auto"/>
              <w:right w:val="single" w:sz="4" w:space="0" w:color="auto"/>
            </w:tcBorders>
            <w:shd w:val="clear" w:color="auto" w:fill="C6EFCE"/>
            <w:noWrap/>
            <w:hideMark/>
          </w:tcPr>
          <w:p w14:paraId="1FF9ED0C" w14:textId="77777777" w:rsidR="00CB0FCB" w:rsidRDefault="009D2B11">
            <w:pPr>
              <w:pStyle w:val="P68B1DB1-Normal8"/>
              <w:keepNext/>
              <w:spacing w:before="40" w:after="0" w:line="256" w:lineRule="auto"/>
              <w:jc w:val="both"/>
              <w:rPr>
                <w:rFonts w:eastAsia="Times New Roman" w:cs="Times New Roman"/>
                <w:noProof/>
                <w:szCs w:val="18"/>
              </w:rPr>
            </w:pPr>
            <w:r>
              <w:rPr>
                <w:noProof/>
              </w:rPr>
              <w:t>Energoefektivitātes renovācijas apakšinvestīciju pabeigšana, saules enerģijas ūdenssildītāji un pašvaldību ūdensapgādes un kanalizācijas uzņēmumi</w:t>
            </w:r>
          </w:p>
        </w:tc>
      </w:tr>
      <w:tr w:rsidR="00CB0FCB" w14:paraId="49EEC90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hideMark/>
          </w:tcPr>
          <w:p w14:paraId="0BA3F735" w14:textId="77777777" w:rsidR="00CB0FCB" w:rsidRDefault="009D2B11">
            <w:pPr>
              <w:pStyle w:val="P68B1DB1-Normal8"/>
              <w:keepNext/>
              <w:spacing w:before="40" w:after="0" w:line="256" w:lineRule="auto"/>
              <w:jc w:val="both"/>
              <w:rPr>
                <w:rFonts w:eastAsia="Times New Roman" w:cs="Times New Roman"/>
                <w:bCs/>
                <w:noProof/>
                <w:szCs w:val="18"/>
              </w:rPr>
            </w:pPr>
            <w:r>
              <w:rPr>
                <w:noProof/>
              </w:rPr>
              <w:t>371</w:t>
            </w:r>
          </w:p>
        </w:tc>
        <w:tc>
          <w:tcPr>
            <w:tcW w:w="4320" w:type="dxa"/>
            <w:tcBorders>
              <w:top w:val="single" w:sz="4" w:space="0" w:color="auto"/>
              <w:left w:val="nil"/>
              <w:bottom w:val="single" w:sz="4" w:space="0" w:color="auto"/>
              <w:right w:val="single" w:sz="4" w:space="0" w:color="auto"/>
            </w:tcBorders>
            <w:shd w:val="clear" w:color="auto" w:fill="C6EFCE"/>
            <w:noWrap/>
            <w:hideMark/>
          </w:tcPr>
          <w:p w14:paraId="2C4F5C49" w14:textId="5A7B9DFD" w:rsidR="00CB0FCB" w:rsidRDefault="009D2B11">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21–5,2 REPowerEU investīcijas — 16995_</w:t>
            </w:r>
            <w:r>
              <w:rPr>
                <w:noProof/>
              </w:rPr>
              <w:t xml:space="preserve"> </w:t>
            </w:r>
            <w:r>
              <w:rPr>
                <w:rFonts w:ascii="Times New Roman" w:hAnsi="Times New Roman"/>
                <w:noProof/>
                <w:sz w:val="18"/>
              </w:rPr>
              <w:t>Atjaunīgā ūdeņraža ražošanas projekts</w:t>
            </w:r>
          </w:p>
        </w:tc>
        <w:tc>
          <w:tcPr>
            <w:tcW w:w="1680" w:type="dxa"/>
            <w:tcBorders>
              <w:top w:val="single" w:sz="4" w:space="0" w:color="auto"/>
              <w:left w:val="nil"/>
              <w:bottom w:val="single" w:sz="4" w:space="0" w:color="auto"/>
              <w:right w:val="single" w:sz="4" w:space="0" w:color="auto"/>
            </w:tcBorders>
            <w:shd w:val="clear" w:color="auto" w:fill="C6EFCE"/>
            <w:noWrap/>
            <w:hideMark/>
          </w:tcPr>
          <w:p w14:paraId="7B94208D" w14:textId="77777777" w:rsidR="00CB0FCB" w:rsidRDefault="009D2B11">
            <w:pPr>
              <w:pStyle w:val="P68B1DB1-Normal8"/>
              <w:keepNext/>
              <w:spacing w:before="40" w:after="0" w:line="256" w:lineRule="auto"/>
              <w:jc w:val="both"/>
              <w:rPr>
                <w:rFonts w:eastAsia="Times New Roman" w:cs="Times New Roman"/>
                <w:noProof/>
                <w:szCs w:val="18"/>
              </w:rPr>
            </w:pPr>
            <w:r>
              <w:rPr>
                <w:noProof/>
              </w:rPr>
              <w:t>Mērķa</w:t>
            </w:r>
          </w:p>
        </w:tc>
        <w:tc>
          <w:tcPr>
            <w:tcW w:w="2280" w:type="dxa"/>
            <w:tcBorders>
              <w:top w:val="single" w:sz="4" w:space="0" w:color="auto"/>
              <w:left w:val="nil"/>
              <w:bottom w:val="single" w:sz="4" w:space="0" w:color="auto"/>
              <w:right w:val="single" w:sz="4" w:space="0" w:color="auto"/>
            </w:tcBorders>
            <w:shd w:val="clear" w:color="auto" w:fill="C6EFCE"/>
            <w:noWrap/>
            <w:hideMark/>
          </w:tcPr>
          <w:p w14:paraId="7CB1BEB9" w14:textId="5368DCDC" w:rsidR="00CB0FCB" w:rsidRDefault="009D2B11">
            <w:pPr>
              <w:pStyle w:val="P68B1DB1-Normal8"/>
              <w:keepNext/>
              <w:spacing w:before="40" w:after="0" w:line="256" w:lineRule="auto"/>
              <w:jc w:val="both"/>
              <w:rPr>
                <w:rFonts w:eastAsia="Times New Roman" w:cs="Times New Roman"/>
                <w:noProof/>
                <w:szCs w:val="18"/>
              </w:rPr>
            </w:pPr>
            <w:r>
              <w:rPr>
                <w:noProof/>
              </w:rPr>
              <w:t>Atjaunīgā ūdeņraža ražošanas papildu jauda</w:t>
            </w:r>
          </w:p>
        </w:tc>
      </w:tr>
      <w:tr w:rsidR="00CB0FCB" w14:paraId="4220C52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FFC602D" w14:textId="77777777" w:rsidR="00CB0FCB" w:rsidRDefault="00CB0FCB">
            <w:pPr>
              <w:keepNext/>
              <w:spacing w:before="40" w:after="0" w:line="256"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20027E55" w14:textId="77777777" w:rsidR="00CB0FCB" w:rsidRDefault="00CB0FCB">
            <w:pPr>
              <w:keepNext/>
              <w:spacing w:before="40" w:after="0" w:line="256"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hideMark/>
          </w:tcPr>
          <w:p w14:paraId="1AB55082" w14:textId="77777777" w:rsidR="00CB0FCB" w:rsidRDefault="009D2B11">
            <w:pPr>
              <w:pStyle w:val="P68B1DB1-Normal8"/>
              <w:keepNext/>
              <w:spacing w:before="40" w:after="0" w:line="256" w:lineRule="auto"/>
              <w:jc w:val="both"/>
              <w:rPr>
                <w:rFonts w:eastAsia="Times New Roman" w:cs="Times New Roman"/>
                <w:noProof/>
                <w:szCs w:val="18"/>
              </w:rPr>
            </w:pPr>
            <w:r>
              <w:rPr>
                <w:noProof/>
              </w:rPr>
              <w:t>Maksājuma summa</w:t>
            </w:r>
          </w:p>
        </w:tc>
        <w:tc>
          <w:tcPr>
            <w:tcW w:w="2280" w:type="dxa"/>
            <w:tcBorders>
              <w:top w:val="single" w:sz="4" w:space="0" w:color="auto"/>
              <w:left w:val="nil"/>
              <w:bottom w:val="single" w:sz="4" w:space="0" w:color="auto"/>
              <w:right w:val="single" w:sz="4" w:space="0" w:color="auto"/>
            </w:tcBorders>
            <w:shd w:val="clear" w:color="auto" w:fill="C6EFCE"/>
            <w:noWrap/>
            <w:vAlign w:val="bottom"/>
            <w:hideMark/>
          </w:tcPr>
          <w:p w14:paraId="38DE4599" w14:textId="5E8696F2" w:rsidR="00CB0FCB" w:rsidRDefault="009D2B11">
            <w:pPr>
              <w:pStyle w:val="P68B1DB1-Normal8"/>
              <w:keepNext/>
              <w:spacing w:before="40" w:after="0" w:line="256" w:lineRule="auto"/>
              <w:jc w:val="both"/>
              <w:rPr>
                <w:rFonts w:eastAsia="Times New Roman" w:cs="Times New Roman"/>
                <w:noProof/>
                <w:szCs w:val="18"/>
              </w:rPr>
            </w:pPr>
            <w:r>
              <w:rPr>
                <w:noProof/>
              </w:rPr>
              <w:t>EUR 3925660305</w:t>
            </w:r>
          </w:p>
        </w:tc>
      </w:tr>
    </w:tbl>
    <w:p w14:paraId="7E38BA24" w14:textId="77777777" w:rsidR="00CB0FCB" w:rsidRDefault="00CB0FCB">
      <w:pPr>
        <w:keepNext/>
        <w:spacing w:before="40" w:after="160" w:line="259" w:lineRule="auto"/>
        <w:contextualSpacing/>
        <w:jc w:val="both"/>
        <w:rPr>
          <w:rFonts w:ascii="Times New Roman" w:hAnsi="Times New Roman"/>
          <w:noProof/>
          <w:sz w:val="24"/>
        </w:rPr>
      </w:pPr>
    </w:p>
    <w:p w14:paraId="6149E7C5" w14:textId="77777777" w:rsidR="00CB0FCB" w:rsidRDefault="00CB0FCB">
      <w:pPr>
        <w:keepNext/>
        <w:spacing w:before="40" w:after="160" w:line="259" w:lineRule="auto"/>
        <w:contextualSpacing/>
        <w:jc w:val="both"/>
        <w:rPr>
          <w:rFonts w:ascii="Times New Roman" w:hAnsi="Times New Roman"/>
          <w:noProof/>
          <w:sz w:val="24"/>
        </w:rPr>
      </w:pPr>
    </w:p>
    <w:p w14:paraId="6B4D5199"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p w14:paraId="10403D0B" w14:textId="2377B999" w:rsidR="00CB0FCB" w:rsidRDefault="009D2B11">
      <w:pPr>
        <w:pStyle w:val="P68B1DB1-Normal51"/>
        <w:rPr>
          <w:noProof/>
        </w:rPr>
      </w:pPr>
      <w:r>
        <w:rPr>
          <w:noProof/>
        </w:rPr>
        <w:br w:type="page"/>
      </w:r>
    </w:p>
    <w:p w14:paraId="4317E904" w14:textId="77777777" w:rsidR="00CB0FCB" w:rsidRDefault="00CB0FCB">
      <w:pPr>
        <w:keepNext/>
        <w:spacing w:before="40" w:after="160" w:line="259" w:lineRule="auto"/>
        <w:contextualSpacing/>
        <w:jc w:val="both"/>
        <w:rPr>
          <w:rFonts w:ascii="Times New Roman" w:eastAsia="Times New Roman" w:hAnsi="Times New Roman" w:cs="Times New Roman"/>
          <w:noProof/>
          <w:sz w:val="18"/>
          <w:szCs w:val="18"/>
        </w:rPr>
      </w:pPr>
    </w:p>
    <w:p w14:paraId="0B727630" w14:textId="77777777" w:rsidR="00CB0FCB" w:rsidRDefault="009D2B11">
      <w:pPr>
        <w:pStyle w:val="P68B1DB1-Normal25"/>
        <w:keepNext/>
        <w:numPr>
          <w:ilvl w:val="0"/>
          <w:numId w:val="22"/>
        </w:numPr>
        <w:spacing w:before="40" w:after="0" w:line="259" w:lineRule="auto"/>
        <w:ind w:left="0"/>
        <w:jc w:val="both"/>
        <w:outlineLvl w:val="1"/>
        <w:rPr>
          <w:rFonts w:eastAsia="Times New Roman" w:cs="Times New Roman"/>
          <w:noProof/>
        </w:rPr>
      </w:pPr>
      <w:r>
        <w:rPr>
          <w:noProof/>
        </w:rPr>
        <w:t xml:space="preserve">Aizdevums </w:t>
      </w:r>
    </w:p>
    <w:p w14:paraId="6D3B7CCE" w14:textId="77777777" w:rsidR="00CB0FCB" w:rsidRDefault="009D2B11">
      <w:pPr>
        <w:pStyle w:val="P68B1DB1-Normal4"/>
        <w:keepNext/>
        <w:spacing w:before="40" w:after="0" w:line="259" w:lineRule="auto"/>
        <w:jc w:val="both"/>
        <w:outlineLvl w:val="1"/>
        <w:rPr>
          <w:b/>
          <w:noProof/>
          <w:u w:val="single"/>
        </w:rPr>
      </w:pPr>
      <w:r>
        <w:rPr>
          <w:noProof/>
        </w:rPr>
        <w:t>Maksājumus, kas minēti 3. panta 2. punktā, organizē šādi:</w:t>
      </w:r>
    </w:p>
    <w:p w14:paraId="1E2FEEB6" w14:textId="77777777" w:rsidR="00CB0FCB" w:rsidRDefault="00CB0FCB">
      <w:pPr>
        <w:keepNext/>
        <w:spacing w:before="120" w:after="160" w:line="259" w:lineRule="auto"/>
        <w:contextualSpacing/>
        <w:jc w:val="both"/>
        <w:rPr>
          <w:rFonts w:ascii="Times New Roman" w:eastAsia="Times New Roman" w:hAnsi="Times New Roman" w:cs="Times New Roman"/>
          <w:bCs/>
          <w:noProof/>
          <w:sz w:val="24"/>
          <w:szCs w:val="24"/>
        </w:rPr>
      </w:pPr>
    </w:p>
    <w:p w14:paraId="2FE589F8"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Pirmais maksājuma pieprasījums (aizdevuma atbalsts): </w:t>
      </w:r>
    </w:p>
    <w:tbl>
      <w:tblPr>
        <w:tblW w:w="9535" w:type="dxa"/>
        <w:tblInd w:w="113" w:type="dxa"/>
        <w:tblLook w:val="04A0" w:firstRow="1" w:lastRow="0" w:firstColumn="1" w:lastColumn="0" w:noHBand="0" w:noVBand="1"/>
      </w:tblPr>
      <w:tblGrid>
        <w:gridCol w:w="1804"/>
        <w:gridCol w:w="4283"/>
        <w:gridCol w:w="1807"/>
        <w:gridCol w:w="1756"/>
      </w:tblGrid>
      <w:tr w:rsidR="00CB0FCB" w14:paraId="30A3E3CB"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3EABE5F"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F95FCBB"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80D70F2"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26B2B3AE"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1B889A37"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1A66A476"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6EC001CE"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57122BDA"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tc>
        <w:tc>
          <w:tcPr>
            <w:tcW w:w="1756" w:type="dxa"/>
            <w:vMerge/>
            <w:tcBorders>
              <w:top w:val="single" w:sz="4" w:space="0" w:color="auto"/>
              <w:left w:val="nil"/>
              <w:bottom w:val="single" w:sz="4" w:space="0" w:color="000000"/>
              <w:right w:val="single" w:sz="4" w:space="0" w:color="auto"/>
            </w:tcBorders>
            <w:vAlign w:val="center"/>
            <w:hideMark/>
          </w:tcPr>
          <w:p w14:paraId="6F293950"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tc>
      </w:tr>
      <w:tr w:rsidR="00CB0FCB" w14:paraId="71159799"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290F609" w14:textId="77777777" w:rsidR="00CB0FCB" w:rsidRDefault="009D2B11">
            <w:pPr>
              <w:pStyle w:val="P68B1DB1-Normal8"/>
              <w:keepNext/>
              <w:spacing w:before="40" w:after="0" w:line="240" w:lineRule="auto"/>
              <w:jc w:val="both"/>
              <w:rPr>
                <w:rFonts w:eastAsia="Times New Roman" w:cs="Times New Roman"/>
                <w:noProof/>
                <w:szCs w:val="18"/>
              </w:rPr>
            </w:pPr>
            <w:r>
              <w:rPr>
                <w:noProof/>
              </w:rPr>
              <w:t>320</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6E3BB11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030619A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1C11C74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Darbības nolīgumi ar starptautiskām finanšu iestādēm</w:t>
            </w:r>
          </w:p>
        </w:tc>
      </w:tr>
      <w:tr w:rsidR="00CB0FCB" w14:paraId="722F998C"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6465C603" w14:textId="77777777" w:rsidR="00CB0FCB" w:rsidRDefault="009D2B11">
            <w:pPr>
              <w:pStyle w:val="P68B1DB1-Normal8"/>
              <w:keepNext/>
              <w:spacing w:before="40" w:after="0" w:line="240" w:lineRule="auto"/>
              <w:jc w:val="both"/>
              <w:rPr>
                <w:rFonts w:eastAsia="Times New Roman" w:cs="Times New Roman"/>
                <w:noProof/>
                <w:szCs w:val="18"/>
              </w:rPr>
            </w:pPr>
            <w:r>
              <w:rPr>
                <w:noProof/>
              </w:rPr>
              <w:t>321</w:t>
            </w:r>
          </w:p>
        </w:tc>
        <w:tc>
          <w:tcPr>
            <w:tcW w:w="4283" w:type="dxa"/>
            <w:tcBorders>
              <w:top w:val="nil"/>
              <w:left w:val="nil"/>
              <w:bottom w:val="single" w:sz="4" w:space="0" w:color="auto"/>
              <w:right w:val="single" w:sz="4" w:space="0" w:color="auto"/>
            </w:tcBorders>
            <w:shd w:val="clear" w:color="000000" w:fill="C6EFCE"/>
            <w:noWrap/>
            <w:vAlign w:val="center"/>
            <w:hideMark/>
          </w:tcPr>
          <w:p w14:paraId="2F6A3DA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 Uzlabot konkurētspēju un veicināt privātās investīcijas un eksportu — 16980_RNP aizdevumu mehānisms</w:t>
            </w:r>
          </w:p>
        </w:tc>
        <w:tc>
          <w:tcPr>
            <w:tcW w:w="1692" w:type="dxa"/>
            <w:tcBorders>
              <w:top w:val="nil"/>
              <w:left w:val="nil"/>
              <w:bottom w:val="single" w:sz="4" w:space="0" w:color="auto"/>
              <w:right w:val="single" w:sz="4" w:space="0" w:color="auto"/>
            </w:tcBorders>
            <w:shd w:val="clear" w:color="000000" w:fill="C6EFCE"/>
            <w:noWrap/>
            <w:vAlign w:val="center"/>
            <w:hideMark/>
          </w:tcPr>
          <w:p w14:paraId="19CB097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56" w:type="dxa"/>
            <w:tcBorders>
              <w:top w:val="nil"/>
              <w:left w:val="nil"/>
              <w:bottom w:val="single" w:sz="4" w:space="0" w:color="auto"/>
              <w:right w:val="single" w:sz="4" w:space="0" w:color="auto"/>
            </w:tcBorders>
            <w:shd w:val="clear" w:color="000000" w:fill="C6EFCE"/>
            <w:noWrap/>
            <w:vAlign w:val="center"/>
            <w:hideMark/>
          </w:tcPr>
          <w:p w14:paraId="1D376BC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Komercbanku pieprasījuma izsludināšana</w:t>
            </w:r>
          </w:p>
        </w:tc>
      </w:tr>
      <w:tr w:rsidR="00CB0FCB" w14:paraId="20B304C6"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22764A"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7020B40B"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31A80EEC" w14:textId="77777777" w:rsidR="00CB0FCB" w:rsidRDefault="009D2B11">
            <w:pPr>
              <w:pStyle w:val="P68B1DB1-Normal8"/>
              <w:keepNext/>
              <w:spacing w:before="40" w:after="0" w:line="259" w:lineRule="auto"/>
              <w:jc w:val="both"/>
              <w:rPr>
                <w:rFonts w:eastAsia="Times New Roman" w:cs="Times New Roman"/>
                <w:noProof/>
                <w:szCs w:val="18"/>
              </w:rPr>
            </w:pPr>
            <w:r>
              <w:rPr>
                <w:noProof/>
              </w:rPr>
              <w:t>Maksājuma summa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17513034" w14:textId="77777777" w:rsidR="00CB0FCB" w:rsidRDefault="009D2B11">
            <w:pPr>
              <w:pStyle w:val="P68B1DB1-Normal8"/>
              <w:keepNext/>
              <w:spacing w:before="40" w:after="0" w:line="259" w:lineRule="auto"/>
              <w:jc w:val="both"/>
              <w:rPr>
                <w:rFonts w:eastAsia="Times New Roman" w:cs="Times New Roman"/>
                <w:noProof/>
                <w:szCs w:val="18"/>
              </w:rPr>
            </w:pPr>
            <w:r>
              <w:rPr>
                <w:noProof/>
              </w:rPr>
              <w:t>EUR 2121256487</w:t>
            </w:r>
          </w:p>
        </w:tc>
      </w:tr>
    </w:tbl>
    <w:p w14:paraId="0ECAD728" w14:textId="77777777" w:rsidR="00CB0FCB" w:rsidRDefault="00CB0FCB">
      <w:pPr>
        <w:keepNext/>
        <w:spacing w:before="120" w:after="160" w:line="259" w:lineRule="auto"/>
        <w:ind w:hanging="360"/>
        <w:contextualSpacing/>
        <w:jc w:val="both"/>
        <w:rPr>
          <w:rFonts w:ascii="Times New Roman" w:eastAsia="Times New Roman" w:hAnsi="Times New Roman" w:cs="Times New Roman"/>
          <w:bCs/>
          <w:noProof/>
          <w:sz w:val="24"/>
          <w:szCs w:val="24"/>
        </w:rPr>
      </w:pPr>
    </w:p>
    <w:p w14:paraId="16ACC7FD"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Otrais maksājuma pieprasījums (aizdevuma atbalsts): </w:t>
      </w:r>
    </w:p>
    <w:tbl>
      <w:tblPr>
        <w:tblW w:w="9535" w:type="dxa"/>
        <w:tblInd w:w="113" w:type="dxa"/>
        <w:tblLook w:val="04A0" w:firstRow="1" w:lastRow="0" w:firstColumn="1" w:lastColumn="0" w:noHBand="0" w:noVBand="1"/>
      </w:tblPr>
      <w:tblGrid>
        <w:gridCol w:w="1804"/>
        <w:gridCol w:w="4283"/>
        <w:gridCol w:w="1807"/>
        <w:gridCol w:w="1756"/>
      </w:tblGrid>
      <w:tr w:rsidR="00CB0FCB" w14:paraId="0508890F"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D81000F"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8EC46C5"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B63CF33"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3F10DD5A"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3BC7DAE8"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37EC33D"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2114DD3E"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38786472"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56" w:type="dxa"/>
            <w:vMerge/>
            <w:tcBorders>
              <w:top w:val="single" w:sz="4" w:space="0" w:color="auto"/>
              <w:left w:val="nil"/>
              <w:bottom w:val="single" w:sz="4" w:space="0" w:color="000000"/>
              <w:right w:val="single" w:sz="4" w:space="0" w:color="auto"/>
            </w:tcBorders>
            <w:vAlign w:val="center"/>
            <w:hideMark/>
          </w:tcPr>
          <w:p w14:paraId="7DB249D8"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3E95F9B5"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D25BE6F" w14:textId="77777777" w:rsidR="00CB0FCB" w:rsidRDefault="009D2B11">
            <w:pPr>
              <w:pStyle w:val="P68B1DB1-Normal8"/>
              <w:keepNext/>
              <w:spacing w:before="40" w:after="0" w:line="240" w:lineRule="auto"/>
              <w:jc w:val="both"/>
              <w:rPr>
                <w:rFonts w:eastAsia="Times New Roman" w:cs="Times New Roman"/>
                <w:noProof/>
                <w:szCs w:val="18"/>
              </w:rPr>
            </w:pPr>
            <w:r>
              <w:rPr>
                <w:noProof/>
              </w:rPr>
              <w:t>322</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2C07A57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3C633A2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45BB541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Vienošanās par pašu kapitāla platformu</w:t>
            </w:r>
          </w:p>
        </w:tc>
      </w:tr>
      <w:tr w:rsidR="00CB0FCB" w14:paraId="343B3577"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A995831" w14:textId="77777777" w:rsidR="00CB0FCB" w:rsidRDefault="009D2B11">
            <w:pPr>
              <w:pStyle w:val="P68B1DB1-Normal8"/>
              <w:keepNext/>
              <w:spacing w:before="40" w:after="0" w:line="240" w:lineRule="auto"/>
              <w:jc w:val="both"/>
              <w:rPr>
                <w:rFonts w:eastAsia="Times New Roman" w:cs="Times New Roman"/>
                <w:noProof/>
                <w:szCs w:val="18"/>
              </w:rPr>
            </w:pPr>
            <w:r>
              <w:rPr>
                <w:noProof/>
              </w:rPr>
              <w:t>323</w:t>
            </w:r>
          </w:p>
        </w:tc>
        <w:tc>
          <w:tcPr>
            <w:tcW w:w="4283" w:type="dxa"/>
            <w:tcBorders>
              <w:top w:val="nil"/>
              <w:left w:val="nil"/>
              <w:bottom w:val="single" w:sz="4" w:space="0" w:color="auto"/>
              <w:right w:val="single" w:sz="4" w:space="0" w:color="auto"/>
            </w:tcBorders>
            <w:shd w:val="clear" w:color="000000" w:fill="C6EFCE"/>
            <w:noWrap/>
            <w:vAlign w:val="center"/>
          </w:tcPr>
          <w:p w14:paraId="07D91590"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 Uzlabot konkurētspēju un veicināt privātās investīcijas un eksportu — 16980_RNP aizdevumu mehānisms</w:t>
            </w:r>
          </w:p>
        </w:tc>
        <w:tc>
          <w:tcPr>
            <w:tcW w:w="1692" w:type="dxa"/>
            <w:tcBorders>
              <w:top w:val="nil"/>
              <w:left w:val="nil"/>
              <w:bottom w:val="single" w:sz="4" w:space="0" w:color="auto"/>
              <w:right w:val="single" w:sz="4" w:space="0" w:color="auto"/>
            </w:tcBorders>
            <w:shd w:val="clear" w:color="000000" w:fill="C6EFCE"/>
            <w:noWrap/>
            <w:vAlign w:val="center"/>
          </w:tcPr>
          <w:p w14:paraId="2E1CECE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56" w:type="dxa"/>
            <w:tcBorders>
              <w:top w:val="nil"/>
              <w:left w:val="nil"/>
              <w:bottom w:val="single" w:sz="4" w:space="0" w:color="auto"/>
              <w:right w:val="single" w:sz="4" w:space="0" w:color="auto"/>
            </w:tcBorders>
            <w:shd w:val="clear" w:color="000000" w:fill="C6EFCE"/>
            <w:noWrap/>
            <w:vAlign w:val="center"/>
          </w:tcPr>
          <w:p w14:paraId="26B977F2"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InvestEU iemaksu nolīgums</w:t>
            </w:r>
          </w:p>
        </w:tc>
      </w:tr>
      <w:tr w:rsidR="00CB0FCB" w14:paraId="6D83C2BF"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E7ED2B2" w14:textId="77777777" w:rsidR="00CB0FCB" w:rsidRDefault="009D2B11">
            <w:pPr>
              <w:pStyle w:val="P68B1DB1-Normal8"/>
              <w:keepNext/>
              <w:spacing w:before="40" w:after="0" w:line="240" w:lineRule="auto"/>
              <w:jc w:val="both"/>
              <w:rPr>
                <w:rFonts w:eastAsia="Times New Roman" w:cs="Times New Roman"/>
                <w:noProof/>
                <w:szCs w:val="18"/>
              </w:rPr>
            </w:pPr>
            <w:r>
              <w:rPr>
                <w:noProof/>
              </w:rPr>
              <w:t>324</w:t>
            </w:r>
          </w:p>
        </w:tc>
        <w:tc>
          <w:tcPr>
            <w:tcW w:w="4283" w:type="dxa"/>
            <w:tcBorders>
              <w:top w:val="nil"/>
              <w:left w:val="nil"/>
              <w:bottom w:val="single" w:sz="4" w:space="0" w:color="auto"/>
              <w:right w:val="single" w:sz="4" w:space="0" w:color="auto"/>
            </w:tcBorders>
            <w:shd w:val="clear" w:color="000000" w:fill="C6EFCE"/>
            <w:noWrap/>
            <w:vAlign w:val="center"/>
          </w:tcPr>
          <w:p w14:paraId="4265E6E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 Uzlabot konkurētspēju un veicināt privātās investīcijas un eksportu — 16980_RNP aizdevumu mehānisms</w:t>
            </w:r>
          </w:p>
        </w:tc>
        <w:tc>
          <w:tcPr>
            <w:tcW w:w="1692" w:type="dxa"/>
            <w:tcBorders>
              <w:top w:val="nil"/>
              <w:left w:val="nil"/>
              <w:bottom w:val="single" w:sz="4" w:space="0" w:color="auto"/>
              <w:right w:val="single" w:sz="4" w:space="0" w:color="auto"/>
            </w:tcBorders>
            <w:shd w:val="clear" w:color="000000" w:fill="C6EFCE"/>
            <w:noWrap/>
            <w:vAlign w:val="center"/>
          </w:tcPr>
          <w:p w14:paraId="5A582FD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756" w:type="dxa"/>
            <w:tcBorders>
              <w:top w:val="nil"/>
              <w:left w:val="nil"/>
              <w:bottom w:val="single" w:sz="4" w:space="0" w:color="auto"/>
              <w:right w:val="single" w:sz="4" w:space="0" w:color="auto"/>
            </w:tcBorders>
            <w:shd w:val="clear" w:color="000000" w:fill="C6EFCE"/>
            <w:noWrap/>
            <w:vAlign w:val="center"/>
          </w:tcPr>
          <w:p w14:paraId="04312C79"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586,4 miljoni EUR no finanšu iestāžu līdzekļiem, kas parakstīti ar galīgajiem saņēmējiem</w:t>
            </w:r>
          </w:p>
        </w:tc>
      </w:tr>
      <w:tr w:rsidR="00CB0FCB" w14:paraId="1D382D67"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2D2FA57"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2DADD9C"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417462D8" w14:textId="77777777" w:rsidR="00CB0FCB" w:rsidRDefault="009D2B11">
            <w:pPr>
              <w:pStyle w:val="P68B1DB1-Normal8"/>
              <w:keepNext/>
              <w:spacing w:before="40" w:after="0" w:line="259" w:lineRule="auto"/>
              <w:jc w:val="both"/>
              <w:rPr>
                <w:rFonts w:eastAsia="Times New Roman" w:cs="Times New Roman"/>
                <w:noProof/>
                <w:szCs w:val="18"/>
              </w:rPr>
            </w:pPr>
            <w:r>
              <w:rPr>
                <w:noProof/>
              </w:rPr>
              <w:t>Maksājuma summa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2900C2A6" w14:textId="77777777" w:rsidR="00CB0FCB" w:rsidRDefault="009D2B11">
            <w:pPr>
              <w:pStyle w:val="P68B1DB1-Normal8"/>
              <w:keepNext/>
              <w:spacing w:before="40" w:after="0" w:line="259" w:lineRule="auto"/>
              <w:jc w:val="both"/>
              <w:rPr>
                <w:rFonts w:eastAsia="Times New Roman" w:cs="Times New Roman"/>
                <w:noProof/>
                <w:szCs w:val="18"/>
              </w:rPr>
            </w:pPr>
            <w:r>
              <w:rPr>
                <w:noProof/>
              </w:rPr>
              <w:t>EUR 2121256487</w:t>
            </w:r>
          </w:p>
        </w:tc>
      </w:tr>
    </w:tbl>
    <w:p w14:paraId="0F328CC2" w14:textId="77777777" w:rsidR="00CB0FCB" w:rsidRDefault="00CB0FCB">
      <w:pPr>
        <w:keepNext/>
        <w:spacing w:before="40" w:after="160" w:line="259" w:lineRule="auto"/>
        <w:contextualSpacing/>
        <w:jc w:val="both"/>
        <w:rPr>
          <w:rFonts w:ascii="Times New Roman" w:eastAsia="Times New Roman" w:hAnsi="Times New Roman" w:cs="Times New Roman"/>
          <w:noProof/>
          <w:sz w:val="24"/>
        </w:rPr>
      </w:pPr>
    </w:p>
    <w:p w14:paraId="55343648" w14:textId="77777777" w:rsidR="00CB0FCB" w:rsidRDefault="00CB0FCB">
      <w:pPr>
        <w:keepNext/>
        <w:numPr>
          <w:ilvl w:val="1"/>
          <w:numId w:val="22"/>
        </w:numPr>
        <w:spacing w:before="40" w:after="160" w:line="259" w:lineRule="auto"/>
        <w:ind w:left="0"/>
        <w:contextualSpacing/>
        <w:jc w:val="both"/>
        <w:rPr>
          <w:rFonts w:ascii="Times New Roman" w:hAnsi="Times New Roman"/>
          <w:noProof/>
          <w:sz w:val="24"/>
        </w:rPr>
        <w:sectPr w:rsidR="00CB0FCB" w:rsidSect="00271D33">
          <w:headerReference w:type="even" r:id="rId369"/>
          <w:headerReference w:type="default" r:id="rId370"/>
          <w:footerReference w:type="even" r:id="rId371"/>
          <w:footerReference w:type="default" r:id="rId372"/>
          <w:headerReference w:type="first" r:id="rId373"/>
          <w:footerReference w:type="first" r:id="rId374"/>
          <w:pgSz w:w="11907" w:h="16839"/>
          <w:pgMar w:top="1134" w:right="1418" w:bottom="1134" w:left="1418" w:header="709" w:footer="468" w:gutter="0"/>
          <w:cols w:space="720"/>
          <w:docGrid w:linePitch="360"/>
        </w:sectPr>
      </w:pPr>
    </w:p>
    <w:p w14:paraId="4F1345E4"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Trešais maksājuma pieprasījums (aizdevuma atbalsts): </w:t>
      </w:r>
    </w:p>
    <w:tbl>
      <w:tblPr>
        <w:tblW w:w="9535" w:type="dxa"/>
        <w:tblInd w:w="113" w:type="dxa"/>
        <w:tblLook w:val="04A0" w:firstRow="1" w:lastRow="0" w:firstColumn="1" w:lastColumn="0" w:noHBand="0" w:noVBand="1"/>
      </w:tblPr>
      <w:tblGrid>
        <w:gridCol w:w="1804"/>
        <w:gridCol w:w="4283"/>
        <w:gridCol w:w="1807"/>
        <w:gridCol w:w="1756"/>
      </w:tblGrid>
      <w:tr w:rsidR="00CB0FCB" w14:paraId="05BEE94B"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16D1E96"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23B2367"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1CA081F"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6EA68811"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510B9805"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0808922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4BDAB216"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FEED56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56" w:type="dxa"/>
            <w:vMerge/>
            <w:tcBorders>
              <w:top w:val="single" w:sz="4" w:space="0" w:color="auto"/>
              <w:left w:val="nil"/>
              <w:bottom w:val="single" w:sz="4" w:space="0" w:color="000000"/>
              <w:right w:val="single" w:sz="4" w:space="0" w:color="auto"/>
            </w:tcBorders>
            <w:vAlign w:val="center"/>
            <w:hideMark/>
          </w:tcPr>
          <w:p w14:paraId="287CA67B"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64B1F130"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4D3E1C4" w14:textId="77777777" w:rsidR="00CB0FCB" w:rsidRDefault="009D2B11">
            <w:pPr>
              <w:pStyle w:val="P68B1DB1-Normal8"/>
              <w:keepNext/>
              <w:spacing w:before="40" w:after="0" w:line="240" w:lineRule="auto"/>
              <w:jc w:val="both"/>
              <w:rPr>
                <w:rFonts w:eastAsia="Times New Roman" w:cs="Times New Roman"/>
                <w:noProof/>
                <w:szCs w:val="18"/>
              </w:rPr>
            </w:pPr>
            <w:r>
              <w:rPr>
                <w:noProof/>
              </w:rPr>
              <w:t>325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0F88EFE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1368204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1CAAEF7B" w14:textId="3D574E88" w:rsidR="00CB0FCB" w:rsidRDefault="009D2B11">
            <w:pPr>
              <w:pStyle w:val="P68B1DB1-Normal8"/>
              <w:keepNext/>
              <w:spacing w:before="40" w:after="0" w:line="240" w:lineRule="auto"/>
              <w:jc w:val="both"/>
              <w:rPr>
                <w:rFonts w:eastAsia="Times New Roman" w:cs="Times New Roman"/>
                <w:bCs/>
                <w:noProof/>
                <w:szCs w:val="18"/>
              </w:rPr>
            </w:pPr>
            <w:r>
              <w:rPr>
                <w:noProof/>
              </w:rPr>
              <w:t>Ar galīgajiem saņēmējiem parakstītie finanšu iestāžu līdzekļi 3518.4 miljonu EUR apmērā</w:t>
            </w:r>
          </w:p>
        </w:tc>
      </w:tr>
      <w:tr w:rsidR="00CB0FCB" w14:paraId="53D82DEB"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97E9E6C"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99062DD" w14:textId="77777777" w:rsidR="00CB0FCB" w:rsidRDefault="00CB0FCB">
            <w:pPr>
              <w:keepNext/>
              <w:spacing w:before="40" w:after="0" w:line="240"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232D72A8" w14:textId="77777777" w:rsidR="00CB0FCB" w:rsidRDefault="009D2B11">
            <w:pPr>
              <w:pStyle w:val="P68B1DB1-Normal8"/>
              <w:keepNext/>
              <w:spacing w:before="40" w:after="0" w:line="240" w:lineRule="auto"/>
              <w:jc w:val="both"/>
              <w:rPr>
                <w:rFonts w:eastAsia="Times New Roman" w:cs="Times New Roman"/>
                <w:noProof/>
                <w:szCs w:val="18"/>
              </w:rPr>
            </w:pPr>
            <w:r>
              <w:rPr>
                <w:noProof/>
              </w:rPr>
              <w:t>Maksājuma summa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21945D9E" w14:textId="77777777" w:rsidR="00CB0FCB" w:rsidRDefault="009D2B11">
            <w:pPr>
              <w:pStyle w:val="P68B1DB1-Normal8"/>
              <w:keepNext/>
              <w:spacing w:before="40" w:after="0" w:line="240" w:lineRule="auto"/>
              <w:jc w:val="both"/>
              <w:rPr>
                <w:rFonts w:eastAsia="Times New Roman" w:cs="Times New Roman"/>
                <w:noProof/>
                <w:szCs w:val="18"/>
              </w:rPr>
            </w:pPr>
            <w:r>
              <w:rPr>
                <w:noProof/>
              </w:rPr>
              <w:t>EUR 2121256487</w:t>
            </w:r>
          </w:p>
        </w:tc>
      </w:tr>
    </w:tbl>
    <w:p w14:paraId="27668111"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227223D9"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Ceturtais maksājuma pieprasījums (aizdevuma atbalsts): </w:t>
      </w:r>
    </w:p>
    <w:tbl>
      <w:tblPr>
        <w:tblW w:w="9535" w:type="dxa"/>
        <w:tblInd w:w="113" w:type="dxa"/>
        <w:tblLayout w:type="fixed"/>
        <w:tblLook w:val="04A0" w:firstRow="1" w:lastRow="0" w:firstColumn="1" w:lastColumn="0" w:noHBand="0" w:noVBand="1"/>
      </w:tblPr>
      <w:tblGrid>
        <w:gridCol w:w="1804"/>
        <w:gridCol w:w="4283"/>
        <w:gridCol w:w="1692"/>
        <w:gridCol w:w="1756"/>
      </w:tblGrid>
      <w:tr w:rsidR="00CB0FCB" w14:paraId="14E636A2"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FD5F7EE" w14:textId="77777777" w:rsidR="00CB0FCB" w:rsidRDefault="009D2B11">
            <w:pPr>
              <w:pStyle w:val="P68B1DB1-Normal8"/>
              <w:keepNext/>
              <w:spacing w:before="40" w:after="0" w:line="259" w:lineRule="auto"/>
              <w:jc w:val="center"/>
              <w:rPr>
                <w:rFonts w:eastAsia="Times New Roman" w:cs="Times New Roman"/>
                <w:noProof/>
                <w:szCs w:val="18"/>
              </w:rPr>
            </w:pPr>
            <w:bookmarkStart w:id="3" w:name="_Hlk150347477"/>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E950C80" w14:textId="77777777" w:rsidR="00CB0FCB" w:rsidRDefault="009D2B11">
            <w:pPr>
              <w:pStyle w:val="P68B1DB1-Normal8"/>
              <w:keepNext/>
              <w:spacing w:before="40" w:after="0" w:line="259" w:lineRule="auto"/>
              <w:jc w:val="center"/>
              <w:rPr>
                <w:rFonts w:eastAsia="Times New Roman" w:cs="Times New Roman"/>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70D5654" w14:textId="77777777" w:rsidR="00CB0FCB" w:rsidRDefault="009D2B11">
            <w:pPr>
              <w:pStyle w:val="P68B1DB1-Normal8"/>
              <w:keepNext/>
              <w:spacing w:before="40" w:after="0" w:line="259" w:lineRule="auto"/>
              <w:jc w:val="center"/>
              <w:rPr>
                <w:rFonts w:eastAsia="Times New Roman" w:cs="Times New Roman"/>
                <w:noProof/>
                <w:szCs w:val="18"/>
              </w:rPr>
            </w:pPr>
            <w:r>
              <w:rPr>
                <w:noProof/>
              </w:rPr>
              <w:t>Atskaites punkts/mērķrādītājs</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35B5A776" w14:textId="77777777" w:rsidR="00CB0FCB" w:rsidRDefault="009D2B11">
            <w:pPr>
              <w:pStyle w:val="P68B1DB1-Normal8"/>
              <w:keepNext/>
              <w:spacing w:before="40" w:after="0" w:line="259" w:lineRule="auto"/>
              <w:jc w:val="center"/>
              <w:rPr>
                <w:rFonts w:eastAsia="Times New Roman" w:cs="Times New Roman"/>
                <w:noProof/>
                <w:szCs w:val="18"/>
              </w:rPr>
            </w:pPr>
            <w:r>
              <w:rPr>
                <w:noProof/>
              </w:rPr>
              <w:t>Nosaukums</w:t>
            </w:r>
          </w:p>
        </w:tc>
      </w:tr>
      <w:tr w:rsidR="00CB0FCB" w14:paraId="660CF0EC"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5ECA936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1C84E8BA"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31E0DE0B"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56" w:type="dxa"/>
            <w:vMerge/>
            <w:tcBorders>
              <w:top w:val="single" w:sz="4" w:space="0" w:color="auto"/>
              <w:left w:val="nil"/>
              <w:bottom w:val="single" w:sz="4" w:space="0" w:color="000000"/>
              <w:right w:val="single" w:sz="4" w:space="0" w:color="auto"/>
            </w:tcBorders>
            <w:vAlign w:val="center"/>
            <w:hideMark/>
          </w:tcPr>
          <w:p w14:paraId="1AB327DC"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016DDE52"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9836AF3" w14:textId="77777777" w:rsidR="00CB0FCB" w:rsidRDefault="009D2B11">
            <w:pPr>
              <w:pStyle w:val="P68B1DB1-Normal8"/>
              <w:keepNext/>
              <w:spacing w:before="40" w:after="0" w:line="240" w:lineRule="auto"/>
              <w:jc w:val="both"/>
              <w:rPr>
                <w:rFonts w:eastAsia="Times New Roman" w:cs="Times New Roman"/>
                <w:noProof/>
                <w:szCs w:val="18"/>
              </w:rPr>
            </w:pPr>
            <w:r>
              <w:rPr>
                <w:noProof/>
              </w:rPr>
              <w:t>325.a</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61AA9E4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6986035F"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553C3298" w14:textId="51F2F05F" w:rsidR="00CB0FCB" w:rsidRDefault="009D2B11">
            <w:pPr>
              <w:pStyle w:val="P68B1DB1-Normal8"/>
              <w:keepNext/>
              <w:spacing w:before="40" w:after="0" w:line="240" w:lineRule="auto"/>
              <w:jc w:val="both"/>
              <w:rPr>
                <w:rFonts w:eastAsia="Times New Roman" w:cs="Times New Roman"/>
                <w:bCs/>
                <w:noProof/>
                <w:szCs w:val="18"/>
              </w:rPr>
            </w:pPr>
            <w:r>
              <w:rPr>
                <w:noProof/>
              </w:rPr>
              <w:t>Ar galīgajiem saņēmējiem parakstītie finanšu iestāžu līdzekļi 4518.4 miljonu EUR apmērā</w:t>
            </w:r>
          </w:p>
        </w:tc>
      </w:tr>
      <w:tr w:rsidR="00CB0FCB" w14:paraId="2956D403"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EF68EE2"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3D45C8F" w14:textId="77777777" w:rsidR="00CB0FCB" w:rsidRDefault="00CB0FCB">
            <w:pPr>
              <w:keepNext/>
              <w:spacing w:before="40" w:after="0" w:line="240"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04EF7A8C" w14:textId="77777777" w:rsidR="00CB0FCB" w:rsidRDefault="009D2B11">
            <w:pPr>
              <w:pStyle w:val="P68B1DB1-Normal8"/>
              <w:keepNext/>
              <w:spacing w:before="40" w:after="0" w:line="240" w:lineRule="auto"/>
              <w:jc w:val="both"/>
              <w:rPr>
                <w:rFonts w:eastAsia="Times New Roman" w:cs="Times New Roman"/>
                <w:noProof/>
                <w:szCs w:val="18"/>
              </w:rPr>
            </w:pPr>
            <w:r>
              <w:rPr>
                <w:noProof/>
              </w:rPr>
              <w:t>Maksājuma summa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723D00DB" w14:textId="3226433A" w:rsidR="00CB0FCB" w:rsidRDefault="009D2B11">
            <w:pPr>
              <w:pStyle w:val="P68B1DB1-Normal8"/>
              <w:keepNext/>
              <w:spacing w:before="40" w:after="0" w:line="240" w:lineRule="auto"/>
              <w:jc w:val="both"/>
              <w:rPr>
                <w:rFonts w:eastAsia="Times New Roman" w:cs="Times New Roman"/>
                <w:noProof/>
                <w:szCs w:val="18"/>
              </w:rPr>
            </w:pPr>
            <w:r>
              <w:rPr>
                <w:noProof/>
              </w:rPr>
              <w:t>EUR 2534514342</w:t>
            </w:r>
          </w:p>
        </w:tc>
      </w:tr>
      <w:bookmarkEnd w:id="3"/>
    </w:tbl>
    <w:p w14:paraId="031033B6"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51B07C62"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Piektais maksājuma pieprasījums (aizdevuma atbalsts): </w:t>
      </w:r>
    </w:p>
    <w:tbl>
      <w:tblPr>
        <w:tblpPr w:leftFromText="180" w:rightFromText="180" w:vertAnchor="text" w:tblpX="113" w:tblpY="1"/>
        <w:tblOverlap w:val="never"/>
        <w:tblW w:w="9519" w:type="dxa"/>
        <w:tblLayout w:type="fixed"/>
        <w:tblLook w:val="04A0" w:firstRow="1" w:lastRow="0" w:firstColumn="1" w:lastColumn="0" w:noHBand="0" w:noVBand="1"/>
      </w:tblPr>
      <w:tblGrid>
        <w:gridCol w:w="1804"/>
        <w:gridCol w:w="4283"/>
        <w:gridCol w:w="1692"/>
        <w:gridCol w:w="1740"/>
      </w:tblGrid>
      <w:tr w:rsidR="00CB0FCB" w14:paraId="51412791" w14:textId="77777777">
        <w:trPr>
          <w:trHeight w:val="906"/>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AA0A82B" w14:textId="77777777" w:rsidR="00CB0FCB" w:rsidRDefault="009D2B11">
            <w:pPr>
              <w:pStyle w:val="P68B1DB1-Normal7"/>
              <w:keepNext/>
              <w:spacing w:before="40" w:after="0" w:line="240"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0608165" w14:textId="77777777" w:rsidR="00CB0FCB" w:rsidRDefault="009D2B11">
            <w:pPr>
              <w:pStyle w:val="P68B1DB1-Normal7"/>
              <w:keepNext/>
              <w:spacing w:before="40" w:after="0" w:line="240" w:lineRule="auto"/>
              <w:jc w:val="center"/>
              <w:rPr>
                <w:rFonts w:eastAsia="Times New Roman" w:cs="Times New Roman"/>
                <w:bCs/>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150B844" w14:textId="77777777" w:rsidR="00CB0FCB" w:rsidRDefault="009D2B11">
            <w:pPr>
              <w:pStyle w:val="P68B1DB1-Normal7"/>
              <w:keepNext/>
              <w:spacing w:before="40" w:after="0" w:line="240" w:lineRule="auto"/>
              <w:jc w:val="center"/>
              <w:rPr>
                <w:rFonts w:eastAsia="Times New Roman" w:cs="Times New Roman"/>
                <w:bCs/>
                <w:noProof/>
                <w:szCs w:val="18"/>
              </w:rPr>
            </w:pPr>
            <w:r>
              <w:rPr>
                <w:noProof/>
              </w:rPr>
              <w:t>Atskaites punkts/mērķrādītājs</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14:paraId="60B9C180" w14:textId="77777777" w:rsidR="00CB0FCB" w:rsidRDefault="009D2B11">
            <w:pPr>
              <w:pStyle w:val="P68B1DB1-Normal7"/>
              <w:keepNext/>
              <w:spacing w:before="40" w:after="0" w:line="240" w:lineRule="auto"/>
              <w:jc w:val="center"/>
              <w:rPr>
                <w:rFonts w:eastAsia="Times New Roman" w:cs="Times New Roman"/>
                <w:bCs/>
                <w:noProof/>
                <w:szCs w:val="18"/>
              </w:rPr>
            </w:pPr>
            <w:r>
              <w:rPr>
                <w:noProof/>
              </w:rPr>
              <w:t>Nosaukums</w:t>
            </w:r>
          </w:p>
        </w:tc>
      </w:tr>
      <w:tr w:rsidR="00CB0FCB" w14:paraId="51C3E6DB" w14:textId="77777777">
        <w:trPr>
          <w:trHeight w:val="990"/>
          <w:tblHeader/>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4B97D073"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1A249F66"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0A03DACF"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40" w:type="dxa"/>
            <w:vMerge/>
            <w:tcBorders>
              <w:top w:val="single" w:sz="4" w:space="0" w:color="auto"/>
              <w:left w:val="nil"/>
              <w:bottom w:val="single" w:sz="4" w:space="0" w:color="000000"/>
              <w:right w:val="single" w:sz="4" w:space="0" w:color="auto"/>
            </w:tcBorders>
            <w:vAlign w:val="center"/>
            <w:hideMark/>
          </w:tcPr>
          <w:p w14:paraId="50EDE70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4F81D4AE"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65FB75E" w14:textId="1C537199" w:rsidR="00CB0FCB" w:rsidRDefault="009D2B11">
            <w:pPr>
              <w:pStyle w:val="P68B1DB1-Normal8"/>
              <w:keepNext/>
              <w:spacing w:before="40" w:after="0" w:line="240" w:lineRule="auto"/>
              <w:jc w:val="both"/>
              <w:rPr>
                <w:rFonts w:eastAsia="Times New Roman" w:cs="Times New Roman"/>
                <w:noProof/>
                <w:szCs w:val="18"/>
              </w:rPr>
            </w:pPr>
            <w:r>
              <w:rPr>
                <w:noProof/>
              </w:rPr>
              <w:t>374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10A5721"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Renovate — 16401_Enerģijas modernizācijas programma “Atjaunināt manas mājas”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34BD7FD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64DEB991" w14:textId="5006CA9E" w:rsidR="00CB0FCB" w:rsidRDefault="009D2B11">
            <w:pPr>
              <w:pStyle w:val="P68B1DB1-Normal8"/>
              <w:keepNext/>
              <w:spacing w:before="40" w:after="0" w:line="240" w:lineRule="auto"/>
              <w:jc w:val="both"/>
              <w:rPr>
                <w:rFonts w:eastAsia="Times New Roman" w:cs="Times New Roman"/>
                <w:bCs/>
                <w:noProof/>
                <w:szCs w:val="18"/>
              </w:rPr>
            </w:pPr>
            <w:r>
              <w:rPr>
                <w:noProof/>
              </w:rPr>
              <w:t>Manas mājas modernizācija — īstenošanas nolīgums starp Grieķijas Attīstības banku un Finanšu ministriju</w:t>
            </w:r>
          </w:p>
        </w:tc>
      </w:tr>
      <w:tr w:rsidR="00CB0FCB" w14:paraId="050AFA45"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67E2CD39" w14:textId="12CFE0D5" w:rsidR="00CB0FCB" w:rsidRDefault="009D2B11">
            <w:pPr>
              <w:pStyle w:val="P68B1DB1-Normal8"/>
              <w:keepNext/>
              <w:spacing w:before="40" w:after="0" w:line="240" w:lineRule="auto"/>
              <w:jc w:val="both"/>
              <w:rPr>
                <w:rFonts w:eastAsia="Times New Roman" w:cs="Times New Roman"/>
                <w:noProof/>
                <w:szCs w:val="18"/>
              </w:rPr>
            </w:pPr>
            <w:r>
              <w:rPr>
                <w:noProof/>
              </w:rPr>
              <w:t>378</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02E7F6A7"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11–3.4. Palielināt piekļuvi efektīvai un iekļaujošai sociālajai politikai — 16400_Pieejamu mājokļu programma “Mans mājoklis II”</w:t>
            </w:r>
            <w:r>
              <w:rPr>
                <w:noProof/>
              </w:rPr>
              <w:tab/>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17EE0A3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220A6D2C" w14:textId="5A1A0575" w:rsidR="00CB0FCB" w:rsidRDefault="009D2B11">
            <w:pPr>
              <w:pStyle w:val="P68B1DB1-Normal8"/>
              <w:keepNext/>
              <w:spacing w:before="40" w:after="0" w:line="240" w:lineRule="auto"/>
              <w:jc w:val="both"/>
              <w:rPr>
                <w:rFonts w:eastAsia="Times New Roman" w:cs="Times New Roman"/>
                <w:bCs/>
                <w:noProof/>
                <w:szCs w:val="18"/>
              </w:rPr>
            </w:pPr>
            <w:r>
              <w:rPr>
                <w:noProof/>
              </w:rPr>
              <w:t>Mana izcelsmes valsts II — Īstenošanas līgums starp Grieķijas Attīstības banku un Finanšu ministriju</w:t>
            </w:r>
          </w:p>
        </w:tc>
      </w:tr>
      <w:tr w:rsidR="00CB0FCB" w14:paraId="12AD0BE5"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12FCEE9" w14:textId="77777777" w:rsidR="00CB0FCB" w:rsidRDefault="009D2B11">
            <w:pPr>
              <w:pStyle w:val="P68B1DB1-Normal8"/>
              <w:keepNext/>
              <w:spacing w:before="40" w:after="0" w:line="240" w:lineRule="auto"/>
              <w:jc w:val="both"/>
              <w:rPr>
                <w:noProof/>
              </w:rPr>
            </w:pPr>
            <w:r>
              <w:rPr>
                <w:noProof/>
              </w:rPr>
              <w:t>326</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22169B4" w14:textId="77777777" w:rsidR="00CB0FCB" w:rsidRDefault="009D2B11">
            <w:pPr>
              <w:pStyle w:val="P68B1DB1-Normal8"/>
              <w:keepNext/>
              <w:spacing w:before="40" w:after="0" w:line="240" w:lineRule="auto"/>
              <w:jc w:val="both"/>
              <w:rPr>
                <w:noProof/>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06E10CEA" w14:textId="77777777" w:rsidR="00CB0FCB" w:rsidRDefault="009D2B11">
            <w:pPr>
              <w:pStyle w:val="P68B1DB1-Normal8"/>
              <w:keepNext/>
              <w:spacing w:before="40" w:after="0" w:line="240" w:lineRule="auto"/>
              <w:jc w:val="both"/>
              <w:rPr>
                <w:noProof/>
              </w:rPr>
            </w:pPr>
            <w:r>
              <w:rPr>
                <w:noProof/>
              </w:rPr>
              <w:t>Mērķa</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02B91D7E" w14:textId="350A9BC9" w:rsidR="00CB0FCB" w:rsidRDefault="009D2B11">
            <w:pPr>
              <w:pStyle w:val="P68B1DB1-Normal8"/>
              <w:keepNext/>
              <w:spacing w:before="40" w:after="0" w:line="240" w:lineRule="auto"/>
              <w:jc w:val="both"/>
              <w:rPr>
                <w:noProof/>
              </w:rPr>
            </w:pPr>
            <w:r>
              <w:rPr>
                <w:noProof/>
              </w:rPr>
              <w:t>Finanšu iestāžu līdzekļi 7064 miljonu EUR apmērā, kas parakstīti ar galīgajiem saņēmējiem</w:t>
            </w:r>
          </w:p>
        </w:tc>
      </w:tr>
      <w:tr w:rsidR="00CB0FCB" w14:paraId="43FE1C6D"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3AE0E9D"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17734CEB" w14:textId="77777777" w:rsidR="00CB0FCB" w:rsidRDefault="00CB0FCB">
            <w:pPr>
              <w:keepNext/>
              <w:spacing w:before="40" w:after="0" w:line="240"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3D5A8978" w14:textId="77777777" w:rsidR="00CB0FCB" w:rsidRDefault="009D2B11">
            <w:pPr>
              <w:pStyle w:val="P68B1DB1-Normal8"/>
              <w:keepNext/>
              <w:spacing w:before="40" w:after="0" w:line="240" w:lineRule="auto"/>
              <w:jc w:val="both"/>
              <w:rPr>
                <w:rFonts w:eastAsia="Times New Roman" w:cs="Times New Roman"/>
                <w:noProof/>
                <w:szCs w:val="18"/>
              </w:rPr>
            </w:pPr>
            <w:r>
              <w:rPr>
                <w:noProof/>
              </w:rPr>
              <w:t>Maksājuma summa</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14:paraId="55589FFA" w14:textId="157119AB" w:rsidR="00CB0FCB" w:rsidRDefault="009D2B11">
            <w:pPr>
              <w:pStyle w:val="P68B1DB1-Normal8"/>
              <w:keepNext/>
              <w:spacing w:before="40" w:after="0" w:line="240" w:lineRule="auto"/>
              <w:jc w:val="both"/>
              <w:rPr>
                <w:rFonts w:eastAsia="Times New Roman" w:cs="Times New Roman"/>
                <w:noProof/>
                <w:szCs w:val="18"/>
              </w:rPr>
            </w:pPr>
            <w:r>
              <w:rPr>
                <w:noProof/>
              </w:rPr>
              <w:t>EUR 1940000000</w:t>
            </w:r>
          </w:p>
        </w:tc>
      </w:tr>
    </w:tbl>
    <w:p w14:paraId="3B391E80" w14:textId="77777777" w:rsidR="00CB0FCB" w:rsidRDefault="00CB0FCB">
      <w:pPr>
        <w:keepNext/>
        <w:spacing w:before="40" w:after="160" w:line="259" w:lineRule="auto"/>
        <w:contextualSpacing/>
        <w:jc w:val="both"/>
        <w:rPr>
          <w:rFonts w:ascii="Times New Roman" w:hAnsi="Times New Roman"/>
          <w:noProof/>
          <w:sz w:val="24"/>
        </w:rPr>
      </w:pPr>
    </w:p>
    <w:p w14:paraId="4BAB4DA0"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Sestā maksājuma pieprasījums (aizdevuma atbalsts): </w:t>
      </w:r>
    </w:p>
    <w:tbl>
      <w:tblPr>
        <w:tblW w:w="95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283"/>
        <w:gridCol w:w="1807"/>
        <w:gridCol w:w="1740"/>
      </w:tblGrid>
      <w:tr w:rsidR="00CB0FCB" w14:paraId="00A1C00F" w14:textId="77777777">
        <w:trPr>
          <w:trHeight w:val="906"/>
        </w:trPr>
        <w:tc>
          <w:tcPr>
            <w:tcW w:w="1804" w:type="dxa"/>
            <w:vMerge w:val="restart"/>
            <w:shd w:val="clear" w:color="auto" w:fill="BDD7EE"/>
            <w:vAlign w:val="center"/>
            <w:hideMark/>
          </w:tcPr>
          <w:p w14:paraId="05CDC8D9" w14:textId="77777777" w:rsidR="00CB0FCB" w:rsidRDefault="009D2B11">
            <w:pPr>
              <w:pStyle w:val="P68B1DB1-Normal7"/>
              <w:keepNext/>
              <w:spacing w:before="40" w:after="0" w:line="240" w:lineRule="auto"/>
              <w:jc w:val="center"/>
              <w:rPr>
                <w:rFonts w:eastAsia="Times New Roman" w:cs="Times New Roman"/>
                <w:bCs/>
                <w:noProof/>
                <w:szCs w:val="18"/>
              </w:rPr>
            </w:pPr>
            <w:r>
              <w:rPr>
                <w:noProof/>
              </w:rPr>
              <w:t>Kārtas numurs</w:t>
            </w:r>
          </w:p>
        </w:tc>
        <w:tc>
          <w:tcPr>
            <w:tcW w:w="4283" w:type="dxa"/>
            <w:vMerge w:val="restart"/>
            <w:shd w:val="clear" w:color="auto" w:fill="BDD7EE"/>
            <w:vAlign w:val="center"/>
            <w:hideMark/>
          </w:tcPr>
          <w:p w14:paraId="429ED884" w14:textId="77777777" w:rsidR="00CB0FCB" w:rsidRDefault="009D2B11">
            <w:pPr>
              <w:pStyle w:val="P68B1DB1-Normal7"/>
              <w:keepNext/>
              <w:spacing w:before="40" w:after="0" w:line="240" w:lineRule="auto"/>
              <w:jc w:val="center"/>
              <w:rPr>
                <w:rFonts w:eastAsia="Times New Roman" w:cs="Times New Roman"/>
                <w:bCs/>
                <w:noProof/>
                <w:szCs w:val="18"/>
              </w:rPr>
            </w:pPr>
            <w:r>
              <w:rPr>
                <w:noProof/>
              </w:rPr>
              <w:t>Saistītais pasākums (reforma vai ieguldījums)</w:t>
            </w:r>
          </w:p>
        </w:tc>
        <w:tc>
          <w:tcPr>
            <w:tcW w:w="1692" w:type="dxa"/>
            <w:vMerge w:val="restart"/>
            <w:shd w:val="clear" w:color="auto" w:fill="BDD7EE"/>
            <w:vAlign w:val="center"/>
            <w:hideMark/>
          </w:tcPr>
          <w:p w14:paraId="62E515D2" w14:textId="77777777" w:rsidR="00CB0FCB" w:rsidRDefault="009D2B11">
            <w:pPr>
              <w:pStyle w:val="P68B1DB1-Normal7"/>
              <w:keepNext/>
              <w:spacing w:before="40" w:after="0" w:line="240" w:lineRule="auto"/>
              <w:jc w:val="center"/>
              <w:rPr>
                <w:rFonts w:eastAsia="Times New Roman" w:cs="Times New Roman"/>
                <w:bCs/>
                <w:noProof/>
                <w:szCs w:val="18"/>
              </w:rPr>
            </w:pPr>
            <w:r>
              <w:rPr>
                <w:noProof/>
              </w:rPr>
              <w:t>Atskaites punkts/mērķrādītājs</w:t>
            </w:r>
          </w:p>
        </w:tc>
        <w:tc>
          <w:tcPr>
            <w:tcW w:w="1740" w:type="dxa"/>
            <w:vMerge w:val="restart"/>
            <w:shd w:val="clear" w:color="auto" w:fill="BDD7EE"/>
            <w:vAlign w:val="center"/>
            <w:hideMark/>
          </w:tcPr>
          <w:p w14:paraId="0982F947" w14:textId="77777777" w:rsidR="00CB0FCB" w:rsidRDefault="009D2B11">
            <w:pPr>
              <w:pStyle w:val="P68B1DB1-Normal7"/>
              <w:keepNext/>
              <w:spacing w:before="40" w:after="0" w:line="240" w:lineRule="auto"/>
              <w:jc w:val="center"/>
              <w:rPr>
                <w:rFonts w:eastAsia="Times New Roman" w:cs="Times New Roman"/>
                <w:bCs/>
                <w:noProof/>
                <w:szCs w:val="18"/>
              </w:rPr>
            </w:pPr>
            <w:r>
              <w:rPr>
                <w:noProof/>
              </w:rPr>
              <w:t>Nosaukums</w:t>
            </w:r>
          </w:p>
        </w:tc>
      </w:tr>
      <w:tr w:rsidR="00CB0FCB" w14:paraId="70076C67" w14:textId="77777777">
        <w:trPr>
          <w:trHeight w:val="990"/>
        </w:trPr>
        <w:tc>
          <w:tcPr>
            <w:tcW w:w="1804" w:type="dxa"/>
            <w:vMerge/>
            <w:vAlign w:val="center"/>
            <w:hideMark/>
          </w:tcPr>
          <w:p w14:paraId="5851B9D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vAlign w:val="center"/>
            <w:hideMark/>
          </w:tcPr>
          <w:p w14:paraId="525273DF"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vAlign w:val="center"/>
            <w:hideMark/>
          </w:tcPr>
          <w:p w14:paraId="40341B5C"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40" w:type="dxa"/>
            <w:vMerge/>
            <w:vAlign w:val="center"/>
            <w:hideMark/>
          </w:tcPr>
          <w:p w14:paraId="2A0A8119"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72FED212" w14:textId="77777777">
        <w:trPr>
          <w:trHeight w:val="302"/>
        </w:trPr>
        <w:tc>
          <w:tcPr>
            <w:tcW w:w="1804" w:type="dxa"/>
            <w:shd w:val="clear" w:color="auto" w:fill="C6EFCE"/>
            <w:noWrap/>
            <w:vAlign w:val="center"/>
          </w:tcPr>
          <w:p w14:paraId="5D5A6800" w14:textId="77777777" w:rsidR="00CB0FCB" w:rsidRDefault="009D2B11">
            <w:pPr>
              <w:pStyle w:val="P68B1DB1-Normal8"/>
              <w:keepNext/>
              <w:spacing w:before="40" w:after="0" w:line="240" w:lineRule="auto"/>
              <w:jc w:val="both"/>
              <w:rPr>
                <w:noProof/>
              </w:rPr>
            </w:pPr>
            <w:r>
              <w:rPr>
                <w:noProof/>
              </w:rPr>
              <w:t>326a</w:t>
            </w:r>
          </w:p>
        </w:tc>
        <w:tc>
          <w:tcPr>
            <w:tcW w:w="4283" w:type="dxa"/>
            <w:shd w:val="clear" w:color="auto" w:fill="C6EFCE"/>
            <w:noWrap/>
            <w:vAlign w:val="center"/>
          </w:tcPr>
          <w:p w14:paraId="70549DF1" w14:textId="77777777" w:rsidR="00CB0FCB" w:rsidRDefault="009D2B11">
            <w:pPr>
              <w:pStyle w:val="P68B1DB1-Normal8"/>
              <w:keepNext/>
              <w:spacing w:before="40" w:after="0" w:line="240" w:lineRule="auto"/>
              <w:jc w:val="both"/>
              <w:rPr>
                <w:noProof/>
              </w:rPr>
            </w:pPr>
            <w:r>
              <w:rPr>
                <w:noProof/>
              </w:rPr>
              <w:t>4.7. Uzlabot konkurētspēju un veicināt privātās investīcijas un eksportu — 16980_RNP aizdevumu mehānisms</w:t>
            </w:r>
          </w:p>
        </w:tc>
        <w:tc>
          <w:tcPr>
            <w:tcW w:w="1692" w:type="dxa"/>
            <w:shd w:val="clear" w:color="auto" w:fill="C6EFCE"/>
            <w:noWrap/>
            <w:vAlign w:val="center"/>
          </w:tcPr>
          <w:p w14:paraId="793C0D80" w14:textId="77777777" w:rsidR="00CB0FCB" w:rsidRDefault="009D2B11">
            <w:pPr>
              <w:pStyle w:val="P68B1DB1-Normal8"/>
              <w:keepNext/>
              <w:spacing w:before="40" w:after="0" w:line="240" w:lineRule="auto"/>
              <w:jc w:val="both"/>
              <w:rPr>
                <w:noProof/>
              </w:rPr>
            </w:pPr>
            <w:r>
              <w:rPr>
                <w:noProof/>
              </w:rPr>
              <w:t>Mērķa</w:t>
            </w:r>
          </w:p>
        </w:tc>
        <w:tc>
          <w:tcPr>
            <w:tcW w:w="1740" w:type="dxa"/>
            <w:shd w:val="clear" w:color="auto" w:fill="C6EFCE"/>
            <w:noWrap/>
            <w:vAlign w:val="center"/>
          </w:tcPr>
          <w:p w14:paraId="0FDED785" w14:textId="2738A983" w:rsidR="00CB0FCB" w:rsidRDefault="009D2B11">
            <w:pPr>
              <w:pStyle w:val="P68B1DB1-Normal8"/>
              <w:keepNext/>
              <w:spacing w:before="40" w:after="0" w:line="240" w:lineRule="auto"/>
              <w:jc w:val="both"/>
              <w:rPr>
                <w:noProof/>
              </w:rPr>
            </w:pPr>
            <w:r>
              <w:rPr>
                <w:noProof/>
              </w:rPr>
              <w:t>Ar galīgajiem saņēmējiem parakstītie finanšu iestāžu līdzekļi 9000 miljonu EUR apmērā</w:t>
            </w:r>
          </w:p>
        </w:tc>
      </w:tr>
      <w:tr w:rsidR="00CB0FCB" w14:paraId="1ADAAAC7" w14:textId="77777777">
        <w:trPr>
          <w:trHeight w:val="302"/>
        </w:trPr>
        <w:tc>
          <w:tcPr>
            <w:tcW w:w="1804" w:type="dxa"/>
            <w:shd w:val="clear" w:color="auto" w:fill="C6EFCE"/>
            <w:noWrap/>
            <w:vAlign w:val="bottom"/>
          </w:tcPr>
          <w:p w14:paraId="34CDE4B1"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shd w:val="clear" w:color="auto" w:fill="C6EFCE"/>
            <w:noWrap/>
            <w:vAlign w:val="bottom"/>
          </w:tcPr>
          <w:p w14:paraId="59CB205C" w14:textId="77777777" w:rsidR="00CB0FCB" w:rsidRDefault="00CB0FCB">
            <w:pPr>
              <w:keepNext/>
              <w:spacing w:before="40" w:after="0" w:line="240" w:lineRule="auto"/>
              <w:jc w:val="both"/>
              <w:rPr>
                <w:rFonts w:ascii="Times New Roman" w:eastAsia="Times New Roman" w:hAnsi="Times New Roman" w:cs="Times New Roman"/>
                <w:bCs/>
                <w:noProof/>
                <w:sz w:val="18"/>
                <w:szCs w:val="18"/>
              </w:rPr>
            </w:pPr>
          </w:p>
        </w:tc>
        <w:tc>
          <w:tcPr>
            <w:tcW w:w="1692" w:type="dxa"/>
            <w:shd w:val="clear" w:color="auto" w:fill="C6EFCE"/>
            <w:noWrap/>
            <w:vAlign w:val="bottom"/>
          </w:tcPr>
          <w:p w14:paraId="60A53CE4" w14:textId="77777777" w:rsidR="00CB0FCB" w:rsidRDefault="009D2B11">
            <w:pPr>
              <w:pStyle w:val="P68B1DB1-Normal8"/>
              <w:keepNext/>
              <w:spacing w:before="40" w:after="0" w:line="240" w:lineRule="auto"/>
              <w:jc w:val="both"/>
              <w:rPr>
                <w:rFonts w:eastAsia="Times New Roman" w:cs="Times New Roman"/>
                <w:noProof/>
                <w:szCs w:val="18"/>
              </w:rPr>
            </w:pPr>
            <w:r>
              <w:rPr>
                <w:noProof/>
              </w:rPr>
              <w:t>Maksājuma summa</w:t>
            </w:r>
          </w:p>
        </w:tc>
        <w:tc>
          <w:tcPr>
            <w:tcW w:w="1740" w:type="dxa"/>
            <w:shd w:val="clear" w:color="auto" w:fill="C6EFCE"/>
            <w:noWrap/>
            <w:vAlign w:val="bottom"/>
          </w:tcPr>
          <w:p w14:paraId="3E1DDE01" w14:textId="2DF5BF2A" w:rsidR="00CB0FCB" w:rsidRDefault="009D2B11">
            <w:pPr>
              <w:pStyle w:val="P68B1DB1-Normal8"/>
              <w:keepNext/>
              <w:spacing w:before="40" w:after="0" w:line="240" w:lineRule="auto"/>
              <w:jc w:val="both"/>
              <w:rPr>
                <w:rFonts w:eastAsia="Times New Roman" w:cs="Times New Roman"/>
                <w:noProof/>
                <w:szCs w:val="18"/>
              </w:rPr>
            </w:pPr>
            <w:r>
              <w:rPr>
                <w:noProof/>
              </w:rPr>
              <w:t>EUR 1940000000</w:t>
            </w:r>
          </w:p>
        </w:tc>
      </w:tr>
    </w:tbl>
    <w:p w14:paraId="51D642AC"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7DEF7F63"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23C8AB09"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Septītais maksājuma pieprasījums (aizdevuma atbalsts): </w:t>
      </w:r>
    </w:p>
    <w:tbl>
      <w:tblPr>
        <w:tblW w:w="9634" w:type="dxa"/>
        <w:tblInd w:w="113" w:type="dxa"/>
        <w:tblLook w:val="04A0" w:firstRow="1" w:lastRow="0" w:firstColumn="1" w:lastColumn="0" w:noHBand="0" w:noVBand="1"/>
      </w:tblPr>
      <w:tblGrid>
        <w:gridCol w:w="1804"/>
        <w:gridCol w:w="4283"/>
        <w:gridCol w:w="1807"/>
        <w:gridCol w:w="1855"/>
      </w:tblGrid>
      <w:tr w:rsidR="00CB0FCB" w14:paraId="57E60FFB"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45636FC"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A883CA9"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78BF470"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855" w:type="dxa"/>
            <w:vMerge w:val="restart"/>
            <w:tcBorders>
              <w:top w:val="single" w:sz="4" w:space="0" w:color="auto"/>
              <w:left w:val="nil"/>
              <w:bottom w:val="single" w:sz="4" w:space="0" w:color="000000"/>
              <w:right w:val="single" w:sz="4" w:space="0" w:color="auto"/>
            </w:tcBorders>
            <w:shd w:val="clear" w:color="auto" w:fill="BDD7EE"/>
            <w:vAlign w:val="center"/>
            <w:hideMark/>
          </w:tcPr>
          <w:p w14:paraId="0F2D4CC0"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1069E841"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2FFFECCC"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082C1512"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E31078B"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855" w:type="dxa"/>
            <w:vMerge/>
            <w:tcBorders>
              <w:top w:val="single" w:sz="4" w:space="0" w:color="auto"/>
              <w:left w:val="nil"/>
              <w:bottom w:val="single" w:sz="4" w:space="0" w:color="000000"/>
              <w:right w:val="single" w:sz="4" w:space="0" w:color="auto"/>
            </w:tcBorders>
            <w:vAlign w:val="center"/>
            <w:hideMark/>
          </w:tcPr>
          <w:p w14:paraId="59FB1538"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28909711"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9FFB019" w14:textId="0C8D64A8" w:rsidR="00CB0FCB" w:rsidRDefault="009D2B11">
            <w:pPr>
              <w:pStyle w:val="P68B1DB1-Normal8"/>
              <w:keepNext/>
              <w:spacing w:before="40" w:after="0" w:line="240" w:lineRule="auto"/>
              <w:jc w:val="both"/>
              <w:rPr>
                <w:noProof/>
              </w:rPr>
            </w:pPr>
            <w:r>
              <w:rPr>
                <w:noProof/>
              </w:rPr>
              <w:t>375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7113888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Renovate — 16401_Enerģijas modernizācijas programma “Atjaunināt manas mājas”</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156A380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855" w:type="dxa"/>
            <w:tcBorders>
              <w:top w:val="single" w:sz="4" w:space="0" w:color="auto"/>
              <w:left w:val="nil"/>
              <w:bottom w:val="single" w:sz="4" w:space="0" w:color="auto"/>
              <w:right w:val="single" w:sz="4" w:space="0" w:color="auto"/>
            </w:tcBorders>
            <w:shd w:val="clear" w:color="000000" w:fill="C6EFCE"/>
            <w:noWrap/>
            <w:vAlign w:val="center"/>
            <w:hideMark/>
          </w:tcPr>
          <w:p w14:paraId="26F538CB" w14:textId="77777777" w:rsidR="00CB0FCB" w:rsidRDefault="009D2B11">
            <w:pPr>
              <w:pStyle w:val="P68B1DB1-Normal51"/>
              <w:keepNext/>
              <w:spacing w:before="40" w:after="0" w:line="240" w:lineRule="auto"/>
              <w:jc w:val="both"/>
              <w:rPr>
                <w:bCs/>
                <w:noProof/>
              </w:rPr>
            </w:pPr>
            <w:r>
              <w:rPr>
                <w:noProof/>
              </w:rPr>
              <w:t>Manas mājas uzlabošana — ar galasaņēmējiem parakstītie juridiskie nolīgumi — 50 %</w:t>
            </w:r>
          </w:p>
        </w:tc>
      </w:tr>
      <w:tr w:rsidR="00CB0FCB" w14:paraId="362E23E2"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E00406A" w14:textId="66A0F65A" w:rsidR="00CB0FCB" w:rsidRDefault="009D2B11">
            <w:pPr>
              <w:pStyle w:val="P68B1DB1-Normal8"/>
              <w:keepNext/>
              <w:spacing w:before="40" w:after="0" w:line="240" w:lineRule="auto"/>
              <w:jc w:val="both"/>
              <w:rPr>
                <w:rFonts w:eastAsia="Times New Roman" w:cs="Times New Roman"/>
                <w:noProof/>
                <w:szCs w:val="18"/>
              </w:rPr>
            </w:pPr>
            <w:r>
              <w:rPr>
                <w:noProof/>
              </w:rPr>
              <w:t>379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AB4092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11–3.4. Palielināt piekļuvi efektīvai un iekļaujošai sociālajai politikai — 16400_Pieejamu mājokļu programma “Mans mājoklis II”</w:t>
            </w:r>
            <w:r>
              <w:rPr>
                <w:noProof/>
              </w:rPr>
              <w:tab/>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7D03DE3"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3AE31F22" w14:textId="77777777" w:rsidR="00CB0FCB" w:rsidRDefault="009D2B11">
            <w:pPr>
              <w:pStyle w:val="P68B1DB1-Normal51"/>
              <w:keepNext/>
              <w:spacing w:before="40" w:after="0" w:line="240" w:lineRule="auto"/>
              <w:jc w:val="both"/>
              <w:rPr>
                <w:bCs/>
                <w:noProof/>
              </w:rPr>
            </w:pPr>
            <w:r>
              <w:rPr>
                <w:noProof/>
              </w:rPr>
              <w:t>Mana izcelsmes valsts II — Juridiskie nolīgumi, kas parakstīti ar galīgajiem saņēmējiem — 50 %</w:t>
            </w:r>
          </w:p>
        </w:tc>
      </w:tr>
      <w:tr w:rsidR="00CB0FCB" w14:paraId="393ACFFB"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23236859" w14:textId="77777777" w:rsidR="00CB0FCB" w:rsidRDefault="009D2B11">
            <w:pPr>
              <w:pStyle w:val="P68B1DB1-Normal8"/>
              <w:keepNext/>
              <w:spacing w:before="40" w:after="0" w:line="240" w:lineRule="auto"/>
              <w:jc w:val="both"/>
              <w:rPr>
                <w:noProof/>
              </w:rPr>
            </w:pPr>
            <w:r>
              <w:rPr>
                <w:noProof/>
              </w:rPr>
              <w:t>327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2066F09B" w14:textId="77777777" w:rsidR="00CB0FCB" w:rsidRDefault="009D2B11">
            <w:pPr>
              <w:pStyle w:val="P68B1DB1-Normal8"/>
              <w:keepNext/>
              <w:spacing w:before="40" w:after="0" w:line="240" w:lineRule="auto"/>
              <w:jc w:val="both"/>
              <w:rPr>
                <w:noProof/>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28292EB8" w14:textId="77777777" w:rsidR="00CB0FCB" w:rsidRDefault="009D2B11">
            <w:pPr>
              <w:pStyle w:val="P68B1DB1-Normal8"/>
              <w:keepNext/>
              <w:spacing w:before="40" w:after="0" w:line="240" w:lineRule="auto"/>
              <w:jc w:val="both"/>
              <w:rPr>
                <w:noProof/>
              </w:rPr>
            </w:pPr>
            <w:r>
              <w:rPr>
                <w:noProof/>
              </w:rPr>
              <w:t>Mērķa</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4EF21C77" w14:textId="35C1FA63" w:rsidR="00CB0FCB" w:rsidRDefault="009D2B11">
            <w:pPr>
              <w:pStyle w:val="P68B1DB1-Normal8"/>
              <w:keepNext/>
              <w:spacing w:before="40" w:after="0" w:line="240" w:lineRule="auto"/>
              <w:jc w:val="both"/>
              <w:rPr>
                <w:noProof/>
              </w:rPr>
            </w:pPr>
            <w:r>
              <w:rPr>
                <w:noProof/>
              </w:rPr>
              <w:t>Ar galīgajiem saņēmējiem parakstītie finanšu iestāžu līdzekļi 11182 miljonu EUR apmērā</w:t>
            </w:r>
          </w:p>
        </w:tc>
      </w:tr>
      <w:tr w:rsidR="00CB0FCB" w14:paraId="2ED74E97"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2049A65A" w14:textId="77777777" w:rsidR="00CB0FCB" w:rsidRDefault="009D2B11">
            <w:pPr>
              <w:pStyle w:val="P68B1DB1-Normal8"/>
              <w:keepNext/>
              <w:spacing w:before="40" w:after="0" w:line="240" w:lineRule="auto"/>
              <w:jc w:val="both"/>
              <w:rPr>
                <w:noProof/>
              </w:rPr>
            </w:pPr>
            <w:r>
              <w:rPr>
                <w:noProof/>
              </w:rPr>
              <w:t>329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447FA030" w14:textId="77777777" w:rsidR="00CB0FCB" w:rsidRDefault="009D2B11">
            <w:pPr>
              <w:pStyle w:val="P68B1DB1-Normal8"/>
              <w:keepNext/>
              <w:spacing w:before="40" w:after="0" w:line="240" w:lineRule="auto"/>
              <w:jc w:val="both"/>
              <w:rPr>
                <w:noProof/>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F3134F1" w14:textId="77777777" w:rsidR="00CB0FCB" w:rsidRDefault="009D2B11">
            <w:pPr>
              <w:pStyle w:val="P68B1DB1-Normal8"/>
              <w:keepNext/>
              <w:spacing w:before="40" w:after="0" w:line="240" w:lineRule="auto"/>
              <w:jc w:val="both"/>
              <w:rPr>
                <w:noProof/>
              </w:rPr>
            </w:pPr>
            <w:r>
              <w:rPr>
                <w:noProof/>
              </w:rPr>
              <w:t>Mērķa</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4DC8E3C8" w14:textId="77777777" w:rsidR="00CB0FCB" w:rsidRDefault="009D2B11">
            <w:pPr>
              <w:pStyle w:val="P68B1DB1-Normal8"/>
              <w:keepNext/>
              <w:spacing w:before="40" w:after="0" w:line="240" w:lineRule="auto"/>
              <w:jc w:val="both"/>
              <w:rPr>
                <w:noProof/>
              </w:rPr>
            </w:pPr>
            <w:r>
              <w:rPr>
                <w:noProof/>
              </w:rPr>
              <w:t xml:space="preserve">Ieguldījumi 100 % no pašu kapitāla atbalsta </w:t>
            </w:r>
          </w:p>
        </w:tc>
      </w:tr>
      <w:tr w:rsidR="00CB0FCB" w14:paraId="43200938"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4EED604" w14:textId="77777777" w:rsidR="00CB0FCB" w:rsidRDefault="009D2B11">
            <w:pPr>
              <w:pStyle w:val="P68B1DB1-Normal8"/>
              <w:keepNext/>
              <w:spacing w:before="40" w:after="0" w:line="240" w:lineRule="auto"/>
              <w:jc w:val="both"/>
              <w:rPr>
                <w:noProof/>
              </w:rPr>
            </w:pPr>
            <w:r>
              <w:rPr>
                <w:noProof/>
              </w:rPr>
              <w:t>330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29952528" w14:textId="77777777" w:rsidR="00CB0FCB" w:rsidRDefault="009D2B11">
            <w:pPr>
              <w:pStyle w:val="P68B1DB1-Normal8"/>
              <w:keepNext/>
              <w:spacing w:before="40" w:after="0" w:line="240" w:lineRule="auto"/>
              <w:jc w:val="both"/>
              <w:rPr>
                <w:noProof/>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59BF30DE" w14:textId="77777777" w:rsidR="00CB0FCB" w:rsidRDefault="009D2B11">
            <w:pPr>
              <w:pStyle w:val="P68B1DB1-Normal8"/>
              <w:keepNext/>
              <w:spacing w:before="40" w:after="0" w:line="240" w:lineRule="auto"/>
              <w:jc w:val="both"/>
              <w:rPr>
                <w:noProof/>
              </w:rPr>
            </w:pPr>
            <w:r>
              <w:rPr>
                <w:noProof/>
              </w:rPr>
              <w:t>Mērķa</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16C29D7A" w14:textId="77777777" w:rsidR="00CB0FCB" w:rsidRDefault="009D2B11">
            <w:pPr>
              <w:pStyle w:val="P68B1DB1-Normal8"/>
              <w:keepNext/>
              <w:spacing w:before="40" w:after="0" w:line="240" w:lineRule="auto"/>
              <w:jc w:val="both"/>
              <w:rPr>
                <w:noProof/>
              </w:rPr>
            </w:pPr>
            <w:r>
              <w:rPr>
                <w:noProof/>
              </w:rPr>
              <w:t>InvestEU darbību apstiprināšana</w:t>
            </w:r>
          </w:p>
        </w:tc>
      </w:tr>
      <w:tr w:rsidR="00CB0FCB" w14:paraId="43BFA17E"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F0E7027"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7F15499"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70472F8C" w14:textId="77777777" w:rsidR="00CB0FCB" w:rsidRDefault="009D2B11">
            <w:pPr>
              <w:pStyle w:val="P68B1DB1-Normal8"/>
              <w:keepNext/>
              <w:spacing w:before="40" w:after="0" w:line="259" w:lineRule="auto"/>
              <w:jc w:val="both"/>
              <w:rPr>
                <w:rFonts w:eastAsia="Times New Roman" w:cs="Times New Roman"/>
                <w:noProof/>
                <w:szCs w:val="18"/>
              </w:rPr>
            </w:pPr>
            <w:r>
              <w:rPr>
                <w:noProof/>
              </w:rPr>
              <w:t>Maksājuma summa</w:t>
            </w:r>
          </w:p>
        </w:tc>
        <w:tc>
          <w:tcPr>
            <w:tcW w:w="1855" w:type="dxa"/>
            <w:tcBorders>
              <w:top w:val="single" w:sz="4" w:space="0" w:color="auto"/>
              <w:left w:val="nil"/>
              <w:bottom w:val="single" w:sz="4" w:space="0" w:color="auto"/>
              <w:right w:val="single" w:sz="4" w:space="0" w:color="auto"/>
            </w:tcBorders>
            <w:shd w:val="clear" w:color="auto" w:fill="C6EFCE"/>
            <w:noWrap/>
            <w:vAlign w:val="bottom"/>
          </w:tcPr>
          <w:p w14:paraId="75F7F003" w14:textId="29EB8E4B" w:rsidR="00CB0FCB" w:rsidRDefault="009D2B11">
            <w:pPr>
              <w:pStyle w:val="P68B1DB1-Normal8"/>
              <w:keepNext/>
              <w:spacing w:before="40" w:after="0" w:line="259" w:lineRule="auto"/>
              <w:jc w:val="both"/>
              <w:rPr>
                <w:rFonts w:eastAsia="Times New Roman" w:cs="Times New Roman"/>
                <w:noProof/>
                <w:szCs w:val="18"/>
              </w:rPr>
            </w:pPr>
            <w:r>
              <w:rPr>
                <w:noProof/>
              </w:rPr>
              <w:t>EUR 1940000000</w:t>
            </w:r>
          </w:p>
        </w:tc>
      </w:tr>
    </w:tbl>
    <w:p w14:paraId="29A34919"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0540E0B9" w14:textId="24F9C09F" w:rsidR="00CB0FCB" w:rsidRDefault="009D2B11">
      <w:pPr>
        <w:pStyle w:val="P68B1DB1-Normal52"/>
        <w:rPr>
          <w:bCs/>
          <w:noProof/>
        </w:rPr>
      </w:pPr>
      <w:r>
        <w:rPr>
          <w:noProof/>
        </w:rPr>
        <w:br w:type="page"/>
      </w:r>
    </w:p>
    <w:p w14:paraId="1C5F5C12"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78381441" w14:textId="77777777" w:rsidR="00CB0FCB" w:rsidRDefault="009D2B11">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Astotais maksājuma pieprasījums (aizdevuma atbalsts): </w:t>
      </w:r>
    </w:p>
    <w:tbl>
      <w:tblPr>
        <w:tblpPr w:leftFromText="180" w:rightFromText="180" w:vertAnchor="text" w:tblpX="113" w:tblpY="1"/>
        <w:tblOverlap w:val="never"/>
        <w:tblW w:w="9634" w:type="dxa"/>
        <w:tblLook w:val="04A0" w:firstRow="1" w:lastRow="0" w:firstColumn="1" w:lastColumn="0" w:noHBand="0" w:noVBand="1"/>
      </w:tblPr>
      <w:tblGrid>
        <w:gridCol w:w="1804"/>
        <w:gridCol w:w="4283"/>
        <w:gridCol w:w="1807"/>
        <w:gridCol w:w="1855"/>
      </w:tblGrid>
      <w:tr w:rsidR="00CB0FCB" w14:paraId="297591C3"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A6DE918"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593EB5B"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6B8A6ED"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855" w:type="dxa"/>
            <w:vMerge w:val="restart"/>
            <w:tcBorders>
              <w:top w:val="single" w:sz="4" w:space="0" w:color="auto"/>
              <w:left w:val="nil"/>
              <w:bottom w:val="single" w:sz="4" w:space="0" w:color="000000"/>
              <w:right w:val="single" w:sz="4" w:space="0" w:color="auto"/>
            </w:tcBorders>
            <w:shd w:val="clear" w:color="auto" w:fill="BDD7EE"/>
            <w:vAlign w:val="center"/>
            <w:hideMark/>
          </w:tcPr>
          <w:p w14:paraId="44E893A9"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3FABA0A4"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1E65B7BD"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3F469597"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1E5AA15"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855" w:type="dxa"/>
            <w:vMerge/>
            <w:tcBorders>
              <w:top w:val="single" w:sz="4" w:space="0" w:color="auto"/>
              <w:left w:val="nil"/>
              <w:bottom w:val="single" w:sz="4" w:space="0" w:color="000000"/>
              <w:right w:val="single" w:sz="4" w:space="0" w:color="auto"/>
            </w:tcBorders>
            <w:vAlign w:val="center"/>
            <w:hideMark/>
          </w:tcPr>
          <w:p w14:paraId="32BAB482"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5393923E"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63E7D02" w14:textId="758B03AD" w:rsidR="00CB0FCB" w:rsidRDefault="009D2B11">
            <w:pPr>
              <w:pStyle w:val="P68B1DB1-Normal8"/>
              <w:keepNext/>
              <w:spacing w:before="40" w:after="0" w:line="240" w:lineRule="auto"/>
              <w:jc w:val="both"/>
              <w:rPr>
                <w:rFonts w:eastAsia="Times New Roman" w:cs="Times New Roman"/>
                <w:noProof/>
                <w:szCs w:val="18"/>
              </w:rPr>
            </w:pPr>
            <w:r>
              <w:rPr>
                <w:noProof/>
              </w:rPr>
              <w:t>327a</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164E8FDE"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4.7. Uzlabot konkurētspēju un veicināt privātās investīcijas un eksportu — 16980_RNP aizdevumu mehānisms</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5EF1FED4"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855" w:type="dxa"/>
            <w:tcBorders>
              <w:top w:val="single" w:sz="4" w:space="0" w:color="auto"/>
              <w:left w:val="nil"/>
              <w:bottom w:val="single" w:sz="4" w:space="0" w:color="auto"/>
              <w:right w:val="single" w:sz="4" w:space="0" w:color="auto"/>
            </w:tcBorders>
            <w:shd w:val="clear" w:color="000000" w:fill="C6EFCE"/>
            <w:noWrap/>
            <w:vAlign w:val="center"/>
            <w:hideMark/>
          </w:tcPr>
          <w:p w14:paraId="04C9FA4A" w14:textId="48DAE3FC" w:rsidR="00CB0FCB" w:rsidRDefault="009D2B11">
            <w:pPr>
              <w:pStyle w:val="P68B1DB1-Normal8"/>
              <w:keepNext/>
              <w:spacing w:before="40" w:after="0" w:line="240" w:lineRule="auto"/>
              <w:jc w:val="both"/>
              <w:rPr>
                <w:rFonts w:eastAsia="Times New Roman" w:cs="Times New Roman"/>
                <w:bCs/>
                <w:noProof/>
                <w:szCs w:val="18"/>
              </w:rPr>
            </w:pPr>
            <w:r>
              <w:rPr>
                <w:noProof/>
              </w:rPr>
              <w:t>Ar galīgajiem saņēmējiem parakstītie finanšu iestāžu līdzekļi 13364 miljonu EUR apmērā</w:t>
            </w:r>
          </w:p>
        </w:tc>
      </w:tr>
      <w:tr w:rsidR="00CB0FCB" w14:paraId="1871FDCF"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5F5E388D" w14:textId="77777777" w:rsidR="00CB0FCB" w:rsidRDefault="00CB0FCB">
            <w:pPr>
              <w:keepNext/>
              <w:spacing w:before="40" w:after="0" w:line="240" w:lineRule="auto"/>
              <w:jc w:val="both"/>
              <w:rPr>
                <w:rFonts w:ascii="Times New Roman" w:hAnsi="Times New Roman"/>
                <w:noProof/>
                <w:sz w:val="18"/>
              </w:rPr>
            </w:pP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3CAC65DF" w14:textId="77777777" w:rsidR="00CB0FCB" w:rsidRDefault="00CB0FCB">
            <w:pPr>
              <w:keepNext/>
              <w:spacing w:before="40" w:after="0" w:line="240" w:lineRule="auto"/>
              <w:jc w:val="both"/>
              <w:rPr>
                <w:rFonts w:ascii="Times New Roman" w:hAnsi="Times New Roman"/>
                <w:noProof/>
                <w:sz w:val="18"/>
              </w:rPr>
            </w:pPr>
          </w:p>
        </w:tc>
        <w:tc>
          <w:tcPr>
            <w:tcW w:w="1692" w:type="dxa"/>
            <w:tcBorders>
              <w:top w:val="single" w:sz="4" w:space="0" w:color="auto"/>
              <w:left w:val="nil"/>
              <w:bottom w:val="single" w:sz="4" w:space="0" w:color="auto"/>
              <w:right w:val="single" w:sz="4" w:space="0" w:color="auto"/>
            </w:tcBorders>
            <w:shd w:val="clear" w:color="000000" w:fill="C6EFCE"/>
            <w:noWrap/>
            <w:vAlign w:val="bottom"/>
          </w:tcPr>
          <w:p w14:paraId="3CCCDE06" w14:textId="77777777" w:rsidR="00CB0FCB" w:rsidRDefault="009D2B11">
            <w:pPr>
              <w:pStyle w:val="P68B1DB1-Normal8"/>
              <w:keepNext/>
              <w:spacing w:before="40" w:after="0" w:line="240" w:lineRule="auto"/>
              <w:jc w:val="both"/>
              <w:rPr>
                <w:noProof/>
              </w:rPr>
            </w:pPr>
            <w:r>
              <w:rPr>
                <w:noProof/>
              </w:rPr>
              <w:t>Maksājuma summa</w:t>
            </w:r>
          </w:p>
        </w:tc>
        <w:tc>
          <w:tcPr>
            <w:tcW w:w="1855" w:type="dxa"/>
            <w:tcBorders>
              <w:top w:val="single" w:sz="4" w:space="0" w:color="auto"/>
              <w:left w:val="nil"/>
              <w:bottom w:val="single" w:sz="4" w:space="0" w:color="auto"/>
              <w:right w:val="single" w:sz="4" w:space="0" w:color="auto"/>
            </w:tcBorders>
            <w:shd w:val="clear" w:color="000000" w:fill="C6EFCE"/>
            <w:noWrap/>
            <w:vAlign w:val="bottom"/>
          </w:tcPr>
          <w:p w14:paraId="1A6E66FF" w14:textId="159CA711" w:rsidR="00CB0FCB" w:rsidRDefault="009D2B11">
            <w:pPr>
              <w:pStyle w:val="P68B1DB1-Normal8"/>
              <w:keepNext/>
              <w:spacing w:before="40" w:after="0" w:line="240" w:lineRule="auto"/>
              <w:jc w:val="both"/>
              <w:rPr>
                <w:noProof/>
              </w:rPr>
            </w:pPr>
            <w:r>
              <w:rPr>
                <w:noProof/>
              </w:rPr>
              <w:t>EUR 400000000</w:t>
            </w:r>
          </w:p>
        </w:tc>
      </w:tr>
    </w:tbl>
    <w:p w14:paraId="6822B860" w14:textId="77777777" w:rsidR="00CB0FCB" w:rsidRDefault="00CB0FCB">
      <w:pPr>
        <w:keepNext/>
        <w:spacing w:before="40" w:after="0" w:line="259" w:lineRule="auto"/>
        <w:jc w:val="both"/>
        <w:rPr>
          <w:rFonts w:ascii="Times New Roman" w:eastAsia="Times New Roman" w:hAnsi="Times New Roman" w:cs="Times New Roman"/>
          <w:bCs/>
          <w:noProof/>
          <w:sz w:val="24"/>
          <w:szCs w:val="26"/>
        </w:rPr>
      </w:pPr>
    </w:p>
    <w:p w14:paraId="17083456" w14:textId="77777777" w:rsidR="00CB0FCB" w:rsidRDefault="009D2B11">
      <w:pPr>
        <w:pStyle w:val="P68B1DB1-Normal4"/>
        <w:keepNext/>
        <w:numPr>
          <w:ilvl w:val="1"/>
          <w:numId w:val="22"/>
        </w:numPr>
        <w:spacing w:before="40" w:after="160" w:line="259" w:lineRule="auto"/>
        <w:ind w:left="0"/>
        <w:contextualSpacing/>
        <w:jc w:val="both"/>
        <w:rPr>
          <w:rFonts w:cs="Times New Roman"/>
          <w:noProof/>
        </w:rPr>
      </w:pPr>
      <w:r>
        <w:rPr>
          <w:noProof/>
        </w:rPr>
        <w:t xml:space="preserve"> Devītais maksājuma pieprasījums (aizdevuma atbalsts): </w:t>
      </w:r>
    </w:p>
    <w:tbl>
      <w:tblPr>
        <w:tblW w:w="9639" w:type="dxa"/>
        <w:tblInd w:w="137" w:type="dxa"/>
        <w:tblLook w:val="04A0" w:firstRow="1" w:lastRow="0" w:firstColumn="1" w:lastColumn="0" w:noHBand="0" w:noVBand="1"/>
      </w:tblPr>
      <w:tblGrid>
        <w:gridCol w:w="1843"/>
        <w:gridCol w:w="4252"/>
        <w:gridCol w:w="1807"/>
        <w:gridCol w:w="1843"/>
      </w:tblGrid>
      <w:tr w:rsidR="00CB0FCB" w14:paraId="0301D0F2" w14:textId="77777777">
        <w:trPr>
          <w:trHeight w:val="964"/>
        </w:trPr>
        <w:tc>
          <w:tcPr>
            <w:tcW w:w="184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0CC8B94"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Kārtas numurs</w:t>
            </w:r>
          </w:p>
        </w:tc>
        <w:tc>
          <w:tcPr>
            <w:tcW w:w="425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213796B"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Saistītais pasākums (reforma vai ieguldījums)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025D0BE"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Atskaites punkts/mērķrādītājs</w:t>
            </w:r>
          </w:p>
        </w:tc>
        <w:tc>
          <w:tcPr>
            <w:tcW w:w="1843" w:type="dxa"/>
            <w:vMerge w:val="restart"/>
            <w:tcBorders>
              <w:top w:val="single" w:sz="4" w:space="0" w:color="auto"/>
              <w:left w:val="nil"/>
              <w:bottom w:val="single" w:sz="4" w:space="0" w:color="000000"/>
              <w:right w:val="single" w:sz="4" w:space="0" w:color="auto"/>
            </w:tcBorders>
            <w:shd w:val="clear" w:color="auto" w:fill="BDD7EE"/>
            <w:vAlign w:val="center"/>
            <w:hideMark/>
          </w:tcPr>
          <w:p w14:paraId="35C5DED1" w14:textId="77777777" w:rsidR="00CB0FCB" w:rsidRDefault="009D2B11">
            <w:pPr>
              <w:pStyle w:val="P68B1DB1-Normal7"/>
              <w:keepNext/>
              <w:spacing w:before="40" w:after="0" w:line="259" w:lineRule="auto"/>
              <w:jc w:val="center"/>
              <w:rPr>
                <w:rFonts w:eastAsia="Times New Roman" w:cs="Times New Roman"/>
                <w:bCs/>
                <w:noProof/>
                <w:szCs w:val="18"/>
              </w:rPr>
            </w:pPr>
            <w:r>
              <w:rPr>
                <w:noProof/>
              </w:rPr>
              <w:t>Nosaukums</w:t>
            </w:r>
          </w:p>
        </w:tc>
      </w:tr>
      <w:tr w:rsidR="00CB0FCB" w14:paraId="63A19DCF" w14:textId="77777777">
        <w:trPr>
          <w:trHeight w:val="1053"/>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77B97F4B"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4252" w:type="dxa"/>
            <w:vMerge/>
            <w:tcBorders>
              <w:top w:val="single" w:sz="4" w:space="0" w:color="auto"/>
              <w:left w:val="single" w:sz="4" w:space="0" w:color="auto"/>
              <w:bottom w:val="single" w:sz="4" w:space="0" w:color="000000"/>
              <w:right w:val="single" w:sz="4" w:space="0" w:color="auto"/>
            </w:tcBorders>
            <w:vAlign w:val="center"/>
            <w:hideMark/>
          </w:tcPr>
          <w:p w14:paraId="225566F9"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15C1947"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c>
          <w:tcPr>
            <w:tcW w:w="1843" w:type="dxa"/>
            <w:vMerge/>
            <w:tcBorders>
              <w:top w:val="single" w:sz="4" w:space="0" w:color="auto"/>
              <w:left w:val="nil"/>
              <w:bottom w:val="single" w:sz="4" w:space="0" w:color="000000"/>
              <w:right w:val="single" w:sz="4" w:space="0" w:color="auto"/>
            </w:tcBorders>
            <w:vAlign w:val="center"/>
            <w:hideMark/>
          </w:tcPr>
          <w:p w14:paraId="054282D3" w14:textId="77777777" w:rsidR="00CB0FCB" w:rsidRDefault="00CB0FCB">
            <w:pPr>
              <w:keepNext/>
              <w:spacing w:before="40" w:after="0" w:line="259" w:lineRule="auto"/>
              <w:jc w:val="both"/>
              <w:rPr>
                <w:rFonts w:ascii="Times New Roman" w:eastAsia="Times New Roman" w:hAnsi="Times New Roman" w:cs="Times New Roman"/>
                <w:bCs/>
                <w:noProof/>
                <w:sz w:val="18"/>
                <w:szCs w:val="18"/>
              </w:rPr>
            </w:pPr>
          </w:p>
        </w:tc>
      </w:tr>
      <w:tr w:rsidR="00CB0FCB" w14:paraId="1A86997A"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A300124" w14:textId="4273B55E" w:rsidR="00CB0FCB" w:rsidRDefault="009D2B11">
            <w:pPr>
              <w:pStyle w:val="P68B1DB1-Normal8"/>
              <w:keepNext/>
              <w:spacing w:before="40" w:after="0" w:line="240" w:lineRule="auto"/>
              <w:jc w:val="both"/>
              <w:rPr>
                <w:rFonts w:eastAsia="Times New Roman" w:cs="Times New Roman"/>
                <w:noProof/>
                <w:szCs w:val="18"/>
              </w:rPr>
            </w:pPr>
            <w:r>
              <w:rPr>
                <w:noProof/>
              </w:rPr>
              <w:t>376</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EA88DF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Renovate — 16401_Enerģijas modernizācijas programma “Atjaunināt manas mājas”</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135BB01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3F7F87B9" w14:textId="77777777" w:rsidR="00CB0FCB" w:rsidRDefault="009D2B11">
            <w:pPr>
              <w:pStyle w:val="P68B1DB1-Normal51"/>
              <w:keepNext/>
              <w:spacing w:before="40" w:after="0" w:line="240" w:lineRule="auto"/>
              <w:jc w:val="both"/>
              <w:rPr>
                <w:bCs/>
                <w:noProof/>
              </w:rPr>
            </w:pPr>
            <w:r>
              <w:rPr>
                <w:noProof/>
              </w:rPr>
              <w:t>Manas mājas uzlabošana — ar galasaņēmējiem parakstītie juridiskie nolīgumi — 100 %</w:t>
            </w:r>
          </w:p>
        </w:tc>
      </w:tr>
      <w:tr w:rsidR="00CB0FCB" w14:paraId="7FDA04B0"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38BAABEC" w14:textId="45721310" w:rsidR="00CB0FCB" w:rsidRDefault="009D2B11">
            <w:pPr>
              <w:pStyle w:val="P68B1DB1-Normal8"/>
              <w:keepNext/>
              <w:spacing w:before="40" w:after="0" w:line="240" w:lineRule="auto"/>
              <w:jc w:val="both"/>
              <w:rPr>
                <w:rFonts w:eastAsia="Times New Roman" w:cs="Times New Roman"/>
                <w:noProof/>
                <w:szCs w:val="18"/>
              </w:rPr>
            </w:pPr>
            <w:r>
              <w:rPr>
                <w:noProof/>
              </w:rPr>
              <w:t>377</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6C6244F6"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2–1.2. Renovate — 16401_Enerģijas modernizācijas programma “Atjaunināt manas mājas”</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10FC9578"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44FED910" w14:textId="77777777" w:rsidR="00CB0FCB" w:rsidRDefault="009D2B11">
            <w:pPr>
              <w:pStyle w:val="P68B1DB1-Normal51"/>
              <w:keepNext/>
              <w:spacing w:before="40" w:after="0" w:line="240" w:lineRule="auto"/>
              <w:jc w:val="both"/>
              <w:rPr>
                <w:bCs/>
                <w:noProof/>
              </w:rPr>
            </w:pPr>
            <w:r>
              <w:rPr>
                <w:noProof/>
              </w:rPr>
              <w:t>Manas mājas modernizācija — Finanšu ministrija ir pabeigusi ieguldījumu</w:t>
            </w:r>
          </w:p>
        </w:tc>
      </w:tr>
      <w:tr w:rsidR="00CB0FCB" w14:paraId="18245CBE"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69F2D7E2" w14:textId="2907F839" w:rsidR="00CB0FCB" w:rsidRDefault="009D2B11">
            <w:pPr>
              <w:pStyle w:val="P68B1DB1-Normal8"/>
              <w:keepNext/>
              <w:spacing w:before="40" w:after="0" w:line="240" w:lineRule="auto"/>
              <w:jc w:val="both"/>
              <w:rPr>
                <w:rFonts w:eastAsia="Times New Roman" w:cs="Times New Roman"/>
                <w:noProof/>
                <w:szCs w:val="18"/>
              </w:rPr>
            </w:pPr>
            <w:r>
              <w:rPr>
                <w:noProof/>
              </w:rPr>
              <w:t>380</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450F45C"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11–3.4. Palielināt piekļuvi efektīvai un iekļaujošai sociālajai politikai — 16400_Pieejamu mājokļu programma “Mans mājoklis II”</w:t>
            </w:r>
            <w:r>
              <w:rPr>
                <w:noProof/>
              </w:rPr>
              <w:tab/>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50BB3F8B"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Mērķa</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3A819455" w14:textId="77777777" w:rsidR="00CB0FCB" w:rsidRDefault="009D2B11">
            <w:pPr>
              <w:pStyle w:val="P68B1DB1-Normal51"/>
              <w:keepNext/>
              <w:spacing w:before="40" w:after="0" w:line="240" w:lineRule="auto"/>
              <w:jc w:val="both"/>
              <w:rPr>
                <w:bCs/>
                <w:noProof/>
              </w:rPr>
            </w:pPr>
            <w:r>
              <w:rPr>
                <w:noProof/>
              </w:rPr>
              <w:t>Mans sākums II — Juridiskie nolīgumi, kas parakstīti ar galīgajiem saņēmējiem — 100 %</w:t>
            </w:r>
          </w:p>
        </w:tc>
      </w:tr>
      <w:tr w:rsidR="00CB0FCB" w14:paraId="6D7C1FF8"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606B306" w14:textId="7F023EF7" w:rsidR="00CB0FCB" w:rsidRDefault="009D2B11">
            <w:pPr>
              <w:pStyle w:val="P68B1DB1-Normal8"/>
              <w:keepNext/>
              <w:spacing w:before="40" w:after="0" w:line="240" w:lineRule="auto"/>
              <w:jc w:val="both"/>
              <w:rPr>
                <w:rFonts w:eastAsia="Times New Roman" w:cs="Times New Roman"/>
                <w:noProof/>
                <w:szCs w:val="18"/>
              </w:rPr>
            </w:pPr>
            <w:r>
              <w:rPr>
                <w:noProof/>
              </w:rPr>
              <w:t>381</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0A0ECA65"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11–3.4. Palielināt piekļuvi efektīvai un iekļaujošai sociālajai politikai — 16400_Pieejamu mājokļu programma “Mans mājoklis II”</w:t>
            </w:r>
            <w:r>
              <w:rPr>
                <w:noProof/>
              </w:rPr>
              <w:tab/>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747736AA" w14:textId="77777777" w:rsidR="00CB0FCB" w:rsidRDefault="009D2B11">
            <w:pPr>
              <w:pStyle w:val="P68B1DB1-Normal8"/>
              <w:keepNext/>
              <w:spacing w:before="40" w:after="0" w:line="240" w:lineRule="auto"/>
              <w:jc w:val="both"/>
              <w:rPr>
                <w:rFonts w:eastAsia="Times New Roman" w:cs="Times New Roman"/>
                <w:bCs/>
                <w:noProof/>
                <w:szCs w:val="18"/>
              </w:rPr>
            </w:pPr>
            <w:r>
              <w:rPr>
                <w:noProof/>
              </w:rPr>
              <w:t>Atskaites punkts</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1C791DE2" w14:textId="77777777" w:rsidR="00CB0FCB" w:rsidRDefault="009D2B11">
            <w:pPr>
              <w:pStyle w:val="P68B1DB1-Normal51"/>
              <w:keepNext/>
              <w:spacing w:before="40" w:after="0" w:line="240" w:lineRule="auto"/>
              <w:jc w:val="both"/>
              <w:rPr>
                <w:bCs/>
                <w:noProof/>
              </w:rPr>
            </w:pPr>
            <w:r>
              <w:rPr>
                <w:noProof/>
              </w:rPr>
              <w:t>Mana izcelsmes valsts II — Finanšu ministrija ir pabeigusi ieguldījumu</w:t>
            </w:r>
          </w:p>
        </w:tc>
      </w:tr>
      <w:tr w:rsidR="00CB0FCB" w14:paraId="64B8B1B0"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DE36820" w14:textId="77777777" w:rsidR="00CB0FCB" w:rsidRDefault="009D2B11">
            <w:pPr>
              <w:pStyle w:val="P68B1DB1-Normal8"/>
              <w:keepNext/>
              <w:spacing w:before="40" w:after="0" w:line="240" w:lineRule="auto"/>
              <w:jc w:val="both"/>
              <w:rPr>
                <w:noProof/>
              </w:rPr>
            </w:pPr>
            <w:r>
              <w:rPr>
                <w:noProof/>
              </w:rPr>
              <w:t>328</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81E775B" w14:textId="77777777" w:rsidR="00CB0FCB" w:rsidRDefault="009D2B11">
            <w:pPr>
              <w:pStyle w:val="P68B1DB1-Normal8"/>
              <w:keepNext/>
              <w:spacing w:before="40" w:after="0" w:line="240" w:lineRule="auto"/>
              <w:jc w:val="both"/>
              <w:rPr>
                <w:noProof/>
              </w:rPr>
            </w:pPr>
            <w:r>
              <w:rPr>
                <w:noProof/>
              </w:rPr>
              <w:t>4.7. Uzlabot konkurētspēju un veicināt privātās investīcijas un eksportu — 16980_RNP aizdevumu mehānisms</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33D5AED5" w14:textId="77777777" w:rsidR="00CB0FCB" w:rsidRDefault="009D2B11">
            <w:pPr>
              <w:pStyle w:val="P68B1DB1-Normal8"/>
              <w:keepNext/>
              <w:spacing w:before="40" w:after="0" w:line="240" w:lineRule="auto"/>
              <w:jc w:val="both"/>
              <w:rPr>
                <w:noProof/>
              </w:rPr>
            </w:pPr>
            <w:r>
              <w:rPr>
                <w:noProof/>
              </w:rPr>
              <w:t>Mērķa</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27A0F3E0" w14:textId="609D50B1" w:rsidR="00CB0FCB" w:rsidRDefault="009D2B11">
            <w:pPr>
              <w:pStyle w:val="P68B1DB1-Normal8"/>
              <w:keepNext/>
              <w:spacing w:before="40" w:after="0" w:line="240" w:lineRule="auto"/>
              <w:jc w:val="both"/>
              <w:rPr>
                <w:noProof/>
              </w:rPr>
            </w:pPr>
            <w:r>
              <w:rPr>
                <w:noProof/>
              </w:rPr>
              <w:t>Ar galīgajiem saņēmējiem parakstītie finanšu iestāžu līdzekļi 15428 miljonu EUR apmērā</w:t>
            </w:r>
          </w:p>
        </w:tc>
      </w:tr>
      <w:tr w:rsidR="00CB0FCB" w14:paraId="5CCF8193"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C859A8F" w14:textId="77777777" w:rsidR="00CB0FCB" w:rsidRDefault="009D2B11">
            <w:pPr>
              <w:pStyle w:val="P68B1DB1-Normal8"/>
              <w:keepNext/>
              <w:spacing w:before="40" w:after="0" w:line="240" w:lineRule="auto"/>
              <w:jc w:val="both"/>
              <w:rPr>
                <w:rFonts w:cs="Times New Roman"/>
                <w:noProof/>
                <w:szCs w:val="18"/>
              </w:rPr>
            </w:pPr>
            <w:r>
              <w:rPr>
                <w:noProof/>
              </w:rPr>
              <w:t>328a</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4C872FD3" w14:textId="77777777" w:rsidR="00CB0FCB" w:rsidRDefault="009D2B11">
            <w:pPr>
              <w:pStyle w:val="P68B1DB1-Normal8"/>
              <w:keepNext/>
              <w:spacing w:before="40" w:after="0" w:line="240" w:lineRule="auto"/>
              <w:jc w:val="both"/>
              <w:rPr>
                <w:rFonts w:cs="Times New Roman"/>
                <w:noProof/>
                <w:szCs w:val="18"/>
              </w:rPr>
            </w:pPr>
            <w:r>
              <w:rPr>
                <w:noProof/>
              </w:rPr>
              <w:t>4.7. Uzlabot konkurētspēju un veicināt privātās investīcijas un eksportu — 16980_RNP aizdevumu mehānisms</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79427D40" w14:textId="77777777" w:rsidR="00CB0FCB" w:rsidRDefault="009D2B11">
            <w:pPr>
              <w:pStyle w:val="P68B1DB1-Normal8"/>
              <w:keepNext/>
              <w:spacing w:before="40" w:after="0" w:line="240" w:lineRule="auto"/>
              <w:jc w:val="both"/>
              <w:rPr>
                <w:rFonts w:cs="Times New Roman"/>
                <w:noProof/>
                <w:szCs w:val="18"/>
              </w:rPr>
            </w:pPr>
            <w:r>
              <w:rPr>
                <w:noProof/>
              </w:rPr>
              <w:t>Atskaites punkts</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06CC0B05" w14:textId="2662F99D" w:rsidR="00CB0FCB" w:rsidRDefault="009D2B11">
            <w:pPr>
              <w:pStyle w:val="P68B1DB1-Normal8"/>
              <w:keepNext/>
              <w:spacing w:before="40" w:after="0" w:line="240" w:lineRule="auto"/>
              <w:jc w:val="both"/>
              <w:rPr>
                <w:rFonts w:cs="Times New Roman"/>
                <w:noProof/>
                <w:szCs w:val="18"/>
              </w:rPr>
            </w:pPr>
            <w:r>
              <w:rPr>
                <w:noProof/>
              </w:rPr>
              <w:t>Aizdevumu mehānisms — Finanšu ministrija ir pabeigusi ieguldījumu</w:t>
            </w:r>
          </w:p>
        </w:tc>
      </w:tr>
      <w:tr w:rsidR="00CB0FCB" w14:paraId="3DDA1CF3"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0F40258" w14:textId="77777777" w:rsidR="00CB0FCB" w:rsidRDefault="00CB0FCB">
            <w:pPr>
              <w:keepNext/>
              <w:spacing w:before="40" w:after="0" w:line="240" w:lineRule="auto"/>
              <w:jc w:val="both"/>
              <w:rPr>
                <w:rFonts w:ascii="Times New Roman" w:eastAsia="Times New Roman" w:hAnsi="Times New Roman" w:cs="Times New Roman"/>
                <w:noProof/>
                <w:sz w:val="18"/>
                <w:szCs w:val="18"/>
              </w:rPr>
            </w:pPr>
          </w:p>
        </w:tc>
        <w:tc>
          <w:tcPr>
            <w:tcW w:w="4252" w:type="dxa"/>
            <w:tcBorders>
              <w:top w:val="single" w:sz="4" w:space="0" w:color="auto"/>
              <w:left w:val="nil"/>
              <w:bottom w:val="single" w:sz="4" w:space="0" w:color="auto"/>
              <w:right w:val="single" w:sz="4" w:space="0" w:color="auto"/>
            </w:tcBorders>
            <w:shd w:val="clear" w:color="auto" w:fill="C6EFCE"/>
            <w:noWrap/>
            <w:vAlign w:val="bottom"/>
          </w:tcPr>
          <w:p w14:paraId="5C0AE24D" w14:textId="77777777" w:rsidR="00CB0FCB" w:rsidRDefault="00CB0FCB">
            <w:pPr>
              <w:keepNext/>
              <w:spacing w:before="40" w:after="0" w:line="240" w:lineRule="auto"/>
              <w:jc w:val="both"/>
              <w:rPr>
                <w:rFonts w:ascii="Times New Roman" w:hAnsi="Times New Roman" w:cs="Times New Roman"/>
                <w:noProof/>
                <w:sz w:val="18"/>
                <w:szCs w:val="18"/>
              </w:rPr>
            </w:pPr>
          </w:p>
        </w:tc>
        <w:tc>
          <w:tcPr>
            <w:tcW w:w="1701" w:type="dxa"/>
            <w:tcBorders>
              <w:top w:val="single" w:sz="4" w:space="0" w:color="auto"/>
              <w:left w:val="nil"/>
              <w:bottom w:val="single" w:sz="4" w:space="0" w:color="auto"/>
              <w:right w:val="single" w:sz="4" w:space="0" w:color="auto"/>
            </w:tcBorders>
            <w:shd w:val="clear" w:color="auto" w:fill="C6EFCE"/>
            <w:noWrap/>
            <w:vAlign w:val="bottom"/>
          </w:tcPr>
          <w:p w14:paraId="28989963" w14:textId="77777777" w:rsidR="00CB0FCB" w:rsidRDefault="009D2B11">
            <w:pPr>
              <w:pStyle w:val="P68B1DB1-Normal8"/>
              <w:keepNext/>
              <w:spacing w:before="40" w:after="0" w:line="240" w:lineRule="auto"/>
              <w:jc w:val="both"/>
              <w:rPr>
                <w:rFonts w:cs="Times New Roman"/>
                <w:noProof/>
                <w:szCs w:val="18"/>
              </w:rPr>
            </w:pPr>
            <w:r>
              <w:rPr>
                <w:noProof/>
              </w:rPr>
              <w:t>Maksājuma summa</w:t>
            </w:r>
          </w:p>
        </w:tc>
        <w:tc>
          <w:tcPr>
            <w:tcW w:w="1843" w:type="dxa"/>
            <w:tcBorders>
              <w:top w:val="single" w:sz="4" w:space="0" w:color="auto"/>
              <w:left w:val="nil"/>
              <w:bottom w:val="single" w:sz="4" w:space="0" w:color="auto"/>
              <w:right w:val="single" w:sz="4" w:space="0" w:color="auto"/>
            </w:tcBorders>
            <w:shd w:val="clear" w:color="auto" w:fill="C6EFCE"/>
            <w:noWrap/>
            <w:vAlign w:val="bottom"/>
          </w:tcPr>
          <w:p w14:paraId="014136A6" w14:textId="77DEE208" w:rsidR="00CB0FCB" w:rsidRDefault="009D2B11">
            <w:pPr>
              <w:pStyle w:val="P68B1DB1-Normal8"/>
              <w:keepNext/>
              <w:spacing w:before="40" w:after="0" w:line="240" w:lineRule="auto"/>
              <w:jc w:val="both"/>
              <w:rPr>
                <w:noProof/>
              </w:rPr>
            </w:pPr>
            <w:r>
              <w:rPr>
                <w:noProof/>
              </w:rPr>
              <w:t>EUR 2609255117</w:t>
            </w:r>
          </w:p>
        </w:tc>
      </w:tr>
    </w:tbl>
    <w:p w14:paraId="73957B47" w14:textId="77777777" w:rsidR="00CB0FCB" w:rsidRDefault="009D2B11">
      <w:pPr>
        <w:rPr>
          <w:rFonts w:ascii="Times New Roman" w:hAnsi="Times New Roman" w:cs="Times New Roman"/>
          <w:b/>
          <w:bCs/>
          <w:noProof/>
          <w:sz w:val="24"/>
        </w:rPr>
      </w:pPr>
      <w:r>
        <w:rPr>
          <w:noProof/>
        </w:rPr>
        <w:br w:type="page"/>
      </w:r>
    </w:p>
    <w:p w14:paraId="48A758C4" w14:textId="77777777" w:rsidR="00CB0FCB" w:rsidRDefault="009D2B11">
      <w:pPr>
        <w:pStyle w:val="P68B1DB1-Normal48"/>
        <w:keepNext/>
        <w:tabs>
          <w:tab w:val="num" w:pos="850"/>
        </w:tabs>
        <w:spacing w:before="120" w:after="120" w:line="259" w:lineRule="auto"/>
        <w:ind w:hanging="850"/>
        <w:jc w:val="both"/>
        <w:outlineLvl w:val="0"/>
        <w:rPr>
          <w:rFonts w:eastAsia="Times New Roman" w:cs="Times New Roman"/>
          <w:noProof/>
        </w:rPr>
      </w:pPr>
      <w:r>
        <w:rPr>
          <w:noProof/>
        </w:rPr>
        <w:t xml:space="preserve">4. IEDAĻA. PAPILDU PASĀKUMI </w:t>
      </w:r>
    </w:p>
    <w:p w14:paraId="57052859" w14:textId="77777777" w:rsidR="00CB0FCB" w:rsidRDefault="009D2B11">
      <w:pPr>
        <w:pStyle w:val="P68B1DB1-Normal2"/>
        <w:numPr>
          <w:ilvl w:val="6"/>
          <w:numId w:val="17"/>
        </w:numPr>
        <w:spacing w:before="120" w:after="120" w:line="240" w:lineRule="auto"/>
        <w:ind w:left="0" w:hanging="567"/>
        <w:jc w:val="both"/>
        <w:rPr>
          <w:rFonts w:eastAsia="Times New Roman" w:cs="Times New Roman"/>
          <w:noProof/>
        </w:rPr>
      </w:pPr>
      <w:r>
        <w:rPr>
          <w:noProof/>
        </w:rPr>
        <w:t>Atveseļošanas un noturības plāna uzraudzības un īstenošanas kārtība</w:t>
      </w:r>
    </w:p>
    <w:p w14:paraId="7BE9D3AB" w14:textId="77777777" w:rsidR="00CB0FCB" w:rsidRDefault="009D2B11">
      <w:pPr>
        <w:pStyle w:val="P68B1DB1-Normal4"/>
        <w:spacing w:before="120" w:after="120" w:line="240" w:lineRule="auto"/>
        <w:jc w:val="both"/>
        <w:rPr>
          <w:rFonts w:cs="Times New Roman"/>
          <w:noProof/>
        </w:rPr>
      </w:pPr>
      <w:r>
        <w:rPr>
          <w:noProof/>
        </w:rPr>
        <w:t xml:space="preserve">Grieķijas atveseļošanas un noturības plāna uzraudzība un īstenošana notiek saskaņā ar turpmāk izklāstīto kārtību. </w:t>
      </w:r>
    </w:p>
    <w:p w14:paraId="546A3231" w14:textId="77777777" w:rsidR="00CB0FCB" w:rsidRDefault="009D2B11">
      <w:pPr>
        <w:pStyle w:val="P68B1DB1-Normal4"/>
        <w:spacing w:before="120" w:after="120" w:line="240" w:lineRule="auto"/>
        <w:jc w:val="both"/>
        <w:rPr>
          <w:rFonts w:cs="Times New Roman"/>
          <w:noProof/>
        </w:rPr>
      </w:pPr>
      <w:r>
        <w:rPr>
          <w:noProof/>
        </w:rPr>
        <w:t>Galvenā struktūra, kas atbildīga par atveseļošanas un noturības plāna īstenošanas un uzraudzības koordināciju, būs Atveseļošanas un noturības mehānisma koordinācijas aģentūra, kas ir neatkarīgs īpašais Finanšu ministrijas publiskais dienests, kurš izveidots ar Likumu 4738/2020. Atveseļošanas noturības mehānisma koordinācijas aģentūra ir arī atbildīgā struktūra, kas pārbauda, vai ir izpildīti atveseļošanas un noturības plānā noteiktie atskaites punkti un mērķrādītāji, un darbojas arī kā (vienota) sadarbība starp Eiropas Komisiju un Grieķijas iestādēm. Konkrētāk, tās uzdevumi ietver projektu progresa aktīvu uzraudzību, pamatojoties uz saskaņotajiem atskaites punktiem un mērķrādītājiem, un maksājumu pieprasījumu iesniegšanu Eiropas Komisijai pēc to pabeigšanas pārbaudes. Tam pievieno pārvaldības deklarāciju par to, ka līdzekļi ir izlietoti paredzētajiem mērķiem un saskaņā ar pareizas finanšu pārvaldības principu, kā arī kopsavilkumu par veiktajām revīzijām, tostarp konstatētajiem trūkumiem un veiktajiem korektīvajiem pasākumiem.</w:t>
      </w:r>
    </w:p>
    <w:p w14:paraId="0914715F" w14:textId="77777777" w:rsidR="00CB0FCB" w:rsidRDefault="009D2B11">
      <w:pPr>
        <w:pStyle w:val="P68B1DB1-Normal4"/>
        <w:spacing w:before="120" w:after="120" w:line="240" w:lineRule="auto"/>
        <w:jc w:val="both"/>
        <w:rPr>
          <w:rFonts w:cs="Times New Roman"/>
          <w:noProof/>
        </w:rPr>
      </w:pPr>
      <w:r>
        <w:rPr>
          <w:noProof/>
        </w:rPr>
        <w:t xml:space="preserve">Vispārējā atbildība par katra konkrētā pasākuma īstenošanu ir attiecīgās ministrijas kompetencē, kuras dienesti atbalstīs projektu progresa uzraudzību un uzturēs ciešu sadarbību ar Atveseļošanas un noturības mehānisma koordinācijas aģentūru. </w:t>
      </w:r>
    </w:p>
    <w:p w14:paraId="704E0EBE" w14:textId="77777777" w:rsidR="00CB0FCB" w:rsidRDefault="009D2B11">
      <w:pPr>
        <w:pStyle w:val="P68B1DB1-Normal4"/>
        <w:spacing w:before="120" w:after="120" w:line="240" w:lineRule="auto"/>
        <w:jc w:val="both"/>
        <w:rPr>
          <w:rFonts w:cs="Times New Roman"/>
          <w:noProof/>
        </w:rPr>
      </w:pPr>
      <w:r>
        <w:rPr>
          <w:noProof/>
        </w:rPr>
        <w:t xml:space="preserve">Visus plānā paredzētos pasākumus īsteno kompetentās ministrijas ieceltas valsts struktūras (“īstenošanas struktūras”), un tās ir atbildīgas par saskaņoto atskaites punktu un mērķrādītāju sasniegšanu, kā arī par visu datu un dokumentācijas paziņošanu Atveseļošanas un noturības mehānisma koordinācijas aģentūrai, izmantojot izveidojamo pārvaldības informācijas sistēmu. </w:t>
      </w:r>
    </w:p>
    <w:p w14:paraId="7D9888EE" w14:textId="77777777" w:rsidR="00CB0FCB" w:rsidRDefault="009D2B11">
      <w:pPr>
        <w:pStyle w:val="P68B1DB1-Normal4"/>
        <w:spacing w:before="120" w:after="120" w:line="240" w:lineRule="auto"/>
        <w:jc w:val="both"/>
        <w:rPr>
          <w:rFonts w:cs="Times New Roman"/>
          <w:noProof/>
        </w:rPr>
      </w:pPr>
      <w:r>
        <w:rPr>
          <w:noProof/>
        </w:rPr>
        <w:t>Visbeidzot, Finanšu revīzijas komiteja (EDEL, kas ir daļa no Finanšu ministrijas Fiskālās politikas ģenerālsekretariāta (Valsts galvenā grāmatvedības biroja)) nodrošina pareizas finanšu pārvaldības principu ievērošanu.</w:t>
      </w:r>
    </w:p>
    <w:p w14:paraId="5FCA00AE" w14:textId="77777777" w:rsidR="00CB0FCB" w:rsidRDefault="00CB0FCB">
      <w:pPr>
        <w:spacing w:before="120" w:after="120" w:line="240" w:lineRule="auto"/>
        <w:jc w:val="both"/>
        <w:rPr>
          <w:rFonts w:ascii="Times New Roman" w:hAnsi="Times New Roman" w:cs="Times New Roman"/>
          <w:noProof/>
          <w:sz w:val="24"/>
        </w:rPr>
      </w:pPr>
    </w:p>
    <w:p w14:paraId="6388F48A" w14:textId="77777777" w:rsidR="00CB0FCB" w:rsidRDefault="009D2B11">
      <w:pPr>
        <w:pStyle w:val="P68B1DB1-Normal2"/>
        <w:numPr>
          <w:ilvl w:val="6"/>
          <w:numId w:val="17"/>
        </w:numPr>
        <w:spacing w:before="120" w:after="120" w:line="240" w:lineRule="auto"/>
        <w:ind w:left="0" w:hanging="567"/>
        <w:jc w:val="both"/>
        <w:rPr>
          <w:rFonts w:cs="Times New Roman"/>
          <w:noProof/>
        </w:rPr>
      </w:pPr>
      <w:r>
        <w:rPr>
          <w:noProof/>
        </w:rPr>
        <w:t>Kārtība, kādā Komisija nodrošina pilnīgu piekļuvi pamatā esošajiem datiem</w:t>
      </w:r>
    </w:p>
    <w:p w14:paraId="181A5077" w14:textId="77777777" w:rsidR="00CB0FCB" w:rsidRDefault="009D2B11">
      <w:pPr>
        <w:pStyle w:val="P68B1DB1-Normal4"/>
        <w:spacing w:before="120" w:after="120" w:line="240" w:lineRule="auto"/>
        <w:jc w:val="both"/>
        <w:rPr>
          <w:rFonts w:cs="Times New Roman"/>
          <w:noProof/>
        </w:rPr>
      </w:pPr>
      <w:r>
        <w:rPr>
          <w:noProof/>
        </w:rPr>
        <w:t>Lai nodrošinātu Komisijai pilnīgu piekļuvi attiecīgajiem pamatā esošajiem datiem, Grieķija ievieš šādu kārtību:</w:t>
      </w:r>
    </w:p>
    <w:p w14:paraId="448DA226" w14:textId="77777777" w:rsidR="00CB0FCB" w:rsidRDefault="009D2B11">
      <w:pPr>
        <w:pStyle w:val="P68B1DB1-Normal4"/>
        <w:spacing w:before="120" w:after="120" w:line="240" w:lineRule="auto"/>
        <w:jc w:val="both"/>
        <w:rPr>
          <w:rFonts w:cs="Times New Roman"/>
          <w:noProof/>
        </w:rPr>
      </w:pPr>
      <w:r>
        <w:rPr>
          <w:noProof/>
        </w:rPr>
        <w:t>Atveseļošanas un noturības mehānisma koordinācijas aģentūra kā Grieķijas atveseļošanas un noturības plāna un tā īstenošanas centrālā koordinējošā struktūra ir atbildīga par plāna vispārējo koordināciju un uzraudzību. Jo īpaši tā darbojas kā koordinējoša struktūra, kas uzrauga progresu atskaites punktu un mērķrādītāju sasniegšanā, uzrauga un attiecīgā gadījumā īsteno kontroles un revīzijas darbības, kā arī sniedz ziņojumus un maksājumu pieprasījumus. Tas koordinē ziņošanu par starpposma un galīgajiem mērķrādītājiem, attiecīgajiem rādītājiem, kā arī kvalitatīvu finanšu informāciju un citiem datiem, piemēram, par galasaņēmējiem. Datu kodēšana notiek visās īstenošanas struktūrās, kurām ir pienākums paziņot vajadzīgos datus Atveseļošanas un noturības mehānisma koordinācijas aģentūrai, izmantojot pārvaldības informācijas sistēmu.</w:t>
      </w:r>
    </w:p>
    <w:p w14:paraId="08925922" w14:textId="77777777" w:rsidR="00CB0FCB" w:rsidRDefault="009D2B11">
      <w:pPr>
        <w:pStyle w:val="P68B1DB1-Normal4"/>
        <w:spacing w:before="120" w:after="120" w:line="240" w:lineRule="auto"/>
        <w:jc w:val="both"/>
        <w:rPr>
          <w:rFonts w:cs="Times New Roman"/>
          <w:noProof/>
        </w:rPr>
      </w:pPr>
      <w:r>
        <w:rPr>
          <w:noProof/>
        </w:rPr>
        <w:t xml:space="preserve">Kā paredzēts Regulas (ES) 2021/241 24. panta 2. punktā, Grieķija pēc attiecīgo saskaņoto atskaites punktu un mērķrādītāju sasniegšanas, kas noteikti šā pielikuma 2.1. iedaļā, iesniedz Komisijai pienācīgi pamatotu finanšu iemaksas un attiecīgā gadījumā aizdevuma maksājuma pieprasījumu. Grieķija nodrošina, ka pēc pieprasījuma Komisijai ir pilnīga piekļuve attiecīgajiem pamatā esošajiem datiem, kas pamato maksājuma pieprasījuma pienācīgu pamatojumu gan maksājuma pieprasījuma novērtēšanai saskaņā ar Regulas (ES) 2021/241 24. panta 3. punktu, gan revīzijas un kontroles vajadzībām. </w:t>
      </w:r>
    </w:p>
    <w:p w14:paraId="71723235" w14:textId="77777777" w:rsidR="00CB0FCB" w:rsidRDefault="00CB0FCB">
      <w:pPr>
        <w:keepNext/>
        <w:spacing w:before="120" w:after="160" w:line="259" w:lineRule="auto"/>
        <w:ind w:hanging="360"/>
        <w:contextualSpacing/>
        <w:jc w:val="both"/>
        <w:rPr>
          <w:rFonts w:ascii="Times New Roman" w:hAnsi="Times New Roman" w:cs="Times New Roman"/>
          <w:noProof/>
          <w:sz w:val="24"/>
        </w:rPr>
      </w:pPr>
    </w:p>
    <w:sectPr w:rsidR="00CB0FCB">
      <w:headerReference w:type="even" r:id="rId375"/>
      <w:headerReference w:type="default" r:id="rId376"/>
      <w:footerReference w:type="even" r:id="rId377"/>
      <w:footerReference w:type="default" r:id="rId378"/>
      <w:headerReference w:type="first" r:id="rId379"/>
      <w:footerReference w:type="first" r:id="rId380"/>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8F83" w14:textId="77777777" w:rsidR="00C13D1F" w:rsidRDefault="00C13D1F">
      <w:pPr>
        <w:spacing w:after="0" w:line="240" w:lineRule="auto"/>
      </w:pPr>
      <w:r>
        <w:separator/>
      </w:r>
    </w:p>
  </w:endnote>
  <w:endnote w:type="continuationSeparator" w:id="0">
    <w:p w14:paraId="062915E3" w14:textId="77777777" w:rsidR="00C13D1F" w:rsidRDefault="00C13D1F">
      <w:pPr>
        <w:spacing w:after="0" w:line="240" w:lineRule="auto"/>
      </w:pPr>
      <w:r>
        <w:continuationSeparator/>
      </w:r>
    </w:p>
  </w:endnote>
  <w:endnote w:type="continuationNotice" w:id="1">
    <w:p w14:paraId="41DC12CA" w14:textId="77777777" w:rsidR="00C13D1F" w:rsidRDefault="00C13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16747">
    <w:altName w:val="Times New Roman"/>
    <w:panose1 w:val="00000000000000000000"/>
    <w:charset w:val="00"/>
    <w:family w:val="roman"/>
    <w:notTrueType/>
    <w:pitch w:val="default"/>
  </w:font>
  <w:font w:name="car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6E00" w14:textId="48BDA36C" w:rsidR="00354F45" w:rsidRPr="00354F45" w:rsidRDefault="00354F45" w:rsidP="00354F45">
    <w:pPr>
      <w:pStyle w:val="FooterCoverPage"/>
      <w:rPr>
        <w:rFonts w:ascii="Arial" w:hAnsi="Arial" w:cs="Arial"/>
        <w:b/>
        <w:sz w:val="48"/>
      </w:rPr>
    </w:pPr>
    <w:r w:rsidRPr="00354F45">
      <w:rPr>
        <w:rFonts w:ascii="Arial" w:hAnsi="Arial" w:cs="Arial"/>
        <w:b/>
        <w:sz w:val="48"/>
      </w:rPr>
      <w:t>LV</w:t>
    </w:r>
    <w:r w:rsidRPr="00354F45">
      <w:rPr>
        <w:rFonts w:ascii="Arial" w:hAnsi="Arial" w:cs="Arial"/>
        <w:b/>
        <w:sz w:val="48"/>
      </w:rPr>
      <w:tab/>
    </w:r>
    <w:r w:rsidRPr="00354F45">
      <w:rPr>
        <w:rFonts w:ascii="Arial" w:hAnsi="Arial" w:cs="Arial"/>
        <w:b/>
        <w:sz w:val="48"/>
      </w:rPr>
      <w:tab/>
    </w:r>
    <w:r w:rsidRPr="00354F45">
      <w:tab/>
    </w:r>
    <w:r w:rsidRPr="00354F45">
      <w:rPr>
        <w:rFonts w:ascii="Arial" w:hAnsi="Arial" w:cs="Arial"/>
        <w:b/>
        <w:sz w:val="48"/>
      </w:rPr>
      <w:t>LV</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58BE" w14:textId="77777777" w:rsidR="00CB0FCB" w:rsidRDefault="00CB0FCB">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DDFF" w14:textId="77777777" w:rsidR="00CB0FCB" w:rsidRDefault="00CB0FCB">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177095"/>
      <w:docPartObj>
        <w:docPartGallery w:val="Page Numbers (Bottom of Page)"/>
        <w:docPartUnique/>
      </w:docPartObj>
    </w:sdtPr>
    <w:sdtEndPr>
      <w:rPr>
        <w:noProof/>
      </w:rPr>
    </w:sdtEndPr>
    <w:sdtContent>
      <w:p w14:paraId="1FEEE3D5" w14:textId="16D72BE5"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7F1623D7" w14:textId="77777777" w:rsidR="00CB0FCB" w:rsidRDefault="00CB0FCB">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71AA" w14:textId="77777777" w:rsidR="00CB0FCB" w:rsidRDefault="00CB0FCB">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8A73" w14:textId="77777777" w:rsidR="00CB0FCB" w:rsidRDefault="00CB0FCB">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530411"/>
      <w:docPartObj>
        <w:docPartGallery w:val="Page Numbers (Bottom of Page)"/>
        <w:docPartUnique/>
      </w:docPartObj>
    </w:sdtPr>
    <w:sdtEndPr>
      <w:rPr>
        <w:noProof/>
      </w:rPr>
    </w:sdtEndPr>
    <w:sdtContent>
      <w:p w14:paraId="5C721E3E" w14:textId="6D3B14EC"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1114F20" w14:textId="77777777" w:rsidR="00CB0FCB" w:rsidRDefault="00CB0FCB">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E5DE" w14:textId="77777777" w:rsidR="00CB0FCB" w:rsidRDefault="00CB0FCB">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A797" w14:textId="77777777" w:rsidR="00CB0FCB" w:rsidRDefault="00CB0FCB">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349528"/>
      <w:docPartObj>
        <w:docPartGallery w:val="Page Numbers (Bottom of Page)"/>
        <w:docPartUnique/>
      </w:docPartObj>
    </w:sdtPr>
    <w:sdtEndPr>
      <w:rPr>
        <w:noProof/>
      </w:rPr>
    </w:sdtEndPr>
    <w:sdtContent>
      <w:p w14:paraId="0DF7644A" w14:textId="45CE56B9"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7003C998" w14:textId="77777777" w:rsidR="00CB0FCB" w:rsidRDefault="00CB0FCB">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275C" w14:textId="77777777" w:rsidR="00CB0FCB" w:rsidRDefault="00CB0FCB">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DA9C" w14:textId="77777777" w:rsidR="00CB0FCB" w:rsidRDefault="00CB0F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458966"/>
      <w:docPartObj>
        <w:docPartGallery w:val="Page Numbers (Bottom of Page)"/>
        <w:docPartUnique/>
      </w:docPartObj>
    </w:sdtPr>
    <w:sdtEndPr>
      <w:rPr>
        <w:noProof/>
      </w:rPr>
    </w:sdtEndPr>
    <w:sdtContent>
      <w:p w14:paraId="0CCAFC9F" w14:textId="0877DC39"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45A15471" w14:textId="77777777" w:rsidR="00CB0FCB" w:rsidRDefault="00CB0FCB">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870871"/>
      <w:docPartObj>
        <w:docPartGallery w:val="Page Numbers (Bottom of Page)"/>
        <w:docPartUnique/>
      </w:docPartObj>
    </w:sdtPr>
    <w:sdtEndPr>
      <w:rPr>
        <w:noProof/>
      </w:rPr>
    </w:sdtEndPr>
    <w:sdtContent>
      <w:p w14:paraId="6262EC58" w14:textId="541F416C"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4D06854" w14:textId="77777777" w:rsidR="00CB0FCB" w:rsidRDefault="00CB0FCB">
    <w:pPr>
      <w:pStyle w:val="Footer"/>
      <w:tabs>
        <w:tab w:val="clear" w:pos="4535"/>
        <w:tab w:val="clear" w:pos="9071"/>
        <w:tab w:val="clear" w:pos="9921"/>
        <w:tab w:val="left" w:pos="1675"/>
      </w:tabs>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0021" w14:textId="77777777" w:rsidR="00CB0FCB" w:rsidRDefault="00CB0FCB">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D284" w14:textId="77777777" w:rsidR="00CB0FCB" w:rsidRDefault="00CB0FCB">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18742"/>
      <w:docPartObj>
        <w:docPartGallery w:val="Page Numbers (Bottom of Page)"/>
        <w:docPartUnique/>
      </w:docPartObj>
    </w:sdtPr>
    <w:sdtEndPr>
      <w:rPr>
        <w:noProof/>
      </w:rPr>
    </w:sdtEndPr>
    <w:sdtContent>
      <w:p w14:paraId="419C51EA" w14:textId="0B1FBFC9"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16CDB2EB" w14:textId="77777777" w:rsidR="00CB0FCB" w:rsidRDefault="00CB0FCB">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C6EF" w14:textId="77777777" w:rsidR="00CB0FCB" w:rsidRDefault="00CB0FCB">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E85D" w14:textId="77777777" w:rsidR="00CB0FCB" w:rsidRDefault="00CB0FCB">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82215"/>
      <w:docPartObj>
        <w:docPartGallery w:val="Page Numbers (Bottom of Page)"/>
        <w:docPartUnique/>
      </w:docPartObj>
    </w:sdtPr>
    <w:sdtEndPr>
      <w:rPr>
        <w:noProof/>
      </w:rPr>
    </w:sdtEndPr>
    <w:sdtContent>
      <w:p w14:paraId="1B2BC6B9" w14:textId="6A8E2C5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DF5B47D" w14:textId="77777777" w:rsidR="00CB0FCB" w:rsidRDefault="00CB0FCB">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51AE" w14:textId="77777777" w:rsidR="00CB0FCB" w:rsidRDefault="00CB0FCB">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0253" w14:textId="77777777" w:rsidR="00CB0FCB" w:rsidRDefault="00CB0FCB">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08692"/>
      <w:docPartObj>
        <w:docPartGallery w:val="Page Numbers (Bottom of Page)"/>
        <w:docPartUnique/>
      </w:docPartObj>
    </w:sdtPr>
    <w:sdtEndPr>
      <w:rPr>
        <w:noProof/>
      </w:rPr>
    </w:sdtEndPr>
    <w:sdtContent>
      <w:p w14:paraId="073DA152" w14:textId="1BB95FC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B4C50CA" w14:textId="77777777" w:rsidR="00CB0FCB" w:rsidRDefault="00CB0F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FBAB" w14:textId="77777777" w:rsidR="00CB0FCB" w:rsidRDefault="00CB0FCB">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37C0" w14:textId="77777777" w:rsidR="00CB0FCB" w:rsidRDefault="00CB0FCB">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9312" w14:textId="77777777" w:rsidR="00CB0FCB" w:rsidRDefault="00CB0FCB">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767307"/>
      <w:docPartObj>
        <w:docPartGallery w:val="Page Numbers (Bottom of Page)"/>
        <w:docPartUnique/>
      </w:docPartObj>
    </w:sdtPr>
    <w:sdtEndPr>
      <w:rPr>
        <w:noProof/>
      </w:rPr>
    </w:sdtEndPr>
    <w:sdtContent>
      <w:p w14:paraId="7033C71A" w14:textId="57AFC7EC"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2D8E6199" w14:textId="77777777" w:rsidR="00CB0FCB" w:rsidRDefault="00CB0FCB">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0792" w14:textId="77777777" w:rsidR="00CB0FCB" w:rsidRDefault="00CB0FCB">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3E59" w14:textId="77777777" w:rsidR="00CB0FCB" w:rsidRDefault="00CB0FCB">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625519"/>
      <w:docPartObj>
        <w:docPartGallery w:val="Page Numbers (Bottom of Page)"/>
        <w:docPartUnique/>
      </w:docPartObj>
    </w:sdtPr>
    <w:sdtEndPr>
      <w:rPr>
        <w:noProof/>
      </w:rPr>
    </w:sdtEndPr>
    <w:sdtContent>
      <w:p w14:paraId="08B99CC7" w14:textId="290C6226"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2C6759AF" w14:textId="77777777" w:rsidR="00CB0FCB" w:rsidRDefault="00CB0FCB">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66A1" w14:textId="77777777" w:rsidR="00CB0FCB" w:rsidRDefault="00CB0FCB">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0528" w14:textId="77777777" w:rsidR="00CB0FCB" w:rsidRDefault="00CB0FCB">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01151"/>
      <w:docPartObj>
        <w:docPartGallery w:val="Page Numbers (Bottom of Page)"/>
        <w:docPartUnique/>
      </w:docPartObj>
    </w:sdtPr>
    <w:sdtEndPr>
      <w:rPr>
        <w:noProof/>
      </w:rPr>
    </w:sdtEndPr>
    <w:sdtContent>
      <w:p w14:paraId="7CD2E1DC" w14:textId="0D473F7D"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9A7DEF6" w14:textId="77777777" w:rsidR="00CB0FCB" w:rsidRDefault="00CB0FCB">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D60F" w14:textId="77777777" w:rsidR="00CB0FCB" w:rsidRDefault="00CB0F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3755" w14:textId="77777777" w:rsidR="00CB0FCB" w:rsidRDefault="00CB0FCB">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B48B" w14:textId="77777777" w:rsidR="00CB0FCB" w:rsidRDefault="00CB0FCB">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911246"/>
      <w:docPartObj>
        <w:docPartGallery w:val="Page Numbers (Bottom of Page)"/>
        <w:docPartUnique/>
      </w:docPartObj>
    </w:sdtPr>
    <w:sdtEndPr>
      <w:rPr>
        <w:noProof/>
      </w:rPr>
    </w:sdtEndPr>
    <w:sdtContent>
      <w:p w14:paraId="26950E60" w14:textId="1B4821DA"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2B73936" w14:textId="77777777" w:rsidR="00CB0FCB" w:rsidRDefault="00CB0FCB">
    <w:pPr>
      <w:pStyle w:val="Footer"/>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9E3E" w14:textId="77777777" w:rsidR="00CB0FCB" w:rsidRDefault="00CB0FCB">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ABC6" w14:textId="77777777" w:rsidR="00CB0FCB" w:rsidRDefault="00CB0FCB">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077946"/>
      <w:docPartObj>
        <w:docPartGallery w:val="Page Numbers (Bottom of Page)"/>
        <w:docPartUnique/>
      </w:docPartObj>
    </w:sdtPr>
    <w:sdtEndPr>
      <w:rPr>
        <w:noProof/>
      </w:rPr>
    </w:sdtEndPr>
    <w:sdtContent>
      <w:p w14:paraId="35E31C0C" w14:textId="056D644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2BF94ED8" w14:textId="77777777" w:rsidR="00CB0FCB" w:rsidRDefault="00CB0FCB">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214E" w14:textId="77777777" w:rsidR="00CB0FCB" w:rsidRDefault="00CB0FCB">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E635" w14:textId="77777777" w:rsidR="00CB0FCB" w:rsidRDefault="00CB0FCB">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053473"/>
      <w:docPartObj>
        <w:docPartGallery w:val="Page Numbers (Bottom of Page)"/>
        <w:docPartUnique/>
      </w:docPartObj>
    </w:sdtPr>
    <w:sdtEndPr>
      <w:rPr>
        <w:noProof/>
      </w:rPr>
    </w:sdtEndPr>
    <w:sdtContent>
      <w:p w14:paraId="00DFC4B6" w14:textId="0538125E"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78A5DBF2" w14:textId="77777777" w:rsidR="00CB0FCB" w:rsidRDefault="00CB0FCB">
    <w:pPr>
      <w:pStyle w:val="Footer"/>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6567" w14:textId="77777777" w:rsidR="00CB0FCB" w:rsidRDefault="00CB0FCB">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517D" w14:textId="77777777" w:rsidR="00CB0FCB" w:rsidRDefault="00CB0F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10226"/>
      <w:docPartObj>
        <w:docPartGallery w:val="Page Numbers (Bottom of Page)"/>
        <w:docPartUnique/>
      </w:docPartObj>
    </w:sdtPr>
    <w:sdtEndPr>
      <w:rPr>
        <w:noProof/>
      </w:rPr>
    </w:sdtEndPr>
    <w:sdtContent>
      <w:p w14:paraId="49B2D1A1" w14:textId="533EE934"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0A1BA14" w14:textId="77777777" w:rsidR="00CB0FCB" w:rsidRDefault="00CB0FCB">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91891"/>
      <w:docPartObj>
        <w:docPartGallery w:val="Page Numbers (Bottom of Page)"/>
        <w:docPartUnique/>
      </w:docPartObj>
    </w:sdtPr>
    <w:sdtEndPr>
      <w:rPr>
        <w:noProof/>
      </w:rPr>
    </w:sdtEndPr>
    <w:sdtContent>
      <w:p w14:paraId="19EBF0F2" w14:textId="1B2E8DCA"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74EB488D" w14:textId="77777777" w:rsidR="00CB0FCB" w:rsidRDefault="00CB0FCB">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10EF" w14:textId="77777777" w:rsidR="00CB0FCB" w:rsidRDefault="00CB0FCB">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615E" w14:textId="77777777" w:rsidR="00CB0FCB" w:rsidRDefault="00CB0FCB">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654521"/>
      <w:docPartObj>
        <w:docPartGallery w:val="Page Numbers (Bottom of Page)"/>
        <w:docPartUnique/>
      </w:docPartObj>
    </w:sdtPr>
    <w:sdtEndPr>
      <w:rPr>
        <w:noProof/>
      </w:rPr>
    </w:sdtEndPr>
    <w:sdtContent>
      <w:p w14:paraId="3252F59E" w14:textId="2F700601"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56B7B50F" w14:textId="77777777" w:rsidR="00CB0FCB" w:rsidRDefault="00CB0FCB">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4576" w14:textId="77777777" w:rsidR="00CB0FCB" w:rsidRDefault="00CB0FCB">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57E2" w14:textId="77777777" w:rsidR="00CB0FCB" w:rsidRDefault="00CB0FCB">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837362"/>
      <w:docPartObj>
        <w:docPartGallery w:val="Page Numbers (Bottom of Page)"/>
        <w:docPartUnique/>
      </w:docPartObj>
    </w:sdtPr>
    <w:sdtEndPr>
      <w:rPr>
        <w:noProof/>
      </w:rPr>
    </w:sdtEndPr>
    <w:sdtContent>
      <w:p w14:paraId="5C9D5D30" w14:textId="33D624FF"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78ADAE90" w14:textId="77777777" w:rsidR="00CB0FCB" w:rsidRDefault="00CB0FCB">
    <w:pPr>
      <w:pStyle w:val="Footer"/>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2353" w14:textId="77777777" w:rsidR="00CB0FCB" w:rsidRDefault="00CB0FCB">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B88F" w14:textId="77777777" w:rsidR="00CB0FCB" w:rsidRDefault="00CB0FCB">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945361"/>
      <w:docPartObj>
        <w:docPartGallery w:val="Page Numbers (Bottom of Page)"/>
        <w:docPartUnique/>
      </w:docPartObj>
    </w:sdtPr>
    <w:sdtEndPr>
      <w:rPr>
        <w:noProof/>
      </w:rPr>
    </w:sdtEndPr>
    <w:sdtContent>
      <w:p w14:paraId="1FB3F801" w14:textId="511D13BA"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58F37DE" w14:textId="77777777" w:rsidR="00CB0FCB" w:rsidRDefault="00CB0FC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5540" w14:textId="77777777" w:rsidR="00CB0FCB" w:rsidRDefault="00CB0FCB">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D98A" w14:textId="77777777" w:rsidR="00CB0FCB" w:rsidRDefault="00CB0FCB">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EEB3" w14:textId="77777777" w:rsidR="00CB0FCB" w:rsidRDefault="00CB0FCB">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964355"/>
      <w:docPartObj>
        <w:docPartGallery w:val="Page Numbers (Bottom of Page)"/>
        <w:docPartUnique/>
      </w:docPartObj>
    </w:sdtPr>
    <w:sdtEndPr>
      <w:rPr>
        <w:noProof/>
      </w:rPr>
    </w:sdtEndPr>
    <w:sdtContent>
      <w:p w14:paraId="024995AA" w14:textId="510C781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29FC809" w14:textId="77777777" w:rsidR="00CB0FCB" w:rsidRDefault="00CB0FCB">
    <w:pPr>
      <w:pStyle w:val="Footer"/>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4BC1" w14:textId="77777777" w:rsidR="00CB0FCB" w:rsidRDefault="00CB0FCB">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3506" w14:textId="77777777" w:rsidR="00CB0FCB" w:rsidRDefault="00CB0FCB">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861585"/>
      <w:docPartObj>
        <w:docPartGallery w:val="Page Numbers (Bottom of Page)"/>
        <w:docPartUnique/>
      </w:docPartObj>
    </w:sdtPr>
    <w:sdtEndPr>
      <w:rPr>
        <w:noProof/>
      </w:rPr>
    </w:sdtEndPr>
    <w:sdtContent>
      <w:p w14:paraId="39B47366" w14:textId="2E32817E"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7B134BE4" w14:textId="77777777" w:rsidR="00CB0FCB" w:rsidRDefault="00CB0FCB">
    <w:pPr>
      <w:pStyle w:val="Footer"/>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8331" w14:textId="77777777" w:rsidR="00CB0FCB" w:rsidRDefault="00CB0FCB">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9325" w14:textId="77777777" w:rsidR="00CB0FCB" w:rsidRDefault="00CB0FCB">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49482"/>
      <w:docPartObj>
        <w:docPartGallery w:val="Page Numbers (Bottom of Page)"/>
        <w:docPartUnique/>
      </w:docPartObj>
    </w:sdtPr>
    <w:sdtEndPr>
      <w:rPr>
        <w:noProof/>
      </w:rPr>
    </w:sdtEndPr>
    <w:sdtContent>
      <w:p w14:paraId="5866029F" w14:textId="2C8A98F4"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0949047" w14:textId="77777777" w:rsidR="00CB0FCB" w:rsidRDefault="00CB0FCB">
    <w:pPr>
      <w:pStyle w:val="Footer"/>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E808" w14:textId="77777777" w:rsidR="00CB0FCB" w:rsidRDefault="00CB0FC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EAF5" w14:textId="77777777" w:rsidR="00CB0FCB" w:rsidRDefault="00CB0FCB">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217A" w14:textId="77777777" w:rsidR="00CB0FCB" w:rsidRDefault="00CB0FCB">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61904"/>
      <w:docPartObj>
        <w:docPartGallery w:val="Page Numbers (Bottom of Page)"/>
        <w:docPartUnique/>
      </w:docPartObj>
    </w:sdtPr>
    <w:sdtEndPr>
      <w:rPr>
        <w:noProof/>
      </w:rPr>
    </w:sdtEndPr>
    <w:sdtContent>
      <w:p w14:paraId="1057DDB1" w14:textId="0F74F3A7"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4E7860EE" w14:textId="77777777" w:rsidR="00CB0FCB" w:rsidRDefault="00CB0FCB">
    <w:pPr>
      <w:pStyle w:val="Footer"/>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A18D" w14:textId="77777777" w:rsidR="00CB0FCB" w:rsidRDefault="00CB0FCB">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18390"/>
      <w:docPartObj>
        <w:docPartGallery w:val="Page Numbers (Bottom of Page)"/>
        <w:docPartUnique/>
      </w:docPartObj>
    </w:sdtPr>
    <w:sdtEndPr>
      <w:rPr>
        <w:noProof/>
      </w:rPr>
    </w:sdtEndPr>
    <w:sdtContent>
      <w:p w14:paraId="06DADBBC" w14:textId="4CB3756D"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5A1E9E32" w14:textId="77777777" w:rsidR="00CB0FCB" w:rsidRDefault="00CB0FCB">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31AB" w14:textId="77777777" w:rsidR="00CB0FCB" w:rsidRDefault="00CB0FCB">
    <w:pPr>
      <w:pStyle w:val="Footer"/>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00008"/>
      <w:docPartObj>
        <w:docPartGallery w:val="Page Numbers (Bottom of Page)"/>
        <w:docPartUnique/>
      </w:docPartObj>
    </w:sdtPr>
    <w:sdtEndPr>
      <w:rPr>
        <w:noProof/>
      </w:rPr>
    </w:sdtEndPr>
    <w:sdtContent>
      <w:p w14:paraId="4FFC6C48" w14:textId="7AC1600B"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B078622" w14:textId="77777777" w:rsidR="00CB0FCB" w:rsidRDefault="00CB0FCB">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F658" w14:textId="77777777" w:rsidR="00CB0FCB" w:rsidRDefault="00CB0FCB">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2171" w14:textId="77777777" w:rsidR="00CB0FCB" w:rsidRDefault="00CB0FCB">
    <w:pPr>
      <w:pStyle w:val="Footer"/>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611318"/>
      <w:docPartObj>
        <w:docPartGallery w:val="Page Numbers (Bottom of Page)"/>
        <w:docPartUnique/>
      </w:docPartObj>
    </w:sdtPr>
    <w:sdtEndPr>
      <w:rPr>
        <w:noProof/>
      </w:rPr>
    </w:sdtEndPr>
    <w:sdtContent>
      <w:p w14:paraId="409B8AC3" w14:textId="5BD6FCCB"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35DE0FF" w14:textId="77777777" w:rsidR="00CB0FCB" w:rsidRDefault="00CB0FCB">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06A0" w14:textId="77777777" w:rsidR="00CB0FCB" w:rsidRDefault="00CB0FC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949093"/>
      <w:docPartObj>
        <w:docPartGallery w:val="Page Numbers (Bottom of Page)"/>
        <w:docPartUnique/>
      </w:docPartObj>
    </w:sdtPr>
    <w:sdtEndPr>
      <w:rPr>
        <w:noProof/>
      </w:rPr>
    </w:sdtEndPr>
    <w:sdtContent>
      <w:p w14:paraId="1519446F" w14:textId="6CF87A04"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22974C0" w14:textId="77777777" w:rsidR="00CB0FCB" w:rsidRDefault="00CB0FCB">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A701" w14:textId="77777777" w:rsidR="00CB0FCB" w:rsidRDefault="00CB0FCB">
    <w:pPr>
      <w:pStyle w:val="Footer"/>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785745"/>
      <w:docPartObj>
        <w:docPartGallery w:val="Page Numbers (Bottom of Page)"/>
        <w:docPartUnique/>
      </w:docPartObj>
    </w:sdtPr>
    <w:sdtEndPr>
      <w:rPr>
        <w:noProof/>
      </w:rPr>
    </w:sdtEndPr>
    <w:sdtContent>
      <w:p w14:paraId="4F5A3916" w14:textId="4DF6A8DC"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29D46347" w14:textId="77777777" w:rsidR="00CB0FCB" w:rsidRDefault="00CB0FCB">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D545" w14:textId="77777777" w:rsidR="00CB0FCB" w:rsidRDefault="00CB0FCB">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A656" w14:textId="77777777" w:rsidR="00CB0FCB" w:rsidRDefault="00CB0FCB">
    <w:pPr>
      <w:pStyle w:val="Footer"/>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65893"/>
      <w:docPartObj>
        <w:docPartGallery w:val="Page Numbers (Bottom of Page)"/>
        <w:docPartUnique/>
      </w:docPartObj>
    </w:sdtPr>
    <w:sdtEndPr>
      <w:rPr>
        <w:noProof/>
      </w:rPr>
    </w:sdtEndPr>
    <w:sdtContent>
      <w:p w14:paraId="7E36C6D5" w14:textId="30F07703"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10D952BE" w14:textId="77777777" w:rsidR="00CB0FCB" w:rsidRDefault="00CB0FCB">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D031" w14:textId="77777777" w:rsidR="00CB0FCB" w:rsidRDefault="00CB0FCB">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59D4" w14:textId="77777777" w:rsidR="00CB0FCB" w:rsidRDefault="00CB0FCB">
    <w:pPr>
      <w:pStyle w:val="Footer"/>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577138"/>
      <w:docPartObj>
        <w:docPartGallery w:val="Page Numbers (Bottom of Page)"/>
        <w:docPartUnique/>
      </w:docPartObj>
    </w:sdtPr>
    <w:sdtEndPr>
      <w:rPr>
        <w:noProof/>
      </w:rPr>
    </w:sdtEndPr>
    <w:sdtContent>
      <w:p w14:paraId="11B2149F" w14:textId="181D9720"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9E3B11B" w14:textId="77777777" w:rsidR="00CB0FCB" w:rsidRDefault="00CB0FCB">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FC4A" w14:textId="77777777" w:rsidR="00CB0FCB" w:rsidRDefault="00CB0FCB">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145D" w14:textId="77777777" w:rsidR="00CB0FCB" w:rsidRDefault="00CB0FC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8E6B" w14:textId="77777777" w:rsidR="00CB0FCB" w:rsidRDefault="00CB0FCB">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416010"/>
      <w:docPartObj>
        <w:docPartGallery w:val="Page Numbers (Bottom of Page)"/>
        <w:docPartUnique/>
      </w:docPartObj>
    </w:sdtPr>
    <w:sdtEndPr>
      <w:rPr>
        <w:noProof/>
      </w:rPr>
    </w:sdtEndPr>
    <w:sdtContent>
      <w:p w14:paraId="7D27DFA4" w14:textId="144FB6FB"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14FBF47" w14:textId="77777777" w:rsidR="00CB0FCB" w:rsidRDefault="00CB0FCB">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9A81" w14:textId="77777777" w:rsidR="00CB0FCB" w:rsidRDefault="00CB0FCB">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B6AD" w14:textId="77777777" w:rsidR="00CB0FCB" w:rsidRDefault="00CB0FCB">
    <w:pPr>
      <w:pStyle w:val="Footer"/>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07250"/>
      <w:docPartObj>
        <w:docPartGallery w:val="Page Numbers (Bottom of Page)"/>
        <w:docPartUnique/>
      </w:docPartObj>
    </w:sdtPr>
    <w:sdtEndPr>
      <w:rPr>
        <w:noProof/>
      </w:rPr>
    </w:sdtEndPr>
    <w:sdtContent>
      <w:p w14:paraId="6CCCADAE" w14:textId="532BA64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2332C368" w14:textId="77777777" w:rsidR="00CB0FCB" w:rsidRDefault="00CB0FCB">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91F8" w14:textId="77777777" w:rsidR="00CB0FCB" w:rsidRDefault="00CB0FC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196F" w14:textId="77777777" w:rsidR="00CB0FCB" w:rsidRDefault="00CB0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559C" w14:textId="43D67867" w:rsidR="00354F45" w:rsidRPr="00354F45" w:rsidRDefault="00354F45" w:rsidP="00354F45">
    <w:pPr>
      <w:pStyle w:val="FooterCoverPage"/>
      <w:rPr>
        <w:rFonts w:ascii="Arial" w:hAnsi="Arial" w:cs="Arial"/>
        <w:b/>
        <w:sz w:val="48"/>
      </w:rPr>
    </w:pPr>
    <w:r w:rsidRPr="00354F45">
      <w:rPr>
        <w:rFonts w:ascii="Arial" w:hAnsi="Arial" w:cs="Arial"/>
        <w:b/>
        <w:sz w:val="48"/>
      </w:rPr>
      <w:t>LV</w:t>
    </w:r>
    <w:r w:rsidRPr="00354F45">
      <w:rPr>
        <w:rFonts w:ascii="Arial" w:hAnsi="Arial" w:cs="Arial"/>
        <w:b/>
        <w:sz w:val="48"/>
      </w:rPr>
      <w:tab/>
    </w:r>
    <w:r w:rsidRPr="00354F45">
      <w:rPr>
        <w:rFonts w:ascii="Arial" w:hAnsi="Arial" w:cs="Arial"/>
        <w:b/>
        <w:sz w:val="48"/>
      </w:rPr>
      <w:tab/>
    </w:r>
    <w:r w:rsidRPr="00354F45">
      <w:tab/>
    </w:r>
    <w:r w:rsidRPr="00354F45">
      <w:rPr>
        <w:rFonts w:ascii="Arial" w:hAnsi="Arial" w:cs="Arial"/>
        <w:b/>
        <w:sz w:val="48"/>
      </w:rPr>
      <w:t>LV</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1507"/>
      <w:docPartObj>
        <w:docPartGallery w:val="Page Numbers (Bottom of Page)"/>
        <w:docPartUnique/>
      </w:docPartObj>
    </w:sdtPr>
    <w:sdtEndPr>
      <w:rPr>
        <w:noProof/>
      </w:rPr>
    </w:sdtEndPr>
    <w:sdtContent>
      <w:p w14:paraId="313CB759" w14:textId="680404C7"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C59A3D3" w14:textId="77777777" w:rsidR="00CB0FCB" w:rsidRDefault="00CB0FC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0B46" w14:textId="77777777" w:rsidR="00CB0FCB" w:rsidRDefault="00CB0FC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7B62" w14:textId="77777777" w:rsidR="00CB0FCB" w:rsidRDefault="00CB0FC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677880"/>
      <w:docPartObj>
        <w:docPartGallery w:val="Page Numbers (Bottom of Page)"/>
        <w:docPartUnique/>
      </w:docPartObj>
    </w:sdtPr>
    <w:sdtEndPr>
      <w:rPr>
        <w:noProof/>
      </w:rPr>
    </w:sdtEndPr>
    <w:sdtContent>
      <w:p w14:paraId="166B22D4" w14:textId="74C1AC6C"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410A09BE" w14:textId="77777777" w:rsidR="00CB0FCB" w:rsidRDefault="00CB0FC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09ED" w14:textId="77777777" w:rsidR="00CB0FCB" w:rsidRDefault="00CB0FC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D03F" w14:textId="77777777" w:rsidR="00CB0FCB" w:rsidRDefault="00CB0FC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991082"/>
      <w:docPartObj>
        <w:docPartGallery w:val="Page Numbers (Bottom of Page)"/>
        <w:docPartUnique/>
      </w:docPartObj>
    </w:sdtPr>
    <w:sdtEndPr>
      <w:rPr>
        <w:noProof/>
      </w:rPr>
    </w:sdtEndPr>
    <w:sdtContent>
      <w:p w14:paraId="0A3307E9" w14:textId="69429CF0"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4F6D65F" w14:textId="77777777" w:rsidR="00CB0FCB" w:rsidRDefault="00CB0FC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92A7" w14:textId="77777777" w:rsidR="00CB0FCB" w:rsidRDefault="00CB0FC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4449" w14:textId="77777777" w:rsidR="00CB0FCB" w:rsidRDefault="00CB0FC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436849"/>
      <w:docPartObj>
        <w:docPartGallery w:val="Page Numbers (Bottom of Page)"/>
        <w:docPartUnique/>
      </w:docPartObj>
    </w:sdtPr>
    <w:sdtEndPr>
      <w:rPr>
        <w:noProof/>
      </w:rPr>
    </w:sdtEndPr>
    <w:sdtContent>
      <w:p w14:paraId="53250271" w14:textId="3160359B"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50FC98E4" w14:textId="77777777" w:rsidR="00CB0FCB" w:rsidRDefault="00CB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1516" w14:textId="77777777" w:rsidR="00354F45" w:rsidRPr="00354F45" w:rsidRDefault="00354F45" w:rsidP="00354F45">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284A" w14:textId="77777777" w:rsidR="00CB0FCB" w:rsidRDefault="00CB0FC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0B3D" w14:textId="77777777" w:rsidR="00CB0FCB" w:rsidRDefault="00CB0FC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61688"/>
      <w:docPartObj>
        <w:docPartGallery w:val="Page Numbers (Bottom of Page)"/>
        <w:docPartUnique/>
      </w:docPartObj>
    </w:sdtPr>
    <w:sdtEndPr>
      <w:rPr>
        <w:noProof/>
      </w:rPr>
    </w:sdtEndPr>
    <w:sdtContent>
      <w:p w14:paraId="6172152B" w14:textId="3F7887FF"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4DF345D" w14:textId="77777777" w:rsidR="00CB0FCB" w:rsidRDefault="00CB0FC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0291" w14:textId="77777777" w:rsidR="00CB0FCB" w:rsidRDefault="00CB0FC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D493" w14:textId="77777777" w:rsidR="00CB0FCB" w:rsidRDefault="00CB0FC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385061"/>
      <w:docPartObj>
        <w:docPartGallery w:val="Page Numbers (Bottom of Page)"/>
        <w:docPartUnique/>
      </w:docPartObj>
    </w:sdtPr>
    <w:sdtEndPr>
      <w:rPr>
        <w:noProof/>
      </w:rPr>
    </w:sdtEndPr>
    <w:sdtContent>
      <w:p w14:paraId="0D64EA38" w14:textId="74B4FDEA"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5459F4E4" w14:textId="77777777" w:rsidR="00CB0FCB" w:rsidRDefault="00CB0FC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8C57" w14:textId="77777777" w:rsidR="00CB0FCB" w:rsidRDefault="00CB0FC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0669" w14:textId="77777777" w:rsidR="00CB0FCB" w:rsidRDefault="00CB0FC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91281"/>
      <w:docPartObj>
        <w:docPartGallery w:val="Page Numbers (Bottom of Page)"/>
        <w:docPartUnique/>
      </w:docPartObj>
    </w:sdtPr>
    <w:sdtEndPr>
      <w:rPr>
        <w:noProof/>
      </w:rPr>
    </w:sdtEndPr>
    <w:sdtContent>
      <w:p w14:paraId="38383463" w14:textId="795408F9"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2EB701C2" w14:textId="77777777" w:rsidR="00CB0FCB" w:rsidRDefault="00CB0FC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0E5D" w14:textId="77777777" w:rsidR="00CB0FCB" w:rsidRDefault="00CB0F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CB1A" w14:textId="77777777" w:rsidR="00CB0FCB" w:rsidRDefault="00CB0FC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32B8" w14:textId="77777777" w:rsidR="00CB0FCB" w:rsidRDefault="00CB0FC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736444"/>
      <w:docPartObj>
        <w:docPartGallery w:val="Page Numbers (Bottom of Page)"/>
        <w:docPartUnique/>
      </w:docPartObj>
    </w:sdtPr>
    <w:sdtEndPr>
      <w:rPr>
        <w:noProof/>
      </w:rPr>
    </w:sdtEndPr>
    <w:sdtContent>
      <w:p w14:paraId="1A2CED13" w14:textId="7D8B9D2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234AD52" w14:textId="77777777" w:rsidR="00CB0FCB" w:rsidRDefault="00CB0FCB">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F1A6" w14:textId="77777777" w:rsidR="00CB0FCB" w:rsidRDefault="00CB0FC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7D70" w14:textId="77777777" w:rsidR="00CB0FCB" w:rsidRDefault="00CB0FC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118577"/>
      <w:docPartObj>
        <w:docPartGallery w:val="Page Numbers (Bottom of Page)"/>
        <w:docPartUnique/>
      </w:docPartObj>
    </w:sdtPr>
    <w:sdtEndPr>
      <w:rPr>
        <w:noProof/>
      </w:rPr>
    </w:sdtEndPr>
    <w:sdtContent>
      <w:p w14:paraId="11063F35" w14:textId="469A013D"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103A86CE" w14:textId="77777777" w:rsidR="00CB0FCB" w:rsidRDefault="00CB0FC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848D" w14:textId="77777777" w:rsidR="00CB0FCB" w:rsidRDefault="00CB0FC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B4D3" w14:textId="77777777" w:rsidR="00CB0FCB" w:rsidRDefault="00CB0FC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33478"/>
      <w:docPartObj>
        <w:docPartGallery w:val="Page Numbers (Bottom of Page)"/>
        <w:docPartUnique/>
      </w:docPartObj>
    </w:sdtPr>
    <w:sdtEndPr>
      <w:rPr>
        <w:noProof/>
      </w:rPr>
    </w:sdtEndPr>
    <w:sdtContent>
      <w:p w14:paraId="5CD7ED12" w14:textId="64B0F20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4B714049" w14:textId="77777777" w:rsidR="00CB0FCB" w:rsidRDefault="00CB0FC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D856" w14:textId="77777777" w:rsidR="00CB0FCB" w:rsidRDefault="00CB0FC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6C28" w14:textId="77777777" w:rsidR="00CB0FCB" w:rsidRDefault="00CB0F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38444"/>
      <w:docPartObj>
        <w:docPartGallery w:val="Page Numbers (Bottom of Page)"/>
        <w:docPartUnique/>
      </w:docPartObj>
    </w:sdtPr>
    <w:sdtEndPr>
      <w:rPr>
        <w:noProof/>
      </w:rPr>
    </w:sdtEndPr>
    <w:sdtContent>
      <w:p w14:paraId="1F18D3F9" w14:textId="3ED89D0F" w:rsidR="00CB0FCB" w:rsidRDefault="009D2B11">
        <w:pPr>
          <w:pStyle w:val="Footer"/>
          <w:jc w:val="center"/>
        </w:pPr>
        <w:r>
          <w:fldChar w:fldCharType="begin"/>
        </w:r>
        <w:r>
          <w:instrText xml:space="preserve"> PAGE   \* MERGEFORMAT </w:instrText>
        </w:r>
        <w:r>
          <w:fldChar w:fldCharType="separate"/>
        </w:r>
        <w:r w:rsidR="00354F45">
          <w:rPr>
            <w:noProof/>
          </w:rPr>
          <w:t>3</w:t>
        </w:r>
        <w:r>
          <w:fldChar w:fldCharType="end"/>
        </w:r>
      </w:p>
    </w:sdtContent>
  </w:sdt>
  <w:p w14:paraId="3F800480" w14:textId="77777777" w:rsidR="00CB0FCB" w:rsidRDefault="00CB0FCB">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8066"/>
      <w:docPartObj>
        <w:docPartGallery w:val="Page Numbers (Bottom of Page)"/>
        <w:docPartUnique/>
      </w:docPartObj>
    </w:sdtPr>
    <w:sdtEndPr>
      <w:rPr>
        <w:noProof/>
      </w:rPr>
    </w:sdtEndPr>
    <w:sdtContent>
      <w:p w14:paraId="157400F1" w14:textId="476233D9"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5EFB1EE6" w14:textId="77777777" w:rsidR="00CB0FCB" w:rsidRDefault="00CB0FC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1422" w14:textId="77777777" w:rsidR="00CB0FCB" w:rsidRDefault="00CB0FC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75C9" w14:textId="77777777" w:rsidR="00CB0FCB" w:rsidRDefault="00CB0FC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30461"/>
      <w:docPartObj>
        <w:docPartGallery w:val="Page Numbers (Bottom of Page)"/>
        <w:docPartUnique/>
      </w:docPartObj>
    </w:sdtPr>
    <w:sdtEndPr>
      <w:rPr>
        <w:noProof/>
      </w:rPr>
    </w:sdtEndPr>
    <w:sdtContent>
      <w:p w14:paraId="2C2D4531" w14:textId="0DDD209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C31C0F9" w14:textId="77777777" w:rsidR="00CB0FCB" w:rsidRDefault="00CB0FCB">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14F7" w14:textId="77777777" w:rsidR="00CB0FCB" w:rsidRDefault="00CB0FCB">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8DE1" w14:textId="77777777" w:rsidR="00CB0FCB" w:rsidRDefault="00CB0FCB">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09275"/>
      <w:docPartObj>
        <w:docPartGallery w:val="Page Numbers (Bottom of Page)"/>
        <w:docPartUnique/>
      </w:docPartObj>
    </w:sdtPr>
    <w:sdtEndPr>
      <w:rPr>
        <w:noProof/>
      </w:rPr>
    </w:sdtEndPr>
    <w:sdtContent>
      <w:p w14:paraId="15EE6F25" w14:textId="04E022D5"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361B7D5B" w14:textId="77777777" w:rsidR="00CB0FCB" w:rsidRDefault="00CB0FCB">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BA33" w14:textId="77777777" w:rsidR="00CB0FCB" w:rsidRDefault="00CB0FC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5F8C" w14:textId="77777777" w:rsidR="00CB0FCB" w:rsidRDefault="00CB0FCB">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13676"/>
      <w:docPartObj>
        <w:docPartGallery w:val="Page Numbers (Bottom of Page)"/>
        <w:docPartUnique/>
      </w:docPartObj>
    </w:sdtPr>
    <w:sdtEndPr>
      <w:rPr>
        <w:noProof/>
      </w:rPr>
    </w:sdtEndPr>
    <w:sdtContent>
      <w:p w14:paraId="1725C933" w14:textId="3F89424C"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4D317E13" w14:textId="77777777" w:rsidR="00CB0FCB" w:rsidRDefault="00CB0F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2DFF" w14:textId="77777777" w:rsidR="00CB0FCB" w:rsidRDefault="00CB0FCB">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13B3" w14:textId="77777777" w:rsidR="00CB0FCB" w:rsidRDefault="00CB0FC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5FB2" w14:textId="77777777" w:rsidR="00CB0FCB" w:rsidRDefault="00CB0FCB">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920688"/>
      <w:docPartObj>
        <w:docPartGallery w:val="Page Numbers (Bottom of Page)"/>
        <w:docPartUnique/>
      </w:docPartObj>
    </w:sdtPr>
    <w:sdtEndPr>
      <w:rPr>
        <w:noProof/>
      </w:rPr>
    </w:sdtEndPr>
    <w:sdtContent>
      <w:p w14:paraId="3C98CCB5" w14:textId="4F7B8B0F"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167FBE57" w14:textId="77777777" w:rsidR="00CB0FCB" w:rsidRDefault="00CB0FCB">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2EF6" w14:textId="77777777" w:rsidR="00CB0FCB" w:rsidRDefault="00CB0FCB">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963D" w14:textId="77777777" w:rsidR="00CB0FCB" w:rsidRDefault="00CB0FCB">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806263"/>
      <w:docPartObj>
        <w:docPartGallery w:val="Page Numbers (Bottom of Page)"/>
        <w:docPartUnique/>
      </w:docPartObj>
    </w:sdtPr>
    <w:sdtEndPr>
      <w:rPr>
        <w:noProof/>
      </w:rPr>
    </w:sdtEndPr>
    <w:sdtContent>
      <w:p w14:paraId="5F3F825D" w14:textId="028878B6"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83B6394" w14:textId="77777777" w:rsidR="00CB0FCB" w:rsidRDefault="00CB0FCB">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269A" w14:textId="77777777" w:rsidR="00CB0FCB" w:rsidRDefault="00CB0FCB">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BDE5" w14:textId="77777777" w:rsidR="00CB0FCB" w:rsidRDefault="00CB0FCB">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206954"/>
      <w:docPartObj>
        <w:docPartGallery w:val="Page Numbers (Bottom of Page)"/>
        <w:docPartUnique/>
      </w:docPartObj>
    </w:sdtPr>
    <w:sdtEndPr>
      <w:rPr>
        <w:noProof/>
      </w:rPr>
    </w:sdtEndPr>
    <w:sdtContent>
      <w:p w14:paraId="0615702D" w14:textId="3B650C8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FEFC7F0" w14:textId="77777777" w:rsidR="00CB0FCB" w:rsidRDefault="00CB0FCB">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CD64" w14:textId="77777777" w:rsidR="00CB0FCB" w:rsidRDefault="00CB0F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4656" w14:textId="77777777" w:rsidR="00CB0FCB" w:rsidRDefault="00CB0FCB">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8537" w14:textId="77777777" w:rsidR="00CB0FCB" w:rsidRDefault="00CB0FCB">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85347"/>
      <w:docPartObj>
        <w:docPartGallery w:val="Page Numbers (Bottom of Page)"/>
        <w:docPartUnique/>
      </w:docPartObj>
    </w:sdtPr>
    <w:sdtEndPr>
      <w:rPr>
        <w:noProof/>
      </w:rPr>
    </w:sdtEndPr>
    <w:sdtContent>
      <w:p w14:paraId="3C8B01D8" w14:textId="14C546E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57DC8782" w14:textId="77777777" w:rsidR="00CB0FCB" w:rsidRDefault="00CB0FCB">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9C387" w14:textId="77777777" w:rsidR="00CB0FCB" w:rsidRDefault="00CB0FCB">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974" w14:textId="77777777" w:rsidR="00CB0FCB" w:rsidRDefault="00CB0FCB">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728755"/>
      <w:docPartObj>
        <w:docPartGallery w:val="Page Numbers (Bottom of Page)"/>
        <w:docPartUnique/>
      </w:docPartObj>
    </w:sdtPr>
    <w:sdtEndPr>
      <w:rPr>
        <w:noProof/>
      </w:rPr>
    </w:sdtEndPr>
    <w:sdtContent>
      <w:p w14:paraId="1D1701D7" w14:textId="23A881C6"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697D7DA" w14:textId="77777777" w:rsidR="00CB0FCB" w:rsidRDefault="00CB0FCB">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8EAF" w14:textId="77777777" w:rsidR="00CB0FCB" w:rsidRDefault="00CB0FCB">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0126" w14:textId="77777777" w:rsidR="00CB0FCB" w:rsidRDefault="00CB0FCB">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15896"/>
      <w:docPartObj>
        <w:docPartGallery w:val="Page Numbers (Bottom of Page)"/>
        <w:docPartUnique/>
      </w:docPartObj>
    </w:sdtPr>
    <w:sdtEndPr>
      <w:rPr>
        <w:noProof/>
      </w:rPr>
    </w:sdtEndPr>
    <w:sdtContent>
      <w:p w14:paraId="2206EFB4" w14:textId="6579D0DF"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A89BE6D" w14:textId="77777777" w:rsidR="00CB0FCB" w:rsidRDefault="00CB0FCB">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02B2" w14:textId="77777777" w:rsidR="00CB0FCB" w:rsidRDefault="00CB0FCB">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6A4C" w14:textId="77777777" w:rsidR="00CB0FCB" w:rsidRDefault="00CB0F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67612"/>
      <w:docPartObj>
        <w:docPartGallery w:val="Page Numbers (Bottom of Page)"/>
        <w:docPartUnique/>
      </w:docPartObj>
    </w:sdtPr>
    <w:sdtEndPr>
      <w:rPr>
        <w:noProof/>
      </w:rPr>
    </w:sdtEndPr>
    <w:sdtContent>
      <w:p w14:paraId="0A07D898" w14:textId="0BD3E266" w:rsidR="00CB0FCB" w:rsidRDefault="009D2B11">
        <w:pPr>
          <w:pStyle w:val="Footer"/>
          <w:jc w:val="center"/>
        </w:pPr>
        <w:r>
          <w:fldChar w:fldCharType="begin"/>
        </w:r>
        <w:r>
          <w:instrText xml:space="preserve"> PAGE   \* MERGEFORMAT </w:instrText>
        </w:r>
        <w:r>
          <w:fldChar w:fldCharType="separate"/>
        </w:r>
        <w:r w:rsidR="00354F45">
          <w:rPr>
            <w:noProof/>
          </w:rPr>
          <w:t>5</w:t>
        </w:r>
        <w:r>
          <w:fldChar w:fldCharType="end"/>
        </w:r>
      </w:p>
    </w:sdtContent>
  </w:sdt>
  <w:p w14:paraId="101336F3" w14:textId="77777777" w:rsidR="00CB0FCB" w:rsidRDefault="00CB0FCB">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390863"/>
      <w:docPartObj>
        <w:docPartGallery w:val="Page Numbers (Bottom of Page)"/>
        <w:docPartUnique/>
      </w:docPartObj>
    </w:sdtPr>
    <w:sdtEndPr>
      <w:rPr>
        <w:noProof/>
      </w:rPr>
    </w:sdtEndPr>
    <w:sdtContent>
      <w:p w14:paraId="52E075B0" w14:textId="7146D09D"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4A50EF83" w14:textId="77777777" w:rsidR="00CB0FCB" w:rsidRDefault="00CB0FCB">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B3C9D" w14:textId="77777777" w:rsidR="00CB0FCB" w:rsidRDefault="00CB0FCB">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AF4E" w14:textId="77777777" w:rsidR="00CB0FCB" w:rsidRDefault="00CB0FCB">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812423"/>
      <w:docPartObj>
        <w:docPartGallery w:val="Page Numbers (Bottom of Page)"/>
        <w:docPartUnique/>
      </w:docPartObj>
    </w:sdtPr>
    <w:sdtEndPr>
      <w:rPr>
        <w:noProof/>
      </w:rPr>
    </w:sdtEndPr>
    <w:sdtContent>
      <w:p w14:paraId="743C7B20" w14:textId="398B7B34"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3DB0DEF" w14:textId="77777777" w:rsidR="00CB0FCB" w:rsidRDefault="00CB0FCB">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D06C" w14:textId="77777777" w:rsidR="00CB0FCB" w:rsidRDefault="00CB0FCB">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80D2" w14:textId="77777777" w:rsidR="00CB0FCB" w:rsidRDefault="00CB0FCB">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188481"/>
      <w:docPartObj>
        <w:docPartGallery w:val="Page Numbers (Bottom of Page)"/>
        <w:docPartUnique/>
      </w:docPartObj>
    </w:sdtPr>
    <w:sdtEndPr>
      <w:rPr>
        <w:noProof/>
      </w:rPr>
    </w:sdtEndPr>
    <w:sdtContent>
      <w:p w14:paraId="531197B9" w14:textId="58CA080F"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1F7C009F" w14:textId="77777777" w:rsidR="00CB0FCB" w:rsidRDefault="00CB0FCB">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1A44" w14:textId="77777777" w:rsidR="00CB0FCB" w:rsidRDefault="00CB0FCB">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41E1" w14:textId="77777777" w:rsidR="00CB0FCB" w:rsidRDefault="00CB0FCB">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64556"/>
      <w:docPartObj>
        <w:docPartGallery w:val="Page Numbers (Bottom of Page)"/>
        <w:docPartUnique/>
      </w:docPartObj>
    </w:sdtPr>
    <w:sdtEndPr>
      <w:rPr>
        <w:noProof/>
      </w:rPr>
    </w:sdtEndPr>
    <w:sdtContent>
      <w:p w14:paraId="1EF70092" w14:textId="3C84D582"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607D3548" w14:textId="77777777" w:rsidR="00CB0FCB" w:rsidRDefault="00CB0F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4D1E" w14:textId="77777777" w:rsidR="00CB0FCB" w:rsidRDefault="00CB0FCB">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61B6" w14:textId="77777777" w:rsidR="00CB0FCB" w:rsidRDefault="00CB0FCB">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9728" w14:textId="77777777" w:rsidR="00CB0FCB" w:rsidRDefault="00CB0FCB">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866608"/>
      <w:docPartObj>
        <w:docPartGallery w:val="Page Numbers (Bottom of Page)"/>
        <w:docPartUnique/>
      </w:docPartObj>
    </w:sdtPr>
    <w:sdtEndPr>
      <w:rPr>
        <w:noProof/>
      </w:rPr>
    </w:sdtEndPr>
    <w:sdtContent>
      <w:p w14:paraId="68E6E629" w14:textId="23268390"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5F88D91" w14:textId="77777777" w:rsidR="00CB0FCB" w:rsidRDefault="00CB0FCB">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6B54" w14:textId="77777777" w:rsidR="00CB0FCB" w:rsidRDefault="00CB0FCB">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3E27" w14:textId="77777777" w:rsidR="00CB0FCB" w:rsidRDefault="00CB0FCB">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49381"/>
      <w:docPartObj>
        <w:docPartGallery w:val="Page Numbers (Bottom of Page)"/>
        <w:docPartUnique/>
      </w:docPartObj>
    </w:sdtPr>
    <w:sdtEndPr>
      <w:rPr>
        <w:noProof/>
      </w:rPr>
    </w:sdtEndPr>
    <w:sdtContent>
      <w:p w14:paraId="08C2B1DA" w14:textId="216C784D"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16304212" w14:textId="77777777" w:rsidR="00CB0FCB" w:rsidRDefault="00CB0FCB">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D66D" w14:textId="77777777" w:rsidR="00CB0FCB" w:rsidRDefault="00CB0FCB">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FFE2" w14:textId="77777777" w:rsidR="00CB0FCB" w:rsidRDefault="00CB0FCB">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730295"/>
      <w:docPartObj>
        <w:docPartGallery w:val="Page Numbers (Bottom of Page)"/>
        <w:docPartUnique/>
      </w:docPartObj>
    </w:sdtPr>
    <w:sdtEndPr>
      <w:rPr>
        <w:noProof/>
      </w:rPr>
    </w:sdtEndPr>
    <w:sdtContent>
      <w:p w14:paraId="7AE2887B" w14:textId="5450FE26" w:rsidR="00CB0FCB" w:rsidRDefault="009D2B11">
        <w:pPr>
          <w:pStyle w:val="Footer"/>
          <w:jc w:val="center"/>
        </w:pPr>
        <w:r>
          <w:fldChar w:fldCharType="begin"/>
        </w:r>
        <w:r>
          <w:instrText xml:space="preserve"> PAGE   \* MERGEFORMAT </w:instrText>
        </w:r>
        <w:r>
          <w:fldChar w:fldCharType="separate"/>
        </w:r>
        <w:r>
          <w:t>2</w:t>
        </w:r>
        <w:r>
          <w:fldChar w:fldCharType="end"/>
        </w:r>
      </w:p>
    </w:sdtContent>
  </w:sdt>
  <w:p w14:paraId="03976E22" w14:textId="77777777" w:rsidR="00CB0FCB" w:rsidRDefault="00CB0FCB">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2CDA" w14:textId="77777777" w:rsidR="00CB0FCB" w:rsidRDefault="00CB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D6539" w14:textId="77777777" w:rsidR="00C13D1F" w:rsidRDefault="00C13D1F">
      <w:pPr>
        <w:spacing w:after="0" w:line="240" w:lineRule="auto"/>
      </w:pPr>
      <w:r>
        <w:separator/>
      </w:r>
    </w:p>
  </w:footnote>
  <w:footnote w:type="continuationSeparator" w:id="0">
    <w:p w14:paraId="6353CBCB" w14:textId="77777777" w:rsidR="00C13D1F" w:rsidRDefault="00C13D1F">
      <w:pPr>
        <w:spacing w:after="0" w:line="240" w:lineRule="auto"/>
      </w:pPr>
      <w:r>
        <w:continuationSeparator/>
      </w:r>
    </w:p>
  </w:footnote>
  <w:footnote w:type="continuationNotice" w:id="1">
    <w:p w14:paraId="357AB7E3" w14:textId="77777777" w:rsidR="00C13D1F" w:rsidRDefault="00C13D1F">
      <w:pPr>
        <w:spacing w:after="0" w:line="240" w:lineRule="auto"/>
      </w:pPr>
    </w:p>
  </w:footnote>
  <w:footnote w:id="2">
    <w:p w14:paraId="10D84F86" w14:textId="77777777" w:rsidR="00CB0FCB" w:rsidRDefault="009D2B11">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3">
    <w:p w14:paraId="556F86D8" w14:textId="77777777" w:rsidR="00CB0FCB" w:rsidRDefault="009D2B11">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4">
    <w:p w14:paraId="3294EB08" w14:textId="77777777" w:rsidR="00CB0FCB" w:rsidRDefault="009D2B11">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5">
    <w:p w14:paraId="16094E3A" w14:textId="77777777" w:rsidR="00CB0FCB" w:rsidRDefault="009D2B11">
      <w:pPr>
        <w:pStyle w:val="FootnoteText"/>
        <w:ind w:left="0" w:firstLine="0"/>
      </w:pPr>
      <w:r>
        <w:rPr>
          <w:rStyle w:val="FootnoteReference"/>
        </w:rPr>
        <w:footnoteRef/>
      </w:r>
      <w:r>
        <w:rPr>
          <w:rStyle w:val="FootnoteReference"/>
        </w:rPr>
        <w:t xml:space="preserve"> </w:t>
      </w:r>
      <w:r>
        <w:rPr>
          <w:rStyle w:val="FootnoteReference"/>
          <w:vertAlign w:val="baseline"/>
        </w:rPr>
        <w:t>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6">
    <w:p w14:paraId="69E6CCB7" w14:textId="77777777" w:rsidR="00CB0FCB" w:rsidRDefault="009D2B11">
      <w:pPr>
        <w:pStyle w:val="FootnoteText"/>
        <w:ind w:left="0" w:firstLine="0"/>
      </w:pPr>
      <w:r>
        <w:rPr>
          <w:rStyle w:val="FootnoteReference"/>
        </w:rPr>
        <w:footnoteRef/>
      </w:r>
      <w:r>
        <w:t xml:space="preserve"> Lai aprēķinātu ieguldījumu klimata jomā, finanšu starpniekiem </w:t>
      </w:r>
      <w:r>
        <w:rPr>
          <w:rFonts w:eastAsia="Times New Roman"/>
        </w:rPr>
        <w:t xml:space="preserve">ir jāsniedz katra atbalstītā projekta izvēlētās intervences jomas pamatojums kopā ar projekta aprakstu. </w:t>
      </w:r>
      <w:r>
        <w:rPr>
          <w:rStyle w:val="FootnoteReference"/>
          <w:vertAlign w:val="baseline"/>
        </w:rPr>
        <w:t>Īstenošanas</w:t>
      </w:r>
      <w:r>
        <w:rPr>
          <w:rFonts w:eastAsia="Times New Roman"/>
        </w:rPr>
        <w:t xml:space="preserve"> partnerim ir arī jāiesniedz dalībvalstij pusgada ziņojums par katra projekta/darbības īstenošanu</w:t>
      </w:r>
      <w:r>
        <w:t>.</w:t>
      </w:r>
    </w:p>
  </w:footnote>
  <w:footnote w:id="7">
    <w:p w14:paraId="7DE82FEA" w14:textId="77777777" w:rsidR="00CB0FCB" w:rsidRDefault="009D2B11">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8">
    <w:p w14:paraId="4F831E84" w14:textId="77777777" w:rsidR="00CB0FCB" w:rsidRDefault="009D2B11">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9">
    <w:p w14:paraId="74368731" w14:textId="77777777" w:rsidR="00CB0FCB" w:rsidRDefault="009D2B11">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10">
    <w:p w14:paraId="6AED4973" w14:textId="77777777" w:rsidR="00CB0FCB" w:rsidRDefault="009D2B11">
      <w:pPr>
        <w:pStyle w:val="FootnoteText"/>
        <w:ind w:left="0" w:firstLine="0"/>
      </w:pPr>
      <w:r>
        <w:rPr>
          <w:rStyle w:val="FootnoteReference"/>
        </w:rPr>
        <w:footnoteRef/>
      </w:r>
      <w:r>
        <w:rPr>
          <w:rStyle w:val="FootnoteReference"/>
        </w:rPr>
        <w:t xml:space="preserve"> </w:t>
      </w:r>
      <w:r>
        <w:rPr>
          <w:rStyle w:val="FootnoteReference"/>
          <w:vertAlign w:val="baseline"/>
        </w:rPr>
        <w:t>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11">
    <w:p w14:paraId="5BDA38D9" w14:textId="77777777" w:rsidR="00CB0FCB" w:rsidRDefault="009D2B11">
      <w:pPr>
        <w:pStyle w:val="FootnoteText"/>
        <w:ind w:left="0" w:firstLine="0"/>
      </w:pPr>
      <w:r>
        <w:rPr>
          <w:rStyle w:val="FootnoteReference"/>
        </w:rPr>
        <w:footnoteRef/>
      </w:r>
      <w:r>
        <w:t xml:space="preserve"> 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12">
    <w:p w14:paraId="5DC3CBB9" w14:textId="77777777" w:rsidR="00CB0FCB" w:rsidRDefault="009D2B11">
      <w:pPr>
        <w:pStyle w:val="FootnoteText"/>
        <w:ind w:left="0" w:firstLine="0"/>
      </w:pPr>
      <w:r>
        <w:rPr>
          <w:rStyle w:val="FootnoteReference"/>
        </w:rPr>
        <w:footnoteRef/>
      </w:r>
      <w:r>
        <w:t xml:space="preserve"> 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13">
    <w:p w14:paraId="3B6B71D1" w14:textId="77777777" w:rsidR="00CB0FCB" w:rsidRDefault="009D2B11">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14">
    <w:p w14:paraId="23FA3133" w14:textId="77777777" w:rsidR="00CB0FCB" w:rsidRDefault="009D2B11">
      <w:pPr>
        <w:pStyle w:val="FootnoteText"/>
        <w:ind w:left="0" w:firstLine="0"/>
      </w:pPr>
      <w:r>
        <w:rPr>
          <w:rStyle w:val="FootnoteReference"/>
        </w:rPr>
        <w:footnoteRef/>
      </w:r>
      <w:r>
        <w:t xml:space="preserve"> 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15">
    <w:p w14:paraId="503E35F0" w14:textId="77777777" w:rsidR="00CB0FCB" w:rsidRDefault="009D2B11">
      <w:pPr>
        <w:pStyle w:val="FootnoteText"/>
        <w:ind w:left="0" w:firstLine="0"/>
      </w:pPr>
      <w:r>
        <w:rPr>
          <w:rStyle w:val="FootnoteReference"/>
        </w:rPr>
        <w:footnoteRef/>
      </w:r>
      <w:r>
        <w:t xml:space="preserve"> 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16">
    <w:p w14:paraId="7DA80BCE" w14:textId="77777777" w:rsidR="00CB0FCB" w:rsidRDefault="009D2B11">
      <w:pPr>
        <w:pStyle w:val="FootnoteText"/>
        <w:ind w:left="0" w:firstLine="0"/>
      </w:pPr>
      <w:r>
        <w:rPr>
          <w:rStyle w:val="FootnoteReference"/>
        </w:rPr>
        <w:footnoteRef/>
      </w:r>
      <w:r>
        <w:t xml:space="preserve"> 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17">
    <w:p w14:paraId="32D9D2F3" w14:textId="77777777" w:rsidR="00CB0FCB" w:rsidRDefault="009D2B11">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18">
    <w:p w14:paraId="697E8A85" w14:textId="77777777" w:rsidR="00CB0FCB" w:rsidRDefault="009D2B11">
      <w:pPr>
        <w:pStyle w:val="FootnoteText"/>
        <w:ind w:left="0" w:firstLine="0"/>
      </w:pPr>
      <w:r>
        <w:rPr>
          <w:rStyle w:val="FootnoteReference"/>
        </w:rPr>
        <w:footnoteRef/>
      </w:r>
      <w:r>
        <w:t xml:space="preserve"> 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19">
    <w:p w14:paraId="3694ECC7" w14:textId="77777777" w:rsidR="00CB0FCB" w:rsidRDefault="009D2B11">
      <w:pPr>
        <w:pStyle w:val="FootnoteText"/>
        <w:ind w:left="57" w:firstLine="0"/>
      </w:pPr>
      <w:r>
        <w:rPr>
          <w:rStyle w:val="FootnoteReference"/>
        </w:rPr>
        <w:footnoteRef/>
      </w:r>
      <w:r>
        <w:t xml:space="preserve"> 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20">
    <w:p w14:paraId="0A4C6DAE" w14:textId="77777777" w:rsidR="00CB0FCB" w:rsidRDefault="009D2B11">
      <w:pPr>
        <w:pStyle w:val="FootnoteText"/>
        <w:ind w:left="57" w:firstLine="0"/>
      </w:pPr>
      <w:r>
        <w:rPr>
          <w:rStyle w:val="FootnoteReference"/>
        </w:rPr>
        <w:footnoteRef/>
      </w:r>
      <w:r>
        <w:t xml:space="preserve"> 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21">
    <w:p w14:paraId="31186874" w14:textId="77777777" w:rsidR="00CB0FCB" w:rsidRDefault="009D2B11">
      <w:pPr>
        <w:spacing w:after="0" w:line="240" w:lineRule="auto"/>
        <w:ind w:left="5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22">
    <w:p w14:paraId="106C057B" w14:textId="77777777" w:rsidR="00CB0FCB" w:rsidRDefault="009D2B11">
      <w:pPr>
        <w:pStyle w:val="FootnoteText"/>
        <w:ind w:left="57" w:firstLine="0"/>
      </w:pPr>
      <w:r>
        <w:rPr>
          <w:rStyle w:val="FootnoteReference"/>
        </w:rPr>
        <w:footnoteRef/>
      </w:r>
      <w:r>
        <w:t xml:space="preserve"> 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23">
    <w:p w14:paraId="1B1B0346" w14:textId="77777777" w:rsidR="00CB0FCB" w:rsidRDefault="009D2B11">
      <w:pPr>
        <w:pStyle w:val="FootnoteText"/>
        <w:ind w:left="0" w:firstLine="0"/>
      </w:pPr>
      <w:r>
        <w:rPr>
          <w:rStyle w:val="FootnoteReference"/>
        </w:rPr>
        <w:footnoteRef/>
      </w:r>
      <w:r>
        <w:t xml:space="preserve"> 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24">
    <w:p w14:paraId="765941C2" w14:textId="77777777" w:rsidR="00CB0FCB" w:rsidRDefault="009D2B11">
      <w:pPr>
        <w:pStyle w:val="FootnoteText"/>
        <w:ind w:left="0" w:firstLine="0"/>
      </w:pPr>
      <w:r>
        <w:rPr>
          <w:rStyle w:val="FootnoteReference"/>
        </w:rPr>
        <w:footnoteRef/>
      </w:r>
      <w:r>
        <w:t xml:space="preserve"> 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25">
    <w:p w14:paraId="593CAB8E" w14:textId="77777777" w:rsidR="00CB0FCB" w:rsidRDefault="009D2B11">
      <w:pPr>
        <w:spacing w:after="0" w:line="240" w:lineRule="auto"/>
        <w:jc w:val="both"/>
      </w:pPr>
      <w:r>
        <w:rPr>
          <w:rStyle w:val="FootnoteReference"/>
          <w:rFonts w:ascii="Times New Roman" w:hAnsi="Times New Roman" w:cs="Times New Roman"/>
          <w:sz w:val="20"/>
          <w:szCs w:val="20"/>
        </w:rPr>
        <w:footnoteRef/>
      </w:r>
      <w:r>
        <w:rPr>
          <w:rFonts w:ascii="Times New Roman" w:hAnsi="Times New Roman"/>
          <w:sz w:val="20"/>
        </w:rPr>
        <w:t xml:space="preserve"> 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26">
    <w:p w14:paraId="078E5F00" w14:textId="77777777" w:rsidR="00CB0FCB" w:rsidRDefault="009D2B11">
      <w:pPr>
        <w:pStyle w:val="FootnoteText"/>
        <w:ind w:left="0" w:firstLine="0"/>
      </w:pPr>
      <w:r>
        <w:rPr>
          <w:rStyle w:val="FootnoteReference"/>
        </w:rPr>
        <w:footnoteRef/>
      </w:r>
      <w:r>
        <w:t xml:space="preserve"> 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27">
    <w:p w14:paraId="7BDF3280" w14:textId="77777777" w:rsidR="00CB0FCB" w:rsidRDefault="009D2B11">
      <w:pPr>
        <w:pStyle w:val="FootnoteText"/>
        <w:ind w:left="0" w:firstLine="0"/>
      </w:pPr>
      <w:r>
        <w:rPr>
          <w:rStyle w:val="FootnoteReference"/>
        </w:rPr>
        <w:footnoteRef/>
      </w:r>
      <w:r>
        <w:t xml:space="preserve"> 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28">
    <w:p w14:paraId="3CA15ED9" w14:textId="77777777" w:rsidR="00CB0FCB" w:rsidRDefault="009D2B11">
      <w:pPr>
        <w:pStyle w:val="FootnoteText"/>
        <w:ind w:left="0" w:firstLine="0"/>
      </w:pPr>
      <w:r>
        <w:rPr>
          <w:rStyle w:val="FootnoteReference"/>
        </w:rPr>
        <w:footnoteRef/>
      </w:r>
      <w:r>
        <w:t xml:space="preserve"> 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29">
    <w:p w14:paraId="15C07889" w14:textId="77777777" w:rsidR="00CB0FCB" w:rsidRDefault="009D2B11">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30">
    <w:p w14:paraId="13DCE11C" w14:textId="77777777" w:rsidR="00CB0FCB" w:rsidRDefault="009D2B11">
      <w:pPr>
        <w:pStyle w:val="FootnoteText"/>
        <w:ind w:left="0" w:firstLine="0"/>
      </w:pPr>
      <w:r>
        <w:rPr>
          <w:rStyle w:val="FootnoteReference"/>
        </w:rPr>
        <w:footnoteRef/>
      </w:r>
      <w:r>
        <w:t xml:space="preserve"> 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31">
    <w:p w14:paraId="1BB4B1A3" w14:textId="77777777" w:rsidR="00CB0FCB" w:rsidRDefault="009D2B11">
      <w:pPr>
        <w:pStyle w:val="FootnoteText"/>
        <w:ind w:left="0" w:firstLine="0"/>
        <w:rPr>
          <w:rStyle w:val="FootnoteReference"/>
          <w:vertAlign w:val="baseline"/>
        </w:rPr>
      </w:pPr>
      <w:r>
        <w:rPr>
          <w:rStyle w:val="FootnoteReference"/>
        </w:rPr>
        <w:footnoteRef/>
      </w:r>
      <w:r>
        <w:rPr>
          <w:rStyle w:val="FootnoteReference"/>
        </w:rPr>
        <w:t xml:space="preserve"> </w:t>
      </w:r>
      <w:r>
        <w:rPr>
          <w:rStyle w:val="FootnoteReference"/>
          <w:vertAlign w:val="baseline"/>
        </w:rPr>
        <w:t>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32">
    <w:p w14:paraId="7E0F721C" w14:textId="77777777" w:rsidR="00CB0FCB" w:rsidRDefault="009D2B11">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33">
    <w:p w14:paraId="31998958" w14:textId="77777777" w:rsidR="00CB0FCB" w:rsidRDefault="009D2B11">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34">
    <w:p w14:paraId="6A36C178" w14:textId="77777777" w:rsidR="00CB0FCB" w:rsidRDefault="009D2B11">
      <w:pPr>
        <w:pStyle w:val="FootnoteText"/>
        <w:ind w:left="0" w:firstLine="0"/>
      </w:pPr>
      <w:r>
        <w:rPr>
          <w:rStyle w:val="FootnoteReference"/>
        </w:rPr>
        <w:footnoteRef/>
      </w:r>
      <w:r>
        <w:rPr>
          <w:rStyle w:val="FootnoteReference"/>
        </w:rPr>
        <w:t xml:space="preserve"> </w:t>
      </w:r>
      <w:r>
        <w:rPr>
          <w:rStyle w:val="FootnoteReference"/>
          <w:vertAlign w:val="baseline"/>
        </w:rPr>
        <w:t>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35">
    <w:p w14:paraId="51A903E4" w14:textId="77777777" w:rsidR="00CB0FCB" w:rsidRDefault="009D2B11">
      <w:pPr>
        <w:pStyle w:val="FootnoteText"/>
        <w:ind w:left="0" w:firstLine="0"/>
      </w:pPr>
      <w:r>
        <w:rPr>
          <w:rStyle w:val="FootnoteReference"/>
        </w:rPr>
        <w:footnoteRef/>
      </w:r>
      <w:r>
        <w:t xml:space="preserve"> 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36">
    <w:p w14:paraId="5C071FDD" w14:textId="77777777" w:rsidR="00CB0FCB" w:rsidRDefault="009D2B11">
      <w:pPr>
        <w:pStyle w:val="FootnoteText"/>
        <w:ind w:left="0" w:firstLine="0"/>
      </w:pPr>
      <w:r>
        <w:rPr>
          <w:rStyle w:val="FootnoteReference"/>
        </w:rPr>
        <w:footnoteRef/>
      </w:r>
      <w:r>
        <w:t xml:space="preserve"> 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37">
    <w:p w14:paraId="185E398E" w14:textId="77777777" w:rsidR="00CB0FCB" w:rsidRDefault="009D2B11">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38">
    <w:p w14:paraId="71D2AF03" w14:textId="77777777" w:rsidR="00CB0FCB" w:rsidRDefault="009D2B11">
      <w:pPr>
        <w:pStyle w:val="FootnoteText"/>
        <w:ind w:left="0" w:firstLine="0"/>
      </w:pPr>
      <w:r>
        <w:rPr>
          <w:rStyle w:val="FootnoteReference"/>
        </w:rPr>
        <w:footnoteRef/>
      </w:r>
      <w:r>
        <w:t xml:space="preserve"> 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 w:id="39">
    <w:p w14:paraId="3A90E94C" w14:textId="77777777" w:rsidR="00CB0FCB" w:rsidRDefault="009D2B11">
      <w:pPr>
        <w:pStyle w:val="FootnoteText"/>
        <w:ind w:left="0" w:firstLine="0"/>
      </w:pPr>
      <w:r>
        <w:rPr>
          <w:rStyle w:val="FootnoteReference"/>
        </w:rPr>
        <w:footnoteRef/>
      </w:r>
      <w:r>
        <w:t xml:space="preserve"> Izņemot projektus saskaņā ar šo pasākumu elektroenerģijas un/vai siltuma ražošanā, kā arī saistītajā pārvades un sadales infrastruktūrā, izmantojot dabasgāzi, kas atbilst tehnisko vadlīniju “Nenodari būtisku kaitējumu” (2021/C58/01) III pielikumā izklāstītajiem nosacījumiem.</w:t>
      </w:r>
    </w:p>
  </w:footnote>
  <w:footnote w:id="40">
    <w:p w14:paraId="6452CEF7" w14:textId="77777777" w:rsidR="00CB0FCB" w:rsidRDefault="009D2B11">
      <w:pPr>
        <w:pStyle w:val="FootnoteText"/>
        <w:ind w:left="0" w:firstLine="0"/>
      </w:pPr>
      <w:r>
        <w:rPr>
          <w:rStyle w:val="FootnoteReference"/>
        </w:rPr>
        <w:footnoteRef/>
      </w:r>
      <w:r>
        <w:t xml:space="preserve"> Ja atbalstītā darbība sasniedz prognozētās siltumnīcefekta gāzu emisijas, kas nav ievērojami zemākas par attiecīgajām līmeņatzīmēm, būtu jāsniedz paskaidrojums par iemesliem, kāpēc tas nav iespējams. Līmeņatzīmes, kas noteiktas bezmaksas kvotu piešķiršanai darbībām, kuras ietilpst emisijas kvotu tirdzniecības sistēmas darbības jomā, kā noteikts Komisijas Īstenošanas regulā (ES) 2021/447.</w:t>
      </w:r>
    </w:p>
  </w:footnote>
  <w:footnote w:id="41">
    <w:p w14:paraId="57DAC913" w14:textId="77777777" w:rsidR="00CB0FCB" w:rsidRDefault="009D2B11">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Šis izņēmums neattiecas uz darbībām saskaņā ar šo pasākumu iekārtās, kas paredzētas tikai nepārstrādājamu bīstamo atkritumu apstrādei, un esošām iekārtām, ja darbības saskaņā ar šo pasākumu ir paredzētas, lai palielinātu energoefektivitāti, uztvertu dūmgāzes glabāšanai vai izmantošanai, vai reģenerētu materiālus no sadedzināšanas pelniem, ar noteikumu, ka šādas darbības saskaņā ar šo pasākumu nepalielina iekārtu atkritumu pārstrādes jaudu vai nepagarina iekārtu darbmūžu; par ko ir sniegti pierādījumi iekārtas līmenī.</w:t>
      </w:r>
    </w:p>
  </w:footnote>
  <w:footnote w:id="42">
    <w:p w14:paraId="7F60B497" w14:textId="77777777" w:rsidR="00CB0FCB" w:rsidRDefault="009D2B11">
      <w:pPr>
        <w:pStyle w:val="FootnoteText"/>
        <w:ind w:left="0" w:firstLine="0"/>
      </w:pPr>
      <w:r>
        <w:rPr>
          <w:rStyle w:val="FootnoteReference"/>
        </w:rPr>
        <w:footnoteRef/>
      </w:r>
      <w:r>
        <w:t xml:space="preserve"> Šis izņēmums neattiecas uz darbībām saskaņā ar šo pasākumu esošajās mehāniski bioloģiskās apstrādes iekārtās, ja saskaņā ar šo pasākumu veikto darbību mērķis ir palielināt energoefektivitāti vai modernizēt atdalīto atkritumu pārstrādes darbības, lai kompostētu bioatkritumus un bioatkritumu anaerobo noārdīšanu, ar nosacījumu, ka šādas darbības saskaņā ar šo pasākumu nepalielina iekārtu atkritumu pārstrādes jaudu vai nepagarina iekārtu darbmūžu; par ko ir sniegti pierādījumi iekārtas līmenī.</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29D4" w14:textId="77777777" w:rsidR="00354F45" w:rsidRPr="00354F45" w:rsidRDefault="00354F45" w:rsidP="00354F45">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7C2B" w14:textId="77777777" w:rsidR="00CB0FCB" w:rsidRDefault="00CB0FCB">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F6A8" w14:textId="77777777" w:rsidR="00CB0FCB" w:rsidRDefault="00CB0FCB">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B728" w14:textId="77777777" w:rsidR="00CB0FCB" w:rsidRDefault="00CB0FCB">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12DB" w14:textId="77777777" w:rsidR="00CB0FCB" w:rsidRDefault="00CB0FCB">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3ADD" w14:textId="77777777" w:rsidR="00CB0FCB" w:rsidRDefault="00CB0FCB">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E924" w14:textId="77777777" w:rsidR="00CB0FCB" w:rsidRDefault="00CB0FCB">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733A" w14:textId="77777777" w:rsidR="00CB0FCB" w:rsidRDefault="00CB0FCB">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AEC7" w14:textId="77777777" w:rsidR="00CB0FCB" w:rsidRDefault="00CB0FCB">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B634" w14:textId="77777777" w:rsidR="00CB0FCB" w:rsidRDefault="00CB0FCB">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AF15" w14:textId="77777777" w:rsidR="00CB0FCB" w:rsidRDefault="00CB0FCB">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3403" w14:textId="77777777" w:rsidR="00CB0FCB" w:rsidRDefault="00CB0FC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DF5C" w14:textId="77777777" w:rsidR="00CB0FCB" w:rsidRDefault="00CB0FCB">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9B52" w14:textId="77777777" w:rsidR="00CB0FCB" w:rsidRDefault="00CB0FCB">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ADBF" w14:textId="77777777" w:rsidR="00CB0FCB" w:rsidRDefault="00CB0FCB">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5384" w14:textId="77777777" w:rsidR="00CB0FCB" w:rsidRDefault="00CB0FCB">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2F0C" w14:textId="77777777" w:rsidR="00CB0FCB" w:rsidRDefault="00CB0FCB">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8A86" w14:textId="77777777" w:rsidR="00CB0FCB" w:rsidRDefault="00CB0FCB">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178E" w14:textId="77777777" w:rsidR="00CB0FCB" w:rsidRDefault="00CB0FCB">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CDA6" w14:textId="77777777" w:rsidR="00CB0FCB" w:rsidRDefault="00CB0FCB">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A1BE" w14:textId="77777777" w:rsidR="00CB0FCB" w:rsidRDefault="00CB0FCB">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BE6A" w14:textId="77777777" w:rsidR="00CB0FCB" w:rsidRDefault="00CB0FCB">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7EB7" w14:textId="77777777" w:rsidR="00CB0FCB" w:rsidRDefault="00CB0F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EE8A" w14:textId="77777777" w:rsidR="00CB0FCB" w:rsidRDefault="00CB0FCB">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1313" w14:textId="77777777" w:rsidR="00CB0FCB" w:rsidRDefault="00CB0FCB">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878A" w14:textId="77777777" w:rsidR="00CB0FCB" w:rsidRDefault="00CB0FCB">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CBBE" w14:textId="77777777" w:rsidR="00CB0FCB" w:rsidRDefault="00CB0FCB">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BB60" w14:textId="77777777" w:rsidR="00CB0FCB" w:rsidRDefault="00CB0FCB">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E6B8" w14:textId="77777777" w:rsidR="00CB0FCB" w:rsidRDefault="00CB0FCB">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DB3C" w14:textId="77777777" w:rsidR="00CB0FCB" w:rsidRDefault="00CB0FCB">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9A2F" w14:textId="77777777" w:rsidR="00CB0FCB" w:rsidRDefault="00CB0FCB">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5D69" w14:textId="77777777" w:rsidR="00CB0FCB" w:rsidRDefault="00CB0FCB">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DD79" w14:textId="77777777" w:rsidR="00CB0FCB" w:rsidRDefault="00CB0FCB">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6173" w14:textId="77777777" w:rsidR="00CB0FCB" w:rsidRDefault="00CB0F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FD56" w14:textId="77777777" w:rsidR="00CB0FCB" w:rsidRDefault="00CB0FCB">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50CA" w14:textId="77777777" w:rsidR="00CB0FCB" w:rsidRDefault="00CB0FCB">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40B5" w14:textId="77777777" w:rsidR="00CB0FCB" w:rsidRDefault="00CB0FCB">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575D" w14:textId="77777777" w:rsidR="00CB0FCB" w:rsidRDefault="00CB0FCB">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3CE7" w14:textId="77777777" w:rsidR="00CB0FCB" w:rsidRDefault="00CB0FCB">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AC5A" w14:textId="77777777" w:rsidR="00CB0FCB" w:rsidRDefault="00CB0FCB">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7A7D" w14:textId="77777777" w:rsidR="00CB0FCB" w:rsidRDefault="00CB0FCB">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1102" w14:textId="77777777" w:rsidR="00CB0FCB" w:rsidRDefault="00CB0FCB">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0743" w14:textId="77777777" w:rsidR="00CB0FCB" w:rsidRDefault="00CB0FCB">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B23B" w14:textId="77777777" w:rsidR="00CB0FCB" w:rsidRDefault="00CB0FCB">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879B" w14:textId="77777777" w:rsidR="00CB0FCB" w:rsidRDefault="00CB0FC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04FC" w14:textId="77777777" w:rsidR="00CB0FCB" w:rsidRDefault="00CB0FCB">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CADA" w14:textId="77777777" w:rsidR="00CB0FCB" w:rsidRDefault="00CB0FCB">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D012" w14:textId="77777777" w:rsidR="00CB0FCB" w:rsidRDefault="00CB0FCB">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BE0B" w14:textId="77777777" w:rsidR="00CB0FCB" w:rsidRDefault="00CB0FCB">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CEDB" w14:textId="77777777" w:rsidR="00CB0FCB" w:rsidRDefault="00CB0FCB">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77E5" w14:textId="77777777" w:rsidR="00CB0FCB" w:rsidRDefault="00CB0FCB">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6A2F" w14:textId="77777777" w:rsidR="00CB0FCB" w:rsidRDefault="00CB0FCB">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D4B1" w14:textId="77777777" w:rsidR="00CB0FCB" w:rsidRDefault="00CB0FCB">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DE9E" w14:textId="77777777" w:rsidR="00CB0FCB" w:rsidRDefault="00CB0FCB">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97C3" w14:textId="77777777" w:rsidR="00CB0FCB" w:rsidRDefault="00CB0FCB">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5DC6" w14:textId="77777777" w:rsidR="00CB0FCB" w:rsidRDefault="00CB0F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603C" w14:textId="77777777" w:rsidR="00CB0FCB" w:rsidRDefault="00CB0FCB">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47EE" w14:textId="77777777" w:rsidR="00CB0FCB" w:rsidRDefault="00CB0FCB">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1643" w14:textId="77777777" w:rsidR="00CB0FCB" w:rsidRDefault="00CB0FCB">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52861" w14:textId="77777777" w:rsidR="00CB0FCB" w:rsidRDefault="00CB0FCB">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BA54" w14:textId="77777777" w:rsidR="00CB0FCB" w:rsidRDefault="00CB0FCB">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E327" w14:textId="77777777" w:rsidR="00CB0FCB" w:rsidRDefault="00CB0FCB">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A2F4" w14:textId="77777777" w:rsidR="00CB0FCB" w:rsidRDefault="00CB0FCB">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F785" w14:textId="77777777" w:rsidR="00CB0FCB" w:rsidRDefault="00CB0FCB">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F11C" w14:textId="77777777" w:rsidR="00CB0FCB" w:rsidRDefault="00CB0FCB">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9990" w14:textId="77777777" w:rsidR="00CB0FCB" w:rsidRDefault="00CB0FCB">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8710" w14:textId="77777777" w:rsidR="00CB0FCB" w:rsidRDefault="00CB0FC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6A31" w14:textId="77777777" w:rsidR="00CB0FCB" w:rsidRDefault="00CB0FCB">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0604" w14:textId="77777777" w:rsidR="00CB0FCB" w:rsidRDefault="00CB0FCB">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9B6F" w14:textId="77777777" w:rsidR="00CB0FCB" w:rsidRDefault="00CB0FCB">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AB90" w14:textId="77777777" w:rsidR="00CB0FCB" w:rsidRDefault="00CB0FCB">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D7D2" w14:textId="77777777" w:rsidR="00CB0FCB" w:rsidRDefault="00CB0FCB">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0F3F" w14:textId="77777777" w:rsidR="00CB0FCB" w:rsidRDefault="00CB0FCB">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37FC" w14:textId="77777777" w:rsidR="00CB0FCB" w:rsidRDefault="00CB0FCB">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FCBD" w14:textId="77777777" w:rsidR="00CB0FCB" w:rsidRDefault="00CB0FCB">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61EA" w14:textId="77777777" w:rsidR="00CB0FCB" w:rsidRDefault="00CB0FCB">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85A5" w14:textId="77777777" w:rsidR="00CB0FCB" w:rsidRDefault="00CB0FCB">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FF26" w14:textId="77777777" w:rsidR="00CB0FCB" w:rsidRDefault="00CB0FC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E1C0" w14:textId="77777777" w:rsidR="00CB0FCB" w:rsidRDefault="00CB0FCB">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F7EC" w14:textId="77777777" w:rsidR="00CB0FCB" w:rsidRDefault="00CB0FCB">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5243" w14:textId="77777777" w:rsidR="00CB0FCB" w:rsidRDefault="00CB0FCB">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BAF8" w14:textId="77777777" w:rsidR="00CB0FCB" w:rsidRDefault="00CB0FCB">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E79" w14:textId="77777777" w:rsidR="00CB0FCB" w:rsidRDefault="00CB0FCB">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F87C" w14:textId="77777777" w:rsidR="00CB0FCB" w:rsidRDefault="00CB0FCB">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B004" w14:textId="77777777" w:rsidR="00CB0FCB" w:rsidRDefault="00CB0FCB">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DDD4" w14:textId="77777777" w:rsidR="00CB0FCB" w:rsidRDefault="00CB0FCB">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7000" w14:textId="77777777" w:rsidR="00CB0FCB" w:rsidRDefault="00CB0FCB">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F416" w14:textId="77777777" w:rsidR="00CB0FCB" w:rsidRDefault="00CB0FCB">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F613" w14:textId="77777777" w:rsidR="00CB0FCB" w:rsidRDefault="00CB0FC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BAB4" w14:textId="77777777" w:rsidR="00CB0FCB" w:rsidRDefault="00CB0FCB">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E1AF" w14:textId="77777777" w:rsidR="00CB0FCB" w:rsidRDefault="00CB0FCB">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1B3D" w14:textId="77777777" w:rsidR="00CB0FCB" w:rsidRDefault="00CB0FCB">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1B8C" w14:textId="77777777" w:rsidR="00CB0FCB" w:rsidRDefault="00CB0FCB">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C092" w14:textId="77777777" w:rsidR="00CB0FCB" w:rsidRDefault="00CB0FCB">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5BCB" w14:textId="77777777" w:rsidR="00CB0FCB" w:rsidRDefault="00CB0FC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39EA" w14:textId="77777777" w:rsidR="00CB0FCB" w:rsidRDefault="00CB0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06B4" w14:textId="77777777" w:rsidR="00354F45" w:rsidRPr="00354F45" w:rsidRDefault="00354F45" w:rsidP="00354F45">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D120" w14:textId="77777777" w:rsidR="00CB0FCB" w:rsidRDefault="00CB0FC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B5B0F" w14:textId="77777777" w:rsidR="00CB0FCB" w:rsidRDefault="00CB0FC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2CF9" w14:textId="77777777" w:rsidR="00CB0FCB" w:rsidRDefault="00CB0FC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4053" w14:textId="77777777" w:rsidR="00CB0FCB" w:rsidRDefault="00CB0FC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78163" w14:textId="77777777" w:rsidR="00CB0FCB" w:rsidRDefault="00CB0FC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FFB6" w14:textId="77777777" w:rsidR="00CB0FCB" w:rsidRDefault="00CB0FC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C145" w14:textId="77777777" w:rsidR="00CB0FCB" w:rsidRDefault="00CB0FC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9197" w14:textId="77777777" w:rsidR="00CB0FCB" w:rsidRDefault="00CB0FC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9626" w14:textId="77777777" w:rsidR="00CB0FCB" w:rsidRDefault="00CB0FC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C1F5" w14:textId="77777777" w:rsidR="00CB0FCB" w:rsidRDefault="00CB0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81BDE" w14:textId="77777777" w:rsidR="00354F45" w:rsidRPr="00354F45" w:rsidRDefault="00354F45" w:rsidP="00354F45">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FA6E" w14:textId="77777777" w:rsidR="00CB0FCB" w:rsidRDefault="00CB0FC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B6C1" w14:textId="77777777" w:rsidR="00CB0FCB" w:rsidRDefault="00CB0FC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04C4" w14:textId="77777777" w:rsidR="00CB0FCB" w:rsidRDefault="00CB0FC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E2FD" w14:textId="77777777" w:rsidR="00CB0FCB" w:rsidRDefault="00CB0FC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D3F6" w14:textId="77777777" w:rsidR="00CB0FCB" w:rsidRDefault="00CB0FC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C297" w14:textId="77777777" w:rsidR="00CB0FCB" w:rsidRDefault="00CB0FC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470B" w14:textId="77777777" w:rsidR="00CB0FCB" w:rsidRDefault="00CB0FC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F87B" w14:textId="77777777" w:rsidR="00CB0FCB" w:rsidRDefault="00CB0FC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ED81" w14:textId="77777777" w:rsidR="00CB0FCB" w:rsidRDefault="00CB0FC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90C1" w14:textId="77777777" w:rsidR="00CB0FCB" w:rsidRDefault="00CB0F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C7B4" w14:textId="77777777" w:rsidR="00CB0FCB" w:rsidRDefault="00CB0FC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BEA5" w14:textId="77777777" w:rsidR="00CB0FCB" w:rsidRDefault="00CB0FC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2D48" w14:textId="77777777" w:rsidR="00CB0FCB" w:rsidRDefault="00CB0FC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4F23" w14:textId="77777777" w:rsidR="00CB0FCB" w:rsidRDefault="00CB0FC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FB1C" w14:textId="77777777" w:rsidR="00CB0FCB" w:rsidRDefault="00CB0FC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EB7A" w14:textId="77777777" w:rsidR="00CB0FCB" w:rsidRDefault="00CB0FC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4AB7" w14:textId="77777777" w:rsidR="00CB0FCB" w:rsidRDefault="00CB0FC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1C9E" w14:textId="77777777" w:rsidR="00CB0FCB" w:rsidRDefault="00CB0FC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71F8" w14:textId="77777777" w:rsidR="00CB0FCB" w:rsidRDefault="00CB0FC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CD31" w14:textId="77777777" w:rsidR="00CB0FCB" w:rsidRDefault="00CB0FC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1E8F" w14:textId="77777777" w:rsidR="00CB0FCB" w:rsidRDefault="00CB0F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60C3" w14:textId="77777777" w:rsidR="00CB0FCB" w:rsidRDefault="009D2B11">
    <w:pPr>
      <w:pStyle w:val="HeaderCouncilLarge"/>
    </w:pPr>
    <w:r>
      <w:t>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9B82" w14:textId="77777777" w:rsidR="00CB0FCB" w:rsidRDefault="00CB0FC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C7FE" w14:textId="77777777" w:rsidR="00CB0FCB" w:rsidRDefault="00CB0FC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359D" w14:textId="77777777" w:rsidR="00CB0FCB" w:rsidRDefault="00CB0FC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3942" w14:textId="77777777" w:rsidR="00CB0FCB" w:rsidRDefault="00CB0FC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1091" w14:textId="77777777" w:rsidR="00CB0FCB" w:rsidRDefault="00CB0FC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9C6E" w14:textId="77777777" w:rsidR="00CB0FCB" w:rsidRDefault="00CB0FC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67B7" w14:textId="77777777" w:rsidR="00CB0FCB" w:rsidRDefault="00CB0FC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EF5C" w14:textId="77777777" w:rsidR="00CB0FCB" w:rsidRDefault="00CB0FC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8BB5" w14:textId="77777777" w:rsidR="00CB0FCB" w:rsidRDefault="00CB0FC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EC8C" w14:textId="77777777" w:rsidR="00CB0FCB" w:rsidRDefault="00CB0F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A830" w14:textId="77777777" w:rsidR="00CB0FCB" w:rsidRDefault="00CB0FC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D953" w14:textId="77777777" w:rsidR="00CB0FCB" w:rsidRDefault="00CB0FC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DF38" w14:textId="77777777" w:rsidR="00CB0FCB" w:rsidRDefault="00CB0FCB">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7483" w14:textId="77777777" w:rsidR="00CB0FCB" w:rsidRDefault="00CB0FCB">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50E4" w14:textId="77777777" w:rsidR="00CB0FCB" w:rsidRDefault="00CB0FCB">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40C8" w14:textId="77777777" w:rsidR="00CB0FCB" w:rsidRDefault="00CB0FCB">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F597" w14:textId="509C7276" w:rsidR="00CB0FCB" w:rsidRDefault="00CB0FCB">
    <w:pPr>
      <w:pStyle w:val="Header"/>
      <w:jc w:val="center"/>
    </w:pPr>
  </w:p>
  <w:p w14:paraId="510D0889" w14:textId="77777777" w:rsidR="00CB0FCB" w:rsidRDefault="00CB0FCB">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5736" w14:textId="77777777" w:rsidR="00CB0FCB" w:rsidRDefault="00CB0FCB">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5792" w14:textId="77777777" w:rsidR="00CB0FCB" w:rsidRDefault="00CB0FC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0B00" w14:textId="77777777" w:rsidR="00CB0FCB" w:rsidRDefault="00CB0FC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4AAA" w14:textId="77777777" w:rsidR="00CB0FCB" w:rsidRDefault="00CB0F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A60" w14:textId="77777777" w:rsidR="00CB0FCB" w:rsidRDefault="00CB0FCB">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706C" w14:textId="77777777" w:rsidR="00CB0FCB" w:rsidRDefault="00CB0FC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2714" w14:textId="77777777" w:rsidR="00CB0FCB" w:rsidRDefault="00CB0FCB">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7E1B" w14:textId="77777777" w:rsidR="00CB0FCB" w:rsidRDefault="00CB0FCB">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362B" w14:textId="77777777" w:rsidR="00CB0FCB" w:rsidRDefault="00CB0FC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6CED" w14:textId="77777777" w:rsidR="00CB0FCB" w:rsidRDefault="00CB0FC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F5BC" w14:textId="77777777" w:rsidR="00CB0FCB" w:rsidRDefault="00CB0FCB">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7866" w14:textId="77777777" w:rsidR="00CB0FCB" w:rsidRDefault="00CB0FCB">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3A8D" w14:textId="77777777" w:rsidR="00CB0FCB" w:rsidRDefault="00CB0FCB">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DB3E" w14:textId="77777777" w:rsidR="00CB0FCB" w:rsidRDefault="00CB0FCB">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0419" w14:textId="77777777" w:rsidR="00CB0FCB" w:rsidRDefault="00CB0F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89E7" w14:textId="77777777" w:rsidR="00CB0FCB" w:rsidRDefault="00CB0FCB">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D823" w14:textId="77777777" w:rsidR="00CB0FCB" w:rsidRDefault="00CB0FCB">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DC98" w14:textId="77777777" w:rsidR="00CB0FCB" w:rsidRDefault="00CB0FCB">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D238" w14:textId="77777777" w:rsidR="00CB0FCB" w:rsidRDefault="00CB0FCB">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A310" w14:textId="77777777" w:rsidR="00CB0FCB" w:rsidRDefault="00CB0FCB">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0845" w14:textId="77777777" w:rsidR="00CB0FCB" w:rsidRDefault="00CB0FCB">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C670" w14:textId="77777777" w:rsidR="00CB0FCB" w:rsidRDefault="00CB0FC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8A4B" w14:textId="77777777" w:rsidR="00CB0FCB" w:rsidRDefault="00CB0FCB">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CC12" w14:textId="77777777" w:rsidR="00CB0FCB" w:rsidRDefault="00CB0FCB">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2B0C" w14:textId="77777777" w:rsidR="00CB0FCB" w:rsidRDefault="00CB0FCB">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D80F" w14:textId="77777777" w:rsidR="00CB0FCB" w:rsidRDefault="00CB0F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41FE" w14:textId="77777777" w:rsidR="00CB0FCB" w:rsidRDefault="00CB0FCB">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FE78" w14:textId="77777777" w:rsidR="00CB0FCB" w:rsidRDefault="00CB0FCB">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33B8" w14:textId="77777777" w:rsidR="00CB0FCB" w:rsidRDefault="00CB0FCB">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3A56" w14:textId="77777777" w:rsidR="00CB0FCB" w:rsidRDefault="00CB0FCB">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C6D0" w14:textId="77777777" w:rsidR="00CB0FCB" w:rsidRDefault="00CB0FCB">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5982" w14:textId="77777777" w:rsidR="00CB0FCB" w:rsidRDefault="00CB0FCB">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AEDA" w14:textId="77777777" w:rsidR="00CB0FCB" w:rsidRDefault="00CB0FCB">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A446" w14:textId="77777777" w:rsidR="00CB0FCB" w:rsidRDefault="00CB0FCB">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7A99" w14:textId="77777777" w:rsidR="00CB0FCB" w:rsidRDefault="00CB0FCB">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C759" w14:textId="77777777" w:rsidR="00CB0FCB" w:rsidRDefault="00CB0FCB">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AE84" w14:textId="77777777" w:rsidR="00CB0FCB" w:rsidRDefault="00CB0FCB">
    <w:pPr>
      <w:pStyle w:val="Header"/>
    </w:pPr>
  </w:p>
</w:hdr>
</file>

<file path=word/intelligence2.xml><?xml version="1.0" encoding="utf-8"?>
<int2:intelligence xmlns:int2="http://schemas.microsoft.com/office/intelligence/2020/intelligence" xmlns:oel="http://schemas.microsoft.com/office/2019/extlst">
  <int2:observations>
    <int2:textHash int2:hashCode="1RcjimNWjCvAqU" int2:id="1byL0n9n">
      <int2:state int2:value="Rejected" int2:type="AugLoop_Text_Critique"/>
    </int2:textHash>
    <int2:textHash int2:hashCode="0SD8ostRAPjjYa" int2:id="3VirOZZk">
      <int2:state int2:value="Rejected" int2:type="AugLoop_Text_Critique"/>
    </int2:textHash>
    <int2:textHash int2:hashCode="YFVnNQBLESNkvH" int2:id="D7mqEvF6">
      <int2:state int2:value="Rejected" int2:type="AugLoop_Text_Critique"/>
    </int2:textHash>
    <int2:textHash int2:hashCode="F8WBIRZ+E/D3/L" int2:id="IgCDTn9P">
      <int2:state int2:value="Rejected" int2:type="AugLoop_Text_Critique"/>
    </int2:textHash>
    <int2:textHash int2:hashCode="+4iRv9ld5PONSt" int2:id="SqgFDCx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21A28"/>
    <w:multiLevelType w:val="multilevel"/>
    <w:tmpl w:val="7174EE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2A22527"/>
    <w:multiLevelType w:val="multilevel"/>
    <w:tmpl w:val="F632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D42E32"/>
    <w:multiLevelType w:val="hybridMultilevel"/>
    <w:tmpl w:val="17A42E36"/>
    <w:lvl w:ilvl="0" w:tplc="58B0CE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64457B"/>
    <w:multiLevelType w:val="multilevel"/>
    <w:tmpl w:val="905ED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F6236F"/>
    <w:multiLevelType w:val="multilevel"/>
    <w:tmpl w:val="1F7410D2"/>
    <w:lvl w:ilvl="0">
      <w:start w:val="1"/>
      <w:numFmt w:val="decimal"/>
      <w:lvlText w:val="%1."/>
      <w:lvlJc w:val="left"/>
      <w:pPr>
        <w:ind w:left="476" w:hanging="476"/>
      </w:pPr>
      <w:rPr>
        <w:rFonts w:hint="default"/>
        <w:b/>
        <w:bCs/>
        <w:lang w:val="de-DE"/>
      </w:rPr>
    </w:lvl>
    <w:lvl w:ilvl="1">
      <w:start w:val="1"/>
      <w:numFmt w:val="bullet"/>
      <w:lvlText w:val=""/>
      <w:lvlJc w:val="left"/>
      <w:pPr>
        <w:ind w:left="644" w:hanging="360"/>
      </w:pPr>
      <w:rPr>
        <w:rFonts w:ascii="Symbol" w:hAnsi="Symbol"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3E395C"/>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09B22FCB"/>
    <w:multiLevelType w:val="multilevel"/>
    <w:tmpl w:val="5A1C7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0DC866E5"/>
    <w:multiLevelType w:val="hybridMultilevel"/>
    <w:tmpl w:val="3EB8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666A71"/>
    <w:multiLevelType w:val="hybridMultilevel"/>
    <w:tmpl w:val="99862E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0175DC"/>
    <w:multiLevelType w:val="multilevel"/>
    <w:tmpl w:val="7FF44A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12EE5687"/>
    <w:multiLevelType w:val="multilevel"/>
    <w:tmpl w:val="A3A21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5D3EF1"/>
    <w:multiLevelType w:val="multilevel"/>
    <w:tmpl w:val="DBAE26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16F01D6B"/>
    <w:multiLevelType w:val="hybridMultilevel"/>
    <w:tmpl w:val="7BDC3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0205AA"/>
    <w:multiLevelType w:val="multilevel"/>
    <w:tmpl w:val="98B8582E"/>
    <w:lvl w:ilvl="0">
      <w:start w:val="1"/>
      <w:numFmt w:val="decimal"/>
      <w:lvlText w:val="%1."/>
      <w:lvlJc w:val="left"/>
      <w:pPr>
        <w:ind w:left="476" w:hanging="476"/>
      </w:pPr>
      <w:rPr>
        <w:rFonts w:hint="default"/>
        <w:b/>
        <w:bCs/>
        <w:lang w:val="de-DE"/>
      </w:rPr>
    </w:lvl>
    <w:lvl w:ilvl="1">
      <w:start w:val="1"/>
      <w:numFmt w:val="bullet"/>
      <w:lvlText w:val=""/>
      <w:lvlJc w:val="left"/>
      <w:pPr>
        <w:ind w:left="836" w:hanging="360"/>
      </w:pPr>
      <w:rPr>
        <w:rFonts w:ascii="Symbol" w:hAnsi="Symbol" w:hint="default"/>
      </w:rPr>
    </w:lvl>
    <w:lvl w:ilvl="2">
      <w:start w:val="1"/>
      <w:numFmt w:val="bullet"/>
      <w:lvlText w:val="o"/>
      <w:lvlJc w:val="left"/>
      <w:pPr>
        <w:ind w:left="1069"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921D6B"/>
    <w:multiLevelType w:val="multilevel"/>
    <w:tmpl w:val="9BAE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9E64B66"/>
    <w:multiLevelType w:val="multilevel"/>
    <w:tmpl w:val="A90805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E38874A"/>
    <w:multiLevelType w:val="hybridMultilevel"/>
    <w:tmpl w:val="61EC2FB0"/>
    <w:lvl w:ilvl="0" w:tplc="C6E4CC22">
      <w:start w:val="1"/>
      <w:numFmt w:val="bullet"/>
      <w:lvlText w:val=""/>
      <w:lvlJc w:val="left"/>
      <w:pPr>
        <w:ind w:left="720" w:hanging="360"/>
      </w:pPr>
      <w:rPr>
        <w:rFonts w:ascii="Symbol" w:hAnsi="Symbol" w:hint="default"/>
      </w:rPr>
    </w:lvl>
    <w:lvl w:ilvl="1" w:tplc="D554866C">
      <w:start w:val="1"/>
      <w:numFmt w:val="bullet"/>
      <w:lvlText w:val="o"/>
      <w:lvlJc w:val="left"/>
      <w:pPr>
        <w:ind w:left="1440" w:hanging="360"/>
      </w:pPr>
      <w:rPr>
        <w:rFonts w:ascii="Courier New" w:hAnsi="Courier New" w:hint="default"/>
      </w:rPr>
    </w:lvl>
    <w:lvl w:ilvl="2" w:tplc="7CC06FA0">
      <w:start w:val="1"/>
      <w:numFmt w:val="bullet"/>
      <w:lvlText w:val=""/>
      <w:lvlJc w:val="left"/>
      <w:pPr>
        <w:ind w:left="2160" w:hanging="360"/>
      </w:pPr>
      <w:rPr>
        <w:rFonts w:ascii="Wingdings" w:hAnsi="Wingdings" w:hint="default"/>
      </w:rPr>
    </w:lvl>
    <w:lvl w:ilvl="3" w:tplc="AD4E3414">
      <w:start w:val="1"/>
      <w:numFmt w:val="bullet"/>
      <w:lvlText w:val=""/>
      <w:lvlJc w:val="left"/>
      <w:pPr>
        <w:ind w:left="2880" w:hanging="360"/>
      </w:pPr>
      <w:rPr>
        <w:rFonts w:ascii="Symbol" w:hAnsi="Symbol" w:hint="default"/>
      </w:rPr>
    </w:lvl>
    <w:lvl w:ilvl="4" w:tplc="4B7ADA3A">
      <w:start w:val="1"/>
      <w:numFmt w:val="bullet"/>
      <w:lvlText w:val="o"/>
      <w:lvlJc w:val="left"/>
      <w:pPr>
        <w:ind w:left="3600" w:hanging="360"/>
      </w:pPr>
      <w:rPr>
        <w:rFonts w:ascii="Courier New" w:hAnsi="Courier New" w:hint="default"/>
      </w:rPr>
    </w:lvl>
    <w:lvl w:ilvl="5" w:tplc="6A2C8D24">
      <w:start w:val="1"/>
      <w:numFmt w:val="bullet"/>
      <w:lvlText w:val=""/>
      <w:lvlJc w:val="left"/>
      <w:pPr>
        <w:ind w:left="4320" w:hanging="360"/>
      </w:pPr>
      <w:rPr>
        <w:rFonts w:ascii="Wingdings" w:hAnsi="Wingdings" w:hint="default"/>
      </w:rPr>
    </w:lvl>
    <w:lvl w:ilvl="6" w:tplc="46DCDF80">
      <w:start w:val="1"/>
      <w:numFmt w:val="bullet"/>
      <w:lvlText w:val=""/>
      <w:lvlJc w:val="left"/>
      <w:pPr>
        <w:ind w:left="5040" w:hanging="360"/>
      </w:pPr>
      <w:rPr>
        <w:rFonts w:ascii="Symbol" w:hAnsi="Symbol" w:hint="default"/>
      </w:rPr>
    </w:lvl>
    <w:lvl w:ilvl="7" w:tplc="CDFCC9F4">
      <w:start w:val="1"/>
      <w:numFmt w:val="bullet"/>
      <w:lvlText w:val="o"/>
      <w:lvlJc w:val="left"/>
      <w:pPr>
        <w:ind w:left="5760" w:hanging="360"/>
      </w:pPr>
      <w:rPr>
        <w:rFonts w:ascii="Courier New" w:hAnsi="Courier New" w:hint="default"/>
      </w:rPr>
    </w:lvl>
    <w:lvl w:ilvl="8" w:tplc="33B6186C">
      <w:start w:val="1"/>
      <w:numFmt w:val="bullet"/>
      <w:lvlText w:val=""/>
      <w:lvlJc w:val="left"/>
      <w:pPr>
        <w:ind w:left="6480" w:hanging="360"/>
      </w:pPr>
      <w:rPr>
        <w:rFonts w:ascii="Wingdings" w:hAnsi="Wingdings" w:hint="default"/>
      </w:rPr>
    </w:lvl>
  </w:abstractNum>
  <w:abstractNum w:abstractNumId="22" w15:restartNumberingAfterBreak="0">
    <w:nsid w:val="201921A2"/>
    <w:multiLevelType w:val="hybridMultilevel"/>
    <w:tmpl w:val="FCE8F21E"/>
    <w:lvl w:ilvl="0" w:tplc="143EE164">
      <w:start w:val="1"/>
      <w:numFmt w:val="lowerRoman"/>
      <w:lvlText w:val="(%1)"/>
      <w:lvlJc w:val="left"/>
      <w:pPr>
        <w:ind w:left="772" w:hanging="720"/>
      </w:pPr>
      <w:rPr>
        <w:rFonts w:hint="default"/>
        <w:color w:val="006100"/>
        <w:sz w:val="18"/>
        <w:szCs w:val="18"/>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9404C2"/>
    <w:multiLevelType w:val="hybridMultilevel"/>
    <w:tmpl w:val="4888F43E"/>
    <w:lvl w:ilvl="0" w:tplc="C828330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2862737E"/>
    <w:multiLevelType w:val="hybridMultilevel"/>
    <w:tmpl w:val="09AC7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9F20F6"/>
    <w:multiLevelType w:val="hybridMultilevel"/>
    <w:tmpl w:val="6812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0B4A7A"/>
    <w:multiLevelType w:val="hybridMultilevel"/>
    <w:tmpl w:val="D41842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2CD05BB1"/>
    <w:multiLevelType w:val="hybridMultilevel"/>
    <w:tmpl w:val="DF902C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2CD116E7"/>
    <w:multiLevelType w:val="multilevel"/>
    <w:tmpl w:val="C260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2" w15:restartNumberingAfterBreak="0">
    <w:nsid w:val="300D3194"/>
    <w:multiLevelType w:val="multilevel"/>
    <w:tmpl w:val="8368A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37A0803"/>
    <w:multiLevelType w:val="hybridMultilevel"/>
    <w:tmpl w:val="7EDE79A4"/>
    <w:lvl w:ilvl="0" w:tplc="98E2A8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382E7287"/>
    <w:multiLevelType w:val="hybridMultilevel"/>
    <w:tmpl w:val="DFC8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203A5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A800118"/>
    <w:multiLevelType w:val="hybridMultilevel"/>
    <w:tmpl w:val="B2C4AB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3C066981"/>
    <w:multiLevelType w:val="hybridMultilevel"/>
    <w:tmpl w:val="61265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400A7B18"/>
    <w:multiLevelType w:val="multilevel"/>
    <w:tmpl w:val="2DB03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1080531"/>
    <w:multiLevelType w:val="hybridMultilevel"/>
    <w:tmpl w:val="9AE829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2016359"/>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3" w15:restartNumberingAfterBreak="0">
    <w:nsid w:val="444248FB"/>
    <w:multiLevelType w:val="hybridMultilevel"/>
    <w:tmpl w:val="0B04F2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450F048E"/>
    <w:multiLevelType w:val="hybridMultilevel"/>
    <w:tmpl w:val="E91C889C"/>
    <w:lvl w:ilvl="0" w:tplc="6D42D6BE">
      <w:start w:val="1"/>
      <w:numFmt w:val="bullet"/>
      <w:lvlText w:val=""/>
      <w:lvlJc w:val="left"/>
      <w:pPr>
        <w:ind w:left="720" w:hanging="360"/>
      </w:pPr>
      <w:rPr>
        <w:rFonts w:ascii="Symbol" w:hAnsi="Symbol"/>
      </w:rPr>
    </w:lvl>
    <w:lvl w:ilvl="1" w:tplc="CFAEE40A">
      <w:start w:val="1"/>
      <w:numFmt w:val="bullet"/>
      <w:lvlText w:val=""/>
      <w:lvlJc w:val="left"/>
      <w:pPr>
        <w:ind w:left="720" w:hanging="360"/>
      </w:pPr>
      <w:rPr>
        <w:rFonts w:ascii="Symbol" w:hAnsi="Symbol"/>
      </w:rPr>
    </w:lvl>
    <w:lvl w:ilvl="2" w:tplc="DE062FBE">
      <w:start w:val="1"/>
      <w:numFmt w:val="bullet"/>
      <w:lvlText w:val=""/>
      <w:lvlJc w:val="left"/>
      <w:pPr>
        <w:ind w:left="720" w:hanging="360"/>
      </w:pPr>
      <w:rPr>
        <w:rFonts w:ascii="Symbol" w:hAnsi="Symbol"/>
      </w:rPr>
    </w:lvl>
    <w:lvl w:ilvl="3" w:tplc="FC923336">
      <w:start w:val="1"/>
      <w:numFmt w:val="bullet"/>
      <w:lvlText w:val=""/>
      <w:lvlJc w:val="left"/>
      <w:pPr>
        <w:ind w:left="720" w:hanging="360"/>
      </w:pPr>
      <w:rPr>
        <w:rFonts w:ascii="Symbol" w:hAnsi="Symbol"/>
      </w:rPr>
    </w:lvl>
    <w:lvl w:ilvl="4" w:tplc="E42060BE">
      <w:start w:val="1"/>
      <w:numFmt w:val="bullet"/>
      <w:lvlText w:val=""/>
      <w:lvlJc w:val="left"/>
      <w:pPr>
        <w:ind w:left="720" w:hanging="360"/>
      </w:pPr>
      <w:rPr>
        <w:rFonts w:ascii="Symbol" w:hAnsi="Symbol"/>
      </w:rPr>
    </w:lvl>
    <w:lvl w:ilvl="5" w:tplc="F49A420C">
      <w:start w:val="1"/>
      <w:numFmt w:val="bullet"/>
      <w:lvlText w:val=""/>
      <w:lvlJc w:val="left"/>
      <w:pPr>
        <w:ind w:left="720" w:hanging="360"/>
      </w:pPr>
      <w:rPr>
        <w:rFonts w:ascii="Symbol" w:hAnsi="Symbol"/>
      </w:rPr>
    </w:lvl>
    <w:lvl w:ilvl="6" w:tplc="3788DFD4">
      <w:start w:val="1"/>
      <w:numFmt w:val="bullet"/>
      <w:lvlText w:val=""/>
      <w:lvlJc w:val="left"/>
      <w:pPr>
        <w:ind w:left="720" w:hanging="360"/>
      </w:pPr>
      <w:rPr>
        <w:rFonts w:ascii="Symbol" w:hAnsi="Symbol"/>
      </w:rPr>
    </w:lvl>
    <w:lvl w:ilvl="7" w:tplc="5442CDFA">
      <w:start w:val="1"/>
      <w:numFmt w:val="bullet"/>
      <w:lvlText w:val=""/>
      <w:lvlJc w:val="left"/>
      <w:pPr>
        <w:ind w:left="720" w:hanging="360"/>
      </w:pPr>
      <w:rPr>
        <w:rFonts w:ascii="Symbol" w:hAnsi="Symbol"/>
      </w:rPr>
    </w:lvl>
    <w:lvl w:ilvl="8" w:tplc="6FAA32F0">
      <w:start w:val="1"/>
      <w:numFmt w:val="bullet"/>
      <w:lvlText w:val=""/>
      <w:lvlJc w:val="left"/>
      <w:pPr>
        <w:ind w:left="720" w:hanging="360"/>
      </w:pPr>
      <w:rPr>
        <w:rFonts w:ascii="Symbol" w:hAnsi="Symbol"/>
      </w:rPr>
    </w:lvl>
  </w:abstractNum>
  <w:abstractNum w:abstractNumId="4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15:restartNumberingAfterBreak="0">
    <w:nsid w:val="46EE6E57"/>
    <w:multiLevelType w:val="hybridMultilevel"/>
    <w:tmpl w:val="9A38D79A"/>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47CE62D2"/>
    <w:multiLevelType w:val="hybridMultilevel"/>
    <w:tmpl w:val="89DE6B22"/>
    <w:lvl w:ilvl="0" w:tplc="A4B2B7E6">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4B054A94"/>
    <w:multiLevelType w:val="hybridMultilevel"/>
    <w:tmpl w:val="8F0E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E2717E"/>
    <w:multiLevelType w:val="hybridMultilevel"/>
    <w:tmpl w:val="4FB0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3B34F7"/>
    <w:multiLevelType w:val="multilevel"/>
    <w:tmpl w:val="50DED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 w15:restartNumberingAfterBreak="0">
    <w:nsid w:val="4F4F6024"/>
    <w:multiLevelType w:val="hybridMultilevel"/>
    <w:tmpl w:val="2B281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6B06BC"/>
    <w:multiLevelType w:val="hybridMultilevel"/>
    <w:tmpl w:val="DA9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2B6C49"/>
    <w:multiLevelType w:val="hybridMultilevel"/>
    <w:tmpl w:val="108AE942"/>
    <w:lvl w:ilvl="0" w:tplc="1616BC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7906D9"/>
    <w:multiLevelType w:val="hybridMultilevel"/>
    <w:tmpl w:val="BEAEAED8"/>
    <w:lvl w:ilvl="0" w:tplc="2ABE0FB2">
      <w:start w:val="1"/>
      <w:numFmt w:val="decimal"/>
      <w:lvlText w:val="%1."/>
      <w:lvlJc w:val="left"/>
      <w:pPr>
        <w:ind w:left="360" w:hanging="360"/>
      </w:pPr>
      <w:rPr>
        <w:rFonts w:ascii="Times New Roman" w:hAnsi="Times New Roman" w:cs="Times New Roman" w:hint="default"/>
        <w:i/>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3EE1BB8"/>
    <w:multiLevelType w:val="hybridMultilevel"/>
    <w:tmpl w:val="04604954"/>
    <w:lvl w:ilvl="0" w:tplc="E87431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7" w15:restartNumberingAfterBreak="0">
    <w:nsid w:val="55B679E1"/>
    <w:multiLevelType w:val="hybridMultilevel"/>
    <w:tmpl w:val="1F22A3BC"/>
    <w:lvl w:ilvl="0" w:tplc="78D0560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55C10E65"/>
    <w:multiLevelType w:val="multilevel"/>
    <w:tmpl w:val="466AA280"/>
    <w:lvl w:ilvl="0">
      <w:start w:val="1"/>
      <w:numFmt w:val="decimal"/>
      <w:pStyle w:val="LegalNumPar"/>
      <w:lvlText w:val="%1."/>
      <w:lvlJc w:val="left"/>
      <w:pPr>
        <w:ind w:left="476" w:hanging="476"/>
      </w:pPr>
      <w:rPr>
        <w:rFonts w:hint="default"/>
        <w:b/>
        <w:bCs/>
        <w:lang w:val="de-DE"/>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69A0DCB"/>
    <w:multiLevelType w:val="hybridMultilevel"/>
    <w:tmpl w:val="EB48C94C"/>
    <w:lvl w:ilvl="0" w:tplc="FFFFFFFF">
      <w:start w:val="19"/>
      <w:numFmt w:val="bullet"/>
      <w:lvlText w:val="-"/>
      <w:lvlJc w:val="left"/>
      <w:pPr>
        <w:ind w:left="408" w:hanging="360"/>
      </w:pPr>
      <w:rPr>
        <w:rFonts w:ascii="Times New Roman" w:hAnsi="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60" w15:restartNumberingAfterBreak="0">
    <w:nsid w:val="56B10038"/>
    <w:multiLevelType w:val="hybridMultilevel"/>
    <w:tmpl w:val="94E2346C"/>
    <w:lvl w:ilvl="0" w:tplc="0E1A79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57A47275"/>
    <w:multiLevelType w:val="hybridMultilevel"/>
    <w:tmpl w:val="A8B0F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7E44920"/>
    <w:multiLevelType w:val="hybridMultilevel"/>
    <w:tmpl w:val="C4FEE898"/>
    <w:lvl w:ilvl="0" w:tplc="8F9A74A8">
      <w:start w:val="1"/>
      <w:numFmt w:val="decimal"/>
      <w:lvlText w:val="%1."/>
      <w:lvlJc w:val="left"/>
      <w:pPr>
        <w:ind w:left="720" w:hanging="360"/>
      </w:pPr>
    </w:lvl>
    <w:lvl w:ilvl="1" w:tplc="C83C3CD6">
      <w:start w:val="1"/>
      <w:numFmt w:val="lowerLetter"/>
      <w:lvlText w:val="%2."/>
      <w:lvlJc w:val="left"/>
      <w:pPr>
        <w:ind w:left="1440" w:hanging="360"/>
      </w:pPr>
    </w:lvl>
    <w:lvl w:ilvl="2" w:tplc="67523E22">
      <w:start w:val="1"/>
      <w:numFmt w:val="lowerRoman"/>
      <w:lvlText w:val="%3."/>
      <w:lvlJc w:val="right"/>
      <w:pPr>
        <w:ind w:left="2160" w:hanging="180"/>
      </w:pPr>
    </w:lvl>
    <w:lvl w:ilvl="3" w:tplc="02E434DE">
      <w:start w:val="1"/>
      <w:numFmt w:val="decimal"/>
      <w:lvlText w:val="%4."/>
      <w:lvlJc w:val="left"/>
      <w:pPr>
        <w:ind w:left="2880" w:hanging="360"/>
      </w:pPr>
    </w:lvl>
    <w:lvl w:ilvl="4" w:tplc="8BDE5CFA">
      <w:start w:val="1"/>
      <w:numFmt w:val="lowerLetter"/>
      <w:lvlText w:val="%5."/>
      <w:lvlJc w:val="left"/>
      <w:pPr>
        <w:ind w:left="3600" w:hanging="360"/>
      </w:pPr>
    </w:lvl>
    <w:lvl w:ilvl="5" w:tplc="39BA1CD6">
      <w:start w:val="1"/>
      <w:numFmt w:val="lowerRoman"/>
      <w:lvlText w:val="%6."/>
      <w:lvlJc w:val="right"/>
      <w:pPr>
        <w:ind w:left="4320" w:hanging="180"/>
      </w:pPr>
    </w:lvl>
    <w:lvl w:ilvl="6" w:tplc="820C8938">
      <w:start w:val="1"/>
      <w:numFmt w:val="decimal"/>
      <w:lvlText w:val="%7."/>
      <w:lvlJc w:val="left"/>
      <w:pPr>
        <w:ind w:left="5040" w:hanging="360"/>
      </w:pPr>
    </w:lvl>
    <w:lvl w:ilvl="7" w:tplc="916EC56C">
      <w:start w:val="1"/>
      <w:numFmt w:val="lowerLetter"/>
      <w:lvlText w:val="%8."/>
      <w:lvlJc w:val="left"/>
      <w:pPr>
        <w:ind w:left="5760" w:hanging="360"/>
      </w:pPr>
    </w:lvl>
    <w:lvl w:ilvl="8" w:tplc="7DE668F2">
      <w:start w:val="1"/>
      <w:numFmt w:val="lowerRoman"/>
      <w:lvlText w:val="%9."/>
      <w:lvlJc w:val="right"/>
      <w:pPr>
        <w:ind w:left="6480" w:hanging="180"/>
      </w:pPr>
    </w:lvl>
  </w:abstractNum>
  <w:abstractNum w:abstractNumId="63" w15:restartNumberingAfterBreak="0">
    <w:nsid w:val="59F422D7"/>
    <w:multiLevelType w:val="multilevel"/>
    <w:tmpl w:val="7618F6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6" w15:restartNumberingAfterBreak="0">
    <w:nsid w:val="5C184A6A"/>
    <w:multiLevelType w:val="hybridMultilevel"/>
    <w:tmpl w:val="20F8182E"/>
    <w:lvl w:ilvl="0" w:tplc="782E153C">
      <w:start w:val="1"/>
      <w:numFmt w:val="upperLetter"/>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111E8D"/>
    <w:multiLevelType w:val="hybridMultilevel"/>
    <w:tmpl w:val="6730273A"/>
    <w:lvl w:ilvl="0" w:tplc="AE28AF10">
      <w:start w:val="5"/>
      <w:numFmt w:val="upperLetter"/>
      <w:lvlText w:val="%1."/>
      <w:lvlJc w:val="left"/>
      <w:pPr>
        <w:ind w:left="366" w:hanging="360"/>
      </w:pPr>
      <w:rPr>
        <w:rFonts w:hint="default"/>
      </w:rPr>
    </w:lvl>
    <w:lvl w:ilvl="1" w:tplc="18090019" w:tentative="1">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69" w15:restartNumberingAfterBreak="0">
    <w:nsid w:val="5DCC1A5E"/>
    <w:multiLevelType w:val="multilevel"/>
    <w:tmpl w:val="64044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F1446F8"/>
    <w:multiLevelType w:val="hybridMultilevel"/>
    <w:tmpl w:val="CBCA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CB40F2"/>
    <w:multiLevelType w:val="hybridMultilevel"/>
    <w:tmpl w:val="9E5A62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63C14204"/>
    <w:multiLevelType w:val="hybridMultilevel"/>
    <w:tmpl w:val="FD265596"/>
    <w:lvl w:ilvl="0" w:tplc="8EB40B8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C42873"/>
    <w:multiLevelType w:val="multilevel"/>
    <w:tmpl w:val="1746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4A12FA4"/>
    <w:multiLevelType w:val="multilevel"/>
    <w:tmpl w:val="BC1C158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7121A1F"/>
    <w:multiLevelType w:val="multilevel"/>
    <w:tmpl w:val="5682450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7" w15:restartNumberingAfterBreak="0">
    <w:nsid w:val="6D367641"/>
    <w:multiLevelType w:val="hybridMultilevel"/>
    <w:tmpl w:val="2B744C64"/>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6E184B22"/>
    <w:multiLevelType w:val="multilevel"/>
    <w:tmpl w:val="1A34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FD63E69"/>
    <w:multiLevelType w:val="hybridMultilevel"/>
    <w:tmpl w:val="9E722B94"/>
    <w:lvl w:ilvl="0" w:tplc="3014CE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15:restartNumberingAfterBreak="0">
    <w:nsid w:val="70140041"/>
    <w:multiLevelType w:val="multilevel"/>
    <w:tmpl w:val="817E2E62"/>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81" w15:restartNumberingAfterBreak="0">
    <w:nsid w:val="702E54AB"/>
    <w:multiLevelType w:val="hybridMultilevel"/>
    <w:tmpl w:val="99862E8E"/>
    <w:lvl w:ilvl="0" w:tplc="0809001B">
      <w:start w:val="1"/>
      <w:numFmt w:val="lowerRoman"/>
      <w:lvlText w:val="%1."/>
      <w:lvlJc w:val="right"/>
      <w:pPr>
        <w:ind w:left="71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2B7264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7412391E"/>
    <w:multiLevelType w:val="hybridMultilevel"/>
    <w:tmpl w:val="FF46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2436E5"/>
    <w:multiLevelType w:val="hybridMultilevel"/>
    <w:tmpl w:val="650AC2E6"/>
    <w:lvl w:ilvl="0" w:tplc="080C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5" w15:restartNumberingAfterBreak="0">
    <w:nsid w:val="75C14FE6"/>
    <w:multiLevelType w:val="hybridMultilevel"/>
    <w:tmpl w:val="E848B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7" w15:restartNumberingAfterBreak="0">
    <w:nsid w:val="77566D51"/>
    <w:multiLevelType w:val="hybridMultilevel"/>
    <w:tmpl w:val="334A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816483B"/>
    <w:multiLevelType w:val="hybridMultilevel"/>
    <w:tmpl w:val="14569A86"/>
    <w:lvl w:ilvl="0" w:tplc="B22E0E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7BF94956"/>
    <w:multiLevelType w:val="hybridMultilevel"/>
    <w:tmpl w:val="26F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1" w15:restartNumberingAfterBreak="0">
    <w:nsid w:val="7CD26665"/>
    <w:multiLevelType w:val="multilevel"/>
    <w:tmpl w:val="13DA1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F010CB7"/>
    <w:multiLevelType w:val="multilevel"/>
    <w:tmpl w:val="08ECA5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3" w15:restartNumberingAfterBreak="0">
    <w:nsid w:val="7F332538"/>
    <w:multiLevelType w:val="multilevel"/>
    <w:tmpl w:val="209439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4" w15:restartNumberingAfterBreak="0">
    <w:nsid w:val="7F830756"/>
    <w:multiLevelType w:val="hybridMultilevel"/>
    <w:tmpl w:val="8A4CF84E"/>
    <w:lvl w:ilvl="0" w:tplc="F96681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21"/>
  </w:num>
  <w:num w:numId="3">
    <w:abstractNumId w:val="67"/>
  </w:num>
  <w:num w:numId="4">
    <w:abstractNumId w:val="41"/>
  </w:num>
  <w:num w:numId="5">
    <w:abstractNumId w:val="76"/>
  </w:num>
  <w:num w:numId="6">
    <w:abstractNumId w:val="31"/>
  </w:num>
  <w:num w:numId="7">
    <w:abstractNumId w:val="42"/>
  </w:num>
  <w:num w:numId="8">
    <w:abstractNumId w:val="23"/>
  </w:num>
  <w:num w:numId="9">
    <w:abstractNumId w:val="74"/>
  </w:num>
  <w:num w:numId="10">
    <w:abstractNumId w:val="20"/>
  </w:num>
  <w:num w:numId="11">
    <w:abstractNumId w:val="45"/>
  </w:num>
  <w:num w:numId="12">
    <w:abstractNumId w:val="64"/>
  </w:num>
  <w:num w:numId="13">
    <w:abstractNumId w:val="65"/>
  </w:num>
  <w:num w:numId="14">
    <w:abstractNumId w:val="28"/>
  </w:num>
  <w:num w:numId="15">
    <w:abstractNumId w:val="56"/>
  </w:num>
  <w:num w:numId="16">
    <w:abstractNumId w:val="90"/>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
  </w:num>
  <w:num w:numId="21">
    <w:abstractNumId w:val="0"/>
  </w:num>
  <w:num w:numId="22">
    <w:abstractNumId w:val="38"/>
  </w:num>
  <w:num w:numId="23">
    <w:abstractNumId w:val="73"/>
  </w:num>
  <w:num w:numId="24">
    <w:abstractNumId w:val="14"/>
  </w:num>
  <w:num w:numId="25">
    <w:abstractNumId w:val="80"/>
  </w:num>
  <w:num w:numId="26">
    <w:abstractNumId w:val="35"/>
  </w:num>
  <w:num w:numId="27">
    <w:abstractNumId w:val="30"/>
  </w:num>
  <w:num w:numId="28">
    <w:abstractNumId w:val="18"/>
  </w:num>
  <w:num w:numId="29">
    <w:abstractNumId w:val="51"/>
  </w:num>
  <w:num w:numId="30">
    <w:abstractNumId w:val="91"/>
  </w:num>
  <w:num w:numId="31">
    <w:abstractNumId w:val="5"/>
  </w:num>
  <w:num w:numId="32">
    <w:abstractNumId w:val="32"/>
  </w:num>
  <w:num w:numId="33">
    <w:abstractNumId w:val="7"/>
  </w:num>
  <w:num w:numId="34">
    <w:abstractNumId w:val="69"/>
  </w:num>
  <w:num w:numId="35">
    <w:abstractNumId w:val="78"/>
  </w:num>
  <w:num w:numId="36">
    <w:abstractNumId w:val="4"/>
  </w:num>
  <w:num w:numId="37">
    <w:abstractNumId w:val="50"/>
  </w:num>
  <w:num w:numId="38">
    <w:abstractNumId w:val="19"/>
  </w:num>
  <w:num w:numId="39">
    <w:abstractNumId w:val="13"/>
  </w:num>
  <w:num w:numId="40">
    <w:abstractNumId w:val="93"/>
  </w:num>
  <w:num w:numId="41">
    <w:abstractNumId w:val="10"/>
  </w:num>
  <w:num w:numId="42">
    <w:abstractNumId w:val="15"/>
  </w:num>
  <w:num w:numId="43">
    <w:abstractNumId w:val="63"/>
  </w:num>
  <w:num w:numId="44">
    <w:abstractNumId w:val="92"/>
  </w:num>
  <w:num w:numId="45">
    <w:abstractNumId w:val="53"/>
  </w:num>
  <w:num w:numId="46">
    <w:abstractNumId w:val="48"/>
  </w:num>
  <w:num w:numId="47">
    <w:abstractNumId w:val="22"/>
  </w:num>
  <w:num w:numId="48">
    <w:abstractNumId w:val="52"/>
  </w:num>
  <w:num w:numId="49">
    <w:abstractNumId w:val="49"/>
  </w:num>
  <w:num w:numId="50">
    <w:abstractNumId w:val="89"/>
  </w:num>
  <w:num w:numId="51">
    <w:abstractNumId w:val="25"/>
  </w:num>
  <w:num w:numId="52">
    <w:abstractNumId w:val="85"/>
  </w:num>
  <w:num w:numId="53">
    <w:abstractNumId w:val="94"/>
  </w:num>
  <w:num w:numId="54">
    <w:abstractNumId w:val="11"/>
  </w:num>
  <w:num w:numId="55">
    <w:abstractNumId w:val="82"/>
  </w:num>
  <w:num w:numId="56">
    <w:abstractNumId w:val="70"/>
  </w:num>
  <w:num w:numId="57">
    <w:abstractNumId w:val="33"/>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29"/>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47"/>
  </w:num>
  <w:num w:numId="66">
    <w:abstractNumId w:val="9"/>
  </w:num>
  <w:num w:numId="67">
    <w:abstractNumId w:val="40"/>
  </w:num>
  <w:num w:numId="68">
    <w:abstractNumId w:val="84"/>
  </w:num>
  <w:num w:numId="69">
    <w:abstractNumId w:val="12"/>
  </w:num>
  <w:num w:numId="70">
    <w:abstractNumId w:val="81"/>
  </w:num>
  <w:num w:numId="71">
    <w:abstractNumId w:val="54"/>
  </w:num>
  <w:num w:numId="72">
    <w:abstractNumId w:val="37"/>
  </w:num>
  <w:num w:numId="73">
    <w:abstractNumId w:val="26"/>
  </w:num>
  <w:num w:numId="74">
    <w:abstractNumId w:val="59"/>
  </w:num>
  <w:num w:numId="75">
    <w:abstractNumId w:val="34"/>
  </w:num>
  <w:num w:numId="76">
    <w:abstractNumId w:val="61"/>
  </w:num>
  <w:num w:numId="77">
    <w:abstractNumId w:val="60"/>
  </w:num>
  <w:num w:numId="78">
    <w:abstractNumId w:val="6"/>
  </w:num>
  <w:num w:numId="79">
    <w:abstractNumId w:val="83"/>
  </w:num>
  <w:num w:numId="80">
    <w:abstractNumId w:val="87"/>
  </w:num>
  <w:num w:numId="81">
    <w:abstractNumId w:val="16"/>
  </w:num>
  <w:num w:numId="82">
    <w:abstractNumId w:val="88"/>
  </w:num>
  <w:num w:numId="83">
    <w:abstractNumId w:val="75"/>
  </w:num>
  <w:num w:numId="84">
    <w:abstractNumId w:val="27"/>
  </w:num>
  <w:num w:numId="85">
    <w:abstractNumId w:val="57"/>
  </w:num>
  <w:num w:numId="86">
    <w:abstractNumId w:val="24"/>
  </w:num>
  <w:num w:numId="87">
    <w:abstractNumId w:val="39"/>
  </w:num>
  <w:num w:numId="88">
    <w:abstractNumId w:val="71"/>
  </w:num>
  <w:num w:numId="89">
    <w:abstractNumId w:val="55"/>
  </w:num>
  <w:num w:numId="90">
    <w:abstractNumId w:val="66"/>
  </w:num>
  <w:num w:numId="91">
    <w:abstractNumId w:val="68"/>
  </w:num>
  <w:num w:numId="92">
    <w:abstractNumId w:val="72"/>
  </w:num>
  <w:num w:numId="93">
    <w:abstractNumId w:val="58"/>
  </w:num>
  <w:num w:numId="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num>
  <w:num w:numId="96">
    <w:abstractNumId w:val="17"/>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sv-S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pt-PT"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false"/>
    <w:docVar w:name="DocStatus" w:val="Green"/>
    <w:docVar w:name="DocuWriteMetaData" w:val="&lt;metadataset docuwriteversion=&quot;4.9.1&quot; technicalblockguid=&quot;555604132896311099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7-09&lt;/text&gt;_x000d__x000a_  &lt;/metadata&gt;_x000d__x000a_  &lt;metadata key=&quot;md_Prefix&quot;&gt;_x000d__x000a_    &lt;text&gt;&lt;/text&gt;_x000d__x000a_  &lt;/metadata&gt;_x000d__x000a_  &lt;metadata key=&quot;md_DocumentNumber&quot;&gt;_x000d__x000a_    &lt;text&gt;11858&lt;/text&gt;_x000d__x000a_  &lt;/metadata&gt;_x000d__x000a_  &lt;metadata key=&quot;md_YearDocumentNumber&quot;&gt;_x000d__x000a_    &lt;text&gt;2024&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820&lt;/text&gt;_x000d__x000a_      &lt;text&gt;UEM 229&lt;/text&gt;_x000d__x000a_      &lt;text&gt;FIN 650&lt;/text&gt;_x000d__x000a_      &lt;text&gt;CADREFIN 12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157(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4) 28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amending Implementing Decision of 13 July 2021 on the approval of the assessment of the recovery and resilience plan for Greece&quot;&gt;&amp;lt;FlowDocument FontFamily=&quot;Segoe UI&quot; FontSize=&quot;12&quot; LineHeight=&quot;6&quot; PageWidth=&quot;329&quot; PagePadding=&quot;2,2,2,2&quot; AllowDrop=&quot;False&quot; xmlns=&quot;http://schemas.microsoft.com/winfx/2006/xaml/presentation&quot;&amp;gt;&amp;lt;Paragraph&amp;gt;ANNEX to the COUNCIL IMPLEMENTING DECISION amending Implementing Decision of 13 July 2021 on the approval of the assessment of the recovery and resilience plan for Greece&amp;lt;/Paragraph&amp;gt;&amp;lt;/FlowDocument&amp;gt;&lt;/xaml&gt;_x000d__x000a_  &lt;/metadata&gt;_x000d__x000a_  &lt;metadata key=&quot;md_SubjectFootnote&quot; /&gt;_x000d__x000a_  &lt;metadata key=&quot;md_DG&quot;&gt;_x000d__x000a_    &lt;text&gt;ECOFIN 1A&lt;/text&gt;_x000d__x000a_  &lt;/metadata&gt;_x000d__x000a_  &lt;metadata key=&quot;md_Initials&quot;&gt;_x000d__x000a_    &lt;text&gt;LEB/sr&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DE&lt;/text&gt;_x000d__x000a_  &lt;/metadata&gt;_x000d__x000a_  &lt;metadata key=&quot;md_SourceDocType&quot;&gt;_x000d__x000a_    &lt;text&gt;ANNEX&lt;/text&gt;_x000d__x000a_  &lt;/metadata&gt;_x000d__x000a_  &lt;metadata key=&quot;md_SourceDocTitle&quot;&gt;_x000d__x000a_    &lt;text&gt;to the _x000d__x000a_Proposal for a COUNCIL IMPLEMENTING DECISION _x000d__x000a_amending Implementing Decision (EU) (ST 10152/21; ST 10152/2021 ADD 1) of 13 July 2021 on the approval of the assessment of the recovery and resilience plan for Greece&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DW_KeepCompatibilityMode" w:val="true"/>
    <w:docVar w:name="EPKit_DocumentHasBeenSaved" w:val="true"/>
    <w:docVar w:name="LW_ACCOMPAGNANT.CP" w:val="dokumentam"/>
    <w:docVar w:name="LW_ANNEX_NBR_FIRST" w:val="1"/>
    <w:docVar w:name="LW_ANNEX_NBR_LAST" w:val="1"/>
    <w:docVar w:name="LW_ANNEX_UNIQUE" w:val="1"/>
    <w:docVar w:name="LW_CORRIGENDUM" w:val="&lt;UNUSED&gt;"/>
    <w:docVar w:name="LW_COVERPAGE_EXISTS" w:val="True"/>
    <w:docVar w:name="LW_COVERPAGE_GUID" w:val="ACEFF894-42A5-40A2-8DAC-6AAC524F46FD"/>
    <w:docVar w:name="LW_COVERPAGE_TYPE" w:val="1"/>
    <w:docVar w:name="LW_CROSSREFERENCE" w:val="{SWD(2025) 177 final}"/>
    <w:docVar w:name="LW_DocType" w:val="NORMAL"/>
    <w:docVar w:name="LW_EMISSION" w:val="30.6.2025"/>
    <w:docVar w:name="LW_EMISSION_ISODATE" w:val="2025-06-30"/>
    <w:docVar w:name="LW_EMISSION_LOCATION" w:val="BRX"/>
    <w:docVar w:name="LW_EMISSION_PREFIX" w:val="Brisel\u275?, "/>
    <w:docVar w:name="LW_EMISSION_SUFFIX" w:val="."/>
    <w:docVar w:name="LW_ID_DOCTYPE_NONLW" w:val="CP-036"/>
    <w:docVar w:name="LW_LANGUE" w:val="LV"/>
    <w:docVar w:name="LW_LEVEL_OF_SENSITIVITY" w:val="Standard treatment"/>
    <w:docVar w:name="LW_NOM.INST" w:val="EIROPAS KOMISIJA"/>
    <w:docVar w:name="LW_NOM.INST_JOINTDOC" w:val="&lt;EMPTY&gt;"/>
    <w:docVar w:name="LW_OBJETACTEPRINCIPAL.CP" w:val="ar ko groza \u298?steno\u353?anas l\u275?mumu (ES) (ST 10152/21 INIT; ST 10152/21 ADD 1) (2021. gada 13. j\u363?lijs) par Grie\u311?ijas atvese\u316?o\u353?anas un notur\u299?bas pl\u257?na nov\u275?rt\u275?juma apstiprin\u257?\u353?anu"/>
    <w:docVar w:name="LW_PART_NBR" w:val="1"/>
    <w:docVar w:name="LW_PART_NBR_TOTAL" w:val="1"/>
    <w:docVar w:name="LW_REF.INST.NEW" w:val="COM"/>
    <w:docVar w:name="LW_REF.INST.NEW_ADOPTED" w:val="final"/>
    <w:docVar w:name="LW_REF.INST.NEW_TEXT" w:val="(2025)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IELIKUMS_x000b_"/>
    <w:docVar w:name="LW_TYPEACTEPRINCIPAL.CP" w:val="Priek\u353?likums PADOMES \u298?STENO\u352?ANAS L\u274?MUMS,"/>
    <w:docVar w:name="LwApiVersions" w:val="LW4CoDe 1.24.5.0; LW 9.0, Build 20240221"/>
  </w:docVars>
  <w:rsids>
    <w:rsidRoot w:val="002A7953"/>
    <w:rsid w:val="00000154"/>
    <w:rsid w:val="000001B6"/>
    <w:rsid w:val="00000317"/>
    <w:rsid w:val="000003D0"/>
    <w:rsid w:val="000004D2"/>
    <w:rsid w:val="0000054D"/>
    <w:rsid w:val="0000058D"/>
    <w:rsid w:val="000006A0"/>
    <w:rsid w:val="00000800"/>
    <w:rsid w:val="00000829"/>
    <w:rsid w:val="00000901"/>
    <w:rsid w:val="00000971"/>
    <w:rsid w:val="00000A13"/>
    <w:rsid w:val="00000D94"/>
    <w:rsid w:val="00000E0D"/>
    <w:rsid w:val="0000109B"/>
    <w:rsid w:val="000011A1"/>
    <w:rsid w:val="000011D0"/>
    <w:rsid w:val="00001360"/>
    <w:rsid w:val="00001557"/>
    <w:rsid w:val="000015C8"/>
    <w:rsid w:val="000019C8"/>
    <w:rsid w:val="00001A85"/>
    <w:rsid w:val="00001CFE"/>
    <w:rsid w:val="00001D3C"/>
    <w:rsid w:val="00001DDF"/>
    <w:rsid w:val="000020DE"/>
    <w:rsid w:val="00002155"/>
    <w:rsid w:val="00002177"/>
    <w:rsid w:val="000021BC"/>
    <w:rsid w:val="000021FB"/>
    <w:rsid w:val="000022EA"/>
    <w:rsid w:val="000023A2"/>
    <w:rsid w:val="00002468"/>
    <w:rsid w:val="000025E2"/>
    <w:rsid w:val="000027AC"/>
    <w:rsid w:val="000029CC"/>
    <w:rsid w:val="000029F9"/>
    <w:rsid w:val="00002AF0"/>
    <w:rsid w:val="00002BE4"/>
    <w:rsid w:val="00002F62"/>
    <w:rsid w:val="0000300C"/>
    <w:rsid w:val="000030CB"/>
    <w:rsid w:val="000030FA"/>
    <w:rsid w:val="00003218"/>
    <w:rsid w:val="00003220"/>
    <w:rsid w:val="000034B5"/>
    <w:rsid w:val="00003506"/>
    <w:rsid w:val="00003529"/>
    <w:rsid w:val="00003631"/>
    <w:rsid w:val="0000399B"/>
    <w:rsid w:val="000039B2"/>
    <w:rsid w:val="00003F94"/>
    <w:rsid w:val="000042A7"/>
    <w:rsid w:val="00004385"/>
    <w:rsid w:val="0000442B"/>
    <w:rsid w:val="00004678"/>
    <w:rsid w:val="00004731"/>
    <w:rsid w:val="000047C2"/>
    <w:rsid w:val="00004883"/>
    <w:rsid w:val="000049DB"/>
    <w:rsid w:val="00004A77"/>
    <w:rsid w:val="00004BB0"/>
    <w:rsid w:val="00004BEF"/>
    <w:rsid w:val="00004C37"/>
    <w:rsid w:val="00004CBB"/>
    <w:rsid w:val="00004F1A"/>
    <w:rsid w:val="0000520D"/>
    <w:rsid w:val="000052F2"/>
    <w:rsid w:val="000053BD"/>
    <w:rsid w:val="00005681"/>
    <w:rsid w:val="000059CA"/>
    <w:rsid w:val="00005C10"/>
    <w:rsid w:val="00005D2B"/>
    <w:rsid w:val="000062BE"/>
    <w:rsid w:val="000062E6"/>
    <w:rsid w:val="00006651"/>
    <w:rsid w:val="00006A4E"/>
    <w:rsid w:val="00006C79"/>
    <w:rsid w:val="00006DC7"/>
    <w:rsid w:val="00006EA6"/>
    <w:rsid w:val="00007023"/>
    <w:rsid w:val="00007150"/>
    <w:rsid w:val="00007175"/>
    <w:rsid w:val="000072C8"/>
    <w:rsid w:val="00007355"/>
    <w:rsid w:val="000073F6"/>
    <w:rsid w:val="000073F7"/>
    <w:rsid w:val="00007444"/>
    <w:rsid w:val="00007524"/>
    <w:rsid w:val="000076FD"/>
    <w:rsid w:val="0000777A"/>
    <w:rsid w:val="00007A02"/>
    <w:rsid w:val="00007BD1"/>
    <w:rsid w:val="00007DDF"/>
    <w:rsid w:val="0001003F"/>
    <w:rsid w:val="000101F7"/>
    <w:rsid w:val="0001023C"/>
    <w:rsid w:val="000103D8"/>
    <w:rsid w:val="000104C9"/>
    <w:rsid w:val="0001054C"/>
    <w:rsid w:val="000105B1"/>
    <w:rsid w:val="000105DC"/>
    <w:rsid w:val="0001065D"/>
    <w:rsid w:val="00010875"/>
    <w:rsid w:val="000108A9"/>
    <w:rsid w:val="000109ED"/>
    <w:rsid w:val="00010AC5"/>
    <w:rsid w:val="00010C4C"/>
    <w:rsid w:val="00011287"/>
    <w:rsid w:val="0001152D"/>
    <w:rsid w:val="00011580"/>
    <w:rsid w:val="000115BB"/>
    <w:rsid w:val="000115DE"/>
    <w:rsid w:val="00011692"/>
    <w:rsid w:val="000116C5"/>
    <w:rsid w:val="000117A3"/>
    <w:rsid w:val="000117CE"/>
    <w:rsid w:val="00011821"/>
    <w:rsid w:val="00011951"/>
    <w:rsid w:val="00011BE4"/>
    <w:rsid w:val="00011C70"/>
    <w:rsid w:val="00011D16"/>
    <w:rsid w:val="00011E43"/>
    <w:rsid w:val="00011F0D"/>
    <w:rsid w:val="00011F5E"/>
    <w:rsid w:val="00012118"/>
    <w:rsid w:val="0001231A"/>
    <w:rsid w:val="000124F8"/>
    <w:rsid w:val="000125EF"/>
    <w:rsid w:val="00012631"/>
    <w:rsid w:val="000126BD"/>
    <w:rsid w:val="00012843"/>
    <w:rsid w:val="0001296C"/>
    <w:rsid w:val="00012A1D"/>
    <w:rsid w:val="00012A79"/>
    <w:rsid w:val="00012B3D"/>
    <w:rsid w:val="00012B85"/>
    <w:rsid w:val="00012CDA"/>
    <w:rsid w:val="00012D73"/>
    <w:rsid w:val="00012D74"/>
    <w:rsid w:val="00012F19"/>
    <w:rsid w:val="00012F80"/>
    <w:rsid w:val="00013178"/>
    <w:rsid w:val="000131F1"/>
    <w:rsid w:val="0001328C"/>
    <w:rsid w:val="000132E4"/>
    <w:rsid w:val="00013335"/>
    <w:rsid w:val="000133E8"/>
    <w:rsid w:val="00013414"/>
    <w:rsid w:val="0001364F"/>
    <w:rsid w:val="0001365F"/>
    <w:rsid w:val="00013B24"/>
    <w:rsid w:val="00013B9E"/>
    <w:rsid w:val="00013C00"/>
    <w:rsid w:val="00013C1E"/>
    <w:rsid w:val="00013C6E"/>
    <w:rsid w:val="00013D63"/>
    <w:rsid w:val="00013DA4"/>
    <w:rsid w:val="00013E81"/>
    <w:rsid w:val="00013FEE"/>
    <w:rsid w:val="00014067"/>
    <w:rsid w:val="000142A8"/>
    <w:rsid w:val="0001430B"/>
    <w:rsid w:val="00014337"/>
    <w:rsid w:val="00014534"/>
    <w:rsid w:val="00014543"/>
    <w:rsid w:val="0001462A"/>
    <w:rsid w:val="00014740"/>
    <w:rsid w:val="000147F0"/>
    <w:rsid w:val="000148C4"/>
    <w:rsid w:val="00014986"/>
    <w:rsid w:val="00014B28"/>
    <w:rsid w:val="00014CE0"/>
    <w:rsid w:val="00014D99"/>
    <w:rsid w:val="00014E1D"/>
    <w:rsid w:val="000150C8"/>
    <w:rsid w:val="0001513C"/>
    <w:rsid w:val="0001521A"/>
    <w:rsid w:val="00015527"/>
    <w:rsid w:val="000155E3"/>
    <w:rsid w:val="000158A5"/>
    <w:rsid w:val="000159E4"/>
    <w:rsid w:val="00015A0D"/>
    <w:rsid w:val="00015B94"/>
    <w:rsid w:val="00015BAD"/>
    <w:rsid w:val="00015CD6"/>
    <w:rsid w:val="00015D77"/>
    <w:rsid w:val="00015E16"/>
    <w:rsid w:val="00015F96"/>
    <w:rsid w:val="00016144"/>
    <w:rsid w:val="000161D0"/>
    <w:rsid w:val="000161D8"/>
    <w:rsid w:val="00016222"/>
    <w:rsid w:val="00016258"/>
    <w:rsid w:val="00016438"/>
    <w:rsid w:val="00016680"/>
    <w:rsid w:val="00016698"/>
    <w:rsid w:val="0001673F"/>
    <w:rsid w:val="0001678F"/>
    <w:rsid w:val="000167C4"/>
    <w:rsid w:val="00016976"/>
    <w:rsid w:val="000169AB"/>
    <w:rsid w:val="000169C2"/>
    <w:rsid w:val="00016A15"/>
    <w:rsid w:val="00016AC3"/>
    <w:rsid w:val="00016AD3"/>
    <w:rsid w:val="00016BDF"/>
    <w:rsid w:val="00016CD5"/>
    <w:rsid w:val="00016D95"/>
    <w:rsid w:val="00016F88"/>
    <w:rsid w:val="000170CC"/>
    <w:rsid w:val="000171E3"/>
    <w:rsid w:val="000171FA"/>
    <w:rsid w:val="000174E2"/>
    <w:rsid w:val="00017752"/>
    <w:rsid w:val="000178A5"/>
    <w:rsid w:val="000178B6"/>
    <w:rsid w:val="000179F9"/>
    <w:rsid w:val="00017A60"/>
    <w:rsid w:val="00017C0A"/>
    <w:rsid w:val="00017C9B"/>
    <w:rsid w:val="00017DB8"/>
    <w:rsid w:val="00017F62"/>
    <w:rsid w:val="0002006A"/>
    <w:rsid w:val="00020142"/>
    <w:rsid w:val="000203AE"/>
    <w:rsid w:val="00020519"/>
    <w:rsid w:val="00020767"/>
    <w:rsid w:val="00020783"/>
    <w:rsid w:val="000207EC"/>
    <w:rsid w:val="0002095C"/>
    <w:rsid w:val="00020996"/>
    <w:rsid w:val="00020D50"/>
    <w:rsid w:val="00020D6D"/>
    <w:rsid w:val="00020DD8"/>
    <w:rsid w:val="00020DE7"/>
    <w:rsid w:val="00020DEA"/>
    <w:rsid w:val="00020DFB"/>
    <w:rsid w:val="00020E60"/>
    <w:rsid w:val="0002102E"/>
    <w:rsid w:val="0002118A"/>
    <w:rsid w:val="0002125A"/>
    <w:rsid w:val="00021383"/>
    <w:rsid w:val="00021394"/>
    <w:rsid w:val="000216BD"/>
    <w:rsid w:val="00021896"/>
    <w:rsid w:val="000218C0"/>
    <w:rsid w:val="00021A8A"/>
    <w:rsid w:val="00021E02"/>
    <w:rsid w:val="00021EAF"/>
    <w:rsid w:val="00021F3F"/>
    <w:rsid w:val="00021F9C"/>
    <w:rsid w:val="0002223B"/>
    <w:rsid w:val="000222F0"/>
    <w:rsid w:val="00022321"/>
    <w:rsid w:val="000224F2"/>
    <w:rsid w:val="0002255B"/>
    <w:rsid w:val="0002260F"/>
    <w:rsid w:val="00022712"/>
    <w:rsid w:val="000227A9"/>
    <w:rsid w:val="000227DA"/>
    <w:rsid w:val="00022856"/>
    <w:rsid w:val="0002290A"/>
    <w:rsid w:val="00022931"/>
    <w:rsid w:val="00022A8A"/>
    <w:rsid w:val="00022ADA"/>
    <w:rsid w:val="00022CC4"/>
    <w:rsid w:val="00022CD2"/>
    <w:rsid w:val="00022DEB"/>
    <w:rsid w:val="00022DF9"/>
    <w:rsid w:val="000231B5"/>
    <w:rsid w:val="00023383"/>
    <w:rsid w:val="0002339C"/>
    <w:rsid w:val="0002341E"/>
    <w:rsid w:val="00023676"/>
    <w:rsid w:val="00023719"/>
    <w:rsid w:val="00023A0C"/>
    <w:rsid w:val="00023B97"/>
    <w:rsid w:val="00023C61"/>
    <w:rsid w:val="00023CCF"/>
    <w:rsid w:val="00023CDD"/>
    <w:rsid w:val="00023D3B"/>
    <w:rsid w:val="00023EA5"/>
    <w:rsid w:val="00023FF1"/>
    <w:rsid w:val="000240B8"/>
    <w:rsid w:val="000240F1"/>
    <w:rsid w:val="00024119"/>
    <w:rsid w:val="000244D1"/>
    <w:rsid w:val="00024587"/>
    <w:rsid w:val="000245A9"/>
    <w:rsid w:val="000245BD"/>
    <w:rsid w:val="00024940"/>
    <w:rsid w:val="00024967"/>
    <w:rsid w:val="000249AA"/>
    <w:rsid w:val="000249C6"/>
    <w:rsid w:val="00024C00"/>
    <w:rsid w:val="00024C48"/>
    <w:rsid w:val="00024D46"/>
    <w:rsid w:val="00024F16"/>
    <w:rsid w:val="0002549D"/>
    <w:rsid w:val="000254C8"/>
    <w:rsid w:val="00025504"/>
    <w:rsid w:val="00025766"/>
    <w:rsid w:val="000257D7"/>
    <w:rsid w:val="000257DE"/>
    <w:rsid w:val="000257EB"/>
    <w:rsid w:val="0002581E"/>
    <w:rsid w:val="00025838"/>
    <w:rsid w:val="00025BD4"/>
    <w:rsid w:val="00025C10"/>
    <w:rsid w:val="00025C66"/>
    <w:rsid w:val="0002622A"/>
    <w:rsid w:val="00026264"/>
    <w:rsid w:val="0002646A"/>
    <w:rsid w:val="0002648F"/>
    <w:rsid w:val="00026559"/>
    <w:rsid w:val="00026568"/>
    <w:rsid w:val="000265A8"/>
    <w:rsid w:val="00026733"/>
    <w:rsid w:val="00026885"/>
    <w:rsid w:val="000269B5"/>
    <w:rsid w:val="00026AE6"/>
    <w:rsid w:val="00026B51"/>
    <w:rsid w:val="00026C88"/>
    <w:rsid w:val="00026D5D"/>
    <w:rsid w:val="00026D92"/>
    <w:rsid w:val="00026D97"/>
    <w:rsid w:val="000271D8"/>
    <w:rsid w:val="000272D1"/>
    <w:rsid w:val="0002730C"/>
    <w:rsid w:val="000273B2"/>
    <w:rsid w:val="0002751F"/>
    <w:rsid w:val="0002761A"/>
    <w:rsid w:val="00027635"/>
    <w:rsid w:val="0002784D"/>
    <w:rsid w:val="00027993"/>
    <w:rsid w:val="00027CB7"/>
    <w:rsid w:val="00027DA8"/>
    <w:rsid w:val="00027E9F"/>
    <w:rsid w:val="00027F86"/>
    <w:rsid w:val="00030069"/>
    <w:rsid w:val="0003022C"/>
    <w:rsid w:val="000303C8"/>
    <w:rsid w:val="00030490"/>
    <w:rsid w:val="000304EC"/>
    <w:rsid w:val="00030640"/>
    <w:rsid w:val="00030643"/>
    <w:rsid w:val="00030852"/>
    <w:rsid w:val="00030871"/>
    <w:rsid w:val="00030A03"/>
    <w:rsid w:val="00030D15"/>
    <w:rsid w:val="00030D90"/>
    <w:rsid w:val="00030DEF"/>
    <w:rsid w:val="00030FF5"/>
    <w:rsid w:val="0003118C"/>
    <w:rsid w:val="000311F6"/>
    <w:rsid w:val="00031484"/>
    <w:rsid w:val="000314B0"/>
    <w:rsid w:val="000314CD"/>
    <w:rsid w:val="00031535"/>
    <w:rsid w:val="0003158C"/>
    <w:rsid w:val="00031750"/>
    <w:rsid w:val="00031762"/>
    <w:rsid w:val="00031A33"/>
    <w:rsid w:val="00031C88"/>
    <w:rsid w:val="00031CFC"/>
    <w:rsid w:val="00031D26"/>
    <w:rsid w:val="00031DC1"/>
    <w:rsid w:val="00031F1F"/>
    <w:rsid w:val="00032105"/>
    <w:rsid w:val="00032152"/>
    <w:rsid w:val="00032165"/>
    <w:rsid w:val="0003217A"/>
    <w:rsid w:val="0003227B"/>
    <w:rsid w:val="000326EC"/>
    <w:rsid w:val="0003271D"/>
    <w:rsid w:val="00032849"/>
    <w:rsid w:val="000329A7"/>
    <w:rsid w:val="00032A1F"/>
    <w:rsid w:val="00032A9A"/>
    <w:rsid w:val="00032C4A"/>
    <w:rsid w:val="00032FA6"/>
    <w:rsid w:val="000331DE"/>
    <w:rsid w:val="00033251"/>
    <w:rsid w:val="00033260"/>
    <w:rsid w:val="00033288"/>
    <w:rsid w:val="000333E0"/>
    <w:rsid w:val="00033465"/>
    <w:rsid w:val="00033525"/>
    <w:rsid w:val="00033639"/>
    <w:rsid w:val="0003364A"/>
    <w:rsid w:val="0003371D"/>
    <w:rsid w:val="00033801"/>
    <w:rsid w:val="00033822"/>
    <w:rsid w:val="00033837"/>
    <w:rsid w:val="00033B07"/>
    <w:rsid w:val="00033BF4"/>
    <w:rsid w:val="00033DFD"/>
    <w:rsid w:val="00033F01"/>
    <w:rsid w:val="00033F0A"/>
    <w:rsid w:val="00033F1E"/>
    <w:rsid w:val="0003411C"/>
    <w:rsid w:val="0003415E"/>
    <w:rsid w:val="00034273"/>
    <w:rsid w:val="00034278"/>
    <w:rsid w:val="000342D5"/>
    <w:rsid w:val="0003431F"/>
    <w:rsid w:val="000343D5"/>
    <w:rsid w:val="000345C7"/>
    <w:rsid w:val="00034758"/>
    <w:rsid w:val="00034829"/>
    <w:rsid w:val="00034847"/>
    <w:rsid w:val="00034953"/>
    <w:rsid w:val="00034ACF"/>
    <w:rsid w:val="00034F85"/>
    <w:rsid w:val="0003503F"/>
    <w:rsid w:val="00035151"/>
    <w:rsid w:val="0003518C"/>
    <w:rsid w:val="00035678"/>
    <w:rsid w:val="000359FD"/>
    <w:rsid w:val="00035A8A"/>
    <w:rsid w:val="00035BFB"/>
    <w:rsid w:val="00035CF1"/>
    <w:rsid w:val="00035E18"/>
    <w:rsid w:val="00035EDB"/>
    <w:rsid w:val="00035F16"/>
    <w:rsid w:val="00035F6A"/>
    <w:rsid w:val="00036063"/>
    <w:rsid w:val="00036142"/>
    <w:rsid w:val="00036195"/>
    <w:rsid w:val="000361DA"/>
    <w:rsid w:val="00036534"/>
    <w:rsid w:val="0003670C"/>
    <w:rsid w:val="000367A9"/>
    <w:rsid w:val="00036959"/>
    <w:rsid w:val="0003699E"/>
    <w:rsid w:val="000369B4"/>
    <w:rsid w:val="00036A80"/>
    <w:rsid w:val="00036C62"/>
    <w:rsid w:val="00036D00"/>
    <w:rsid w:val="00036D14"/>
    <w:rsid w:val="00036F39"/>
    <w:rsid w:val="000370B0"/>
    <w:rsid w:val="000370D5"/>
    <w:rsid w:val="00037337"/>
    <w:rsid w:val="00037384"/>
    <w:rsid w:val="000373A8"/>
    <w:rsid w:val="00037494"/>
    <w:rsid w:val="00037637"/>
    <w:rsid w:val="000376A7"/>
    <w:rsid w:val="00037753"/>
    <w:rsid w:val="00037775"/>
    <w:rsid w:val="0003785A"/>
    <w:rsid w:val="00037A74"/>
    <w:rsid w:val="00037AE7"/>
    <w:rsid w:val="00037B93"/>
    <w:rsid w:val="00037C22"/>
    <w:rsid w:val="00037E4E"/>
    <w:rsid w:val="00037E53"/>
    <w:rsid w:val="0004002E"/>
    <w:rsid w:val="000400D4"/>
    <w:rsid w:val="000401A6"/>
    <w:rsid w:val="0004030E"/>
    <w:rsid w:val="0004045C"/>
    <w:rsid w:val="0004045F"/>
    <w:rsid w:val="00040474"/>
    <w:rsid w:val="00040529"/>
    <w:rsid w:val="000406C0"/>
    <w:rsid w:val="000407AD"/>
    <w:rsid w:val="000407B4"/>
    <w:rsid w:val="000407F9"/>
    <w:rsid w:val="000409BE"/>
    <w:rsid w:val="000409DC"/>
    <w:rsid w:val="00040B16"/>
    <w:rsid w:val="00040F3F"/>
    <w:rsid w:val="000413CE"/>
    <w:rsid w:val="0004154E"/>
    <w:rsid w:val="000415CE"/>
    <w:rsid w:val="000415FA"/>
    <w:rsid w:val="00041BDE"/>
    <w:rsid w:val="00041C3B"/>
    <w:rsid w:val="00041D3B"/>
    <w:rsid w:val="00041DD3"/>
    <w:rsid w:val="00041DE6"/>
    <w:rsid w:val="00041FE5"/>
    <w:rsid w:val="0004210B"/>
    <w:rsid w:val="000422A5"/>
    <w:rsid w:val="000422EF"/>
    <w:rsid w:val="000423CA"/>
    <w:rsid w:val="000427C4"/>
    <w:rsid w:val="000427F0"/>
    <w:rsid w:val="00042A3A"/>
    <w:rsid w:val="00042A56"/>
    <w:rsid w:val="00042AB8"/>
    <w:rsid w:val="00042C17"/>
    <w:rsid w:val="00042D40"/>
    <w:rsid w:val="00042D9D"/>
    <w:rsid w:val="000430FE"/>
    <w:rsid w:val="00043276"/>
    <w:rsid w:val="0004329C"/>
    <w:rsid w:val="00043367"/>
    <w:rsid w:val="000433B3"/>
    <w:rsid w:val="000434E1"/>
    <w:rsid w:val="00043606"/>
    <w:rsid w:val="0004369F"/>
    <w:rsid w:val="0004374B"/>
    <w:rsid w:val="0004388E"/>
    <w:rsid w:val="000438D2"/>
    <w:rsid w:val="00043969"/>
    <w:rsid w:val="0004397B"/>
    <w:rsid w:val="00043A74"/>
    <w:rsid w:val="00043BDC"/>
    <w:rsid w:val="00043C04"/>
    <w:rsid w:val="00043FCA"/>
    <w:rsid w:val="000440C4"/>
    <w:rsid w:val="00044118"/>
    <w:rsid w:val="00044161"/>
    <w:rsid w:val="0004422F"/>
    <w:rsid w:val="000442D4"/>
    <w:rsid w:val="000443CD"/>
    <w:rsid w:val="00044413"/>
    <w:rsid w:val="0004445C"/>
    <w:rsid w:val="000444A6"/>
    <w:rsid w:val="00044613"/>
    <w:rsid w:val="0004462E"/>
    <w:rsid w:val="000446F8"/>
    <w:rsid w:val="00044773"/>
    <w:rsid w:val="00044978"/>
    <w:rsid w:val="00044A60"/>
    <w:rsid w:val="00044B4F"/>
    <w:rsid w:val="00044B82"/>
    <w:rsid w:val="00044C64"/>
    <w:rsid w:val="00044D77"/>
    <w:rsid w:val="00044E5A"/>
    <w:rsid w:val="00045066"/>
    <w:rsid w:val="00045313"/>
    <w:rsid w:val="000454B3"/>
    <w:rsid w:val="0004563B"/>
    <w:rsid w:val="00045738"/>
    <w:rsid w:val="000457F9"/>
    <w:rsid w:val="00045AE5"/>
    <w:rsid w:val="00045B77"/>
    <w:rsid w:val="00046023"/>
    <w:rsid w:val="00046428"/>
    <w:rsid w:val="000464E5"/>
    <w:rsid w:val="00046529"/>
    <w:rsid w:val="0004655F"/>
    <w:rsid w:val="000465FC"/>
    <w:rsid w:val="000467A3"/>
    <w:rsid w:val="0004696E"/>
    <w:rsid w:val="00046AF8"/>
    <w:rsid w:val="00046B4D"/>
    <w:rsid w:val="00046B83"/>
    <w:rsid w:val="00046BFA"/>
    <w:rsid w:val="00046CBB"/>
    <w:rsid w:val="00046E65"/>
    <w:rsid w:val="00046F77"/>
    <w:rsid w:val="000470FD"/>
    <w:rsid w:val="000471CE"/>
    <w:rsid w:val="000471E5"/>
    <w:rsid w:val="000472CA"/>
    <w:rsid w:val="000472E1"/>
    <w:rsid w:val="0004732D"/>
    <w:rsid w:val="000473AC"/>
    <w:rsid w:val="000474FA"/>
    <w:rsid w:val="0004768C"/>
    <w:rsid w:val="000477D9"/>
    <w:rsid w:val="0004794D"/>
    <w:rsid w:val="00047A65"/>
    <w:rsid w:val="00047CAC"/>
    <w:rsid w:val="00047CE6"/>
    <w:rsid w:val="00047D5D"/>
    <w:rsid w:val="00047DB6"/>
    <w:rsid w:val="00047E59"/>
    <w:rsid w:val="00047E90"/>
    <w:rsid w:val="00047F94"/>
    <w:rsid w:val="00047FA0"/>
    <w:rsid w:val="00047FBF"/>
    <w:rsid w:val="00047FCF"/>
    <w:rsid w:val="00047FE6"/>
    <w:rsid w:val="00050017"/>
    <w:rsid w:val="00050177"/>
    <w:rsid w:val="000501DB"/>
    <w:rsid w:val="0005020A"/>
    <w:rsid w:val="000502C9"/>
    <w:rsid w:val="00050332"/>
    <w:rsid w:val="00050428"/>
    <w:rsid w:val="00050526"/>
    <w:rsid w:val="00050675"/>
    <w:rsid w:val="000507B0"/>
    <w:rsid w:val="00050ACD"/>
    <w:rsid w:val="00050C06"/>
    <w:rsid w:val="00050C21"/>
    <w:rsid w:val="00050C8C"/>
    <w:rsid w:val="00050DA5"/>
    <w:rsid w:val="00050DDC"/>
    <w:rsid w:val="00050DFE"/>
    <w:rsid w:val="00050F57"/>
    <w:rsid w:val="00051326"/>
    <w:rsid w:val="0005134B"/>
    <w:rsid w:val="000514B0"/>
    <w:rsid w:val="00051522"/>
    <w:rsid w:val="00051580"/>
    <w:rsid w:val="00051666"/>
    <w:rsid w:val="00051851"/>
    <w:rsid w:val="00051855"/>
    <w:rsid w:val="00051B2F"/>
    <w:rsid w:val="00051BB2"/>
    <w:rsid w:val="00051C25"/>
    <w:rsid w:val="00051D2C"/>
    <w:rsid w:val="00051F50"/>
    <w:rsid w:val="0005202D"/>
    <w:rsid w:val="00052072"/>
    <w:rsid w:val="000521EB"/>
    <w:rsid w:val="000522CD"/>
    <w:rsid w:val="00052305"/>
    <w:rsid w:val="0005237D"/>
    <w:rsid w:val="000523CD"/>
    <w:rsid w:val="000523E6"/>
    <w:rsid w:val="00052591"/>
    <w:rsid w:val="0005261C"/>
    <w:rsid w:val="00052852"/>
    <w:rsid w:val="000528DA"/>
    <w:rsid w:val="00052A32"/>
    <w:rsid w:val="00052AF5"/>
    <w:rsid w:val="00052B05"/>
    <w:rsid w:val="00052B12"/>
    <w:rsid w:val="00052F2B"/>
    <w:rsid w:val="00052F43"/>
    <w:rsid w:val="00052FDD"/>
    <w:rsid w:val="0005301B"/>
    <w:rsid w:val="000532D5"/>
    <w:rsid w:val="0005335C"/>
    <w:rsid w:val="0005350A"/>
    <w:rsid w:val="0005355D"/>
    <w:rsid w:val="000535CA"/>
    <w:rsid w:val="00053677"/>
    <w:rsid w:val="0005367E"/>
    <w:rsid w:val="000536AC"/>
    <w:rsid w:val="0005370A"/>
    <w:rsid w:val="00053782"/>
    <w:rsid w:val="00053843"/>
    <w:rsid w:val="00053881"/>
    <w:rsid w:val="00053A68"/>
    <w:rsid w:val="00053B34"/>
    <w:rsid w:val="00053C4C"/>
    <w:rsid w:val="00054095"/>
    <w:rsid w:val="00054096"/>
    <w:rsid w:val="00054282"/>
    <w:rsid w:val="00054328"/>
    <w:rsid w:val="0005435C"/>
    <w:rsid w:val="0005477B"/>
    <w:rsid w:val="0005487D"/>
    <w:rsid w:val="00054906"/>
    <w:rsid w:val="000549C0"/>
    <w:rsid w:val="00054A2E"/>
    <w:rsid w:val="00054B23"/>
    <w:rsid w:val="00054C03"/>
    <w:rsid w:val="00054C40"/>
    <w:rsid w:val="00054EBB"/>
    <w:rsid w:val="00054EE5"/>
    <w:rsid w:val="00054F5B"/>
    <w:rsid w:val="00054FB1"/>
    <w:rsid w:val="00055008"/>
    <w:rsid w:val="00055279"/>
    <w:rsid w:val="000553C2"/>
    <w:rsid w:val="000553F5"/>
    <w:rsid w:val="00055428"/>
    <w:rsid w:val="00055497"/>
    <w:rsid w:val="0005569D"/>
    <w:rsid w:val="000557DF"/>
    <w:rsid w:val="00055881"/>
    <w:rsid w:val="00055979"/>
    <w:rsid w:val="000559F0"/>
    <w:rsid w:val="00055AD1"/>
    <w:rsid w:val="00055C03"/>
    <w:rsid w:val="00055C26"/>
    <w:rsid w:val="00055C51"/>
    <w:rsid w:val="0005609A"/>
    <w:rsid w:val="000562E8"/>
    <w:rsid w:val="0005639E"/>
    <w:rsid w:val="00056576"/>
    <w:rsid w:val="000565A6"/>
    <w:rsid w:val="000565AA"/>
    <w:rsid w:val="000565F4"/>
    <w:rsid w:val="0005672A"/>
    <w:rsid w:val="00056856"/>
    <w:rsid w:val="000568F2"/>
    <w:rsid w:val="000569BD"/>
    <w:rsid w:val="00056CAC"/>
    <w:rsid w:val="00056DDA"/>
    <w:rsid w:val="00056E8D"/>
    <w:rsid w:val="00056F52"/>
    <w:rsid w:val="000570A4"/>
    <w:rsid w:val="0005715B"/>
    <w:rsid w:val="0005716D"/>
    <w:rsid w:val="000571CE"/>
    <w:rsid w:val="000575AD"/>
    <w:rsid w:val="0005769D"/>
    <w:rsid w:val="000577F3"/>
    <w:rsid w:val="000579C3"/>
    <w:rsid w:val="00057A1D"/>
    <w:rsid w:val="00057B8F"/>
    <w:rsid w:val="00057BD5"/>
    <w:rsid w:val="00057C11"/>
    <w:rsid w:val="00057C1B"/>
    <w:rsid w:val="00057CFB"/>
    <w:rsid w:val="00057EC8"/>
    <w:rsid w:val="00057F93"/>
    <w:rsid w:val="0006005F"/>
    <w:rsid w:val="00060093"/>
    <w:rsid w:val="000600A7"/>
    <w:rsid w:val="00060152"/>
    <w:rsid w:val="00060199"/>
    <w:rsid w:val="000601B3"/>
    <w:rsid w:val="00060208"/>
    <w:rsid w:val="00060233"/>
    <w:rsid w:val="00060403"/>
    <w:rsid w:val="00060601"/>
    <w:rsid w:val="0006068F"/>
    <w:rsid w:val="000608CA"/>
    <w:rsid w:val="00060A2E"/>
    <w:rsid w:val="00060C42"/>
    <w:rsid w:val="00060C6D"/>
    <w:rsid w:val="00060E67"/>
    <w:rsid w:val="00060F6E"/>
    <w:rsid w:val="00060F9D"/>
    <w:rsid w:val="000612B5"/>
    <w:rsid w:val="00061431"/>
    <w:rsid w:val="000614DF"/>
    <w:rsid w:val="00061755"/>
    <w:rsid w:val="000617B1"/>
    <w:rsid w:val="0006188D"/>
    <w:rsid w:val="000618B3"/>
    <w:rsid w:val="00061A42"/>
    <w:rsid w:val="00061BCA"/>
    <w:rsid w:val="00061BE7"/>
    <w:rsid w:val="00061D25"/>
    <w:rsid w:val="00062246"/>
    <w:rsid w:val="000622AE"/>
    <w:rsid w:val="00062384"/>
    <w:rsid w:val="00062459"/>
    <w:rsid w:val="000627F6"/>
    <w:rsid w:val="00062844"/>
    <w:rsid w:val="000628C5"/>
    <w:rsid w:val="00062A4A"/>
    <w:rsid w:val="00062B61"/>
    <w:rsid w:val="00062BE4"/>
    <w:rsid w:val="00062C52"/>
    <w:rsid w:val="00062C6D"/>
    <w:rsid w:val="00062D7D"/>
    <w:rsid w:val="00062DDF"/>
    <w:rsid w:val="00062DE3"/>
    <w:rsid w:val="000630E4"/>
    <w:rsid w:val="0006325E"/>
    <w:rsid w:val="000632A3"/>
    <w:rsid w:val="000633FF"/>
    <w:rsid w:val="00063504"/>
    <w:rsid w:val="00063506"/>
    <w:rsid w:val="0006379B"/>
    <w:rsid w:val="000637F9"/>
    <w:rsid w:val="0006386F"/>
    <w:rsid w:val="00063953"/>
    <w:rsid w:val="0006398D"/>
    <w:rsid w:val="00063A95"/>
    <w:rsid w:val="00063BCB"/>
    <w:rsid w:val="00063D2B"/>
    <w:rsid w:val="00063DC2"/>
    <w:rsid w:val="000642BD"/>
    <w:rsid w:val="000644A0"/>
    <w:rsid w:val="00064616"/>
    <w:rsid w:val="00064726"/>
    <w:rsid w:val="00064730"/>
    <w:rsid w:val="00064752"/>
    <w:rsid w:val="00064810"/>
    <w:rsid w:val="00064817"/>
    <w:rsid w:val="000648A1"/>
    <w:rsid w:val="00064AA4"/>
    <w:rsid w:val="00064F9D"/>
    <w:rsid w:val="00064FC3"/>
    <w:rsid w:val="00065001"/>
    <w:rsid w:val="0006515F"/>
    <w:rsid w:val="00065199"/>
    <w:rsid w:val="00065380"/>
    <w:rsid w:val="000659E1"/>
    <w:rsid w:val="000659E8"/>
    <w:rsid w:val="00065AD5"/>
    <w:rsid w:val="00065C19"/>
    <w:rsid w:val="00065CE8"/>
    <w:rsid w:val="00065D44"/>
    <w:rsid w:val="00065E8C"/>
    <w:rsid w:val="00065F18"/>
    <w:rsid w:val="00065FF0"/>
    <w:rsid w:val="000661BC"/>
    <w:rsid w:val="00066352"/>
    <w:rsid w:val="0006646F"/>
    <w:rsid w:val="00066542"/>
    <w:rsid w:val="000666D6"/>
    <w:rsid w:val="000666E5"/>
    <w:rsid w:val="000667B7"/>
    <w:rsid w:val="0006691C"/>
    <w:rsid w:val="00066A82"/>
    <w:rsid w:val="00066B1A"/>
    <w:rsid w:val="00066B20"/>
    <w:rsid w:val="00066CF4"/>
    <w:rsid w:val="00066CFA"/>
    <w:rsid w:val="00066D5F"/>
    <w:rsid w:val="00066D6B"/>
    <w:rsid w:val="00067221"/>
    <w:rsid w:val="000672EB"/>
    <w:rsid w:val="000673DE"/>
    <w:rsid w:val="00067406"/>
    <w:rsid w:val="0006751B"/>
    <w:rsid w:val="00067640"/>
    <w:rsid w:val="00067769"/>
    <w:rsid w:val="000678B1"/>
    <w:rsid w:val="00067980"/>
    <w:rsid w:val="00067F3F"/>
    <w:rsid w:val="00067FCD"/>
    <w:rsid w:val="00070076"/>
    <w:rsid w:val="000700F1"/>
    <w:rsid w:val="00070340"/>
    <w:rsid w:val="000703CD"/>
    <w:rsid w:val="00070535"/>
    <w:rsid w:val="0007059C"/>
    <w:rsid w:val="000705BF"/>
    <w:rsid w:val="00070611"/>
    <w:rsid w:val="000706FD"/>
    <w:rsid w:val="00070934"/>
    <w:rsid w:val="00070BB7"/>
    <w:rsid w:val="00070D33"/>
    <w:rsid w:val="00070E0F"/>
    <w:rsid w:val="00070F3C"/>
    <w:rsid w:val="00071167"/>
    <w:rsid w:val="000711D4"/>
    <w:rsid w:val="000712E3"/>
    <w:rsid w:val="0007130A"/>
    <w:rsid w:val="0007140E"/>
    <w:rsid w:val="00071770"/>
    <w:rsid w:val="0007181E"/>
    <w:rsid w:val="000719B6"/>
    <w:rsid w:val="00071B85"/>
    <w:rsid w:val="00071C16"/>
    <w:rsid w:val="00071E1A"/>
    <w:rsid w:val="00071EDB"/>
    <w:rsid w:val="0007208A"/>
    <w:rsid w:val="00072133"/>
    <w:rsid w:val="0007221C"/>
    <w:rsid w:val="0007231A"/>
    <w:rsid w:val="000723BC"/>
    <w:rsid w:val="00072762"/>
    <w:rsid w:val="0007277E"/>
    <w:rsid w:val="000727C9"/>
    <w:rsid w:val="000728DA"/>
    <w:rsid w:val="000728EB"/>
    <w:rsid w:val="000729AA"/>
    <w:rsid w:val="000729B8"/>
    <w:rsid w:val="00072AAE"/>
    <w:rsid w:val="00072C39"/>
    <w:rsid w:val="00072CA3"/>
    <w:rsid w:val="00072CC0"/>
    <w:rsid w:val="00072D1A"/>
    <w:rsid w:val="00072D25"/>
    <w:rsid w:val="00072D3A"/>
    <w:rsid w:val="00072DEB"/>
    <w:rsid w:val="00072F43"/>
    <w:rsid w:val="00072F66"/>
    <w:rsid w:val="000730FD"/>
    <w:rsid w:val="000732DD"/>
    <w:rsid w:val="00073362"/>
    <w:rsid w:val="0007357E"/>
    <w:rsid w:val="000735E2"/>
    <w:rsid w:val="00073637"/>
    <w:rsid w:val="00073B85"/>
    <w:rsid w:val="00073C28"/>
    <w:rsid w:val="00073C2A"/>
    <w:rsid w:val="00074260"/>
    <w:rsid w:val="000745D0"/>
    <w:rsid w:val="00074660"/>
    <w:rsid w:val="0007469B"/>
    <w:rsid w:val="000749AA"/>
    <w:rsid w:val="00074ABB"/>
    <w:rsid w:val="00074B42"/>
    <w:rsid w:val="00074D00"/>
    <w:rsid w:val="00074D9B"/>
    <w:rsid w:val="00074E8C"/>
    <w:rsid w:val="00075032"/>
    <w:rsid w:val="00075085"/>
    <w:rsid w:val="00075186"/>
    <w:rsid w:val="0007524F"/>
    <w:rsid w:val="000754C0"/>
    <w:rsid w:val="000754F5"/>
    <w:rsid w:val="000755F1"/>
    <w:rsid w:val="00075814"/>
    <w:rsid w:val="00075A0A"/>
    <w:rsid w:val="00075BCA"/>
    <w:rsid w:val="00075E9B"/>
    <w:rsid w:val="00075FB6"/>
    <w:rsid w:val="00076077"/>
    <w:rsid w:val="0007614A"/>
    <w:rsid w:val="0007620E"/>
    <w:rsid w:val="000763DF"/>
    <w:rsid w:val="000766C5"/>
    <w:rsid w:val="0007676C"/>
    <w:rsid w:val="0007686C"/>
    <w:rsid w:val="000768A4"/>
    <w:rsid w:val="00076A54"/>
    <w:rsid w:val="00076A6F"/>
    <w:rsid w:val="00076D58"/>
    <w:rsid w:val="00076DEB"/>
    <w:rsid w:val="00076DF8"/>
    <w:rsid w:val="00076DFC"/>
    <w:rsid w:val="00077104"/>
    <w:rsid w:val="0007719D"/>
    <w:rsid w:val="000771C9"/>
    <w:rsid w:val="00077234"/>
    <w:rsid w:val="000772C2"/>
    <w:rsid w:val="0007732E"/>
    <w:rsid w:val="00077556"/>
    <w:rsid w:val="0007780C"/>
    <w:rsid w:val="00077921"/>
    <w:rsid w:val="000779A5"/>
    <w:rsid w:val="000779C0"/>
    <w:rsid w:val="00077BB0"/>
    <w:rsid w:val="00077D1C"/>
    <w:rsid w:val="00077DB0"/>
    <w:rsid w:val="00080121"/>
    <w:rsid w:val="0008019F"/>
    <w:rsid w:val="000801F1"/>
    <w:rsid w:val="00080273"/>
    <w:rsid w:val="000802F9"/>
    <w:rsid w:val="000803F6"/>
    <w:rsid w:val="0008045B"/>
    <w:rsid w:val="00080864"/>
    <w:rsid w:val="00080B1E"/>
    <w:rsid w:val="00080B27"/>
    <w:rsid w:val="00080BFE"/>
    <w:rsid w:val="00080C50"/>
    <w:rsid w:val="00080D00"/>
    <w:rsid w:val="00080E29"/>
    <w:rsid w:val="00080ED1"/>
    <w:rsid w:val="00080F1E"/>
    <w:rsid w:val="00080F3A"/>
    <w:rsid w:val="00080F9C"/>
    <w:rsid w:val="0008102A"/>
    <w:rsid w:val="00081060"/>
    <w:rsid w:val="000810AA"/>
    <w:rsid w:val="000810B2"/>
    <w:rsid w:val="000810EF"/>
    <w:rsid w:val="00081165"/>
    <w:rsid w:val="0008125D"/>
    <w:rsid w:val="00081271"/>
    <w:rsid w:val="000813E2"/>
    <w:rsid w:val="0008146A"/>
    <w:rsid w:val="000814CD"/>
    <w:rsid w:val="00081682"/>
    <w:rsid w:val="000816AB"/>
    <w:rsid w:val="000816E4"/>
    <w:rsid w:val="000817B8"/>
    <w:rsid w:val="000818C2"/>
    <w:rsid w:val="000818C7"/>
    <w:rsid w:val="000818DC"/>
    <w:rsid w:val="00081A68"/>
    <w:rsid w:val="00081A8D"/>
    <w:rsid w:val="00081B81"/>
    <w:rsid w:val="00081DBF"/>
    <w:rsid w:val="00081DE5"/>
    <w:rsid w:val="00081DFF"/>
    <w:rsid w:val="00081F46"/>
    <w:rsid w:val="00081F99"/>
    <w:rsid w:val="00081FBA"/>
    <w:rsid w:val="000820A8"/>
    <w:rsid w:val="000820E8"/>
    <w:rsid w:val="000822CD"/>
    <w:rsid w:val="000823E5"/>
    <w:rsid w:val="000825ED"/>
    <w:rsid w:val="000827FF"/>
    <w:rsid w:val="000829AC"/>
    <w:rsid w:val="00082AFE"/>
    <w:rsid w:val="00082BFF"/>
    <w:rsid w:val="00082C2E"/>
    <w:rsid w:val="00082C43"/>
    <w:rsid w:val="00082C58"/>
    <w:rsid w:val="00082CAE"/>
    <w:rsid w:val="00082DE9"/>
    <w:rsid w:val="00082EE7"/>
    <w:rsid w:val="00082FA5"/>
    <w:rsid w:val="0008340C"/>
    <w:rsid w:val="00083477"/>
    <w:rsid w:val="000835F0"/>
    <w:rsid w:val="00083911"/>
    <w:rsid w:val="00083A7E"/>
    <w:rsid w:val="00083C49"/>
    <w:rsid w:val="00083C7D"/>
    <w:rsid w:val="00083D0F"/>
    <w:rsid w:val="00083E62"/>
    <w:rsid w:val="00083FD1"/>
    <w:rsid w:val="00084115"/>
    <w:rsid w:val="000841C6"/>
    <w:rsid w:val="000841D7"/>
    <w:rsid w:val="0008420E"/>
    <w:rsid w:val="000842C5"/>
    <w:rsid w:val="000842DF"/>
    <w:rsid w:val="00084397"/>
    <w:rsid w:val="000843D4"/>
    <w:rsid w:val="0008453B"/>
    <w:rsid w:val="00084668"/>
    <w:rsid w:val="000846AA"/>
    <w:rsid w:val="00084962"/>
    <w:rsid w:val="00084A0D"/>
    <w:rsid w:val="00084C59"/>
    <w:rsid w:val="00084E27"/>
    <w:rsid w:val="00084EFD"/>
    <w:rsid w:val="00084FFE"/>
    <w:rsid w:val="000850BE"/>
    <w:rsid w:val="00085355"/>
    <w:rsid w:val="00085406"/>
    <w:rsid w:val="00085498"/>
    <w:rsid w:val="00085524"/>
    <w:rsid w:val="00085604"/>
    <w:rsid w:val="000856A3"/>
    <w:rsid w:val="0008571C"/>
    <w:rsid w:val="00085737"/>
    <w:rsid w:val="00085785"/>
    <w:rsid w:val="0008580A"/>
    <w:rsid w:val="000858CC"/>
    <w:rsid w:val="00085905"/>
    <w:rsid w:val="0008590E"/>
    <w:rsid w:val="00085941"/>
    <w:rsid w:val="00085A57"/>
    <w:rsid w:val="00085B01"/>
    <w:rsid w:val="00085CA2"/>
    <w:rsid w:val="00085E80"/>
    <w:rsid w:val="00086348"/>
    <w:rsid w:val="00086394"/>
    <w:rsid w:val="0008668D"/>
    <w:rsid w:val="000866C1"/>
    <w:rsid w:val="00086712"/>
    <w:rsid w:val="000867A7"/>
    <w:rsid w:val="000867B8"/>
    <w:rsid w:val="000867DC"/>
    <w:rsid w:val="00086825"/>
    <w:rsid w:val="00086885"/>
    <w:rsid w:val="00086BE3"/>
    <w:rsid w:val="00086CDE"/>
    <w:rsid w:val="00086D00"/>
    <w:rsid w:val="00086FDC"/>
    <w:rsid w:val="0008703F"/>
    <w:rsid w:val="000870AF"/>
    <w:rsid w:val="0008714E"/>
    <w:rsid w:val="00087222"/>
    <w:rsid w:val="0008731F"/>
    <w:rsid w:val="00087474"/>
    <w:rsid w:val="0008748D"/>
    <w:rsid w:val="00087559"/>
    <w:rsid w:val="000876DF"/>
    <w:rsid w:val="00087A46"/>
    <w:rsid w:val="00087A51"/>
    <w:rsid w:val="00087AB8"/>
    <w:rsid w:val="00087ACA"/>
    <w:rsid w:val="00087C76"/>
    <w:rsid w:val="00087CC2"/>
    <w:rsid w:val="00087D43"/>
    <w:rsid w:val="00087D8E"/>
    <w:rsid w:val="00087DA8"/>
    <w:rsid w:val="00087E2E"/>
    <w:rsid w:val="00087E41"/>
    <w:rsid w:val="0009023F"/>
    <w:rsid w:val="0009038D"/>
    <w:rsid w:val="00090481"/>
    <w:rsid w:val="00090725"/>
    <w:rsid w:val="000907E3"/>
    <w:rsid w:val="00090BED"/>
    <w:rsid w:val="00090FC2"/>
    <w:rsid w:val="0009103A"/>
    <w:rsid w:val="0009115A"/>
    <w:rsid w:val="0009133F"/>
    <w:rsid w:val="0009136A"/>
    <w:rsid w:val="00091404"/>
    <w:rsid w:val="0009142F"/>
    <w:rsid w:val="0009146F"/>
    <w:rsid w:val="0009162A"/>
    <w:rsid w:val="000916EF"/>
    <w:rsid w:val="000917AB"/>
    <w:rsid w:val="000917C4"/>
    <w:rsid w:val="000919EB"/>
    <w:rsid w:val="00091CBB"/>
    <w:rsid w:val="00091E25"/>
    <w:rsid w:val="000920A3"/>
    <w:rsid w:val="00092264"/>
    <w:rsid w:val="0009258E"/>
    <w:rsid w:val="00092683"/>
    <w:rsid w:val="000929D7"/>
    <w:rsid w:val="00092A55"/>
    <w:rsid w:val="00092CF1"/>
    <w:rsid w:val="00092D6A"/>
    <w:rsid w:val="00092FD0"/>
    <w:rsid w:val="00093174"/>
    <w:rsid w:val="000931B3"/>
    <w:rsid w:val="000931F1"/>
    <w:rsid w:val="00093214"/>
    <w:rsid w:val="000936E2"/>
    <w:rsid w:val="000938CD"/>
    <w:rsid w:val="0009394D"/>
    <w:rsid w:val="00093C0B"/>
    <w:rsid w:val="00093CB0"/>
    <w:rsid w:val="00093E1C"/>
    <w:rsid w:val="00093F6A"/>
    <w:rsid w:val="00093F98"/>
    <w:rsid w:val="00093FFA"/>
    <w:rsid w:val="00094126"/>
    <w:rsid w:val="00094455"/>
    <w:rsid w:val="000944AE"/>
    <w:rsid w:val="0009489C"/>
    <w:rsid w:val="000948DA"/>
    <w:rsid w:val="00094A8F"/>
    <w:rsid w:val="00094BAD"/>
    <w:rsid w:val="00094EC1"/>
    <w:rsid w:val="00094FF5"/>
    <w:rsid w:val="00095392"/>
    <w:rsid w:val="00095557"/>
    <w:rsid w:val="000955BD"/>
    <w:rsid w:val="000958FD"/>
    <w:rsid w:val="0009592D"/>
    <w:rsid w:val="00095BB9"/>
    <w:rsid w:val="00095BED"/>
    <w:rsid w:val="00095C74"/>
    <w:rsid w:val="00095D1F"/>
    <w:rsid w:val="00095F9C"/>
    <w:rsid w:val="00096043"/>
    <w:rsid w:val="0009648C"/>
    <w:rsid w:val="0009657C"/>
    <w:rsid w:val="000967B3"/>
    <w:rsid w:val="000968FC"/>
    <w:rsid w:val="0009692F"/>
    <w:rsid w:val="00096A7E"/>
    <w:rsid w:val="00096AC8"/>
    <w:rsid w:val="00096C38"/>
    <w:rsid w:val="00096D56"/>
    <w:rsid w:val="00096DC9"/>
    <w:rsid w:val="00096DE9"/>
    <w:rsid w:val="00096E33"/>
    <w:rsid w:val="00096FFD"/>
    <w:rsid w:val="0009718A"/>
    <w:rsid w:val="0009722F"/>
    <w:rsid w:val="0009724D"/>
    <w:rsid w:val="000972C3"/>
    <w:rsid w:val="00097316"/>
    <w:rsid w:val="00097381"/>
    <w:rsid w:val="0009738F"/>
    <w:rsid w:val="00097418"/>
    <w:rsid w:val="00097531"/>
    <w:rsid w:val="0009758D"/>
    <w:rsid w:val="000976C6"/>
    <w:rsid w:val="000977B3"/>
    <w:rsid w:val="00097811"/>
    <w:rsid w:val="00097C90"/>
    <w:rsid w:val="00097F1A"/>
    <w:rsid w:val="00097F1D"/>
    <w:rsid w:val="000A0385"/>
    <w:rsid w:val="000A048B"/>
    <w:rsid w:val="000A0520"/>
    <w:rsid w:val="000A05B1"/>
    <w:rsid w:val="000A05B9"/>
    <w:rsid w:val="000A064D"/>
    <w:rsid w:val="000A06E9"/>
    <w:rsid w:val="000A0721"/>
    <w:rsid w:val="000A08F0"/>
    <w:rsid w:val="000A0925"/>
    <w:rsid w:val="000A0A08"/>
    <w:rsid w:val="000A0A0E"/>
    <w:rsid w:val="000A0A51"/>
    <w:rsid w:val="000A0BFA"/>
    <w:rsid w:val="000A0E8E"/>
    <w:rsid w:val="000A0F50"/>
    <w:rsid w:val="000A0F53"/>
    <w:rsid w:val="000A0F85"/>
    <w:rsid w:val="000A0F92"/>
    <w:rsid w:val="000A0FB7"/>
    <w:rsid w:val="000A1046"/>
    <w:rsid w:val="000A1220"/>
    <w:rsid w:val="000A135A"/>
    <w:rsid w:val="000A13BD"/>
    <w:rsid w:val="000A13D9"/>
    <w:rsid w:val="000A1490"/>
    <w:rsid w:val="000A14F7"/>
    <w:rsid w:val="000A14FE"/>
    <w:rsid w:val="000A18D8"/>
    <w:rsid w:val="000A1ADF"/>
    <w:rsid w:val="000A1B7A"/>
    <w:rsid w:val="000A1C06"/>
    <w:rsid w:val="000A1C5E"/>
    <w:rsid w:val="000A1D42"/>
    <w:rsid w:val="000A1E0A"/>
    <w:rsid w:val="000A2021"/>
    <w:rsid w:val="000A2038"/>
    <w:rsid w:val="000A221C"/>
    <w:rsid w:val="000A22EB"/>
    <w:rsid w:val="000A24B1"/>
    <w:rsid w:val="000A26D6"/>
    <w:rsid w:val="000A280A"/>
    <w:rsid w:val="000A284D"/>
    <w:rsid w:val="000A28F1"/>
    <w:rsid w:val="000A2B53"/>
    <w:rsid w:val="000A2C6B"/>
    <w:rsid w:val="000A2D0E"/>
    <w:rsid w:val="000A3055"/>
    <w:rsid w:val="000A317E"/>
    <w:rsid w:val="000A31B7"/>
    <w:rsid w:val="000A3287"/>
    <w:rsid w:val="000A3429"/>
    <w:rsid w:val="000A34AB"/>
    <w:rsid w:val="000A3576"/>
    <w:rsid w:val="000A3638"/>
    <w:rsid w:val="000A36ED"/>
    <w:rsid w:val="000A3873"/>
    <w:rsid w:val="000A387D"/>
    <w:rsid w:val="000A3A15"/>
    <w:rsid w:val="000A3A84"/>
    <w:rsid w:val="000A3E87"/>
    <w:rsid w:val="000A3F1C"/>
    <w:rsid w:val="000A3FDF"/>
    <w:rsid w:val="000A409C"/>
    <w:rsid w:val="000A4498"/>
    <w:rsid w:val="000A4543"/>
    <w:rsid w:val="000A46DA"/>
    <w:rsid w:val="000A4829"/>
    <w:rsid w:val="000A4B69"/>
    <w:rsid w:val="000A4C05"/>
    <w:rsid w:val="000A4D62"/>
    <w:rsid w:val="000A4D7F"/>
    <w:rsid w:val="000A4E7C"/>
    <w:rsid w:val="000A4EED"/>
    <w:rsid w:val="000A4F0C"/>
    <w:rsid w:val="000A4F30"/>
    <w:rsid w:val="000A5246"/>
    <w:rsid w:val="000A53A4"/>
    <w:rsid w:val="000A5402"/>
    <w:rsid w:val="000A55CC"/>
    <w:rsid w:val="000A562F"/>
    <w:rsid w:val="000A5763"/>
    <w:rsid w:val="000A577E"/>
    <w:rsid w:val="000A590E"/>
    <w:rsid w:val="000A5996"/>
    <w:rsid w:val="000A59EA"/>
    <w:rsid w:val="000A5E91"/>
    <w:rsid w:val="000A6406"/>
    <w:rsid w:val="000A6621"/>
    <w:rsid w:val="000A66D2"/>
    <w:rsid w:val="000A670B"/>
    <w:rsid w:val="000A68FD"/>
    <w:rsid w:val="000A69AB"/>
    <w:rsid w:val="000A6A56"/>
    <w:rsid w:val="000A6B72"/>
    <w:rsid w:val="000A6C32"/>
    <w:rsid w:val="000A6C4A"/>
    <w:rsid w:val="000A6DF9"/>
    <w:rsid w:val="000A6E30"/>
    <w:rsid w:val="000A708B"/>
    <w:rsid w:val="000A7245"/>
    <w:rsid w:val="000A7347"/>
    <w:rsid w:val="000A7396"/>
    <w:rsid w:val="000A73AC"/>
    <w:rsid w:val="000A74A9"/>
    <w:rsid w:val="000A750F"/>
    <w:rsid w:val="000A7550"/>
    <w:rsid w:val="000A7669"/>
    <w:rsid w:val="000A7683"/>
    <w:rsid w:val="000A769C"/>
    <w:rsid w:val="000A773D"/>
    <w:rsid w:val="000A7A61"/>
    <w:rsid w:val="000A7B43"/>
    <w:rsid w:val="000A7CB7"/>
    <w:rsid w:val="000A7CD1"/>
    <w:rsid w:val="000A7D5F"/>
    <w:rsid w:val="000A7FE5"/>
    <w:rsid w:val="000B00D8"/>
    <w:rsid w:val="000B03A7"/>
    <w:rsid w:val="000B03DF"/>
    <w:rsid w:val="000B04F8"/>
    <w:rsid w:val="000B0506"/>
    <w:rsid w:val="000B052A"/>
    <w:rsid w:val="000B059E"/>
    <w:rsid w:val="000B064A"/>
    <w:rsid w:val="000B0754"/>
    <w:rsid w:val="000B0BFF"/>
    <w:rsid w:val="000B0D6F"/>
    <w:rsid w:val="000B0D72"/>
    <w:rsid w:val="000B0EF2"/>
    <w:rsid w:val="000B0F4E"/>
    <w:rsid w:val="000B102C"/>
    <w:rsid w:val="000B1043"/>
    <w:rsid w:val="000B1069"/>
    <w:rsid w:val="000B118A"/>
    <w:rsid w:val="000B11A8"/>
    <w:rsid w:val="000B125F"/>
    <w:rsid w:val="000B138F"/>
    <w:rsid w:val="000B144F"/>
    <w:rsid w:val="000B1465"/>
    <w:rsid w:val="000B14D7"/>
    <w:rsid w:val="000B1551"/>
    <w:rsid w:val="000B15E2"/>
    <w:rsid w:val="000B15E9"/>
    <w:rsid w:val="000B1637"/>
    <w:rsid w:val="000B191D"/>
    <w:rsid w:val="000B198A"/>
    <w:rsid w:val="000B1BA8"/>
    <w:rsid w:val="000B1C9D"/>
    <w:rsid w:val="000B1D06"/>
    <w:rsid w:val="000B1E21"/>
    <w:rsid w:val="000B200D"/>
    <w:rsid w:val="000B2074"/>
    <w:rsid w:val="000B20DC"/>
    <w:rsid w:val="000B220D"/>
    <w:rsid w:val="000B24AE"/>
    <w:rsid w:val="000B2554"/>
    <w:rsid w:val="000B26AD"/>
    <w:rsid w:val="000B2A6C"/>
    <w:rsid w:val="000B2A8B"/>
    <w:rsid w:val="000B2B19"/>
    <w:rsid w:val="000B2CFC"/>
    <w:rsid w:val="000B2EF3"/>
    <w:rsid w:val="000B305C"/>
    <w:rsid w:val="000B3090"/>
    <w:rsid w:val="000B3107"/>
    <w:rsid w:val="000B3183"/>
    <w:rsid w:val="000B3349"/>
    <w:rsid w:val="000B3387"/>
    <w:rsid w:val="000B3457"/>
    <w:rsid w:val="000B345C"/>
    <w:rsid w:val="000B346F"/>
    <w:rsid w:val="000B35A0"/>
    <w:rsid w:val="000B3618"/>
    <w:rsid w:val="000B3733"/>
    <w:rsid w:val="000B3B7C"/>
    <w:rsid w:val="000B3CC7"/>
    <w:rsid w:val="000B3F16"/>
    <w:rsid w:val="000B43B4"/>
    <w:rsid w:val="000B43C2"/>
    <w:rsid w:val="000B4464"/>
    <w:rsid w:val="000B46B8"/>
    <w:rsid w:val="000B471C"/>
    <w:rsid w:val="000B4B16"/>
    <w:rsid w:val="000B4B9A"/>
    <w:rsid w:val="000B4D41"/>
    <w:rsid w:val="000B4DA5"/>
    <w:rsid w:val="000B4F0F"/>
    <w:rsid w:val="000B506A"/>
    <w:rsid w:val="000B509C"/>
    <w:rsid w:val="000B50C2"/>
    <w:rsid w:val="000B5358"/>
    <w:rsid w:val="000B5495"/>
    <w:rsid w:val="000B54AB"/>
    <w:rsid w:val="000B5841"/>
    <w:rsid w:val="000B58C2"/>
    <w:rsid w:val="000B58FA"/>
    <w:rsid w:val="000B5965"/>
    <w:rsid w:val="000B5BFB"/>
    <w:rsid w:val="000B5C1B"/>
    <w:rsid w:val="000B5C8D"/>
    <w:rsid w:val="000B5CAC"/>
    <w:rsid w:val="000B5D3D"/>
    <w:rsid w:val="000B5D58"/>
    <w:rsid w:val="000B603E"/>
    <w:rsid w:val="000B60B8"/>
    <w:rsid w:val="000B6185"/>
    <w:rsid w:val="000B62DE"/>
    <w:rsid w:val="000B6376"/>
    <w:rsid w:val="000B63DF"/>
    <w:rsid w:val="000B642A"/>
    <w:rsid w:val="000B6510"/>
    <w:rsid w:val="000B653F"/>
    <w:rsid w:val="000B6887"/>
    <w:rsid w:val="000B6888"/>
    <w:rsid w:val="000B692F"/>
    <w:rsid w:val="000B6969"/>
    <w:rsid w:val="000B6A29"/>
    <w:rsid w:val="000B6BC0"/>
    <w:rsid w:val="000B6CFD"/>
    <w:rsid w:val="000B6EF9"/>
    <w:rsid w:val="000B6FD8"/>
    <w:rsid w:val="000B71A4"/>
    <w:rsid w:val="000B71CF"/>
    <w:rsid w:val="000B728D"/>
    <w:rsid w:val="000B72B2"/>
    <w:rsid w:val="000B733E"/>
    <w:rsid w:val="000B7430"/>
    <w:rsid w:val="000B74CA"/>
    <w:rsid w:val="000B74D0"/>
    <w:rsid w:val="000B779C"/>
    <w:rsid w:val="000B77D6"/>
    <w:rsid w:val="000B7AD2"/>
    <w:rsid w:val="000B7B71"/>
    <w:rsid w:val="000B7BBB"/>
    <w:rsid w:val="000B7C10"/>
    <w:rsid w:val="000B7C9B"/>
    <w:rsid w:val="000B7D4F"/>
    <w:rsid w:val="000B7D72"/>
    <w:rsid w:val="000B7D92"/>
    <w:rsid w:val="000B7DE6"/>
    <w:rsid w:val="000B7F01"/>
    <w:rsid w:val="000B7F86"/>
    <w:rsid w:val="000C004C"/>
    <w:rsid w:val="000C00AA"/>
    <w:rsid w:val="000C017F"/>
    <w:rsid w:val="000C01A5"/>
    <w:rsid w:val="000C01E7"/>
    <w:rsid w:val="000C01EC"/>
    <w:rsid w:val="000C0266"/>
    <w:rsid w:val="000C029F"/>
    <w:rsid w:val="000C04E1"/>
    <w:rsid w:val="000C05D9"/>
    <w:rsid w:val="000C06D5"/>
    <w:rsid w:val="000C077E"/>
    <w:rsid w:val="000C08B8"/>
    <w:rsid w:val="000C0918"/>
    <w:rsid w:val="000C0B19"/>
    <w:rsid w:val="000C0BED"/>
    <w:rsid w:val="000C0D13"/>
    <w:rsid w:val="000C12F8"/>
    <w:rsid w:val="000C1308"/>
    <w:rsid w:val="000C1317"/>
    <w:rsid w:val="000C1325"/>
    <w:rsid w:val="000C1570"/>
    <w:rsid w:val="000C17D5"/>
    <w:rsid w:val="000C1EA5"/>
    <w:rsid w:val="000C1F05"/>
    <w:rsid w:val="000C1FF4"/>
    <w:rsid w:val="000C202D"/>
    <w:rsid w:val="000C2167"/>
    <w:rsid w:val="000C2309"/>
    <w:rsid w:val="000C230B"/>
    <w:rsid w:val="000C23BF"/>
    <w:rsid w:val="000C2728"/>
    <w:rsid w:val="000C2821"/>
    <w:rsid w:val="000C2A21"/>
    <w:rsid w:val="000C2A69"/>
    <w:rsid w:val="000C2ADB"/>
    <w:rsid w:val="000C2C1C"/>
    <w:rsid w:val="000C2C8E"/>
    <w:rsid w:val="000C3009"/>
    <w:rsid w:val="000C3140"/>
    <w:rsid w:val="000C3339"/>
    <w:rsid w:val="000C3350"/>
    <w:rsid w:val="000C33EC"/>
    <w:rsid w:val="000C3412"/>
    <w:rsid w:val="000C372C"/>
    <w:rsid w:val="000C3844"/>
    <w:rsid w:val="000C38D4"/>
    <w:rsid w:val="000C38D8"/>
    <w:rsid w:val="000C39CB"/>
    <w:rsid w:val="000C3A75"/>
    <w:rsid w:val="000C3C74"/>
    <w:rsid w:val="000C3CE2"/>
    <w:rsid w:val="000C3E51"/>
    <w:rsid w:val="000C3ED8"/>
    <w:rsid w:val="000C3F12"/>
    <w:rsid w:val="000C3F60"/>
    <w:rsid w:val="000C41C1"/>
    <w:rsid w:val="000C426A"/>
    <w:rsid w:val="000C4604"/>
    <w:rsid w:val="000C465C"/>
    <w:rsid w:val="000C4729"/>
    <w:rsid w:val="000C4941"/>
    <w:rsid w:val="000C4A67"/>
    <w:rsid w:val="000C4D35"/>
    <w:rsid w:val="000C4F90"/>
    <w:rsid w:val="000C5171"/>
    <w:rsid w:val="000C51DF"/>
    <w:rsid w:val="000C558D"/>
    <w:rsid w:val="000C55B1"/>
    <w:rsid w:val="000C55D1"/>
    <w:rsid w:val="000C55F2"/>
    <w:rsid w:val="000C5623"/>
    <w:rsid w:val="000C59BE"/>
    <w:rsid w:val="000C5A16"/>
    <w:rsid w:val="000C5C9C"/>
    <w:rsid w:val="000C5D40"/>
    <w:rsid w:val="000C5D47"/>
    <w:rsid w:val="000C5D61"/>
    <w:rsid w:val="000C5DF2"/>
    <w:rsid w:val="000C6013"/>
    <w:rsid w:val="000C61A7"/>
    <w:rsid w:val="000C620E"/>
    <w:rsid w:val="000C6284"/>
    <w:rsid w:val="000C637C"/>
    <w:rsid w:val="000C648A"/>
    <w:rsid w:val="000C6531"/>
    <w:rsid w:val="000C6639"/>
    <w:rsid w:val="000C66B3"/>
    <w:rsid w:val="000C687A"/>
    <w:rsid w:val="000C6A06"/>
    <w:rsid w:val="000C6A68"/>
    <w:rsid w:val="000C6AF0"/>
    <w:rsid w:val="000C6B08"/>
    <w:rsid w:val="000C6B2C"/>
    <w:rsid w:val="000C6E3F"/>
    <w:rsid w:val="000C6E4A"/>
    <w:rsid w:val="000C6E64"/>
    <w:rsid w:val="000C6ED8"/>
    <w:rsid w:val="000C6EF2"/>
    <w:rsid w:val="000C6F4E"/>
    <w:rsid w:val="000C70B3"/>
    <w:rsid w:val="000C713E"/>
    <w:rsid w:val="000C71FE"/>
    <w:rsid w:val="000C72FD"/>
    <w:rsid w:val="000C73F5"/>
    <w:rsid w:val="000C75B6"/>
    <w:rsid w:val="000C75B9"/>
    <w:rsid w:val="000C76B6"/>
    <w:rsid w:val="000C7749"/>
    <w:rsid w:val="000C779A"/>
    <w:rsid w:val="000C7802"/>
    <w:rsid w:val="000C7AFA"/>
    <w:rsid w:val="000C7B56"/>
    <w:rsid w:val="000C7E2C"/>
    <w:rsid w:val="000C7ECA"/>
    <w:rsid w:val="000C7FB7"/>
    <w:rsid w:val="000C7FD0"/>
    <w:rsid w:val="000D0045"/>
    <w:rsid w:val="000D009C"/>
    <w:rsid w:val="000D00AE"/>
    <w:rsid w:val="000D01EF"/>
    <w:rsid w:val="000D0289"/>
    <w:rsid w:val="000D02DF"/>
    <w:rsid w:val="000D0339"/>
    <w:rsid w:val="000D0427"/>
    <w:rsid w:val="000D04BD"/>
    <w:rsid w:val="000D04E2"/>
    <w:rsid w:val="000D070E"/>
    <w:rsid w:val="000D0812"/>
    <w:rsid w:val="000D08A1"/>
    <w:rsid w:val="000D09EF"/>
    <w:rsid w:val="000D0A01"/>
    <w:rsid w:val="000D0A48"/>
    <w:rsid w:val="000D0A79"/>
    <w:rsid w:val="000D0A8E"/>
    <w:rsid w:val="000D0C6D"/>
    <w:rsid w:val="000D0D9C"/>
    <w:rsid w:val="000D0E0F"/>
    <w:rsid w:val="000D0E79"/>
    <w:rsid w:val="000D0FCC"/>
    <w:rsid w:val="000D101B"/>
    <w:rsid w:val="000D108F"/>
    <w:rsid w:val="000D117E"/>
    <w:rsid w:val="000D1486"/>
    <w:rsid w:val="000D1585"/>
    <w:rsid w:val="000D15E3"/>
    <w:rsid w:val="000D19D9"/>
    <w:rsid w:val="000D1A7F"/>
    <w:rsid w:val="000D1C23"/>
    <w:rsid w:val="000D1E63"/>
    <w:rsid w:val="000D1E97"/>
    <w:rsid w:val="000D1EC6"/>
    <w:rsid w:val="000D2058"/>
    <w:rsid w:val="000D21C6"/>
    <w:rsid w:val="000D226C"/>
    <w:rsid w:val="000D2386"/>
    <w:rsid w:val="000D23B4"/>
    <w:rsid w:val="000D2593"/>
    <w:rsid w:val="000D288A"/>
    <w:rsid w:val="000D28ED"/>
    <w:rsid w:val="000D2BA1"/>
    <w:rsid w:val="000D2C20"/>
    <w:rsid w:val="000D2C56"/>
    <w:rsid w:val="000D35A6"/>
    <w:rsid w:val="000D35C3"/>
    <w:rsid w:val="000D35C8"/>
    <w:rsid w:val="000D382B"/>
    <w:rsid w:val="000D388B"/>
    <w:rsid w:val="000D3905"/>
    <w:rsid w:val="000D399A"/>
    <w:rsid w:val="000D39E1"/>
    <w:rsid w:val="000D3AC6"/>
    <w:rsid w:val="000D3BAF"/>
    <w:rsid w:val="000D3C9B"/>
    <w:rsid w:val="000D3CC4"/>
    <w:rsid w:val="000D3DC1"/>
    <w:rsid w:val="000D3FDB"/>
    <w:rsid w:val="000D4050"/>
    <w:rsid w:val="000D4139"/>
    <w:rsid w:val="000D4443"/>
    <w:rsid w:val="000D46A5"/>
    <w:rsid w:val="000D48CF"/>
    <w:rsid w:val="000D4A1E"/>
    <w:rsid w:val="000D4AD3"/>
    <w:rsid w:val="000D4B86"/>
    <w:rsid w:val="000D4D6F"/>
    <w:rsid w:val="000D5017"/>
    <w:rsid w:val="000D5432"/>
    <w:rsid w:val="000D56FF"/>
    <w:rsid w:val="000D59FB"/>
    <w:rsid w:val="000D5B1F"/>
    <w:rsid w:val="000D5BF6"/>
    <w:rsid w:val="000D5C37"/>
    <w:rsid w:val="000D5C39"/>
    <w:rsid w:val="000D5CC5"/>
    <w:rsid w:val="000D5FCD"/>
    <w:rsid w:val="000D6114"/>
    <w:rsid w:val="000D616E"/>
    <w:rsid w:val="000D6231"/>
    <w:rsid w:val="000D62AC"/>
    <w:rsid w:val="000D630A"/>
    <w:rsid w:val="000D63E6"/>
    <w:rsid w:val="000D6452"/>
    <w:rsid w:val="000D645F"/>
    <w:rsid w:val="000D659B"/>
    <w:rsid w:val="000D6647"/>
    <w:rsid w:val="000D6912"/>
    <w:rsid w:val="000D6943"/>
    <w:rsid w:val="000D6CBE"/>
    <w:rsid w:val="000D7083"/>
    <w:rsid w:val="000D71C4"/>
    <w:rsid w:val="000D7214"/>
    <w:rsid w:val="000D722F"/>
    <w:rsid w:val="000D724C"/>
    <w:rsid w:val="000D7402"/>
    <w:rsid w:val="000D7525"/>
    <w:rsid w:val="000D766D"/>
    <w:rsid w:val="000D77C5"/>
    <w:rsid w:val="000D78BA"/>
    <w:rsid w:val="000D78D4"/>
    <w:rsid w:val="000D78DA"/>
    <w:rsid w:val="000D7928"/>
    <w:rsid w:val="000D79F8"/>
    <w:rsid w:val="000D7A63"/>
    <w:rsid w:val="000D7CAB"/>
    <w:rsid w:val="000D7D91"/>
    <w:rsid w:val="000D7E0A"/>
    <w:rsid w:val="000D7EE5"/>
    <w:rsid w:val="000D7F30"/>
    <w:rsid w:val="000D7FD7"/>
    <w:rsid w:val="000DA1DA"/>
    <w:rsid w:val="000E004A"/>
    <w:rsid w:val="000E0052"/>
    <w:rsid w:val="000E0209"/>
    <w:rsid w:val="000E031F"/>
    <w:rsid w:val="000E0417"/>
    <w:rsid w:val="000E0465"/>
    <w:rsid w:val="000E056C"/>
    <w:rsid w:val="000E05CF"/>
    <w:rsid w:val="000E05FB"/>
    <w:rsid w:val="000E071D"/>
    <w:rsid w:val="000E08FF"/>
    <w:rsid w:val="000E0A12"/>
    <w:rsid w:val="000E0AB1"/>
    <w:rsid w:val="000E0B40"/>
    <w:rsid w:val="000E0C3A"/>
    <w:rsid w:val="000E0CB1"/>
    <w:rsid w:val="000E0DEF"/>
    <w:rsid w:val="000E105A"/>
    <w:rsid w:val="000E116B"/>
    <w:rsid w:val="000E11C0"/>
    <w:rsid w:val="000E12A5"/>
    <w:rsid w:val="000E14EF"/>
    <w:rsid w:val="000E15E0"/>
    <w:rsid w:val="000E1777"/>
    <w:rsid w:val="000E1865"/>
    <w:rsid w:val="000E1B62"/>
    <w:rsid w:val="000E1BA5"/>
    <w:rsid w:val="000E1BB3"/>
    <w:rsid w:val="000E1C36"/>
    <w:rsid w:val="000E2250"/>
    <w:rsid w:val="000E22B4"/>
    <w:rsid w:val="000E22E1"/>
    <w:rsid w:val="000E2642"/>
    <w:rsid w:val="000E2822"/>
    <w:rsid w:val="000E2868"/>
    <w:rsid w:val="000E28B5"/>
    <w:rsid w:val="000E28F8"/>
    <w:rsid w:val="000E292E"/>
    <w:rsid w:val="000E29E4"/>
    <w:rsid w:val="000E2A2A"/>
    <w:rsid w:val="000E2A79"/>
    <w:rsid w:val="000E2B3F"/>
    <w:rsid w:val="000E2C22"/>
    <w:rsid w:val="000E2C62"/>
    <w:rsid w:val="000E2E5D"/>
    <w:rsid w:val="000E2ED8"/>
    <w:rsid w:val="000E2F0D"/>
    <w:rsid w:val="000E2F4E"/>
    <w:rsid w:val="000E2F87"/>
    <w:rsid w:val="000E31BD"/>
    <w:rsid w:val="000E3237"/>
    <w:rsid w:val="000E344C"/>
    <w:rsid w:val="000E34B1"/>
    <w:rsid w:val="000E3A79"/>
    <w:rsid w:val="000E3C23"/>
    <w:rsid w:val="000E3D47"/>
    <w:rsid w:val="000E419A"/>
    <w:rsid w:val="000E42AE"/>
    <w:rsid w:val="000E42D0"/>
    <w:rsid w:val="000E4508"/>
    <w:rsid w:val="000E465E"/>
    <w:rsid w:val="000E478A"/>
    <w:rsid w:val="000E480D"/>
    <w:rsid w:val="000E4A04"/>
    <w:rsid w:val="000E4BFA"/>
    <w:rsid w:val="000E4BFD"/>
    <w:rsid w:val="000E4C66"/>
    <w:rsid w:val="000E4E5E"/>
    <w:rsid w:val="000E5057"/>
    <w:rsid w:val="000E51E8"/>
    <w:rsid w:val="000E52AC"/>
    <w:rsid w:val="000E5575"/>
    <w:rsid w:val="000E55F8"/>
    <w:rsid w:val="000E5725"/>
    <w:rsid w:val="000E59BB"/>
    <w:rsid w:val="000E5A95"/>
    <w:rsid w:val="000E5D3C"/>
    <w:rsid w:val="000E5D5C"/>
    <w:rsid w:val="000E5D62"/>
    <w:rsid w:val="000E5E5F"/>
    <w:rsid w:val="000E5EFC"/>
    <w:rsid w:val="000E602A"/>
    <w:rsid w:val="000E6130"/>
    <w:rsid w:val="000E6313"/>
    <w:rsid w:val="000E6589"/>
    <w:rsid w:val="000E65B7"/>
    <w:rsid w:val="000E678A"/>
    <w:rsid w:val="000E67CA"/>
    <w:rsid w:val="000E68EC"/>
    <w:rsid w:val="000E6C93"/>
    <w:rsid w:val="000E6DCC"/>
    <w:rsid w:val="000E6DD1"/>
    <w:rsid w:val="000E71C4"/>
    <w:rsid w:val="000E7352"/>
    <w:rsid w:val="000E744E"/>
    <w:rsid w:val="000E76E2"/>
    <w:rsid w:val="000E7840"/>
    <w:rsid w:val="000E7924"/>
    <w:rsid w:val="000E7A76"/>
    <w:rsid w:val="000E7CC6"/>
    <w:rsid w:val="000E7D25"/>
    <w:rsid w:val="000E7ECD"/>
    <w:rsid w:val="000E7F4B"/>
    <w:rsid w:val="000F0005"/>
    <w:rsid w:val="000F003E"/>
    <w:rsid w:val="000F0236"/>
    <w:rsid w:val="000F02BC"/>
    <w:rsid w:val="000F02E6"/>
    <w:rsid w:val="000F0512"/>
    <w:rsid w:val="000F062D"/>
    <w:rsid w:val="000F0690"/>
    <w:rsid w:val="000F0B90"/>
    <w:rsid w:val="000F0C0C"/>
    <w:rsid w:val="000F0C2D"/>
    <w:rsid w:val="000F0F2B"/>
    <w:rsid w:val="000F0FDB"/>
    <w:rsid w:val="000F1015"/>
    <w:rsid w:val="000F1092"/>
    <w:rsid w:val="000F13D1"/>
    <w:rsid w:val="000F1505"/>
    <w:rsid w:val="000F1541"/>
    <w:rsid w:val="000F1620"/>
    <w:rsid w:val="000F16E6"/>
    <w:rsid w:val="000F18E0"/>
    <w:rsid w:val="000F1996"/>
    <w:rsid w:val="000F1B62"/>
    <w:rsid w:val="000F1F41"/>
    <w:rsid w:val="000F2080"/>
    <w:rsid w:val="000F23E5"/>
    <w:rsid w:val="000F245E"/>
    <w:rsid w:val="000F2556"/>
    <w:rsid w:val="000F2791"/>
    <w:rsid w:val="000F284E"/>
    <w:rsid w:val="000F296F"/>
    <w:rsid w:val="000F29D2"/>
    <w:rsid w:val="000F2B20"/>
    <w:rsid w:val="000F2C3B"/>
    <w:rsid w:val="000F2D4D"/>
    <w:rsid w:val="000F2F7C"/>
    <w:rsid w:val="000F2FEC"/>
    <w:rsid w:val="000F3031"/>
    <w:rsid w:val="000F3122"/>
    <w:rsid w:val="000F3281"/>
    <w:rsid w:val="000F33DB"/>
    <w:rsid w:val="000F33E1"/>
    <w:rsid w:val="000F3486"/>
    <w:rsid w:val="000F366F"/>
    <w:rsid w:val="000F3843"/>
    <w:rsid w:val="000F39F0"/>
    <w:rsid w:val="000F3A97"/>
    <w:rsid w:val="000F3B23"/>
    <w:rsid w:val="000F3BFF"/>
    <w:rsid w:val="000F3DA1"/>
    <w:rsid w:val="000F3E0C"/>
    <w:rsid w:val="000F3F52"/>
    <w:rsid w:val="000F4003"/>
    <w:rsid w:val="000F4078"/>
    <w:rsid w:val="000F40CB"/>
    <w:rsid w:val="000F4637"/>
    <w:rsid w:val="000F4693"/>
    <w:rsid w:val="000F46D9"/>
    <w:rsid w:val="000F4782"/>
    <w:rsid w:val="000F493A"/>
    <w:rsid w:val="000F4B64"/>
    <w:rsid w:val="000F4E3A"/>
    <w:rsid w:val="000F4F08"/>
    <w:rsid w:val="000F4F19"/>
    <w:rsid w:val="000F510A"/>
    <w:rsid w:val="000F5208"/>
    <w:rsid w:val="000F54DE"/>
    <w:rsid w:val="000F5636"/>
    <w:rsid w:val="000F5711"/>
    <w:rsid w:val="000F5796"/>
    <w:rsid w:val="000F58E8"/>
    <w:rsid w:val="000F597D"/>
    <w:rsid w:val="000F59BA"/>
    <w:rsid w:val="000F59D9"/>
    <w:rsid w:val="000F5B6A"/>
    <w:rsid w:val="000F5C64"/>
    <w:rsid w:val="000F5C89"/>
    <w:rsid w:val="000F5E20"/>
    <w:rsid w:val="000F5FAE"/>
    <w:rsid w:val="000F5FE8"/>
    <w:rsid w:val="000F604A"/>
    <w:rsid w:val="000F608F"/>
    <w:rsid w:val="000F60A6"/>
    <w:rsid w:val="000F60B5"/>
    <w:rsid w:val="000F6194"/>
    <w:rsid w:val="000F620C"/>
    <w:rsid w:val="000F626F"/>
    <w:rsid w:val="000F6306"/>
    <w:rsid w:val="000F64BD"/>
    <w:rsid w:val="000F6534"/>
    <w:rsid w:val="000F65C8"/>
    <w:rsid w:val="000F66BB"/>
    <w:rsid w:val="000F6729"/>
    <w:rsid w:val="000F6765"/>
    <w:rsid w:val="000F6852"/>
    <w:rsid w:val="000F68C3"/>
    <w:rsid w:val="000F698A"/>
    <w:rsid w:val="000F69B7"/>
    <w:rsid w:val="000F6CC6"/>
    <w:rsid w:val="000F704B"/>
    <w:rsid w:val="000F7062"/>
    <w:rsid w:val="000F7189"/>
    <w:rsid w:val="000F72C0"/>
    <w:rsid w:val="000F75C2"/>
    <w:rsid w:val="000F7740"/>
    <w:rsid w:val="000F7990"/>
    <w:rsid w:val="000F79B4"/>
    <w:rsid w:val="000F7A65"/>
    <w:rsid w:val="000F7B86"/>
    <w:rsid w:val="000F7E2A"/>
    <w:rsid w:val="001000B6"/>
    <w:rsid w:val="00100119"/>
    <w:rsid w:val="00100296"/>
    <w:rsid w:val="0010050C"/>
    <w:rsid w:val="00100605"/>
    <w:rsid w:val="001006F1"/>
    <w:rsid w:val="001007F8"/>
    <w:rsid w:val="001008A8"/>
    <w:rsid w:val="00100931"/>
    <w:rsid w:val="0010096B"/>
    <w:rsid w:val="0010097F"/>
    <w:rsid w:val="00100A33"/>
    <w:rsid w:val="00100A38"/>
    <w:rsid w:val="00100A90"/>
    <w:rsid w:val="00100B7C"/>
    <w:rsid w:val="00100C17"/>
    <w:rsid w:val="00100E27"/>
    <w:rsid w:val="00100F0A"/>
    <w:rsid w:val="00100F2D"/>
    <w:rsid w:val="0010103E"/>
    <w:rsid w:val="001010AA"/>
    <w:rsid w:val="001010EA"/>
    <w:rsid w:val="00101325"/>
    <w:rsid w:val="00101428"/>
    <w:rsid w:val="00101443"/>
    <w:rsid w:val="0010167B"/>
    <w:rsid w:val="001016FF"/>
    <w:rsid w:val="001017F6"/>
    <w:rsid w:val="0010192E"/>
    <w:rsid w:val="00101B6E"/>
    <w:rsid w:val="00101C20"/>
    <w:rsid w:val="00101C56"/>
    <w:rsid w:val="00101D18"/>
    <w:rsid w:val="00101D7F"/>
    <w:rsid w:val="00101DA7"/>
    <w:rsid w:val="00101DD0"/>
    <w:rsid w:val="00101F23"/>
    <w:rsid w:val="00102117"/>
    <w:rsid w:val="00102159"/>
    <w:rsid w:val="00102456"/>
    <w:rsid w:val="001026D4"/>
    <w:rsid w:val="00102700"/>
    <w:rsid w:val="00102702"/>
    <w:rsid w:val="00102717"/>
    <w:rsid w:val="0010274C"/>
    <w:rsid w:val="0010275D"/>
    <w:rsid w:val="0010293F"/>
    <w:rsid w:val="00102B4A"/>
    <w:rsid w:val="00102C34"/>
    <w:rsid w:val="00102CEE"/>
    <w:rsid w:val="00102DC7"/>
    <w:rsid w:val="00102F52"/>
    <w:rsid w:val="00103053"/>
    <w:rsid w:val="00103071"/>
    <w:rsid w:val="00103092"/>
    <w:rsid w:val="00103121"/>
    <w:rsid w:val="0010322C"/>
    <w:rsid w:val="00103358"/>
    <w:rsid w:val="0010344D"/>
    <w:rsid w:val="0010361D"/>
    <w:rsid w:val="001036EA"/>
    <w:rsid w:val="0010374F"/>
    <w:rsid w:val="00103B1B"/>
    <w:rsid w:val="00103D19"/>
    <w:rsid w:val="00103E02"/>
    <w:rsid w:val="00103E0F"/>
    <w:rsid w:val="00103F2F"/>
    <w:rsid w:val="0010403B"/>
    <w:rsid w:val="0010403F"/>
    <w:rsid w:val="001040F3"/>
    <w:rsid w:val="00104260"/>
    <w:rsid w:val="001042AF"/>
    <w:rsid w:val="001044FA"/>
    <w:rsid w:val="00104723"/>
    <w:rsid w:val="00104864"/>
    <w:rsid w:val="00104B5E"/>
    <w:rsid w:val="00104BD0"/>
    <w:rsid w:val="00104D03"/>
    <w:rsid w:val="00104EE6"/>
    <w:rsid w:val="00104FC9"/>
    <w:rsid w:val="00105022"/>
    <w:rsid w:val="0010507C"/>
    <w:rsid w:val="001051C0"/>
    <w:rsid w:val="00105306"/>
    <w:rsid w:val="00105502"/>
    <w:rsid w:val="0010572D"/>
    <w:rsid w:val="00105804"/>
    <w:rsid w:val="00105806"/>
    <w:rsid w:val="00105830"/>
    <w:rsid w:val="0010586F"/>
    <w:rsid w:val="00105A18"/>
    <w:rsid w:val="00105AA0"/>
    <w:rsid w:val="00105B66"/>
    <w:rsid w:val="00105BE0"/>
    <w:rsid w:val="00105D87"/>
    <w:rsid w:val="00105EA0"/>
    <w:rsid w:val="00105EC5"/>
    <w:rsid w:val="00105ED1"/>
    <w:rsid w:val="00105F9B"/>
    <w:rsid w:val="00106049"/>
    <w:rsid w:val="001061FD"/>
    <w:rsid w:val="00106259"/>
    <w:rsid w:val="00106324"/>
    <w:rsid w:val="00106425"/>
    <w:rsid w:val="00106993"/>
    <w:rsid w:val="00106B39"/>
    <w:rsid w:val="00106DB8"/>
    <w:rsid w:val="00106E4F"/>
    <w:rsid w:val="00106ED4"/>
    <w:rsid w:val="00106F55"/>
    <w:rsid w:val="0010701C"/>
    <w:rsid w:val="0010702C"/>
    <w:rsid w:val="001074E0"/>
    <w:rsid w:val="001075C5"/>
    <w:rsid w:val="00107646"/>
    <w:rsid w:val="0010767E"/>
    <w:rsid w:val="00107769"/>
    <w:rsid w:val="00107959"/>
    <w:rsid w:val="00107A49"/>
    <w:rsid w:val="00107B71"/>
    <w:rsid w:val="00107DFE"/>
    <w:rsid w:val="00107E0E"/>
    <w:rsid w:val="00107E65"/>
    <w:rsid w:val="00107EB7"/>
    <w:rsid w:val="00107EE2"/>
    <w:rsid w:val="00107FD3"/>
    <w:rsid w:val="001101FB"/>
    <w:rsid w:val="0011027F"/>
    <w:rsid w:val="001102BE"/>
    <w:rsid w:val="00110447"/>
    <w:rsid w:val="001105CA"/>
    <w:rsid w:val="001105DA"/>
    <w:rsid w:val="001105E8"/>
    <w:rsid w:val="0011061D"/>
    <w:rsid w:val="00110862"/>
    <w:rsid w:val="00110945"/>
    <w:rsid w:val="001109E2"/>
    <w:rsid w:val="00110A0E"/>
    <w:rsid w:val="00110ADF"/>
    <w:rsid w:val="00110BFE"/>
    <w:rsid w:val="00110C02"/>
    <w:rsid w:val="00110C7F"/>
    <w:rsid w:val="00110D10"/>
    <w:rsid w:val="00110E4A"/>
    <w:rsid w:val="00110E80"/>
    <w:rsid w:val="00110F38"/>
    <w:rsid w:val="00110F9A"/>
    <w:rsid w:val="00110FB9"/>
    <w:rsid w:val="00111034"/>
    <w:rsid w:val="0011120E"/>
    <w:rsid w:val="0011133C"/>
    <w:rsid w:val="0011163C"/>
    <w:rsid w:val="00111674"/>
    <w:rsid w:val="00111A9E"/>
    <w:rsid w:val="00111E67"/>
    <w:rsid w:val="00111F21"/>
    <w:rsid w:val="00111FB2"/>
    <w:rsid w:val="001121DB"/>
    <w:rsid w:val="001121FE"/>
    <w:rsid w:val="001122BE"/>
    <w:rsid w:val="001123A8"/>
    <w:rsid w:val="0011240E"/>
    <w:rsid w:val="00112412"/>
    <w:rsid w:val="00112620"/>
    <w:rsid w:val="00112673"/>
    <w:rsid w:val="001126DB"/>
    <w:rsid w:val="00112831"/>
    <w:rsid w:val="00112B6C"/>
    <w:rsid w:val="00112CE4"/>
    <w:rsid w:val="00112D68"/>
    <w:rsid w:val="00112EC1"/>
    <w:rsid w:val="00112EF2"/>
    <w:rsid w:val="00112F63"/>
    <w:rsid w:val="00112F90"/>
    <w:rsid w:val="001131F2"/>
    <w:rsid w:val="0011321E"/>
    <w:rsid w:val="0011336D"/>
    <w:rsid w:val="00113477"/>
    <w:rsid w:val="0011348D"/>
    <w:rsid w:val="0011371D"/>
    <w:rsid w:val="00113AEF"/>
    <w:rsid w:val="00113D94"/>
    <w:rsid w:val="00113E81"/>
    <w:rsid w:val="00113EA8"/>
    <w:rsid w:val="0011401F"/>
    <w:rsid w:val="00114060"/>
    <w:rsid w:val="00114192"/>
    <w:rsid w:val="001141DA"/>
    <w:rsid w:val="0011432F"/>
    <w:rsid w:val="0011435D"/>
    <w:rsid w:val="001143BA"/>
    <w:rsid w:val="00114612"/>
    <w:rsid w:val="00114669"/>
    <w:rsid w:val="00114740"/>
    <w:rsid w:val="0011496A"/>
    <w:rsid w:val="00114A3B"/>
    <w:rsid w:val="00114CDE"/>
    <w:rsid w:val="00114D02"/>
    <w:rsid w:val="00115256"/>
    <w:rsid w:val="001152CC"/>
    <w:rsid w:val="001154F3"/>
    <w:rsid w:val="00115729"/>
    <w:rsid w:val="00115757"/>
    <w:rsid w:val="00115A6E"/>
    <w:rsid w:val="00115BE7"/>
    <w:rsid w:val="00115BF5"/>
    <w:rsid w:val="00115E18"/>
    <w:rsid w:val="00115E7C"/>
    <w:rsid w:val="00115EC7"/>
    <w:rsid w:val="00115F7F"/>
    <w:rsid w:val="0011602A"/>
    <w:rsid w:val="001160B7"/>
    <w:rsid w:val="0011616A"/>
    <w:rsid w:val="001161C7"/>
    <w:rsid w:val="00116588"/>
    <w:rsid w:val="00116599"/>
    <w:rsid w:val="001165AB"/>
    <w:rsid w:val="00116819"/>
    <w:rsid w:val="00116890"/>
    <w:rsid w:val="00116999"/>
    <w:rsid w:val="00116C01"/>
    <w:rsid w:val="00116C34"/>
    <w:rsid w:val="00116D10"/>
    <w:rsid w:val="00116E86"/>
    <w:rsid w:val="00116EC3"/>
    <w:rsid w:val="00116F00"/>
    <w:rsid w:val="00117001"/>
    <w:rsid w:val="00117177"/>
    <w:rsid w:val="00117230"/>
    <w:rsid w:val="0011726C"/>
    <w:rsid w:val="001173ED"/>
    <w:rsid w:val="0011761B"/>
    <w:rsid w:val="0011774B"/>
    <w:rsid w:val="00117B0C"/>
    <w:rsid w:val="00117C1E"/>
    <w:rsid w:val="00117C78"/>
    <w:rsid w:val="00117E74"/>
    <w:rsid w:val="00120186"/>
    <w:rsid w:val="0012024A"/>
    <w:rsid w:val="001202C5"/>
    <w:rsid w:val="001203E9"/>
    <w:rsid w:val="00120552"/>
    <w:rsid w:val="001205D5"/>
    <w:rsid w:val="00120605"/>
    <w:rsid w:val="001206AD"/>
    <w:rsid w:val="00120737"/>
    <w:rsid w:val="00120AC4"/>
    <w:rsid w:val="00120B0C"/>
    <w:rsid w:val="00120B16"/>
    <w:rsid w:val="00120B97"/>
    <w:rsid w:val="00120BCD"/>
    <w:rsid w:val="00120F4B"/>
    <w:rsid w:val="00121015"/>
    <w:rsid w:val="0012130A"/>
    <w:rsid w:val="001213C6"/>
    <w:rsid w:val="00121488"/>
    <w:rsid w:val="0012148D"/>
    <w:rsid w:val="00121564"/>
    <w:rsid w:val="001216B5"/>
    <w:rsid w:val="00121738"/>
    <w:rsid w:val="001217C7"/>
    <w:rsid w:val="001219AA"/>
    <w:rsid w:val="00121A85"/>
    <w:rsid w:val="00121ACA"/>
    <w:rsid w:val="00121B3A"/>
    <w:rsid w:val="00121BC5"/>
    <w:rsid w:val="00121CF9"/>
    <w:rsid w:val="00121D3D"/>
    <w:rsid w:val="00121D88"/>
    <w:rsid w:val="00121DC6"/>
    <w:rsid w:val="00121F40"/>
    <w:rsid w:val="0012215C"/>
    <w:rsid w:val="001222F3"/>
    <w:rsid w:val="0012250C"/>
    <w:rsid w:val="001225C7"/>
    <w:rsid w:val="00122827"/>
    <w:rsid w:val="001228B6"/>
    <w:rsid w:val="001228C2"/>
    <w:rsid w:val="001229BB"/>
    <w:rsid w:val="00122C4C"/>
    <w:rsid w:val="00122CC4"/>
    <w:rsid w:val="00122D79"/>
    <w:rsid w:val="00122E7C"/>
    <w:rsid w:val="00122EBA"/>
    <w:rsid w:val="00123031"/>
    <w:rsid w:val="0012304F"/>
    <w:rsid w:val="00123093"/>
    <w:rsid w:val="001231D3"/>
    <w:rsid w:val="0012323E"/>
    <w:rsid w:val="00123308"/>
    <w:rsid w:val="00123324"/>
    <w:rsid w:val="0012355D"/>
    <w:rsid w:val="0012366C"/>
    <w:rsid w:val="001238C9"/>
    <w:rsid w:val="00123A4A"/>
    <w:rsid w:val="00123AD3"/>
    <w:rsid w:val="00123B8C"/>
    <w:rsid w:val="00123D1B"/>
    <w:rsid w:val="00123DA1"/>
    <w:rsid w:val="00123DE6"/>
    <w:rsid w:val="00123F47"/>
    <w:rsid w:val="00123F97"/>
    <w:rsid w:val="00123FAB"/>
    <w:rsid w:val="0012435C"/>
    <w:rsid w:val="001243BA"/>
    <w:rsid w:val="001243F3"/>
    <w:rsid w:val="00124426"/>
    <w:rsid w:val="00124445"/>
    <w:rsid w:val="001244E1"/>
    <w:rsid w:val="00124523"/>
    <w:rsid w:val="001245F0"/>
    <w:rsid w:val="001247B8"/>
    <w:rsid w:val="0012480A"/>
    <w:rsid w:val="00124C38"/>
    <w:rsid w:val="00124CE4"/>
    <w:rsid w:val="0012504C"/>
    <w:rsid w:val="00125090"/>
    <w:rsid w:val="00125109"/>
    <w:rsid w:val="001251EC"/>
    <w:rsid w:val="00125345"/>
    <w:rsid w:val="0012543D"/>
    <w:rsid w:val="001254C4"/>
    <w:rsid w:val="00125524"/>
    <w:rsid w:val="00125558"/>
    <w:rsid w:val="0012568E"/>
    <w:rsid w:val="00125695"/>
    <w:rsid w:val="001256E3"/>
    <w:rsid w:val="00125783"/>
    <w:rsid w:val="001257AC"/>
    <w:rsid w:val="0012581B"/>
    <w:rsid w:val="00125B42"/>
    <w:rsid w:val="00125B56"/>
    <w:rsid w:val="00125BF2"/>
    <w:rsid w:val="00125C8A"/>
    <w:rsid w:val="00125E9F"/>
    <w:rsid w:val="00125EA9"/>
    <w:rsid w:val="00126034"/>
    <w:rsid w:val="00126126"/>
    <w:rsid w:val="00126144"/>
    <w:rsid w:val="001264A3"/>
    <w:rsid w:val="001265DD"/>
    <w:rsid w:val="00126861"/>
    <w:rsid w:val="001268A3"/>
    <w:rsid w:val="001268BA"/>
    <w:rsid w:val="00126CBC"/>
    <w:rsid w:val="00126D32"/>
    <w:rsid w:val="00126D68"/>
    <w:rsid w:val="00127015"/>
    <w:rsid w:val="001271A4"/>
    <w:rsid w:val="00127212"/>
    <w:rsid w:val="0012722E"/>
    <w:rsid w:val="001273F2"/>
    <w:rsid w:val="00127681"/>
    <w:rsid w:val="001276AA"/>
    <w:rsid w:val="00127724"/>
    <w:rsid w:val="00127739"/>
    <w:rsid w:val="00127A48"/>
    <w:rsid w:val="00127A92"/>
    <w:rsid w:val="00127A93"/>
    <w:rsid w:val="00127B63"/>
    <w:rsid w:val="00127E31"/>
    <w:rsid w:val="00127EA9"/>
    <w:rsid w:val="00127F92"/>
    <w:rsid w:val="00130187"/>
    <w:rsid w:val="00130260"/>
    <w:rsid w:val="0013036E"/>
    <w:rsid w:val="0013040D"/>
    <w:rsid w:val="00130572"/>
    <w:rsid w:val="00130869"/>
    <w:rsid w:val="00130A56"/>
    <w:rsid w:val="00130C27"/>
    <w:rsid w:val="00130C35"/>
    <w:rsid w:val="00130CD4"/>
    <w:rsid w:val="00130D2B"/>
    <w:rsid w:val="00130DA4"/>
    <w:rsid w:val="00130E45"/>
    <w:rsid w:val="00130EF4"/>
    <w:rsid w:val="00130F6C"/>
    <w:rsid w:val="00130FAC"/>
    <w:rsid w:val="00130FAE"/>
    <w:rsid w:val="00131028"/>
    <w:rsid w:val="001312D2"/>
    <w:rsid w:val="001315B3"/>
    <w:rsid w:val="00131676"/>
    <w:rsid w:val="0013168F"/>
    <w:rsid w:val="0013187B"/>
    <w:rsid w:val="0013188D"/>
    <w:rsid w:val="00131B07"/>
    <w:rsid w:val="00131B65"/>
    <w:rsid w:val="00131B79"/>
    <w:rsid w:val="00131BD2"/>
    <w:rsid w:val="00131FF6"/>
    <w:rsid w:val="0013202A"/>
    <w:rsid w:val="00132106"/>
    <w:rsid w:val="0013215E"/>
    <w:rsid w:val="001321D6"/>
    <w:rsid w:val="0013237F"/>
    <w:rsid w:val="001323CA"/>
    <w:rsid w:val="001326EE"/>
    <w:rsid w:val="001326FF"/>
    <w:rsid w:val="001327DE"/>
    <w:rsid w:val="00132A5F"/>
    <w:rsid w:val="00132AA9"/>
    <w:rsid w:val="00132B09"/>
    <w:rsid w:val="00132BF6"/>
    <w:rsid w:val="00132F28"/>
    <w:rsid w:val="00132FDA"/>
    <w:rsid w:val="0013336B"/>
    <w:rsid w:val="00133535"/>
    <w:rsid w:val="00133783"/>
    <w:rsid w:val="001338F8"/>
    <w:rsid w:val="0013399A"/>
    <w:rsid w:val="00133A95"/>
    <w:rsid w:val="00133ABE"/>
    <w:rsid w:val="00133AC7"/>
    <w:rsid w:val="00133CC9"/>
    <w:rsid w:val="00133DA6"/>
    <w:rsid w:val="00133EA2"/>
    <w:rsid w:val="00133F27"/>
    <w:rsid w:val="00133F3F"/>
    <w:rsid w:val="00133FD2"/>
    <w:rsid w:val="00133FE7"/>
    <w:rsid w:val="00134090"/>
    <w:rsid w:val="001340E4"/>
    <w:rsid w:val="001340E9"/>
    <w:rsid w:val="001340FB"/>
    <w:rsid w:val="00134290"/>
    <w:rsid w:val="001343E9"/>
    <w:rsid w:val="00134482"/>
    <w:rsid w:val="0013458A"/>
    <w:rsid w:val="0013469B"/>
    <w:rsid w:val="001346CE"/>
    <w:rsid w:val="00134858"/>
    <w:rsid w:val="0013496E"/>
    <w:rsid w:val="00134AC7"/>
    <w:rsid w:val="00134DD9"/>
    <w:rsid w:val="00134EC9"/>
    <w:rsid w:val="00134FA6"/>
    <w:rsid w:val="0013513D"/>
    <w:rsid w:val="0013514A"/>
    <w:rsid w:val="001352EE"/>
    <w:rsid w:val="001354BF"/>
    <w:rsid w:val="001355C5"/>
    <w:rsid w:val="00135642"/>
    <w:rsid w:val="001358EC"/>
    <w:rsid w:val="00135923"/>
    <w:rsid w:val="0013594B"/>
    <w:rsid w:val="0013596F"/>
    <w:rsid w:val="00135B63"/>
    <w:rsid w:val="00135C9B"/>
    <w:rsid w:val="00135E3D"/>
    <w:rsid w:val="00135F05"/>
    <w:rsid w:val="00135FF4"/>
    <w:rsid w:val="001360EE"/>
    <w:rsid w:val="001361CD"/>
    <w:rsid w:val="00136227"/>
    <w:rsid w:val="00136595"/>
    <w:rsid w:val="001365C3"/>
    <w:rsid w:val="0013680A"/>
    <w:rsid w:val="00136882"/>
    <w:rsid w:val="00136C56"/>
    <w:rsid w:val="00136D89"/>
    <w:rsid w:val="00136DAB"/>
    <w:rsid w:val="00136DB1"/>
    <w:rsid w:val="00136EBB"/>
    <w:rsid w:val="00137123"/>
    <w:rsid w:val="001371A0"/>
    <w:rsid w:val="00137240"/>
    <w:rsid w:val="0013727E"/>
    <w:rsid w:val="001373AF"/>
    <w:rsid w:val="0013744A"/>
    <w:rsid w:val="001374DE"/>
    <w:rsid w:val="00137546"/>
    <w:rsid w:val="00137B09"/>
    <w:rsid w:val="00137B41"/>
    <w:rsid w:val="00137BCA"/>
    <w:rsid w:val="00137D6B"/>
    <w:rsid w:val="00140173"/>
    <w:rsid w:val="00140438"/>
    <w:rsid w:val="001404E8"/>
    <w:rsid w:val="001405F6"/>
    <w:rsid w:val="001406F7"/>
    <w:rsid w:val="001407A8"/>
    <w:rsid w:val="0014086F"/>
    <w:rsid w:val="0014090F"/>
    <w:rsid w:val="00140C24"/>
    <w:rsid w:val="00140D47"/>
    <w:rsid w:val="00140EA4"/>
    <w:rsid w:val="001410A5"/>
    <w:rsid w:val="001410D5"/>
    <w:rsid w:val="00141222"/>
    <w:rsid w:val="00141266"/>
    <w:rsid w:val="001416BE"/>
    <w:rsid w:val="001416CA"/>
    <w:rsid w:val="00141B6B"/>
    <w:rsid w:val="00141BB1"/>
    <w:rsid w:val="00141BBF"/>
    <w:rsid w:val="00141D5C"/>
    <w:rsid w:val="00141DC3"/>
    <w:rsid w:val="00141E81"/>
    <w:rsid w:val="00141F94"/>
    <w:rsid w:val="00141FB7"/>
    <w:rsid w:val="00142039"/>
    <w:rsid w:val="00142051"/>
    <w:rsid w:val="0014214C"/>
    <w:rsid w:val="00142168"/>
    <w:rsid w:val="0014221A"/>
    <w:rsid w:val="001424B5"/>
    <w:rsid w:val="00142565"/>
    <w:rsid w:val="00142625"/>
    <w:rsid w:val="00142876"/>
    <w:rsid w:val="001429E1"/>
    <w:rsid w:val="00142BAB"/>
    <w:rsid w:val="00142BE7"/>
    <w:rsid w:val="00142BEF"/>
    <w:rsid w:val="00142C67"/>
    <w:rsid w:val="00142CEE"/>
    <w:rsid w:val="00142D68"/>
    <w:rsid w:val="00142F0A"/>
    <w:rsid w:val="0014300D"/>
    <w:rsid w:val="00143051"/>
    <w:rsid w:val="001431B4"/>
    <w:rsid w:val="0014321E"/>
    <w:rsid w:val="001432C5"/>
    <w:rsid w:val="001433D6"/>
    <w:rsid w:val="001434B8"/>
    <w:rsid w:val="00143525"/>
    <w:rsid w:val="00143542"/>
    <w:rsid w:val="0014359C"/>
    <w:rsid w:val="001435EE"/>
    <w:rsid w:val="00143636"/>
    <w:rsid w:val="001438CE"/>
    <w:rsid w:val="00143955"/>
    <w:rsid w:val="00143A77"/>
    <w:rsid w:val="00143A9B"/>
    <w:rsid w:val="00143AA2"/>
    <w:rsid w:val="00143B0D"/>
    <w:rsid w:val="00143B34"/>
    <w:rsid w:val="00143BC7"/>
    <w:rsid w:val="00143D0B"/>
    <w:rsid w:val="00143D1E"/>
    <w:rsid w:val="00143D87"/>
    <w:rsid w:val="00143DFE"/>
    <w:rsid w:val="00144452"/>
    <w:rsid w:val="00144507"/>
    <w:rsid w:val="00144583"/>
    <w:rsid w:val="001445AC"/>
    <w:rsid w:val="001449A3"/>
    <w:rsid w:val="00144A9D"/>
    <w:rsid w:val="00144BA3"/>
    <w:rsid w:val="00144BD0"/>
    <w:rsid w:val="00144DBA"/>
    <w:rsid w:val="00144E61"/>
    <w:rsid w:val="00144FD0"/>
    <w:rsid w:val="00145233"/>
    <w:rsid w:val="0014525C"/>
    <w:rsid w:val="0014556A"/>
    <w:rsid w:val="001456C1"/>
    <w:rsid w:val="001458D5"/>
    <w:rsid w:val="00145A15"/>
    <w:rsid w:val="00145A33"/>
    <w:rsid w:val="00145A4D"/>
    <w:rsid w:val="00145A6E"/>
    <w:rsid w:val="00145B4B"/>
    <w:rsid w:val="00145BFB"/>
    <w:rsid w:val="00145D39"/>
    <w:rsid w:val="00145F7D"/>
    <w:rsid w:val="00145F82"/>
    <w:rsid w:val="001460FD"/>
    <w:rsid w:val="00146135"/>
    <w:rsid w:val="001461E1"/>
    <w:rsid w:val="001461E3"/>
    <w:rsid w:val="0014622A"/>
    <w:rsid w:val="00146479"/>
    <w:rsid w:val="00146533"/>
    <w:rsid w:val="001467AF"/>
    <w:rsid w:val="0014688D"/>
    <w:rsid w:val="001469E3"/>
    <w:rsid w:val="00146BF4"/>
    <w:rsid w:val="00146C8F"/>
    <w:rsid w:val="00146DC3"/>
    <w:rsid w:val="00146E31"/>
    <w:rsid w:val="0014703E"/>
    <w:rsid w:val="0014726A"/>
    <w:rsid w:val="001473B8"/>
    <w:rsid w:val="001473B9"/>
    <w:rsid w:val="00147411"/>
    <w:rsid w:val="001474B3"/>
    <w:rsid w:val="001474EE"/>
    <w:rsid w:val="00147748"/>
    <w:rsid w:val="0014774B"/>
    <w:rsid w:val="00147880"/>
    <w:rsid w:val="00147B1B"/>
    <w:rsid w:val="00147C8B"/>
    <w:rsid w:val="00147C95"/>
    <w:rsid w:val="00147E39"/>
    <w:rsid w:val="00147E96"/>
    <w:rsid w:val="00150017"/>
    <w:rsid w:val="0015025A"/>
    <w:rsid w:val="0015028C"/>
    <w:rsid w:val="0015058E"/>
    <w:rsid w:val="0015066B"/>
    <w:rsid w:val="00150711"/>
    <w:rsid w:val="0015072A"/>
    <w:rsid w:val="001509C0"/>
    <w:rsid w:val="00150AB9"/>
    <w:rsid w:val="00150B80"/>
    <w:rsid w:val="00150BC0"/>
    <w:rsid w:val="00150C9D"/>
    <w:rsid w:val="00150CD7"/>
    <w:rsid w:val="00150DB9"/>
    <w:rsid w:val="00150F18"/>
    <w:rsid w:val="001510EF"/>
    <w:rsid w:val="00151231"/>
    <w:rsid w:val="00151413"/>
    <w:rsid w:val="00151656"/>
    <w:rsid w:val="00151685"/>
    <w:rsid w:val="00151797"/>
    <w:rsid w:val="00151966"/>
    <w:rsid w:val="00151B5E"/>
    <w:rsid w:val="00151CA7"/>
    <w:rsid w:val="00152148"/>
    <w:rsid w:val="00152246"/>
    <w:rsid w:val="001523E1"/>
    <w:rsid w:val="0015255D"/>
    <w:rsid w:val="0015259A"/>
    <w:rsid w:val="00152648"/>
    <w:rsid w:val="00152713"/>
    <w:rsid w:val="0015284D"/>
    <w:rsid w:val="00152960"/>
    <w:rsid w:val="00152B6D"/>
    <w:rsid w:val="00152BBE"/>
    <w:rsid w:val="00152D3A"/>
    <w:rsid w:val="00152F06"/>
    <w:rsid w:val="00152F1C"/>
    <w:rsid w:val="0015316C"/>
    <w:rsid w:val="001532A7"/>
    <w:rsid w:val="001534D9"/>
    <w:rsid w:val="001535CA"/>
    <w:rsid w:val="0015363D"/>
    <w:rsid w:val="0015368D"/>
    <w:rsid w:val="0015380D"/>
    <w:rsid w:val="001539C9"/>
    <w:rsid w:val="00153AE3"/>
    <w:rsid w:val="00153BD3"/>
    <w:rsid w:val="00153C0E"/>
    <w:rsid w:val="00153E63"/>
    <w:rsid w:val="00154257"/>
    <w:rsid w:val="00154389"/>
    <w:rsid w:val="001546BC"/>
    <w:rsid w:val="0015497B"/>
    <w:rsid w:val="00154A24"/>
    <w:rsid w:val="00154B2D"/>
    <w:rsid w:val="00154B7C"/>
    <w:rsid w:val="00154B9A"/>
    <w:rsid w:val="00154BBE"/>
    <w:rsid w:val="00154BFF"/>
    <w:rsid w:val="00154D0B"/>
    <w:rsid w:val="00154E5F"/>
    <w:rsid w:val="00154FD8"/>
    <w:rsid w:val="00155006"/>
    <w:rsid w:val="001552B6"/>
    <w:rsid w:val="001552B7"/>
    <w:rsid w:val="0015531B"/>
    <w:rsid w:val="0015538D"/>
    <w:rsid w:val="00155474"/>
    <w:rsid w:val="00155677"/>
    <w:rsid w:val="001558A9"/>
    <w:rsid w:val="001558B7"/>
    <w:rsid w:val="00155C56"/>
    <w:rsid w:val="00155CE4"/>
    <w:rsid w:val="001560DE"/>
    <w:rsid w:val="0015618B"/>
    <w:rsid w:val="00156233"/>
    <w:rsid w:val="0015671B"/>
    <w:rsid w:val="00156870"/>
    <w:rsid w:val="00156991"/>
    <w:rsid w:val="00156AFA"/>
    <w:rsid w:val="00156D3A"/>
    <w:rsid w:val="00156DC2"/>
    <w:rsid w:val="00156E52"/>
    <w:rsid w:val="00156F04"/>
    <w:rsid w:val="00156FA2"/>
    <w:rsid w:val="00156FD9"/>
    <w:rsid w:val="0015729F"/>
    <w:rsid w:val="00157364"/>
    <w:rsid w:val="00157366"/>
    <w:rsid w:val="00157568"/>
    <w:rsid w:val="001575A4"/>
    <w:rsid w:val="00157602"/>
    <w:rsid w:val="00157609"/>
    <w:rsid w:val="001579A3"/>
    <w:rsid w:val="001579BF"/>
    <w:rsid w:val="00157B78"/>
    <w:rsid w:val="00157CB3"/>
    <w:rsid w:val="001601AC"/>
    <w:rsid w:val="001601B0"/>
    <w:rsid w:val="00160300"/>
    <w:rsid w:val="0016035E"/>
    <w:rsid w:val="00160400"/>
    <w:rsid w:val="00160685"/>
    <w:rsid w:val="001606CF"/>
    <w:rsid w:val="0016074E"/>
    <w:rsid w:val="001607BF"/>
    <w:rsid w:val="001609E8"/>
    <w:rsid w:val="00160B10"/>
    <w:rsid w:val="00160BA0"/>
    <w:rsid w:val="00160C69"/>
    <w:rsid w:val="00160C7F"/>
    <w:rsid w:val="00160D9B"/>
    <w:rsid w:val="00160DC4"/>
    <w:rsid w:val="00160FA3"/>
    <w:rsid w:val="001610DE"/>
    <w:rsid w:val="00161221"/>
    <w:rsid w:val="0016137D"/>
    <w:rsid w:val="001614A9"/>
    <w:rsid w:val="001617BD"/>
    <w:rsid w:val="00161869"/>
    <w:rsid w:val="001618F4"/>
    <w:rsid w:val="0016190A"/>
    <w:rsid w:val="00161A07"/>
    <w:rsid w:val="00161AB6"/>
    <w:rsid w:val="00161BC1"/>
    <w:rsid w:val="00161E53"/>
    <w:rsid w:val="00161E75"/>
    <w:rsid w:val="00161F76"/>
    <w:rsid w:val="001621CC"/>
    <w:rsid w:val="00162377"/>
    <w:rsid w:val="001624EB"/>
    <w:rsid w:val="001625E3"/>
    <w:rsid w:val="00162639"/>
    <w:rsid w:val="001627BF"/>
    <w:rsid w:val="00162891"/>
    <w:rsid w:val="00162BC9"/>
    <w:rsid w:val="00162C04"/>
    <w:rsid w:val="00162D57"/>
    <w:rsid w:val="00162FA8"/>
    <w:rsid w:val="0016304A"/>
    <w:rsid w:val="00163216"/>
    <w:rsid w:val="0016328C"/>
    <w:rsid w:val="0016339C"/>
    <w:rsid w:val="00163555"/>
    <w:rsid w:val="00163598"/>
    <w:rsid w:val="001636D6"/>
    <w:rsid w:val="0016390A"/>
    <w:rsid w:val="0016392F"/>
    <w:rsid w:val="00163D46"/>
    <w:rsid w:val="00163E77"/>
    <w:rsid w:val="00163F1A"/>
    <w:rsid w:val="00163F81"/>
    <w:rsid w:val="00163F99"/>
    <w:rsid w:val="00164336"/>
    <w:rsid w:val="001644BC"/>
    <w:rsid w:val="001646D3"/>
    <w:rsid w:val="001647FF"/>
    <w:rsid w:val="00164902"/>
    <w:rsid w:val="00164962"/>
    <w:rsid w:val="00164DBE"/>
    <w:rsid w:val="00164DF4"/>
    <w:rsid w:val="00164E54"/>
    <w:rsid w:val="001650A0"/>
    <w:rsid w:val="0016522C"/>
    <w:rsid w:val="001652B9"/>
    <w:rsid w:val="0016543A"/>
    <w:rsid w:val="001655ED"/>
    <w:rsid w:val="00165704"/>
    <w:rsid w:val="0016594E"/>
    <w:rsid w:val="0016597D"/>
    <w:rsid w:val="001659BD"/>
    <w:rsid w:val="00165AFE"/>
    <w:rsid w:val="00165B8F"/>
    <w:rsid w:val="00165CD4"/>
    <w:rsid w:val="00165F92"/>
    <w:rsid w:val="001660B5"/>
    <w:rsid w:val="00166115"/>
    <w:rsid w:val="00166263"/>
    <w:rsid w:val="00166400"/>
    <w:rsid w:val="001665B8"/>
    <w:rsid w:val="001665BB"/>
    <w:rsid w:val="001665C5"/>
    <w:rsid w:val="00166618"/>
    <w:rsid w:val="00166966"/>
    <w:rsid w:val="00166B02"/>
    <w:rsid w:val="00166EBF"/>
    <w:rsid w:val="00166EDA"/>
    <w:rsid w:val="00166EF9"/>
    <w:rsid w:val="00166F14"/>
    <w:rsid w:val="00166FDA"/>
    <w:rsid w:val="00167235"/>
    <w:rsid w:val="0016753E"/>
    <w:rsid w:val="00167568"/>
    <w:rsid w:val="001675D2"/>
    <w:rsid w:val="00167685"/>
    <w:rsid w:val="00167696"/>
    <w:rsid w:val="00167770"/>
    <w:rsid w:val="00167858"/>
    <w:rsid w:val="0016785B"/>
    <w:rsid w:val="001678C2"/>
    <w:rsid w:val="0016799B"/>
    <w:rsid w:val="001679AD"/>
    <w:rsid w:val="00167E1F"/>
    <w:rsid w:val="0017028C"/>
    <w:rsid w:val="00170329"/>
    <w:rsid w:val="001703CB"/>
    <w:rsid w:val="00170467"/>
    <w:rsid w:val="001704B3"/>
    <w:rsid w:val="0017051A"/>
    <w:rsid w:val="00170745"/>
    <w:rsid w:val="00170A2A"/>
    <w:rsid w:val="00170B08"/>
    <w:rsid w:val="00170B70"/>
    <w:rsid w:val="00170BF0"/>
    <w:rsid w:val="001710BF"/>
    <w:rsid w:val="00171271"/>
    <w:rsid w:val="001715DE"/>
    <w:rsid w:val="00171790"/>
    <w:rsid w:val="001717AB"/>
    <w:rsid w:val="001719B6"/>
    <w:rsid w:val="00171AD9"/>
    <w:rsid w:val="00171B6D"/>
    <w:rsid w:val="00171D58"/>
    <w:rsid w:val="00171DE6"/>
    <w:rsid w:val="00171E4D"/>
    <w:rsid w:val="00171E5C"/>
    <w:rsid w:val="00171F18"/>
    <w:rsid w:val="00171F5C"/>
    <w:rsid w:val="0017208E"/>
    <w:rsid w:val="00172135"/>
    <w:rsid w:val="00172385"/>
    <w:rsid w:val="00172480"/>
    <w:rsid w:val="00172502"/>
    <w:rsid w:val="00172640"/>
    <w:rsid w:val="0017267E"/>
    <w:rsid w:val="00172912"/>
    <w:rsid w:val="0017295D"/>
    <w:rsid w:val="00172B82"/>
    <w:rsid w:val="00172BF1"/>
    <w:rsid w:val="00172DFE"/>
    <w:rsid w:val="00173032"/>
    <w:rsid w:val="001731E6"/>
    <w:rsid w:val="00173226"/>
    <w:rsid w:val="001732F6"/>
    <w:rsid w:val="00173541"/>
    <w:rsid w:val="00173579"/>
    <w:rsid w:val="001735E9"/>
    <w:rsid w:val="001737BF"/>
    <w:rsid w:val="0017389A"/>
    <w:rsid w:val="00173923"/>
    <w:rsid w:val="00173A4B"/>
    <w:rsid w:val="00173B8C"/>
    <w:rsid w:val="00173BE6"/>
    <w:rsid w:val="00173C3A"/>
    <w:rsid w:val="00173CE9"/>
    <w:rsid w:val="00174054"/>
    <w:rsid w:val="001741B2"/>
    <w:rsid w:val="00174247"/>
    <w:rsid w:val="001742E2"/>
    <w:rsid w:val="00174613"/>
    <w:rsid w:val="001746DD"/>
    <w:rsid w:val="00174744"/>
    <w:rsid w:val="00174774"/>
    <w:rsid w:val="00174855"/>
    <w:rsid w:val="001748D1"/>
    <w:rsid w:val="00174AF9"/>
    <w:rsid w:val="00174B1A"/>
    <w:rsid w:val="00174B29"/>
    <w:rsid w:val="00174BFB"/>
    <w:rsid w:val="00174D5B"/>
    <w:rsid w:val="00174D74"/>
    <w:rsid w:val="00174F32"/>
    <w:rsid w:val="00175219"/>
    <w:rsid w:val="00175390"/>
    <w:rsid w:val="001754E3"/>
    <w:rsid w:val="00175628"/>
    <w:rsid w:val="001757B9"/>
    <w:rsid w:val="001758C2"/>
    <w:rsid w:val="00175925"/>
    <w:rsid w:val="00175C39"/>
    <w:rsid w:val="00175CF2"/>
    <w:rsid w:val="00175DED"/>
    <w:rsid w:val="00175E0B"/>
    <w:rsid w:val="00175FEF"/>
    <w:rsid w:val="00176137"/>
    <w:rsid w:val="001761E0"/>
    <w:rsid w:val="001762C6"/>
    <w:rsid w:val="0017638F"/>
    <w:rsid w:val="00176413"/>
    <w:rsid w:val="001764DB"/>
    <w:rsid w:val="0017654B"/>
    <w:rsid w:val="00176740"/>
    <w:rsid w:val="00176AAE"/>
    <w:rsid w:val="00176B94"/>
    <w:rsid w:val="00176BBC"/>
    <w:rsid w:val="00176C2B"/>
    <w:rsid w:val="00176CCB"/>
    <w:rsid w:val="00176E26"/>
    <w:rsid w:val="00176FD2"/>
    <w:rsid w:val="001770C0"/>
    <w:rsid w:val="00177312"/>
    <w:rsid w:val="0017776D"/>
    <w:rsid w:val="001777E7"/>
    <w:rsid w:val="00177831"/>
    <w:rsid w:val="001778A7"/>
    <w:rsid w:val="001778B5"/>
    <w:rsid w:val="00177AF7"/>
    <w:rsid w:val="00177BA9"/>
    <w:rsid w:val="00177F29"/>
    <w:rsid w:val="00177FBC"/>
    <w:rsid w:val="00180129"/>
    <w:rsid w:val="001801F6"/>
    <w:rsid w:val="001802CE"/>
    <w:rsid w:val="001802FC"/>
    <w:rsid w:val="001806AE"/>
    <w:rsid w:val="001806C3"/>
    <w:rsid w:val="0018089B"/>
    <w:rsid w:val="001808EA"/>
    <w:rsid w:val="00180947"/>
    <w:rsid w:val="001809E0"/>
    <w:rsid w:val="00180BD8"/>
    <w:rsid w:val="00180C6D"/>
    <w:rsid w:val="00180C9F"/>
    <w:rsid w:val="00180DDE"/>
    <w:rsid w:val="00180EAC"/>
    <w:rsid w:val="00180EB2"/>
    <w:rsid w:val="00181097"/>
    <w:rsid w:val="00181148"/>
    <w:rsid w:val="001812A9"/>
    <w:rsid w:val="001814B7"/>
    <w:rsid w:val="0018161D"/>
    <w:rsid w:val="0018182A"/>
    <w:rsid w:val="00181EB6"/>
    <w:rsid w:val="00181FD8"/>
    <w:rsid w:val="0018202E"/>
    <w:rsid w:val="001820C0"/>
    <w:rsid w:val="00182424"/>
    <w:rsid w:val="00182508"/>
    <w:rsid w:val="0018258B"/>
    <w:rsid w:val="00182682"/>
    <w:rsid w:val="001827A5"/>
    <w:rsid w:val="00182824"/>
    <w:rsid w:val="00182877"/>
    <w:rsid w:val="00182A6F"/>
    <w:rsid w:val="00182A70"/>
    <w:rsid w:val="00182AA0"/>
    <w:rsid w:val="00182B22"/>
    <w:rsid w:val="00182BC3"/>
    <w:rsid w:val="00182C4B"/>
    <w:rsid w:val="00182C58"/>
    <w:rsid w:val="00182D00"/>
    <w:rsid w:val="00182DF3"/>
    <w:rsid w:val="00182E2A"/>
    <w:rsid w:val="00182E40"/>
    <w:rsid w:val="00182E5F"/>
    <w:rsid w:val="00182FA2"/>
    <w:rsid w:val="0018300C"/>
    <w:rsid w:val="001830A0"/>
    <w:rsid w:val="00183269"/>
    <w:rsid w:val="0018328F"/>
    <w:rsid w:val="00183302"/>
    <w:rsid w:val="00183310"/>
    <w:rsid w:val="00183396"/>
    <w:rsid w:val="00183510"/>
    <w:rsid w:val="00183670"/>
    <w:rsid w:val="001836C9"/>
    <w:rsid w:val="00183701"/>
    <w:rsid w:val="00183753"/>
    <w:rsid w:val="0018379B"/>
    <w:rsid w:val="001837CA"/>
    <w:rsid w:val="001837F9"/>
    <w:rsid w:val="0018383A"/>
    <w:rsid w:val="001838ED"/>
    <w:rsid w:val="00183A25"/>
    <w:rsid w:val="00183BFB"/>
    <w:rsid w:val="00183CCE"/>
    <w:rsid w:val="00183EB6"/>
    <w:rsid w:val="00183F16"/>
    <w:rsid w:val="00183F2F"/>
    <w:rsid w:val="00184065"/>
    <w:rsid w:val="00184153"/>
    <w:rsid w:val="0018423F"/>
    <w:rsid w:val="0018430B"/>
    <w:rsid w:val="00184788"/>
    <w:rsid w:val="00184805"/>
    <w:rsid w:val="0018489E"/>
    <w:rsid w:val="00184B1A"/>
    <w:rsid w:val="00184C04"/>
    <w:rsid w:val="00184E03"/>
    <w:rsid w:val="00184F5D"/>
    <w:rsid w:val="00184FFC"/>
    <w:rsid w:val="00184FFF"/>
    <w:rsid w:val="0018507B"/>
    <w:rsid w:val="001851EC"/>
    <w:rsid w:val="00185232"/>
    <w:rsid w:val="001852D6"/>
    <w:rsid w:val="00185440"/>
    <w:rsid w:val="001854C2"/>
    <w:rsid w:val="00185628"/>
    <w:rsid w:val="00185858"/>
    <w:rsid w:val="00185908"/>
    <w:rsid w:val="00185974"/>
    <w:rsid w:val="00185ADA"/>
    <w:rsid w:val="00185F71"/>
    <w:rsid w:val="00185F9B"/>
    <w:rsid w:val="0018607D"/>
    <w:rsid w:val="0018610F"/>
    <w:rsid w:val="00186215"/>
    <w:rsid w:val="00186230"/>
    <w:rsid w:val="0018633D"/>
    <w:rsid w:val="00186341"/>
    <w:rsid w:val="0018641D"/>
    <w:rsid w:val="00186564"/>
    <w:rsid w:val="00186667"/>
    <w:rsid w:val="0018682B"/>
    <w:rsid w:val="001869DD"/>
    <w:rsid w:val="00186ADA"/>
    <w:rsid w:val="00186B1D"/>
    <w:rsid w:val="00186B78"/>
    <w:rsid w:val="00186C95"/>
    <w:rsid w:val="00187114"/>
    <w:rsid w:val="0018724B"/>
    <w:rsid w:val="0018756A"/>
    <w:rsid w:val="0018761F"/>
    <w:rsid w:val="001876A8"/>
    <w:rsid w:val="00187815"/>
    <w:rsid w:val="00187871"/>
    <w:rsid w:val="00187894"/>
    <w:rsid w:val="001879A5"/>
    <w:rsid w:val="00187A02"/>
    <w:rsid w:val="00187B28"/>
    <w:rsid w:val="00187BEF"/>
    <w:rsid w:val="00187C25"/>
    <w:rsid w:val="00187C71"/>
    <w:rsid w:val="00187C7E"/>
    <w:rsid w:val="00190195"/>
    <w:rsid w:val="001901C6"/>
    <w:rsid w:val="00190552"/>
    <w:rsid w:val="001905BE"/>
    <w:rsid w:val="00190986"/>
    <w:rsid w:val="001909F3"/>
    <w:rsid w:val="00190A01"/>
    <w:rsid w:val="00190B92"/>
    <w:rsid w:val="00190BD5"/>
    <w:rsid w:val="00190BDF"/>
    <w:rsid w:val="00190BF4"/>
    <w:rsid w:val="00190C65"/>
    <w:rsid w:val="00190C9D"/>
    <w:rsid w:val="001910BF"/>
    <w:rsid w:val="00191106"/>
    <w:rsid w:val="00191185"/>
    <w:rsid w:val="0019123C"/>
    <w:rsid w:val="0019128E"/>
    <w:rsid w:val="0019135C"/>
    <w:rsid w:val="00191387"/>
    <w:rsid w:val="0019141B"/>
    <w:rsid w:val="00191453"/>
    <w:rsid w:val="001914E0"/>
    <w:rsid w:val="00191574"/>
    <w:rsid w:val="00191653"/>
    <w:rsid w:val="00191710"/>
    <w:rsid w:val="00191906"/>
    <w:rsid w:val="001919C1"/>
    <w:rsid w:val="00191A2D"/>
    <w:rsid w:val="00191AE3"/>
    <w:rsid w:val="00191C86"/>
    <w:rsid w:val="001922E1"/>
    <w:rsid w:val="001922F0"/>
    <w:rsid w:val="0019232B"/>
    <w:rsid w:val="00192338"/>
    <w:rsid w:val="00192356"/>
    <w:rsid w:val="001925D4"/>
    <w:rsid w:val="00192686"/>
    <w:rsid w:val="0019277C"/>
    <w:rsid w:val="00192816"/>
    <w:rsid w:val="00192A0B"/>
    <w:rsid w:val="00192A28"/>
    <w:rsid w:val="00192AEF"/>
    <w:rsid w:val="00192B60"/>
    <w:rsid w:val="00192B7C"/>
    <w:rsid w:val="00192C1F"/>
    <w:rsid w:val="00192F8D"/>
    <w:rsid w:val="00193089"/>
    <w:rsid w:val="001931B4"/>
    <w:rsid w:val="0019331D"/>
    <w:rsid w:val="001933BD"/>
    <w:rsid w:val="00193406"/>
    <w:rsid w:val="0019342E"/>
    <w:rsid w:val="0019353A"/>
    <w:rsid w:val="001938AA"/>
    <w:rsid w:val="0019391B"/>
    <w:rsid w:val="00193C44"/>
    <w:rsid w:val="00193C71"/>
    <w:rsid w:val="00193CFA"/>
    <w:rsid w:val="00193D4F"/>
    <w:rsid w:val="00193E60"/>
    <w:rsid w:val="00194043"/>
    <w:rsid w:val="001940F0"/>
    <w:rsid w:val="00194116"/>
    <w:rsid w:val="00194237"/>
    <w:rsid w:val="001944AB"/>
    <w:rsid w:val="001944DF"/>
    <w:rsid w:val="0019452F"/>
    <w:rsid w:val="001945A7"/>
    <w:rsid w:val="001947A2"/>
    <w:rsid w:val="001947BA"/>
    <w:rsid w:val="001949CA"/>
    <w:rsid w:val="00194A22"/>
    <w:rsid w:val="00194DB0"/>
    <w:rsid w:val="00194F35"/>
    <w:rsid w:val="0019500B"/>
    <w:rsid w:val="001950C3"/>
    <w:rsid w:val="001951E0"/>
    <w:rsid w:val="0019521D"/>
    <w:rsid w:val="0019547B"/>
    <w:rsid w:val="00195558"/>
    <w:rsid w:val="001955F6"/>
    <w:rsid w:val="0019573E"/>
    <w:rsid w:val="0019579E"/>
    <w:rsid w:val="00195805"/>
    <w:rsid w:val="0019584A"/>
    <w:rsid w:val="0019586D"/>
    <w:rsid w:val="00195886"/>
    <w:rsid w:val="00195A08"/>
    <w:rsid w:val="00195B4A"/>
    <w:rsid w:val="00195BCA"/>
    <w:rsid w:val="00195DFD"/>
    <w:rsid w:val="0019600E"/>
    <w:rsid w:val="00196064"/>
    <w:rsid w:val="00196181"/>
    <w:rsid w:val="00196271"/>
    <w:rsid w:val="001962AE"/>
    <w:rsid w:val="00196395"/>
    <w:rsid w:val="001965A5"/>
    <w:rsid w:val="0019666A"/>
    <w:rsid w:val="00196742"/>
    <w:rsid w:val="001967CD"/>
    <w:rsid w:val="001967D6"/>
    <w:rsid w:val="00196831"/>
    <w:rsid w:val="001968CC"/>
    <w:rsid w:val="0019696A"/>
    <w:rsid w:val="00196AF1"/>
    <w:rsid w:val="00196B83"/>
    <w:rsid w:val="00196BD6"/>
    <w:rsid w:val="00196C58"/>
    <w:rsid w:val="00196ED8"/>
    <w:rsid w:val="00197352"/>
    <w:rsid w:val="00197579"/>
    <w:rsid w:val="00197651"/>
    <w:rsid w:val="0019765B"/>
    <w:rsid w:val="00197876"/>
    <w:rsid w:val="00197923"/>
    <w:rsid w:val="0019797B"/>
    <w:rsid w:val="001979B3"/>
    <w:rsid w:val="001979C7"/>
    <w:rsid w:val="00197AAD"/>
    <w:rsid w:val="00197ADA"/>
    <w:rsid w:val="00197C10"/>
    <w:rsid w:val="00197C8D"/>
    <w:rsid w:val="00197CBB"/>
    <w:rsid w:val="00197D13"/>
    <w:rsid w:val="00197DD9"/>
    <w:rsid w:val="00197EB9"/>
    <w:rsid w:val="0019A335"/>
    <w:rsid w:val="001A0019"/>
    <w:rsid w:val="001A011B"/>
    <w:rsid w:val="001A0299"/>
    <w:rsid w:val="001A035C"/>
    <w:rsid w:val="001A039D"/>
    <w:rsid w:val="001A0471"/>
    <w:rsid w:val="001A059C"/>
    <w:rsid w:val="001A05B8"/>
    <w:rsid w:val="001A0750"/>
    <w:rsid w:val="001A0836"/>
    <w:rsid w:val="001A0935"/>
    <w:rsid w:val="001A0B70"/>
    <w:rsid w:val="001A0B9C"/>
    <w:rsid w:val="001A0B9E"/>
    <w:rsid w:val="001A0BDA"/>
    <w:rsid w:val="001A0C25"/>
    <w:rsid w:val="001A0C84"/>
    <w:rsid w:val="001A0D54"/>
    <w:rsid w:val="001A0D60"/>
    <w:rsid w:val="001A0DEE"/>
    <w:rsid w:val="001A0F1A"/>
    <w:rsid w:val="001A1033"/>
    <w:rsid w:val="001A1039"/>
    <w:rsid w:val="001A12AC"/>
    <w:rsid w:val="001A148D"/>
    <w:rsid w:val="001A15B3"/>
    <w:rsid w:val="001A184C"/>
    <w:rsid w:val="001A1957"/>
    <w:rsid w:val="001A1A88"/>
    <w:rsid w:val="001A1B11"/>
    <w:rsid w:val="001A1B2F"/>
    <w:rsid w:val="001A1BC0"/>
    <w:rsid w:val="001A1C77"/>
    <w:rsid w:val="001A1F08"/>
    <w:rsid w:val="001A1FE3"/>
    <w:rsid w:val="001A2477"/>
    <w:rsid w:val="001A25EE"/>
    <w:rsid w:val="001A2614"/>
    <w:rsid w:val="001A261E"/>
    <w:rsid w:val="001A289A"/>
    <w:rsid w:val="001A29E0"/>
    <w:rsid w:val="001A2A03"/>
    <w:rsid w:val="001A2BA1"/>
    <w:rsid w:val="001A3032"/>
    <w:rsid w:val="001A3092"/>
    <w:rsid w:val="001A3158"/>
    <w:rsid w:val="001A326D"/>
    <w:rsid w:val="001A3447"/>
    <w:rsid w:val="001A3597"/>
    <w:rsid w:val="001A35B9"/>
    <w:rsid w:val="001A35DA"/>
    <w:rsid w:val="001A3825"/>
    <w:rsid w:val="001A3885"/>
    <w:rsid w:val="001A3A2B"/>
    <w:rsid w:val="001A3B7F"/>
    <w:rsid w:val="001A3BF6"/>
    <w:rsid w:val="001A3C77"/>
    <w:rsid w:val="001A3FDD"/>
    <w:rsid w:val="001A45EA"/>
    <w:rsid w:val="001A469C"/>
    <w:rsid w:val="001A46B4"/>
    <w:rsid w:val="001A482D"/>
    <w:rsid w:val="001A488D"/>
    <w:rsid w:val="001A49B0"/>
    <w:rsid w:val="001A4A57"/>
    <w:rsid w:val="001A4C95"/>
    <w:rsid w:val="001A50E0"/>
    <w:rsid w:val="001A519B"/>
    <w:rsid w:val="001A5373"/>
    <w:rsid w:val="001A537E"/>
    <w:rsid w:val="001A5438"/>
    <w:rsid w:val="001A5476"/>
    <w:rsid w:val="001A5489"/>
    <w:rsid w:val="001A5575"/>
    <w:rsid w:val="001A588D"/>
    <w:rsid w:val="001A5B2E"/>
    <w:rsid w:val="001A5BFC"/>
    <w:rsid w:val="001A5C1D"/>
    <w:rsid w:val="001A5D1F"/>
    <w:rsid w:val="001A5D61"/>
    <w:rsid w:val="001A5DEF"/>
    <w:rsid w:val="001A5E97"/>
    <w:rsid w:val="001A5F17"/>
    <w:rsid w:val="001A5F2D"/>
    <w:rsid w:val="001A5F44"/>
    <w:rsid w:val="001A5FCA"/>
    <w:rsid w:val="001A602A"/>
    <w:rsid w:val="001A6080"/>
    <w:rsid w:val="001A6170"/>
    <w:rsid w:val="001A6194"/>
    <w:rsid w:val="001A61CC"/>
    <w:rsid w:val="001A61FD"/>
    <w:rsid w:val="001A6373"/>
    <w:rsid w:val="001A63E7"/>
    <w:rsid w:val="001A66A2"/>
    <w:rsid w:val="001A66BA"/>
    <w:rsid w:val="001A673C"/>
    <w:rsid w:val="001A6956"/>
    <w:rsid w:val="001A6A5D"/>
    <w:rsid w:val="001A6C2E"/>
    <w:rsid w:val="001A6CE9"/>
    <w:rsid w:val="001A6DB0"/>
    <w:rsid w:val="001A6DF7"/>
    <w:rsid w:val="001A6E9A"/>
    <w:rsid w:val="001A6F58"/>
    <w:rsid w:val="001A70D0"/>
    <w:rsid w:val="001A7389"/>
    <w:rsid w:val="001A74B7"/>
    <w:rsid w:val="001A7507"/>
    <w:rsid w:val="001A7647"/>
    <w:rsid w:val="001A780C"/>
    <w:rsid w:val="001A7B0B"/>
    <w:rsid w:val="001A7B1C"/>
    <w:rsid w:val="001A7CE3"/>
    <w:rsid w:val="001A7CEC"/>
    <w:rsid w:val="001A7E77"/>
    <w:rsid w:val="001A7F96"/>
    <w:rsid w:val="001A7FEB"/>
    <w:rsid w:val="001B000D"/>
    <w:rsid w:val="001B0A13"/>
    <w:rsid w:val="001B0D3C"/>
    <w:rsid w:val="001B0E2C"/>
    <w:rsid w:val="001B10EE"/>
    <w:rsid w:val="001B11CD"/>
    <w:rsid w:val="001B1232"/>
    <w:rsid w:val="001B1383"/>
    <w:rsid w:val="001B13FA"/>
    <w:rsid w:val="001B1486"/>
    <w:rsid w:val="001B15A8"/>
    <w:rsid w:val="001B1D33"/>
    <w:rsid w:val="001B1E4E"/>
    <w:rsid w:val="001B1F81"/>
    <w:rsid w:val="001B1F9D"/>
    <w:rsid w:val="001B2025"/>
    <w:rsid w:val="001B20A3"/>
    <w:rsid w:val="001B22B9"/>
    <w:rsid w:val="001B24C0"/>
    <w:rsid w:val="001B257A"/>
    <w:rsid w:val="001B267E"/>
    <w:rsid w:val="001B272B"/>
    <w:rsid w:val="001B27E8"/>
    <w:rsid w:val="001B2815"/>
    <w:rsid w:val="001B2BA4"/>
    <w:rsid w:val="001B2C4C"/>
    <w:rsid w:val="001B2FF4"/>
    <w:rsid w:val="001B300A"/>
    <w:rsid w:val="001B305B"/>
    <w:rsid w:val="001B31CD"/>
    <w:rsid w:val="001B3222"/>
    <w:rsid w:val="001B33DC"/>
    <w:rsid w:val="001B3407"/>
    <w:rsid w:val="001B3418"/>
    <w:rsid w:val="001B353F"/>
    <w:rsid w:val="001B3598"/>
    <w:rsid w:val="001B35D3"/>
    <w:rsid w:val="001B3733"/>
    <w:rsid w:val="001B37E9"/>
    <w:rsid w:val="001B3812"/>
    <w:rsid w:val="001B385D"/>
    <w:rsid w:val="001B3893"/>
    <w:rsid w:val="001B38E1"/>
    <w:rsid w:val="001B3B1A"/>
    <w:rsid w:val="001B3DBE"/>
    <w:rsid w:val="001B4008"/>
    <w:rsid w:val="001B4261"/>
    <w:rsid w:val="001B42E9"/>
    <w:rsid w:val="001B436E"/>
    <w:rsid w:val="001B44B8"/>
    <w:rsid w:val="001B463B"/>
    <w:rsid w:val="001B46D6"/>
    <w:rsid w:val="001B4720"/>
    <w:rsid w:val="001B4756"/>
    <w:rsid w:val="001B4998"/>
    <w:rsid w:val="001B4C59"/>
    <w:rsid w:val="001B4E73"/>
    <w:rsid w:val="001B5046"/>
    <w:rsid w:val="001B50C4"/>
    <w:rsid w:val="001B5189"/>
    <w:rsid w:val="001B51A8"/>
    <w:rsid w:val="001B5207"/>
    <w:rsid w:val="001B53B3"/>
    <w:rsid w:val="001B5453"/>
    <w:rsid w:val="001B54BC"/>
    <w:rsid w:val="001B577C"/>
    <w:rsid w:val="001B57E1"/>
    <w:rsid w:val="001B58AC"/>
    <w:rsid w:val="001B591C"/>
    <w:rsid w:val="001B597E"/>
    <w:rsid w:val="001B5AA2"/>
    <w:rsid w:val="001B5B28"/>
    <w:rsid w:val="001B62F0"/>
    <w:rsid w:val="001B634F"/>
    <w:rsid w:val="001B638D"/>
    <w:rsid w:val="001B6472"/>
    <w:rsid w:val="001B6642"/>
    <w:rsid w:val="001B66FF"/>
    <w:rsid w:val="001B6875"/>
    <w:rsid w:val="001B69B1"/>
    <w:rsid w:val="001B6C03"/>
    <w:rsid w:val="001B6E90"/>
    <w:rsid w:val="001B6FBB"/>
    <w:rsid w:val="001B70DE"/>
    <w:rsid w:val="001B70FF"/>
    <w:rsid w:val="001B73CA"/>
    <w:rsid w:val="001B75E5"/>
    <w:rsid w:val="001B76AC"/>
    <w:rsid w:val="001B77A7"/>
    <w:rsid w:val="001B7918"/>
    <w:rsid w:val="001B7BC8"/>
    <w:rsid w:val="001B7C35"/>
    <w:rsid w:val="001B7DF0"/>
    <w:rsid w:val="001C0054"/>
    <w:rsid w:val="001C0070"/>
    <w:rsid w:val="001C00F0"/>
    <w:rsid w:val="001C0618"/>
    <w:rsid w:val="001C06F4"/>
    <w:rsid w:val="001C0727"/>
    <w:rsid w:val="001C0A24"/>
    <w:rsid w:val="001C0A26"/>
    <w:rsid w:val="001C0A39"/>
    <w:rsid w:val="001C0C27"/>
    <w:rsid w:val="001C0CD1"/>
    <w:rsid w:val="001C0E78"/>
    <w:rsid w:val="001C0FFB"/>
    <w:rsid w:val="001C11A6"/>
    <w:rsid w:val="001C1241"/>
    <w:rsid w:val="001C17B2"/>
    <w:rsid w:val="001C1A71"/>
    <w:rsid w:val="001C1C4D"/>
    <w:rsid w:val="001C1CB4"/>
    <w:rsid w:val="001C1D7C"/>
    <w:rsid w:val="001C1EF3"/>
    <w:rsid w:val="001C232B"/>
    <w:rsid w:val="001C238A"/>
    <w:rsid w:val="001C246D"/>
    <w:rsid w:val="001C2540"/>
    <w:rsid w:val="001C28AC"/>
    <w:rsid w:val="001C28B1"/>
    <w:rsid w:val="001C2901"/>
    <w:rsid w:val="001C2BBF"/>
    <w:rsid w:val="001C2CC3"/>
    <w:rsid w:val="001C2DA2"/>
    <w:rsid w:val="001C2E1B"/>
    <w:rsid w:val="001C2EB1"/>
    <w:rsid w:val="001C2F8E"/>
    <w:rsid w:val="001C3019"/>
    <w:rsid w:val="001C319D"/>
    <w:rsid w:val="001C33E0"/>
    <w:rsid w:val="001C3503"/>
    <w:rsid w:val="001C3547"/>
    <w:rsid w:val="001C3548"/>
    <w:rsid w:val="001C362E"/>
    <w:rsid w:val="001C36F2"/>
    <w:rsid w:val="001C3800"/>
    <w:rsid w:val="001C3A16"/>
    <w:rsid w:val="001C3A52"/>
    <w:rsid w:val="001C3CD9"/>
    <w:rsid w:val="001C3D21"/>
    <w:rsid w:val="001C3D6F"/>
    <w:rsid w:val="001C3E03"/>
    <w:rsid w:val="001C3E71"/>
    <w:rsid w:val="001C3F11"/>
    <w:rsid w:val="001C3F61"/>
    <w:rsid w:val="001C43A1"/>
    <w:rsid w:val="001C463C"/>
    <w:rsid w:val="001C4951"/>
    <w:rsid w:val="001C4A63"/>
    <w:rsid w:val="001C4AF8"/>
    <w:rsid w:val="001C4B7E"/>
    <w:rsid w:val="001C4CAF"/>
    <w:rsid w:val="001C4D71"/>
    <w:rsid w:val="001C4E44"/>
    <w:rsid w:val="001C4E8A"/>
    <w:rsid w:val="001C4F37"/>
    <w:rsid w:val="001C4FC4"/>
    <w:rsid w:val="001C50D0"/>
    <w:rsid w:val="001C5263"/>
    <w:rsid w:val="001C5348"/>
    <w:rsid w:val="001C554F"/>
    <w:rsid w:val="001C55DB"/>
    <w:rsid w:val="001C5634"/>
    <w:rsid w:val="001C57B8"/>
    <w:rsid w:val="001C5933"/>
    <w:rsid w:val="001C597A"/>
    <w:rsid w:val="001C5B96"/>
    <w:rsid w:val="001C5D1F"/>
    <w:rsid w:val="001C5DC9"/>
    <w:rsid w:val="001C5E25"/>
    <w:rsid w:val="001C60DF"/>
    <w:rsid w:val="001C6206"/>
    <w:rsid w:val="001C63B9"/>
    <w:rsid w:val="001C63C0"/>
    <w:rsid w:val="001C6705"/>
    <w:rsid w:val="001C685B"/>
    <w:rsid w:val="001C692D"/>
    <w:rsid w:val="001C6A7A"/>
    <w:rsid w:val="001C6AD4"/>
    <w:rsid w:val="001C6B48"/>
    <w:rsid w:val="001C6C7C"/>
    <w:rsid w:val="001C6D07"/>
    <w:rsid w:val="001C6E3E"/>
    <w:rsid w:val="001C6ED8"/>
    <w:rsid w:val="001C6F53"/>
    <w:rsid w:val="001C7181"/>
    <w:rsid w:val="001C71E3"/>
    <w:rsid w:val="001C7621"/>
    <w:rsid w:val="001C76E9"/>
    <w:rsid w:val="001C7941"/>
    <w:rsid w:val="001C797B"/>
    <w:rsid w:val="001C79A9"/>
    <w:rsid w:val="001C7ABE"/>
    <w:rsid w:val="001C7C51"/>
    <w:rsid w:val="001C7E0B"/>
    <w:rsid w:val="001D0042"/>
    <w:rsid w:val="001D0232"/>
    <w:rsid w:val="001D0293"/>
    <w:rsid w:val="001D04F8"/>
    <w:rsid w:val="001D066F"/>
    <w:rsid w:val="001D0916"/>
    <w:rsid w:val="001D0A1B"/>
    <w:rsid w:val="001D0AF8"/>
    <w:rsid w:val="001D0B46"/>
    <w:rsid w:val="001D0C67"/>
    <w:rsid w:val="001D0D50"/>
    <w:rsid w:val="001D0EB2"/>
    <w:rsid w:val="001D0FFC"/>
    <w:rsid w:val="001D1013"/>
    <w:rsid w:val="001D1059"/>
    <w:rsid w:val="001D10C5"/>
    <w:rsid w:val="001D1166"/>
    <w:rsid w:val="001D13F6"/>
    <w:rsid w:val="001D1B2C"/>
    <w:rsid w:val="001D1BE8"/>
    <w:rsid w:val="001D1D43"/>
    <w:rsid w:val="001D1EDC"/>
    <w:rsid w:val="001D202D"/>
    <w:rsid w:val="001D21EB"/>
    <w:rsid w:val="001D222B"/>
    <w:rsid w:val="001D22A8"/>
    <w:rsid w:val="001D2364"/>
    <w:rsid w:val="001D2411"/>
    <w:rsid w:val="001D2475"/>
    <w:rsid w:val="001D24E8"/>
    <w:rsid w:val="001D2535"/>
    <w:rsid w:val="001D26A1"/>
    <w:rsid w:val="001D26E1"/>
    <w:rsid w:val="001D27D3"/>
    <w:rsid w:val="001D27EA"/>
    <w:rsid w:val="001D2903"/>
    <w:rsid w:val="001D2930"/>
    <w:rsid w:val="001D2B5B"/>
    <w:rsid w:val="001D2E18"/>
    <w:rsid w:val="001D2F56"/>
    <w:rsid w:val="001D3137"/>
    <w:rsid w:val="001D3409"/>
    <w:rsid w:val="001D34F0"/>
    <w:rsid w:val="001D3677"/>
    <w:rsid w:val="001D3A95"/>
    <w:rsid w:val="001D3A99"/>
    <w:rsid w:val="001D3AF8"/>
    <w:rsid w:val="001D3B0E"/>
    <w:rsid w:val="001D3B3F"/>
    <w:rsid w:val="001D3B79"/>
    <w:rsid w:val="001D4024"/>
    <w:rsid w:val="001D412A"/>
    <w:rsid w:val="001D4212"/>
    <w:rsid w:val="001D455A"/>
    <w:rsid w:val="001D45B0"/>
    <w:rsid w:val="001D4633"/>
    <w:rsid w:val="001D4728"/>
    <w:rsid w:val="001D49EF"/>
    <w:rsid w:val="001D4B36"/>
    <w:rsid w:val="001D4D8C"/>
    <w:rsid w:val="001D4DAC"/>
    <w:rsid w:val="001D50F8"/>
    <w:rsid w:val="001D54C5"/>
    <w:rsid w:val="001D5710"/>
    <w:rsid w:val="001D5721"/>
    <w:rsid w:val="001D575E"/>
    <w:rsid w:val="001D5768"/>
    <w:rsid w:val="001D588F"/>
    <w:rsid w:val="001D5A12"/>
    <w:rsid w:val="001D5A93"/>
    <w:rsid w:val="001D5B4E"/>
    <w:rsid w:val="001D5C8B"/>
    <w:rsid w:val="001D5DF3"/>
    <w:rsid w:val="001D5F59"/>
    <w:rsid w:val="001D5FBB"/>
    <w:rsid w:val="001D6024"/>
    <w:rsid w:val="001D62F9"/>
    <w:rsid w:val="001D6525"/>
    <w:rsid w:val="001D6575"/>
    <w:rsid w:val="001D65F3"/>
    <w:rsid w:val="001D683C"/>
    <w:rsid w:val="001D6853"/>
    <w:rsid w:val="001D6D7F"/>
    <w:rsid w:val="001D6E6F"/>
    <w:rsid w:val="001D6FD8"/>
    <w:rsid w:val="001D6FEA"/>
    <w:rsid w:val="001D71A0"/>
    <w:rsid w:val="001D7315"/>
    <w:rsid w:val="001D7346"/>
    <w:rsid w:val="001D73ED"/>
    <w:rsid w:val="001D7467"/>
    <w:rsid w:val="001D74F1"/>
    <w:rsid w:val="001D7607"/>
    <w:rsid w:val="001D7608"/>
    <w:rsid w:val="001D788F"/>
    <w:rsid w:val="001D79CD"/>
    <w:rsid w:val="001D7A68"/>
    <w:rsid w:val="001D7AC4"/>
    <w:rsid w:val="001D7BAE"/>
    <w:rsid w:val="001D7BFE"/>
    <w:rsid w:val="001D7E87"/>
    <w:rsid w:val="001E00BD"/>
    <w:rsid w:val="001E0309"/>
    <w:rsid w:val="001E03BE"/>
    <w:rsid w:val="001E03D4"/>
    <w:rsid w:val="001E04CE"/>
    <w:rsid w:val="001E04E6"/>
    <w:rsid w:val="001E0617"/>
    <w:rsid w:val="001E0652"/>
    <w:rsid w:val="001E08FA"/>
    <w:rsid w:val="001E091B"/>
    <w:rsid w:val="001E0B78"/>
    <w:rsid w:val="001E0BA4"/>
    <w:rsid w:val="001E10F3"/>
    <w:rsid w:val="001E1200"/>
    <w:rsid w:val="001E1249"/>
    <w:rsid w:val="001E1267"/>
    <w:rsid w:val="001E12B8"/>
    <w:rsid w:val="001E1306"/>
    <w:rsid w:val="001E1374"/>
    <w:rsid w:val="001E146A"/>
    <w:rsid w:val="001E149B"/>
    <w:rsid w:val="001E153D"/>
    <w:rsid w:val="001E1593"/>
    <w:rsid w:val="001E15EA"/>
    <w:rsid w:val="001E191B"/>
    <w:rsid w:val="001E1A80"/>
    <w:rsid w:val="001E1BE9"/>
    <w:rsid w:val="001E1DA9"/>
    <w:rsid w:val="001E1DC5"/>
    <w:rsid w:val="001E1EA5"/>
    <w:rsid w:val="001E1F3E"/>
    <w:rsid w:val="001E2028"/>
    <w:rsid w:val="001E2064"/>
    <w:rsid w:val="001E2523"/>
    <w:rsid w:val="001E287F"/>
    <w:rsid w:val="001E2BC2"/>
    <w:rsid w:val="001E2D6A"/>
    <w:rsid w:val="001E2DBB"/>
    <w:rsid w:val="001E3024"/>
    <w:rsid w:val="001E3235"/>
    <w:rsid w:val="001E3485"/>
    <w:rsid w:val="001E3595"/>
    <w:rsid w:val="001E36AB"/>
    <w:rsid w:val="001E377C"/>
    <w:rsid w:val="001E39B7"/>
    <w:rsid w:val="001E3A10"/>
    <w:rsid w:val="001E3AA9"/>
    <w:rsid w:val="001E3DCA"/>
    <w:rsid w:val="001E3FC7"/>
    <w:rsid w:val="001E4050"/>
    <w:rsid w:val="001E4127"/>
    <w:rsid w:val="001E4314"/>
    <w:rsid w:val="001E4863"/>
    <w:rsid w:val="001E4900"/>
    <w:rsid w:val="001E49E0"/>
    <w:rsid w:val="001E4A8D"/>
    <w:rsid w:val="001E4A92"/>
    <w:rsid w:val="001E4CA4"/>
    <w:rsid w:val="001E4CBF"/>
    <w:rsid w:val="001E4E59"/>
    <w:rsid w:val="001E4FF6"/>
    <w:rsid w:val="001E5102"/>
    <w:rsid w:val="001E54F3"/>
    <w:rsid w:val="001E556A"/>
    <w:rsid w:val="001E560A"/>
    <w:rsid w:val="001E5628"/>
    <w:rsid w:val="001E5893"/>
    <w:rsid w:val="001E592D"/>
    <w:rsid w:val="001E5AD5"/>
    <w:rsid w:val="001E5DF0"/>
    <w:rsid w:val="001E5F2C"/>
    <w:rsid w:val="001E604C"/>
    <w:rsid w:val="001E619A"/>
    <w:rsid w:val="001E636E"/>
    <w:rsid w:val="001E6428"/>
    <w:rsid w:val="001E64BE"/>
    <w:rsid w:val="001E663A"/>
    <w:rsid w:val="001E6667"/>
    <w:rsid w:val="001E6680"/>
    <w:rsid w:val="001E669F"/>
    <w:rsid w:val="001E66EC"/>
    <w:rsid w:val="001E6756"/>
    <w:rsid w:val="001E67AF"/>
    <w:rsid w:val="001E6BF7"/>
    <w:rsid w:val="001E6DA5"/>
    <w:rsid w:val="001E6E9F"/>
    <w:rsid w:val="001E7073"/>
    <w:rsid w:val="001E708E"/>
    <w:rsid w:val="001E7356"/>
    <w:rsid w:val="001E74DD"/>
    <w:rsid w:val="001E75BF"/>
    <w:rsid w:val="001E7734"/>
    <w:rsid w:val="001E77BC"/>
    <w:rsid w:val="001E7819"/>
    <w:rsid w:val="001E7898"/>
    <w:rsid w:val="001E7A95"/>
    <w:rsid w:val="001E7CB6"/>
    <w:rsid w:val="001E7CFE"/>
    <w:rsid w:val="001E7D13"/>
    <w:rsid w:val="001E7E70"/>
    <w:rsid w:val="001E7E95"/>
    <w:rsid w:val="001E7F31"/>
    <w:rsid w:val="001F0110"/>
    <w:rsid w:val="001F0341"/>
    <w:rsid w:val="001F04DD"/>
    <w:rsid w:val="001F05D9"/>
    <w:rsid w:val="001F0655"/>
    <w:rsid w:val="001F082E"/>
    <w:rsid w:val="001F0AC3"/>
    <w:rsid w:val="001F0BDC"/>
    <w:rsid w:val="001F0CBD"/>
    <w:rsid w:val="001F0EB7"/>
    <w:rsid w:val="001F1042"/>
    <w:rsid w:val="001F1216"/>
    <w:rsid w:val="001F14D1"/>
    <w:rsid w:val="001F1597"/>
    <w:rsid w:val="001F1814"/>
    <w:rsid w:val="001F1B02"/>
    <w:rsid w:val="001F1B21"/>
    <w:rsid w:val="001F1CA9"/>
    <w:rsid w:val="001F1EB8"/>
    <w:rsid w:val="001F1F29"/>
    <w:rsid w:val="001F1FB4"/>
    <w:rsid w:val="001F2050"/>
    <w:rsid w:val="001F205A"/>
    <w:rsid w:val="001F226E"/>
    <w:rsid w:val="001F22A1"/>
    <w:rsid w:val="001F270E"/>
    <w:rsid w:val="001F2833"/>
    <w:rsid w:val="001F295A"/>
    <w:rsid w:val="001F2A38"/>
    <w:rsid w:val="001F2CA6"/>
    <w:rsid w:val="001F3118"/>
    <w:rsid w:val="001F3146"/>
    <w:rsid w:val="001F31B5"/>
    <w:rsid w:val="001F365F"/>
    <w:rsid w:val="001F397D"/>
    <w:rsid w:val="001F3A95"/>
    <w:rsid w:val="001F3AC3"/>
    <w:rsid w:val="001F3C04"/>
    <w:rsid w:val="001F3E89"/>
    <w:rsid w:val="001F4155"/>
    <w:rsid w:val="001F418A"/>
    <w:rsid w:val="001F42D0"/>
    <w:rsid w:val="001F4384"/>
    <w:rsid w:val="001F440D"/>
    <w:rsid w:val="001F470C"/>
    <w:rsid w:val="001F4850"/>
    <w:rsid w:val="001F4853"/>
    <w:rsid w:val="001F4854"/>
    <w:rsid w:val="001F486A"/>
    <w:rsid w:val="001F4D92"/>
    <w:rsid w:val="001F4DDA"/>
    <w:rsid w:val="001F4E27"/>
    <w:rsid w:val="001F4EDC"/>
    <w:rsid w:val="001F5225"/>
    <w:rsid w:val="001F52BE"/>
    <w:rsid w:val="001F5450"/>
    <w:rsid w:val="001F556A"/>
    <w:rsid w:val="001F568C"/>
    <w:rsid w:val="001F5692"/>
    <w:rsid w:val="001F5845"/>
    <w:rsid w:val="001F5872"/>
    <w:rsid w:val="001F5932"/>
    <w:rsid w:val="001F593E"/>
    <w:rsid w:val="001F59BA"/>
    <w:rsid w:val="001F5ACE"/>
    <w:rsid w:val="001F5B19"/>
    <w:rsid w:val="001F5B2B"/>
    <w:rsid w:val="001F5CB6"/>
    <w:rsid w:val="001F5CEC"/>
    <w:rsid w:val="001F5D38"/>
    <w:rsid w:val="001F5D6B"/>
    <w:rsid w:val="001F5E32"/>
    <w:rsid w:val="001F5E93"/>
    <w:rsid w:val="001F5F26"/>
    <w:rsid w:val="001F60CC"/>
    <w:rsid w:val="001F6169"/>
    <w:rsid w:val="001F623E"/>
    <w:rsid w:val="001F63BE"/>
    <w:rsid w:val="001F646E"/>
    <w:rsid w:val="001F649C"/>
    <w:rsid w:val="001F65E0"/>
    <w:rsid w:val="001F6611"/>
    <w:rsid w:val="001F6A21"/>
    <w:rsid w:val="001F6B66"/>
    <w:rsid w:val="001F6CB1"/>
    <w:rsid w:val="001F6F5E"/>
    <w:rsid w:val="001F707C"/>
    <w:rsid w:val="001F72A2"/>
    <w:rsid w:val="001F7428"/>
    <w:rsid w:val="001F75BD"/>
    <w:rsid w:val="001F75C0"/>
    <w:rsid w:val="001F7817"/>
    <w:rsid w:val="001F7974"/>
    <w:rsid w:val="001F79DE"/>
    <w:rsid w:val="001F7AB4"/>
    <w:rsid w:val="001F7D89"/>
    <w:rsid w:val="001F7E56"/>
    <w:rsid w:val="001F7E67"/>
    <w:rsid w:val="001F7E86"/>
    <w:rsid w:val="001F7FC5"/>
    <w:rsid w:val="00200052"/>
    <w:rsid w:val="002000D7"/>
    <w:rsid w:val="00200111"/>
    <w:rsid w:val="002001BC"/>
    <w:rsid w:val="00200219"/>
    <w:rsid w:val="002003CC"/>
    <w:rsid w:val="0020046A"/>
    <w:rsid w:val="0020047C"/>
    <w:rsid w:val="00200676"/>
    <w:rsid w:val="0020082D"/>
    <w:rsid w:val="002009E2"/>
    <w:rsid w:val="00200ABC"/>
    <w:rsid w:val="00200E4E"/>
    <w:rsid w:val="00200EDF"/>
    <w:rsid w:val="00200F29"/>
    <w:rsid w:val="00200F30"/>
    <w:rsid w:val="0020117C"/>
    <w:rsid w:val="00201221"/>
    <w:rsid w:val="00201267"/>
    <w:rsid w:val="002012E7"/>
    <w:rsid w:val="002014B6"/>
    <w:rsid w:val="002014F8"/>
    <w:rsid w:val="00201559"/>
    <w:rsid w:val="002015DB"/>
    <w:rsid w:val="002017E0"/>
    <w:rsid w:val="00201852"/>
    <w:rsid w:val="0020192D"/>
    <w:rsid w:val="002019BD"/>
    <w:rsid w:val="00201A0B"/>
    <w:rsid w:val="00201AA8"/>
    <w:rsid w:val="00201B21"/>
    <w:rsid w:val="00201B3C"/>
    <w:rsid w:val="00201BC4"/>
    <w:rsid w:val="00201CD9"/>
    <w:rsid w:val="00201E1C"/>
    <w:rsid w:val="00201EAF"/>
    <w:rsid w:val="00201F02"/>
    <w:rsid w:val="00201FAF"/>
    <w:rsid w:val="00201FF4"/>
    <w:rsid w:val="0020220C"/>
    <w:rsid w:val="0020231A"/>
    <w:rsid w:val="0020245C"/>
    <w:rsid w:val="0020261A"/>
    <w:rsid w:val="002027B7"/>
    <w:rsid w:val="00202A2A"/>
    <w:rsid w:val="00202A78"/>
    <w:rsid w:val="00202BD6"/>
    <w:rsid w:val="00202D8E"/>
    <w:rsid w:val="00202DCF"/>
    <w:rsid w:val="00202F28"/>
    <w:rsid w:val="0020304F"/>
    <w:rsid w:val="002030D7"/>
    <w:rsid w:val="002031DC"/>
    <w:rsid w:val="00203215"/>
    <w:rsid w:val="0020349F"/>
    <w:rsid w:val="002034F8"/>
    <w:rsid w:val="002035ED"/>
    <w:rsid w:val="00203770"/>
    <w:rsid w:val="002038EA"/>
    <w:rsid w:val="00203A4C"/>
    <w:rsid w:val="00203D62"/>
    <w:rsid w:val="00203D67"/>
    <w:rsid w:val="00203EEB"/>
    <w:rsid w:val="00203F1C"/>
    <w:rsid w:val="00203F60"/>
    <w:rsid w:val="00203FE8"/>
    <w:rsid w:val="0020405C"/>
    <w:rsid w:val="00204098"/>
    <w:rsid w:val="002040CE"/>
    <w:rsid w:val="002041C6"/>
    <w:rsid w:val="0020427E"/>
    <w:rsid w:val="00204286"/>
    <w:rsid w:val="002042E7"/>
    <w:rsid w:val="00204391"/>
    <w:rsid w:val="002044EC"/>
    <w:rsid w:val="00204546"/>
    <w:rsid w:val="00204576"/>
    <w:rsid w:val="002045FB"/>
    <w:rsid w:val="002046C0"/>
    <w:rsid w:val="002046D6"/>
    <w:rsid w:val="002047D6"/>
    <w:rsid w:val="0020487E"/>
    <w:rsid w:val="0020494F"/>
    <w:rsid w:val="00204A57"/>
    <w:rsid w:val="00204A71"/>
    <w:rsid w:val="00204A90"/>
    <w:rsid w:val="00204AA5"/>
    <w:rsid w:val="00204BF3"/>
    <w:rsid w:val="00204C3F"/>
    <w:rsid w:val="00204C85"/>
    <w:rsid w:val="00204D99"/>
    <w:rsid w:val="00204DEB"/>
    <w:rsid w:val="00204F7E"/>
    <w:rsid w:val="00204FDC"/>
    <w:rsid w:val="002050A7"/>
    <w:rsid w:val="00205133"/>
    <w:rsid w:val="00205348"/>
    <w:rsid w:val="00205353"/>
    <w:rsid w:val="00205433"/>
    <w:rsid w:val="00205436"/>
    <w:rsid w:val="002055AC"/>
    <w:rsid w:val="0020566F"/>
    <w:rsid w:val="0020573B"/>
    <w:rsid w:val="00205838"/>
    <w:rsid w:val="00205914"/>
    <w:rsid w:val="0020596A"/>
    <w:rsid w:val="00205AAA"/>
    <w:rsid w:val="00205AF6"/>
    <w:rsid w:val="00205E56"/>
    <w:rsid w:val="00205EED"/>
    <w:rsid w:val="0020601B"/>
    <w:rsid w:val="002060CD"/>
    <w:rsid w:val="002062DA"/>
    <w:rsid w:val="002063CC"/>
    <w:rsid w:val="002064D6"/>
    <w:rsid w:val="002067C0"/>
    <w:rsid w:val="00206AE0"/>
    <w:rsid w:val="00206D0F"/>
    <w:rsid w:val="00206D48"/>
    <w:rsid w:val="00206DF0"/>
    <w:rsid w:val="00206DF4"/>
    <w:rsid w:val="00207105"/>
    <w:rsid w:val="00207248"/>
    <w:rsid w:val="00207287"/>
    <w:rsid w:val="00207411"/>
    <w:rsid w:val="00207565"/>
    <w:rsid w:val="002075B7"/>
    <w:rsid w:val="002075EF"/>
    <w:rsid w:val="00207619"/>
    <w:rsid w:val="002076CE"/>
    <w:rsid w:val="002076EE"/>
    <w:rsid w:val="00207890"/>
    <w:rsid w:val="002078EC"/>
    <w:rsid w:val="0020798C"/>
    <w:rsid w:val="00207AC9"/>
    <w:rsid w:val="00207B51"/>
    <w:rsid w:val="00207B8B"/>
    <w:rsid w:val="00207BEA"/>
    <w:rsid w:val="00207C0D"/>
    <w:rsid w:val="00207CB7"/>
    <w:rsid w:val="00207F5A"/>
    <w:rsid w:val="00210113"/>
    <w:rsid w:val="00210293"/>
    <w:rsid w:val="00210363"/>
    <w:rsid w:val="00210625"/>
    <w:rsid w:val="00210626"/>
    <w:rsid w:val="00210892"/>
    <w:rsid w:val="00210978"/>
    <w:rsid w:val="00210A38"/>
    <w:rsid w:val="00210ABE"/>
    <w:rsid w:val="00210B4A"/>
    <w:rsid w:val="00210B53"/>
    <w:rsid w:val="00210B5B"/>
    <w:rsid w:val="00210DFD"/>
    <w:rsid w:val="00210EA2"/>
    <w:rsid w:val="00210F65"/>
    <w:rsid w:val="00210FB4"/>
    <w:rsid w:val="002110DB"/>
    <w:rsid w:val="00211245"/>
    <w:rsid w:val="00211429"/>
    <w:rsid w:val="002117D1"/>
    <w:rsid w:val="0021182B"/>
    <w:rsid w:val="00211909"/>
    <w:rsid w:val="00211A89"/>
    <w:rsid w:val="00211AC9"/>
    <w:rsid w:val="00211B46"/>
    <w:rsid w:val="00211B4A"/>
    <w:rsid w:val="00211C75"/>
    <w:rsid w:val="00211CCE"/>
    <w:rsid w:val="00211FEF"/>
    <w:rsid w:val="0021208E"/>
    <w:rsid w:val="00212131"/>
    <w:rsid w:val="0021219B"/>
    <w:rsid w:val="0021223A"/>
    <w:rsid w:val="002123A3"/>
    <w:rsid w:val="002125C3"/>
    <w:rsid w:val="00212633"/>
    <w:rsid w:val="00212A3A"/>
    <w:rsid w:val="00212A62"/>
    <w:rsid w:val="00212B67"/>
    <w:rsid w:val="00212BDC"/>
    <w:rsid w:val="00212C7B"/>
    <w:rsid w:val="00212CC7"/>
    <w:rsid w:val="00212CD9"/>
    <w:rsid w:val="00212E90"/>
    <w:rsid w:val="00212FF1"/>
    <w:rsid w:val="0021312C"/>
    <w:rsid w:val="0021313D"/>
    <w:rsid w:val="00213212"/>
    <w:rsid w:val="0021335B"/>
    <w:rsid w:val="002133B8"/>
    <w:rsid w:val="0021354E"/>
    <w:rsid w:val="0021356F"/>
    <w:rsid w:val="00213601"/>
    <w:rsid w:val="002138D1"/>
    <w:rsid w:val="00213B02"/>
    <w:rsid w:val="00213B7E"/>
    <w:rsid w:val="00213C36"/>
    <w:rsid w:val="00213C93"/>
    <w:rsid w:val="00213E10"/>
    <w:rsid w:val="00213E92"/>
    <w:rsid w:val="00213F34"/>
    <w:rsid w:val="00213FC4"/>
    <w:rsid w:val="002144BF"/>
    <w:rsid w:val="00214645"/>
    <w:rsid w:val="002146DA"/>
    <w:rsid w:val="002146F3"/>
    <w:rsid w:val="00214941"/>
    <w:rsid w:val="00214ADD"/>
    <w:rsid w:val="00214D20"/>
    <w:rsid w:val="0021501A"/>
    <w:rsid w:val="0021536C"/>
    <w:rsid w:val="00215464"/>
    <w:rsid w:val="002154F0"/>
    <w:rsid w:val="00215502"/>
    <w:rsid w:val="002156DA"/>
    <w:rsid w:val="00215760"/>
    <w:rsid w:val="0021596B"/>
    <w:rsid w:val="00215C45"/>
    <w:rsid w:val="00215D3E"/>
    <w:rsid w:val="00215DCC"/>
    <w:rsid w:val="00215DD2"/>
    <w:rsid w:val="002160B6"/>
    <w:rsid w:val="002162E3"/>
    <w:rsid w:val="0021644E"/>
    <w:rsid w:val="0021655F"/>
    <w:rsid w:val="002166CA"/>
    <w:rsid w:val="00216854"/>
    <w:rsid w:val="00216C63"/>
    <w:rsid w:val="00217180"/>
    <w:rsid w:val="002173F3"/>
    <w:rsid w:val="0021745D"/>
    <w:rsid w:val="00217471"/>
    <w:rsid w:val="0021763E"/>
    <w:rsid w:val="00217736"/>
    <w:rsid w:val="00217740"/>
    <w:rsid w:val="002178C3"/>
    <w:rsid w:val="002178CC"/>
    <w:rsid w:val="00217E3B"/>
    <w:rsid w:val="00217F6C"/>
    <w:rsid w:val="0022051F"/>
    <w:rsid w:val="00220551"/>
    <w:rsid w:val="00220693"/>
    <w:rsid w:val="002206F4"/>
    <w:rsid w:val="002209BB"/>
    <w:rsid w:val="00220ABB"/>
    <w:rsid w:val="00220D23"/>
    <w:rsid w:val="00220DE1"/>
    <w:rsid w:val="00220E00"/>
    <w:rsid w:val="00220E21"/>
    <w:rsid w:val="00220EE1"/>
    <w:rsid w:val="00220F7C"/>
    <w:rsid w:val="00221031"/>
    <w:rsid w:val="002211B7"/>
    <w:rsid w:val="00221376"/>
    <w:rsid w:val="002213C3"/>
    <w:rsid w:val="002216D7"/>
    <w:rsid w:val="0022187C"/>
    <w:rsid w:val="0022189B"/>
    <w:rsid w:val="002218EB"/>
    <w:rsid w:val="00221AAD"/>
    <w:rsid w:val="00221E29"/>
    <w:rsid w:val="00221EE2"/>
    <w:rsid w:val="00221F73"/>
    <w:rsid w:val="00222017"/>
    <w:rsid w:val="002221F9"/>
    <w:rsid w:val="00222215"/>
    <w:rsid w:val="002222E9"/>
    <w:rsid w:val="0022238A"/>
    <w:rsid w:val="002223D2"/>
    <w:rsid w:val="00222527"/>
    <w:rsid w:val="002225BA"/>
    <w:rsid w:val="002225D4"/>
    <w:rsid w:val="00222638"/>
    <w:rsid w:val="0022283B"/>
    <w:rsid w:val="00222EF5"/>
    <w:rsid w:val="00222FA8"/>
    <w:rsid w:val="00223154"/>
    <w:rsid w:val="00223656"/>
    <w:rsid w:val="0022367A"/>
    <w:rsid w:val="002237B9"/>
    <w:rsid w:val="00223853"/>
    <w:rsid w:val="00223896"/>
    <w:rsid w:val="00223A25"/>
    <w:rsid w:val="00223C48"/>
    <w:rsid w:val="00223C97"/>
    <w:rsid w:val="00223D6F"/>
    <w:rsid w:val="00223DAD"/>
    <w:rsid w:val="00223DB4"/>
    <w:rsid w:val="00223F81"/>
    <w:rsid w:val="00224011"/>
    <w:rsid w:val="002242B7"/>
    <w:rsid w:val="0022456F"/>
    <w:rsid w:val="002245BE"/>
    <w:rsid w:val="00224741"/>
    <w:rsid w:val="00224837"/>
    <w:rsid w:val="002249AF"/>
    <w:rsid w:val="00224A7C"/>
    <w:rsid w:val="00224BCD"/>
    <w:rsid w:val="00224CE2"/>
    <w:rsid w:val="00224D45"/>
    <w:rsid w:val="00224DE7"/>
    <w:rsid w:val="00225164"/>
    <w:rsid w:val="002251CF"/>
    <w:rsid w:val="0022545D"/>
    <w:rsid w:val="0022566C"/>
    <w:rsid w:val="0022574E"/>
    <w:rsid w:val="00225A84"/>
    <w:rsid w:val="00225D80"/>
    <w:rsid w:val="00225F6D"/>
    <w:rsid w:val="00225FA4"/>
    <w:rsid w:val="00226287"/>
    <w:rsid w:val="00226587"/>
    <w:rsid w:val="0022660C"/>
    <w:rsid w:val="002267D2"/>
    <w:rsid w:val="00226954"/>
    <w:rsid w:val="00226B40"/>
    <w:rsid w:val="00226BB6"/>
    <w:rsid w:val="00226D96"/>
    <w:rsid w:val="00226D9C"/>
    <w:rsid w:val="00226EBB"/>
    <w:rsid w:val="00226F2D"/>
    <w:rsid w:val="00226F6C"/>
    <w:rsid w:val="00226F79"/>
    <w:rsid w:val="00226F9D"/>
    <w:rsid w:val="0022708E"/>
    <w:rsid w:val="00227585"/>
    <w:rsid w:val="0022767B"/>
    <w:rsid w:val="002278C0"/>
    <w:rsid w:val="00227D39"/>
    <w:rsid w:val="00227DA3"/>
    <w:rsid w:val="00227DAE"/>
    <w:rsid w:val="00227FD4"/>
    <w:rsid w:val="00230154"/>
    <w:rsid w:val="002301B9"/>
    <w:rsid w:val="00230374"/>
    <w:rsid w:val="002303AA"/>
    <w:rsid w:val="002304DD"/>
    <w:rsid w:val="002304ED"/>
    <w:rsid w:val="00230835"/>
    <w:rsid w:val="00230D8F"/>
    <w:rsid w:val="00230DFD"/>
    <w:rsid w:val="00230EEB"/>
    <w:rsid w:val="00230EFF"/>
    <w:rsid w:val="00230F85"/>
    <w:rsid w:val="00230FE1"/>
    <w:rsid w:val="0023119A"/>
    <w:rsid w:val="002313A2"/>
    <w:rsid w:val="002313D2"/>
    <w:rsid w:val="002313E5"/>
    <w:rsid w:val="00231564"/>
    <w:rsid w:val="002317EB"/>
    <w:rsid w:val="00231808"/>
    <w:rsid w:val="0023194C"/>
    <w:rsid w:val="00231E7E"/>
    <w:rsid w:val="00231EC5"/>
    <w:rsid w:val="002321E1"/>
    <w:rsid w:val="00232566"/>
    <w:rsid w:val="002327AB"/>
    <w:rsid w:val="00232816"/>
    <w:rsid w:val="00232844"/>
    <w:rsid w:val="0023288D"/>
    <w:rsid w:val="0023293F"/>
    <w:rsid w:val="00232B06"/>
    <w:rsid w:val="00232DDC"/>
    <w:rsid w:val="00232E73"/>
    <w:rsid w:val="00232F9E"/>
    <w:rsid w:val="00233186"/>
    <w:rsid w:val="002331D6"/>
    <w:rsid w:val="0023320A"/>
    <w:rsid w:val="00233222"/>
    <w:rsid w:val="00233229"/>
    <w:rsid w:val="002333C9"/>
    <w:rsid w:val="002334F0"/>
    <w:rsid w:val="0023351B"/>
    <w:rsid w:val="002336D4"/>
    <w:rsid w:val="0023381B"/>
    <w:rsid w:val="00233B00"/>
    <w:rsid w:val="00233B19"/>
    <w:rsid w:val="00233BAB"/>
    <w:rsid w:val="00233C2D"/>
    <w:rsid w:val="0023401A"/>
    <w:rsid w:val="002340A8"/>
    <w:rsid w:val="002340CB"/>
    <w:rsid w:val="002341C0"/>
    <w:rsid w:val="002343D2"/>
    <w:rsid w:val="00234500"/>
    <w:rsid w:val="0023464D"/>
    <w:rsid w:val="00234781"/>
    <w:rsid w:val="00234796"/>
    <w:rsid w:val="00234C5D"/>
    <w:rsid w:val="00234CAF"/>
    <w:rsid w:val="00234D0A"/>
    <w:rsid w:val="00234DED"/>
    <w:rsid w:val="00234E56"/>
    <w:rsid w:val="00234F3A"/>
    <w:rsid w:val="00234FC8"/>
    <w:rsid w:val="0023500A"/>
    <w:rsid w:val="002351A8"/>
    <w:rsid w:val="00235426"/>
    <w:rsid w:val="002354A7"/>
    <w:rsid w:val="002355FA"/>
    <w:rsid w:val="0023564D"/>
    <w:rsid w:val="0023574C"/>
    <w:rsid w:val="00235910"/>
    <w:rsid w:val="0023597E"/>
    <w:rsid w:val="0023598E"/>
    <w:rsid w:val="00235996"/>
    <w:rsid w:val="00235B3B"/>
    <w:rsid w:val="00235BCB"/>
    <w:rsid w:val="00235BCD"/>
    <w:rsid w:val="00235C23"/>
    <w:rsid w:val="00235C2B"/>
    <w:rsid w:val="00235CA4"/>
    <w:rsid w:val="00235F4D"/>
    <w:rsid w:val="00236001"/>
    <w:rsid w:val="00236078"/>
    <w:rsid w:val="00236210"/>
    <w:rsid w:val="002362B7"/>
    <w:rsid w:val="002362E4"/>
    <w:rsid w:val="00236572"/>
    <w:rsid w:val="00236A39"/>
    <w:rsid w:val="00236D0B"/>
    <w:rsid w:val="00237067"/>
    <w:rsid w:val="002370EC"/>
    <w:rsid w:val="0023719A"/>
    <w:rsid w:val="002372A5"/>
    <w:rsid w:val="002372BC"/>
    <w:rsid w:val="00237446"/>
    <w:rsid w:val="0023747D"/>
    <w:rsid w:val="0023749E"/>
    <w:rsid w:val="002377F0"/>
    <w:rsid w:val="00237840"/>
    <w:rsid w:val="002378EE"/>
    <w:rsid w:val="0023795E"/>
    <w:rsid w:val="00237965"/>
    <w:rsid w:val="002379D8"/>
    <w:rsid w:val="00237A2E"/>
    <w:rsid w:val="00237AC1"/>
    <w:rsid w:val="00237AC8"/>
    <w:rsid w:val="00237BCD"/>
    <w:rsid w:val="00237CEE"/>
    <w:rsid w:val="00237D94"/>
    <w:rsid w:val="00237E67"/>
    <w:rsid w:val="00237E8F"/>
    <w:rsid w:val="00237ED4"/>
    <w:rsid w:val="00237F52"/>
    <w:rsid w:val="0024008F"/>
    <w:rsid w:val="00240158"/>
    <w:rsid w:val="002402E3"/>
    <w:rsid w:val="00240335"/>
    <w:rsid w:val="00240372"/>
    <w:rsid w:val="002403E7"/>
    <w:rsid w:val="002404B5"/>
    <w:rsid w:val="002405F3"/>
    <w:rsid w:val="002406AA"/>
    <w:rsid w:val="00240881"/>
    <w:rsid w:val="00240AD2"/>
    <w:rsid w:val="00240D00"/>
    <w:rsid w:val="00240DA9"/>
    <w:rsid w:val="002413A4"/>
    <w:rsid w:val="002413C1"/>
    <w:rsid w:val="00241890"/>
    <w:rsid w:val="002418A5"/>
    <w:rsid w:val="002419CC"/>
    <w:rsid w:val="00241AA6"/>
    <w:rsid w:val="00241ABF"/>
    <w:rsid w:val="00241F69"/>
    <w:rsid w:val="00241FB6"/>
    <w:rsid w:val="002420CF"/>
    <w:rsid w:val="0024236E"/>
    <w:rsid w:val="00242567"/>
    <w:rsid w:val="0024261E"/>
    <w:rsid w:val="002426F7"/>
    <w:rsid w:val="00242823"/>
    <w:rsid w:val="00242A24"/>
    <w:rsid w:val="00242ABE"/>
    <w:rsid w:val="00242CF2"/>
    <w:rsid w:val="00242E7F"/>
    <w:rsid w:val="00242F5A"/>
    <w:rsid w:val="00242FFC"/>
    <w:rsid w:val="00243002"/>
    <w:rsid w:val="002430A8"/>
    <w:rsid w:val="0024313A"/>
    <w:rsid w:val="00243176"/>
    <w:rsid w:val="0024338B"/>
    <w:rsid w:val="00243421"/>
    <w:rsid w:val="002435CA"/>
    <w:rsid w:val="002435FD"/>
    <w:rsid w:val="002438A9"/>
    <w:rsid w:val="00243986"/>
    <w:rsid w:val="002439A0"/>
    <w:rsid w:val="002439F2"/>
    <w:rsid w:val="00243C30"/>
    <w:rsid w:val="00243CC7"/>
    <w:rsid w:val="00243D58"/>
    <w:rsid w:val="00243F76"/>
    <w:rsid w:val="00243F7B"/>
    <w:rsid w:val="00243FD5"/>
    <w:rsid w:val="00244001"/>
    <w:rsid w:val="00244230"/>
    <w:rsid w:val="002442D4"/>
    <w:rsid w:val="002444E6"/>
    <w:rsid w:val="002447B6"/>
    <w:rsid w:val="002448DF"/>
    <w:rsid w:val="00244AD7"/>
    <w:rsid w:val="00244B61"/>
    <w:rsid w:val="00244C27"/>
    <w:rsid w:val="00244DBA"/>
    <w:rsid w:val="002450EE"/>
    <w:rsid w:val="0024516F"/>
    <w:rsid w:val="002452FF"/>
    <w:rsid w:val="00245339"/>
    <w:rsid w:val="002453D1"/>
    <w:rsid w:val="002454CD"/>
    <w:rsid w:val="002456D4"/>
    <w:rsid w:val="0024582B"/>
    <w:rsid w:val="002458C4"/>
    <w:rsid w:val="002459A9"/>
    <w:rsid w:val="00245A5E"/>
    <w:rsid w:val="00245B36"/>
    <w:rsid w:val="00245DF2"/>
    <w:rsid w:val="00245E48"/>
    <w:rsid w:val="00246091"/>
    <w:rsid w:val="002460D6"/>
    <w:rsid w:val="00246176"/>
    <w:rsid w:val="0024620E"/>
    <w:rsid w:val="0024624B"/>
    <w:rsid w:val="0024627C"/>
    <w:rsid w:val="00246556"/>
    <w:rsid w:val="00246605"/>
    <w:rsid w:val="00246612"/>
    <w:rsid w:val="002466A4"/>
    <w:rsid w:val="002468ED"/>
    <w:rsid w:val="00246A42"/>
    <w:rsid w:val="00246BF3"/>
    <w:rsid w:val="00246CE7"/>
    <w:rsid w:val="00246D37"/>
    <w:rsid w:val="00246DC7"/>
    <w:rsid w:val="00246DF4"/>
    <w:rsid w:val="00246F3E"/>
    <w:rsid w:val="0024705D"/>
    <w:rsid w:val="00247093"/>
    <w:rsid w:val="002470D9"/>
    <w:rsid w:val="0024714A"/>
    <w:rsid w:val="002473E8"/>
    <w:rsid w:val="002474B8"/>
    <w:rsid w:val="0024756E"/>
    <w:rsid w:val="002476CE"/>
    <w:rsid w:val="00247B63"/>
    <w:rsid w:val="00247B76"/>
    <w:rsid w:val="00247D24"/>
    <w:rsid w:val="00250113"/>
    <w:rsid w:val="002502A7"/>
    <w:rsid w:val="00250357"/>
    <w:rsid w:val="00250575"/>
    <w:rsid w:val="002505F6"/>
    <w:rsid w:val="00250625"/>
    <w:rsid w:val="0025063B"/>
    <w:rsid w:val="00250697"/>
    <w:rsid w:val="002506E2"/>
    <w:rsid w:val="002506F0"/>
    <w:rsid w:val="00250838"/>
    <w:rsid w:val="00250C14"/>
    <w:rsid w:val="00250C1A"/>
    <w:rsid w:val="00250C56"/>
    <w:rsid w:val="00250DC2"/>
    <w:rsid w:val="00250F54"/>
    <w:rsid w:val="00250F7F"/>
    <w:rsid w:val="00250FA5"/>
    <w:rsid w:val="00251114"/>
    <w:rsid w:val="00251125"/>
    <w:rsid w:val="00251182"/>
    <w:rsid w:val="0025139C"/>
    <w:rsid w:val="002514E7"/>
    <w:rsid w:val="00251A48"/>
    <w:rsid w:val="00251C32"/>
    <w:rsid w:val="00251CC3"/>
    <w:rsid w:val="00251E00"/>
    <w:rsid w:val="002520A8"/>
    <w:rsid w:val="00252358"/>
    <w:rsid w:val="0025253D"/>
    <w:rsid w:val="00252643"/>
    <w:rsid w:val="002528A7"/>
    <w:rsid w:val="002528AE"/>
    <w:rsid w:val="002528EB"/>
    <w:rsid w:val="00252901"/>
    <w:rsid w:val="0025298E"/>
    <w:rsid w:val="00252A4F"/>
    <w:rsid w:val="00252DA5"/>
    <w:rsid w:val="00252EAC"/>
    <w:rsid w:val="00252FB9"/>
    <w:rsid w:val="00253304"/>
    <w:rsid w:val="002533C9"/>
    <w:rsid w:val="002534CE"/>
    <w:rsid w:val="00253578"/>
    <w:rsid w:val="0025364C"/>
    <w:rsid w:val="002538E5"/>
    <w:rsid w:val="00253942"/>
    <w:rsid w:val="0025398A"/>
    <w:rsid w:val="00253BCA"/>
    <w:rsid w:val="00253C5A"/>
    <w:rsid w:val="00253DDB"/>
    <w:rsid w:val="00253DEF"/>
    <w:rsid w:val="00253E96"/>
    <w:rsid w:val="0025401E"/>
    <w:rsid w:val="002540D1"/>
    <w:rsid w:val="0025410F"/>
    <w:rsid w:val="0025416E"/>
    <w:rsid w:val="00254426"/>
    <w:rsid w:val="0025453E"/>
    <w:rsid w:val="0025455B"/>
    <w:rsid w:val="00254598"/>
    <w:rsid w:val="0025468E"/>
    <w:rsid w:val="0025478D"/>
    <w:rsid w:val="00254B6B"/>
    <w:rsid w:val="00254CA6"/>
    <w:rsid w:val="00254EC6"/>
    <w:rsid w:val="00255014"/>
    <w:rsid w:val="002551D4"/>
    <w:rsid w:val="00255390"/>
    <w:rsid w:val="002553D0"/>
    <w:rsid w:val="002553E6"/>
    <w:rsid w:val="00255436"/>
    <w:rsid w:val="00255461"/>
    <w:rsid w:val="00255485"/>
    <w:rsid w:val="00255632"/>
    <w:rsid w:val="00255839"/>
    <w:rsid w:val="00255DDB"/>
    <w:rsid w:val="00255EF4"/>
    <w:rsid w:val="00255F56"/>
    <w:rsid w:val="00255F5E"/>
    <w:rsid w:val="00255F7E"/>
    <w:rsid w:val="002560D9"/>
    <w:rsid w:val="00256241"/>
    <w:rsid w:val="00256265"/>
    <w:rsid w:val="00256485"/>
    <w:rsid w:val="002564DA"/>
    <w:rsid w:val="00256738"/>
    <w:rsid w:val="00256973"/>
    <w:rsid w:val="00256A95"/>
    <w:rsid w:val="00256B4E"/>
    <w:rsid w:val="00256D60"/>
    <w:rsid w:val="00256D63"/>
    <w:rsid w:val="00256D8B"/>
    <w:rsid w:val="0025705B"/>
    <w:rsid w:val="00257070"/>
    <w:rsid w:val="002570C2"/>
    <w:rsid w:val="002570FB"/>
    <w:rsid w:val="00257150"/>
    <w:rsid w:val="002576F6"/>
    <w:rsid w:val="002577AE"/>
    <w:rsid w:val="002577F8"/>
    <w:rsid w:val="00257800"/>
    <w:rsid w:val="00257958"/>
    <w:rsid w:val="0025796E"/>
    <w:rsid w:val="0025797D"/>
    <w:rsid w:val="00257A01"/>
    <w:rsid w:val="00257BF0"/>
    <w:rsid w:val="00257D64"/>
    <w:rsid w:val="0026005F"/>
    <w:rsid w:val="00260168"/>
    <w:rsid w:val="002601F0"/>
    <w:rsid w:val="00260338"/>
    <w:rsid w:val="00260378"/>
    <w:rsid w:val="002605C2"/>
    <w:rsid w:val="0026060E"/>
    <w:rsid w:val="00260849"/>
    <w:rsid w:val="0026086F"/>
    <w:rsid w:val="00260A79"/>
    <w:rsid w:val="00260B73"/>
    <w:rsid w:val="00260C67"/>
    <w:rsid w:val="00260CAD"/>
    <w:rsid w:val="00260DCC"/>
    <w:rsid w:val="00260FC7"/>
    <w:rsid w:val="0026107D"/>
    <w:rsid w:val="0026118B"/>
    <w:rsid w:val="002611D0"/>
    <w:rsid w:val="00261227"/>
    <w:rsid w:val="0026141A"/>
    <w:rsid w:val="00261823"/>
    <w:rsid w:val="00261871"/>
    <w:rsid w:val="002618D9"/>
    <w:rsid w:val="00261A3C"/>
    <w:rsid w:val="00261B03"/>
    <w:rsid w:val="00261D71"/>
    <w:rsid w:val="00261D89"/>
    <w:rsid w:val="00261F61"/>
    <w:rsid w:val="00262448"/>
    <w:rsid w:val="0026250D"/>
    <w:rsid w:val="002625F4"/>
    <w:rsid w:val="002626D0"/>
    <w:rsid w:val="0026280F"/>
    <w:rsid w:val="0026299A"/>
    <w:rsid w:val="00262B53"/>
    <w:rsid w:val="00262B55"/>
    <w:rsid w:val="00262D08"/>
    <w:rsid w:val="00262E3D"/>
    <w:rsid w:val="00262E48"/>
    <w:rsid w:val="00262E56"/>
    <w:rsid w:val="00262F0F"/>
    <w:rsid w:val="00262F77"/>
    <w:rsid w:val="00263230"/>
    <w:rsid w:val="0026326F"/>
    <w:rsid w:val="002633C1"/>
    <w:rsid w:val="00263572"/>
    <w:rsid w:val="002636CA"/>
    <w:rsid w:val="002636FB"/>
    <w:rsid w:val="00263832"/>
    <w:rsid w:val="00263900"/>
    <w:rsid w:val="00263C17"/>
    <w:rsid w:val="00263D50"/>
    <w:rsid w:val="00263D54"/>
    <w:rsid w:val="00263FA8"/>
    <w:rsid w:val="0026423D"/>
    <w:rsid w:val="0026425A"/>
    <w:rsid w:val="002645FB"/>
    <w:rsid w:val="00264620"/>
    <w:rsid w:val="00264643"/>
    <w:rsid w:val="002647C9"/>
    <w:rsid w:val="002649EE"/>
    <w:rsid w:val="00264A1D"/>
    <w:rsid w:val="00264A2D"/>
    <w:rsid w:val="00264A8E"/>
    <w:rsid w:val="00264CB8"/>
    <w:rsid w:val="0026501D"/>
    <w:rsid w:val="002650D7"/>
    <w:rsid w:val="002652C6"/>
    <w:rsid w:val="002655A3"/>
    <w:rsid w:val="0026575C"/>
    <w:rsid w:val="002657D1"/>
    <w:rsid w:val="00265822"/>
    <w:rsid w:val="00265839"/>
    <w:rsid w:val="00265B7B"/>
    <w:rsid w:val="00265D17"/>
    <w:rsid w:val="00265D66"/>
    <w:rsid w:val="00265E93"/>
    <w:rsid w:val="00265F31"/>
    <w:rsid w:val="00266033"/>
    <w:rsid w:val="002660D3"/>
    <w:rsid w:val="002662F6"/>
    <w:rsid w:val="002665C6"/>
    <w:rsid w:val="002666BA"/>
    <w:rsid w:val="00266885"/>
    <w:rsid w:val="00266B1C"/>
    <w:rsid w:val="00266D20"/>
    <w:rsid w:val="00267205"/>
    <w:rsid w:val="002672CE"/>
    <w:rsid w:val="002672F5"/>
    <w:rsid w:val="00267361"/>
    <w:rsid w:val="0026736A"/>
    <w:rsid w:val="00267498"/>
    <w:rsid w:val="00267661"/>
    <w:rsid w:val="002676B4"/>
    <w:rsid w:val="00267922"/>
    <w:rsid w:val="00267A2A"/>
    <w:rsid w:val="00267D7D"/>
    <w:rsid w:val="00267DEA"/>
    <w:rsid w:val="00267FC4"/>
    <w:rsid w:val="0027028A"/>
    <w:rsid w:val="0027039F"/>
    <w:rsid w:val="002703AE"/>
    <w:rsid w:val="00270492"/>
    <w:rsid w:val="00270644"/>
    <w:rsid w:val="00270721"/>
    <w:rsid w:val="00270748"/>
    <w:rsid w:val="0027094C"/>
    <w:rsid w:val="00270A6E"/>
    <w:rsid w:val="00270B9F"/>
    <w:rsid w:val="00270C50"/>
    <w:rsid w:val="00270CA9"/>
    <w:rsid w:val="00270D9E"/>
    <w:rsid w:val="00270E97"/>
    <w:rsid w:val="00270F6B"/>
    <w:rsid w:val="00270F79"/>
    <w:rsid w:val="00270F80"/>
    <w:rsid w:val="002710FD"/>
    <w:rsid w:val="002712E5"/>
    <w:rsid w:val="002716C5"/>
    <w:rsid w:val="00271819"/>
    <w:rsid w:val="0027183E"/>
    <w:rsid w:val="002718D3"/>
    <w:rsid w:val="00271A93"/>
    <w:rsid w:val="00271C84"/>
    <w:rsid w:val="00271CC5"/>
    <w:rsid w:val="00271D33"/>
    <w:rsid w:val="00271FAB"/>
    <w:rsid w:val="002720B3"/>
    <w:rsid w:val="0027212D"/>
    <w:rsid w:val="0027220F"/>
    <w:rsid w:val="00272302"/>
    <w:rsid w:val="002723D6"/>
    <w:rsid w:val="00272410"/>
    <w:rsid w:val="00272A22"/>
    <w:rsid w:val="00272A36"/>
    <w:rsid w:val="00272A89"/>
    <w:rsid w:val="00272C93"/>
    <w:rsid w:val="00272DB5"/>
    <w:rsid w:val="00272F36"/>
    <w:rsid w:val="00272F39"/>
    <w:rsid w:val="002731C6"/>
    <w:rsid w:val="00273204"/>
    <w:rsid w:val="0027320D"/>
    <w:rsid w:val="00273248"/>
    <w:rsid w:val="002732B3"/>
    <w:rsid w:val="002734A0"/>
    <w:rsid w:val="002734B6"/>
    <w:rsid w:val="00273541"/>
    <w:rsid w:val="0027365A"/>
    <w:rsid w:val="002736BE"/>
    <w:rsid w:val="002737DB"/>
    <w:rsid w:val="0027383D"/>
    <w:rsid w:val="002738A2"/>
    <w:rsid w:val="0027396F"/>
    <w:rsid w:val="00273C10"/>
    <w:rsid w:val="00273D23"/>
    <w:rsid w:val="00273E5A"/>
    <w:rsid w:val="00273E79"/>
    <w:rsid w:val="00273F81"/>
    <w:rsid w:val="00273FC4"/>
    <w:rsid w:val="00273FC5"/>
    <w:rsid w:val="00273FF1"/>
    <w:rsid w:val="00274087"/>
    <w:rsid w:val="002740C2"/>
    <w:rsid w:val="0027411B"/>
    <w:rsid w:val="00274362"/>
    <w:rsid w:val="00274678"/>
    <w:rsid w:val="002747C4"/>
    <w:rsid w:val="002747CA"/>
    <w:rsid w:val="002749CA"/>
    <w:rsid w:val="002749F6"/>
    <w:rsid w:val="00274B41"/>
    <w:rsid w:val="00274C0A"/>
    <w:rsid w:val="00274CD9"/>
    <w:rsid w:val="00274F8F"/>
    <w:rsid w:val="00275093"/>
    <w:rsid w:val="0027524E"/>
    <w:rsid w:val="00275295"/>
    <w:rsid w:val="0027531A"/>
    <w:rsid w:val="00275456"/>
    <w:rsid w:val="00275658"/>
    <w:rsid w:val="00275776"/>
    <w:rsid w:val="00275928"/>
    <w:rsid w:val="00275A96"/>
    <w:rsid w:val="00275DFC"/>
    <w:rsid w:val="00275E98"/>
    <w:rsid w:val="00275FAF"/>
    <w:rsid w:val="002760E0"/>
    <w:rsid w:val="002761E9"/>
    <w:rsid w:val="002762E0"/>
    <w:rsid w:val="002763F1"/>
    <w:rsid w:val="002765C0"/>
    <w:rsid w:val="002765DD"/>
    <w:rsid w:val="00276614"/>
    <w:rsid w:val="0027674A"/>
    <w:rsid w:val="00276A98"/>
    <w:rsid w:val="00276AA6"/>
    <w:rsid w:val="00276B4B"/>
    <w:rsid w:val="002771DB"/>
    <w:rsid w:val="0027724F"/>
    <w:rsid w:val="0027731B"/>
    <w:rsid w:val="002773B2"/>
    <w:rsid w:val="00277412"/>
    <w:rsid w:val="00277474"/>
    <w:rsid w:val="002774DE"/>
    <w:rsid w:val="002775FE"/>
    <w:rsid w:val="002776C4"/>
    <w:rsid w:val="002776CC"/>
    <w:rsid w:val="00277796"/>
    <w:rsid w:val="002778F2"/>
    <w:rsid w:val="00277924"/>
    <w:rsid w:val="00277A43"/>
    <w:rsid w:val="00277B1E"/>
    <w:rsid w:val="00277B55"/>
    <w:rsid w:val="00277C26"/>
    <w:rsid w:val="00277D9B"/>
    <w:rsid w:val="002800B4"/>
    <w:rsid w:val="002800D4"/>
    <w:rsid w:val="0028029A"/>
    <w:rsid w:val="002802AC"/>
    <w:rsid w:val="00280451"/>
    <w:rsid w:val="0028055C"/>
    <w:rsid w:val="0028056B"/>
    <w:rsid w:val="00280848"/>
    <w:rsid w:val="002808B6"/>
    <w:rsid w:val="00280C87"/>
    <w:rsid w:val="00280D46"/>
    <w:rsid w:val="00280D5A"/>
    <w:rsid w:val="00280E03"/>
    <w:rsid w:val="00280E58"/>
    <w:rsid w:val="00281295"/>
    <w:rsid w:val="0028137D"/>
    <w:rsid w:val="00281518"/>
    <w:rsid w:val="00281687"/>
    <w:rsid w:val="002817F4"/>
    <w:rsid w:val="00281BD6"/>
    <w:rsid w:val="00281CB6"/>
    <w:rsid w:val="00281EE9"/>
    <w:rsid w:val="00281F8D"/>
    <w:rsid w:val="00281FA5"/>
    <w:rsid w:val="00282025"/>
    <w:rsid w:val="0028203C"/>
    <w:rsid w:val="00282124"/>
    <w:rsid w:val="00282200"/>
    <w:rsid w:val="00282326"/>
    <w:rsid w:val="00282379"/>
    <w:rsid w:val="002826CC"/>
    <w:rsid w:val="002826DE"/>
    <w:rsid w:val="00282728"/>
    <w:rsid w:val="002827F4"/>
    <w:rsid w:val="0028282E"/>
    <w:rsid w:val="00282851"/>
    <w:rsid w:val="00282920"/>
    <w:rsid w:val="00282A0E"/>
    <w:rsid w:val="00282C42"/>
    <w:rsid w:val="00282CCD"/>
    <w:rsid w:val="00283086"/>
    <w:rsid w:val="002831AD"/>
    <w:rsid w:val="00283241"/>
    <w:rsid w:val="00283271"/>
    <w:rsid w:val="0028343E"/>
    <w:rsid w:val="0028343F"/>
    <w:rsid w:val="00283465"/>
    <w:rsid w:val="00283498"/>
    <w:rsid w:val="002834DF"/>
    <w:rsid w:val="00283559"/>
    <w:rsid w:val="00283830"/>
    <w:rsid w:val="0028385A"/>
    <w:rsid w:val="00283A50"/>
    <w:rsid w:val="00283A99"/>
    <w:rsid w:val="00283B6F"/>
    <w:rsid w:val="00283C85"/>
    <w:rsid w:val="00283FA9"/>
    <w:rsid w:val="00284231"/>
    <w:rsid w:val="00284290"/>
    <w:rsid w:val="002842F0"/>
    <w:rsid w:val="00284451"/>
    <w:rsid w:val="00284483"/>
    <w:rsid w:val="0028458B"/>
    <w:rsid w:val="002845FC"/>
    <w:rsid w:val="002847A3"/>
    <w:rsid w:val="002849AB"/>
    <w:rsid w:val="00284A88"/>
    <w:rsid w:val="00284B27"/>
    <w:rsid w:val="00284BB6"/>
    <w:rsid w:val="00284D7B"/>
    <w:rsid w:val="00284E28"/>
    <w:rsid w:val="00284E4A"/>
    <w:rsid w:val="0028529C"/>
    <w:rsid w:val="0028541D"/>
    <w:rsid w:val="0028559D"/>
    <w:rsid w:val="00285683"/>
    <w:rsid w:val="00285857"/>
    <w:rsid w:val="00285A65"/>
    <w:rsid w:val="00285D1D"/>
    <w:rsid w:val="00285E0B"/>
    <w:rsid w:val="00285FCC"/>
    <w:rsid w:val="002860C5"/>
    <w:rsid w:val="00286372"/>
    <w:rsid w:val="002864E0"/>
    <w:rsid w:val="002865F2"/>
    <w:rsid w:val="00286936"/>
    <w:rsid w:val="00286D01"/>
    <w:rsid w:val="00286D0F"/>
    <w:rsid w:val="00286DD7"/>
    <w:rsid w:val="00286DE9"/>
    <w:rsid w:val="00286E6B"/>
    <w:rsid w:val="00286EC0"/>
    <w:rsid w:val="00286F71"/>
    <w:rsid w:val="0028717E"/>
    <w:rsid w:val="002871E9"/>
    <w:rsid w:val="00287231"/>
    <w:rsid w:val="002872CF"/>
    <w:rsid w:val="0028733F"/>
    <w:rsid w:val="0028734C"/>
    <w:rsid w:val="00287577"/>
    <w:rsid w:val="002875C6"/>
    <w:rsid w:val="002875F8"/>
    <w:rsid w:val="002878D0"/>
    <w:rsid w:val="002879DC"/>
    <w:rsid w:val="00287A28"/>
    <w:rsid w:val="00287A7D"/>
    <w:rsid w:val="00287D4C"/>
    <w:rsid w:val="0029054F"/>
    <w:rsid w:val="002905FC"/>
    <w:rsid w:val="00290626"/>
    <w:rsid w:val="002906FE"/>
    <w:rsid w:val="002909FF"/>
    <w:rsid w:val="00290A3C"/>
    <w:rsid w:val="00290AD9"/>
    <w:rsid w:val="00290B33"/>
    <w:rsid w:val="00290BB3"/>
    <w:rsid w:val="00290BFB"/>
    <w:rsid w:val="00290DD5"/>
    <w:rsid w:val="00291021"/>
    <w:rsid w:val="00291045"/>
    <w:rsid w:val="0029107E"/>
    <w:rsid w:val="002910A5"/>
    <w:rsid w:val="00291357"/>
    <w:rsid w:val="00291943"/>
    <w:rsid w:val="00291CC3"/>
    <w:rsid w:val="00291DF5"/>
    <w:rsid w:val="00291E9A"/>
    <w:rsid w:val="00291EA0"/>
    <w:rsid w:val="00291F38"/>
    <w:rsid w:val="00291F47"/>
    <w:rsid w:val="00292031"/>
    <w:rsid w:val="0029204C"/>
    <w:rsid w:val="00292060"/>
    <w:rsid w:val="002920ED"/>
    <w:rsid w:val="00292170"/>
    <w:rsid w:val="002921F5"/>
    <w:rsid w:val="002922AB"/>
    <w:rsid w:val="00292363"/>
    <w:rsid w:val="0029241E"/>
    <w:rsid w:val="00292473"/>
    <w:rsid w:val="0029248E"/>
    <w:rsid w:val="002924AE"/>
    <w:rsid w:val="002924D0"/>
    <w:rsid w:val="0029250F"/>
    <w:rsid w:val="00292728"/>
    <w:rsid w:val="00292947"/>
    <w:rsid w:val="0029298D"/>
    <w:rsid w:val="002929A7"/>
    <w:rsid w:val="00292B05"/>
    <w:rsid w:val="00292BC6"/>
    <w:rsid w:val="00292D4B"/>
    <w:rsid w:val="00292E49"/>
    <w:rsid w:val="00292F35"/>
    <w:rsid w:val="00292F47"/>
    <w:rsid w:val="00292FFB"/>
    <w:rsid w:val="0029309E"/>
    <w:rsid w:val="0029312D"/>
    <w:rsid w:val="002932DB"/>
    <w:rsid w:val="00293384"/>
    <w:rsid w:val="002933F0"/>
    <w:rsid w:val="002934E4"/>
    <w:rsid w:val="002935F6"/>
    <w:rsid w:val="002935FF"/>
    <w:rsid w:val="0029361F"/>
    <w:rsid w:val="00293888"/>
    <w:rsid w:val="002938B1"/>
    <w:rsid w:val="00293A08"/>
    <w:rsid w:val="00293A7F"/>
    <w:rsid w:val="00293B55"/>
    <w:rsid w:val="00293C10"/>
    <w:rsid w:val="00293C7C"/>
    <w:rsid w:val="00293D3D"/>
    <w:rsid w:val="00293DCC"/>
    <w:rsid w:val="00293FF7"/>
    <w:rsid w:val="00294017"/>
    <w:rsid w:val="0029420E"/>
    <w:rsid w:val="00294282"/>
    <w:rsid w:val="002942A4"/>
    <w:rsid w:val="00294387"/>
    <w:rsid w:val="002943FA"/>
    <w:rsid w:val="0029488B"/>
    <w:rsid w:val="00294A0A"/>
    <w:rsid w:val="00294A13"/>
    <w:rsid w:val="00294A63"/>
    <w:rsid w:val="00294B07"/>
    <w:rsid w:val="00294D0D"/>
    <w:rsid w:val="00294E13"/>
    <w:rsid w:val="0029500A"/>
    <w:rsid w:val="00295060"/>
    <w:rsid w:val="0029519D"/>
    <w:rsid w:val="00295285"/>
    <w:rsid w:val="0029530F"/>
    <w:rsid w:val="002953AC"/>
    <w:rsid w:val="002954D5"/>
    <w:rsid w:val="0029559B"/>
    <w:rsid w:val="0029598C"/>
    <w:rsid w:val="002959F4"/>
    <w:rsid w:val="00295ADB"/>
    <w:rsid w:val="00295BBC"/>
    <w:rsid w:val="00295DEC"/>
    <w:rsid w:val="00295E86"/>
    <w:rsid w:val="00295F3C"/>
    <w:rsid w:val="0029607F"/>
    <w:rsid w:val="0029633C"/>
    <w:rsid w:val="00296417"/>
    <w:rsid w:val="002964A2"/>
    <w:rsid w:val="00296944"/>
    <w:rsid w:val="00296A6B"/>
    <w:rsid w:val="00296BE8"/>
    <w:rsid w:val="00296D84"/>
    <w:rsid w:val="00296E7A"/>
    <w:rsid w:val="00297012"/>
    <w:rsid w:val="00297105"/>
    <w:rsid w:val="0029719B"/>
    <w:rsid w:val="0029721C"/>
    <w:rsid w:val="002972B4"/>
    <w:rsid w:val="0029735A"/>
    <w:rsid w:val="00297491"/>
    <w:rsid w:val="002974A8"/>
    <w:rsid w:val="0029787D"/>
    <w:rsid w:val="00297BB0"/>
    <w:rsid w:val="00297D26"/>
    <w:rsid w:val="00297D6A"/>
    <w:rsid w:val="002A0068"/>
    <w:rsid w:val="002A011F"/>
    <w:rsid w:val="002A0381"/>
    <w:rsid w:val="002A0382"/>
    <w:rsid w:val="002A0387"/>
    <w:rsid w:val="002A039F"/>
    <w:rsid w:val="002A0416"/>
    <w:rsid w:val="002A05EB"/>
    <w:rsid w:val="002A0774"/>
    <w:rsid w:val="002A0775"/>
    <w:rsid w:val="002A0846"/>
    <w:rsid w:val="002A084F"/>
    <w:rsid w:val="002A0AD9"/>
    <w:rsid w:val="002A0C1D"/>
    <w:rsid w:val="002A0E02"/>
    <w:rsid w:val="002A0E15"/>
    <w:rsid w:val="002A1060"/>
    <w:rsid w:val="002A1068"/>
    <w:rsid w:val="002A129C"/>
    <w:rsid w:val="002A14B1"/>
    <w:rsid w:val="002A1533"/>
    <w:rsid w:val="002A15CF"/>
    <w:rsid w:val="002A16C6"/>
    <w:rsid w:val="002A1983"/>
    <w:rsid w:val="002A1989"/>
    <w:rsid w:val="002A19D8"/>
    <w:rsid w:val="002A19F3"/>
    <w:rsid w:val="002A1A0E"/>
    <w:rsid w:val="002A1A1A"/>
    <w:rsid w:val="002A1B0C"/>
    <w:rsid w:val="002A1DD2"/>
    <w:rsid w:val="002A1F34"/>
    <w:rsid w:val="002A1F5C"/>
    <w:rsid w:val="002A2150"/>
    <w:rsid w:val="002A2297"/>
    <w:rsid w:val="002A2486"/>
    <w:rsid w:val="002A26A0"/>
    <w:rsid w:val="002A2847"/>
    <w:rsid w:val="002A2A2D"/>
    <w:rsid w:val="002A2A3D"/>
    <w:rsid w:val="002A2AFA"/>
    <w:rsid w:val="002A2B24"/>
    <w:rsid w:val="002A2C7E"/>
    <w:rsid w:val="002A2CAA"/>
    <w:rsid w:val="002A2D48"/>
    <w:rsid w:val="002A2FED"/>
    <w:rsid w:val="002A30B7"/>
    <w:rsid w:val="002A3185"/>
    <w:rsid w:val="002A3439"/>
    <w:rsid w:val="002A3570"/>
    <w:rsid w:val="002A3956"/>
    <w:rsid w:val="002A3B35"/>
    <w:rsid w:val="002A3F66"/>
    <w:rsid w:val="002A4084"/>
    <w:rsid w:val="002A40B2"/>
    <w:rsid w:val="002A432C"/>
    <w:rsid w:val="002A44CD"/>
    <w:rsid w:val="002A4507"/>
    <w:rsid w:val="002A4584"/>
    <w:rsid w:val="002A469A"/>
    <w:rsid w:val="002A47F2"/>
    <w:rsid w:val="002A4835"/>
    <w:rsid w:val="002A495C"/>
    <w:rsid w:val="002A4EAA"/>
    <w:rsid w:val="002A4FF2"/>
    <w:rsid w:val="002A529C"/>
    <w:rsid w:val="002A52B4"/>
    <w:rsid w:val="002A530F"/>
    <w:rsid w:val="002A567D"/>
    <w:rsid w:val="002A5778"/>
    <w:rsid w:val="002A598C"/>
    <w:rsid w:val="002A5A6A"/>
    <w:rsid w:val="002A5A76"/>
    <w:rsid w:val="002A5B6F"/>
    <w:rsid w:val="002A5BC5"/>
    <w:rsid w:val="002A5C26"/>
    <w:rsid w:val="002A5C37"/>
    <w:rsid w:val="002A5E9A"/>
    <w:rsid w:val="002A5F45"/>
    <w:rsid w:val="002A5F8E"/>
    <w:rsid w:val="002A638F"/>
    <w:rsid w:val="002A64DD"/>
    <w:rsid w:val="002A6569"/>
    <w:rsid w:val="002A66E9"/>
    <w:rsid w:val="002A679D"/>
    <w:rsid w:val="002A686E"/>
    <w:rsid w:val="002A687E"/>
    <w:rsid w:val="002A68F7"/>
    <w:rsid w:val="002A6A01"/>
    <w:rsid w:val="002A6B44"/>
    <w:rsid w:val="002A6BDD"/>
    <w:rsid w:val="002A6C23"/>
    <w:rsid w:val="002A6C30"/>
    <w:rsid w:val="002A6D3E"/>
    <w:rsid w:val="002A6F2B"/>
    <w:rsid w:val="002A7198"/>
    <w:rsid w:val="002A71CF"/>
    <w:rsid w:val="002A73C9"/>
    <w:rsid w:val="002A7464"/>
    <w:rsid w:val="002A75D6"/>
    <w:rsid w:val="002A7953"/>
    <w:rsid w:val="002A7B7F"/>
    <w:rsid w:val="002A7BF5"/>
    <w:rsid w:val="002A7D3C"/>
    <w:rsid w:val="002A7D98"/>
    <w:rsid w:val="002A7FEF"/>
    <w:rsid w:val="002B026D"/>
    <w:rsid w:val="002B03EE"/>
    <w:rsid w:val="002B04EB"/>
    <w:rsid w:val="002B057C"/>
    <w:rsid w:val="002B05B2"/>
    <w:rsid w:val="002B06F3"/>
    <w:rsid w:val="002B070A"/>
    <w:rsid w:val="002B07BD"/>
    <w:rsid w:val="002B0985"/>
    <w:rsid w:val="002B09B6"/>
    <w:rsid w:val="002B0A21"/>
    <w:rsid w:val="002B0AB8"/>
    <w:rsid w:val="002B0CB6"/>
    <w:rsid w:val="002B1045"/>
    <w:rsid w:val="002B1078"/>
    <w:rsid w:val="002B1235"/>
    <w:rsid w:val="002B1305"/>
    <w:rsid w:val="002B158C"/>
    <w:rsid w:val="002B165D"/>
    <w:rsid w:val="002B16E5"/>
    <w:rsid w:val="002B18FC"/>
    <w:rsid w:val="002B1ADD"/>
    <w:rsid w:val="002B1B3C"/>
    <w:rsid w:val="002B1B43"/>
    <w:rsid w:val="002B1C72"/>
    <w:rsid w:val="002B2008"/>
    <w:rsid w:val="002B23E4"/>
    <w:rsid w:val="002B23E7"/>
    <w:rsid w:val="002B25C9"/>
    <w:rsid w:val="002B264F"/>
    <w:rsid w:val="002B2741"/>
    <w:rsid w:val="002B282D"/>
    <w:rsid w:val="002B283F"/>
    <w:rsid w:val="002B29A0"/>
    <w:rsid w:val="002B2A21"/>
    <w:rsid w:val="002B2B13"/>
    <w:rsid w:val="002B2B24"/>
    <w:rsid w:val="002B2B3B"/>
    <w:rsid w:val="002B2BF8"/>
    <w:rsid w:val="002B3082"/>
    <w:rsid w:val="002B3322"/>
    <w:rsid w:val="002B338E"/>
    <w:rsid w:val="002B34B7"/>
    <w:rsid w:val="002B384E"/>
    <w:rsid w:val="002B38C0"/>
    <w:rsid w:val="002B3A12"/>
    <w:rsid w:val="002B3AAC"/>
    <w:rsid w:val="002B3B69"/>
    <w:rsid w:val="002B3BA0"/>
    <w:rsid w:val="002B3D14"/>
    <w:rsid w:val="002B3D58"/>
    <w:rsid w:val="002B3ED7"/>
    <w:rsid w:val="002B3FB0"/>
    <w:rsid w:val="002B3FEB"/>
    <w:rsid w:val="002B4287"/>
    <w:rsid w:val="002B4418"/>
    <w:rsid w:val="002B4587"/>
    <w:rsid w:val="002B4665"/>
    <w:rsid w:val="002B46CA"/>
    <w:rsid w:val="002B4814"/>
    <w:rsid w:val="002B48FA"/>
    <w:rsid w:val="002B4E33"/>
    <w:rsid w:val="002B4E6A"/>
    <w:rsid w:val="002B4EB1"/>
    <w:rsid w:val="002B52E8"/>
    <w:rsid w:val="002B534A"/>
    <w:rsid w:val="002B5434"/>
    <w:rsid w:val="002B54CA"/>
    <w:rsid w:val="002B5741"/>
    <w:rsid w:val="002B574E"/>
    <w:rsid w:val="002B577A"/>
    <w:rsid w:val="002B57AD"/>
    <w:rsid w:val="002B57C1"/>
    <w:rsid w:val="002B5918"/>
    <w:rsid w:val="002B59C4"/>
    <w:rsid w:val="002B5A25"/>
    <w:rsid w:val="002B5F33"/>
    <w:rsid w:val="002B6006"/>
    <w:rsid w:val="002B6068"/>
    <w:rsid w:val="002B6121"/>
    <w:rsid w:val="002B6354"/>
    <w:rsid w:val="002B63CA"/>
    <w:rsid w:val="002B6498"/>
    <w:rsid w:val="002B65C6"/>
    <w:rsid w:val="002B671E"/>
    <w:rsid w:val="002B6768"/>
    <w:rsid w:val="002B6BB5"/>
    <w:rsid w:val="002B6CCB"/>
    <w:rsid w:val="002B6CD7"/>
    <w:rsid w:val="002B6D76"/>
    <w:rsid w:val="002B6E69"/>
    <w:rsid w:val="002B6F26"/>
    <w:rsid w:val="002B6FA7"/>
    <w:rsid w:val="002B7178"/>
    <w:rsid w:val="002B7232"/>
    <w:rsid w:val="002B7433"/>
    <w:rsid w:val="002B75A4"/>
    <w:rsid w:val="002B762F"/>
    <w:rsid w:val="002B7794"/>
    <w:rsid w:val="002B7826"/>
    <w:rsid w:val="002B78B3"/>
    <w:rsid w:val="002B7906"/>
    <w:rsid w:val="002B79DE"/>
    <w:rsid w:val="002B7A6C"/>
    <w:rsid w:val="002B7BFF"/>
    <w:rsid w:val="002B7C3F"/>
    <w:rsid w:val="002B7C59"/>
    <w:rsid w:val="002B7D0C"/>
    <w:rsid w:val="002C00D4"/>
    <w:rsid w:val="002C0158"/>
    <w:rsid w:val="002C018E"/>
    <w:rsid w:val="002C0191"/>
    <w:rsid w:val="002C02B6"/>
    <w:rsid w:val="002C03A6"/>
    <w:rsid w:val="002C04C6"/>
    <w:rsid w:val="002C059C"/>
    <w:rsid w:val="002C065C"/>
    <w:rsid w:val="002C06B5"/>
    <w:rsid w:val="002C0837"/>
    <w:rsid w:val="002C0923"/>
    <w:rsid w:val="002C092A"/>
    <w:rsid w:val="002C0964"/>
    <w:rsid w:val="002C0ADB"/>
    <w:rsid w:val="002C0BFF"/>
    <w:rsid w:val="002C0C6C"/>
    <w:rsid w:val="002C0E56"/>
    <w:rsid w:val="002C0E9D"/>
    <w:rsid w:val="002C0F44"/>
    <w:rsid w:val="002C1101"/>
    <w:rsid w:val="002C1114"/>
    <w:rsid w:val="002C11DC"/>
    <w:rsid w:val="002C1309"/>
    <w:rsid w:val="002C1463"/>
    <w:rsid w:val="002C147D"/>
    <w:rsid w:val="002C14B2"/>
    <w:rsid w:val="002C1584"/>
    <w:rsid w:val="002C15F5"/>
    <w:rsid w:val="002C16B5"/>
    <w:rsid w:val="002C16F7"/>
    <w:rsid w:val="002C16FE"/>
    <w:rsid w:val="002C17DA"/>
    <w:rsid w:val="002C1856"/>
    <w:rsid w:val="002C1960"/>
    <w:rsid w:val="002C1DC5"/>
    <w:rsid w:val="002C1FB2"/>
    <w:rsid w:val="002C21E7"/>
    <w:rsid w:val="002C2408"/>
    <w:rsid w:val="002C241E"/>
    <w:rsid w:val="002C25DC"/>
    <w:rsid w:val="002C2724"/>
    <w:rsid w:val="002C2751"/>
    <w:rsid w:val="002C278A"/>
    <w:rsid w:val="002C279C"/>
    <w:rsid w:val="002C27B3"/>
    <w:rsid w:val="002C2884"/>
    <w:rsid w:val="002C2911"/>
    <w:rsid w:val="002C2953"/>
    <w:rsid w:val="002C29CE"/>
    <w:rsid w:val="002C2A06"/>
    <w:rsid w:val="002C2A28"/>
    <w:rsid w:val="002C2B62"/>
    <w:rsid w:val="002C2D47"/>
    <w:rsid w:val="002C2F50"/>
    <w:rsid w:val="002C2FA1"/>
    <w:rsid w:val="002C314A"/>
    <w:rsid w:val="002C33FA"/>
    <w:rsid w:val="002C38E8"/>
    <w:rsid w:val="002C395E"/>
    <w:rsid w:val="002C3A28"/>
    <w:rsid w:val="002C3A63"/>
    <w:rsid w:val="002C3B04"/>
    <w:rsid w:val="002C441F"/>
    <w:rsid w:val="002C4440"/>
    <w:rsid w:val="002C460A"/>
    <w:rsid w:val="002C4751"/>
    <w:rsid w:val="002C4CE5"/>
    <w:rsid w:val="002C4CF8"/>
    <w:rsid w:val="002C4E72"/>
    <w:rsid w:val="002C4EA6"/>
    <w:rsid w:val="002C4F96"/>
    <w:rsid w:val="002C520B"/>
    <w:rsid w:val="002C521D"/>
    <w:rsid w:val="002C5367"/>
    <w:rsid w:val="002C5505"/>
    <w:rsid w:val="002C5686"/>
    <w:rsid w:val="002C57E4"/>
    <w:rsid w:val="002C5B83"/>
    <w:rsid w:val="002C5BA9"/>
    <w:rsid w:val="002C5C66"/>
    <w:rsid w:val="002C5D45"/>
    <w:rsid w:val="002C5E27"/>
    <w:rsid w:val="002C5F51"/>
    <w:rsid w:val="002C61D8"/>
    <w:rsid w:val="002C61E4"/>
    <w:rsid w:val="002C64A5"/>
    <w:rsid w:val="002C653B"/>
    <w:rsid w:val="002C668C"/>
    <w:rsid w:val="002C6775"/>
    <w:rsid w:val="002C678F"/>
    <w:rsid w:val="002C6A72"/>
    <w:rsid w:val="002C6AB1"/>
    <w:rsid w:val="002C6B37"/>
    <w:rsid w:val="002C6B5F"/>
    <w:rsid w:val="002C6C8F"/>
    <w:rsid w:val="002C6C90"/>
    <w:rsid w:val="002C6C9B"/>
    <w:rsid w:val="002C6D9F"/>
    <w:rsid w:val="002C6DE0"/>
    <w:rsid w:val="002C6ED7"/>
    <w:rsid w:val="002C6F15"/>
    <w:rsid w:val="002C7025"/>
    <w:rsid w:val="002C710A"/>
    <w:rsid w:val="002C7117"/>
    <w:rsid w:val="002C719B"/>
    <w:rsid w:val="002C74F2"/>
    <w:rsid w:val="002C7580"/>
    <w:rsid w:val="002C77DB"/>
    <w:rsid w:val="002C7AE3"/>
    <w:rsid w:val="002C7C88"/>
    <w:rsid w:val="002C7CDB"/>
    <w:rsid w:val="002C7DCA"/>
    <w:rsid w:val="002C7E61"/>
    <w:rsid w:val="002CF241"/>
    <w:rsid w:val="002D00F3"/>
    <w:rsid w:val="002D011F"/>
    <w:rsid w:val="002D0327"/>
    <w:rsid w:val="002D03D4"/>
    <w:rsid w:val="002D0417"/>
    <w:rsid w:val="002D0433"/>
    <w:rsid w:val="002D04A4"/>
    <w:rsid w:val="002D056F"/>
    <w:rsid w:val="002D0636"/>
    <w:rsid w:val="002D065B"/>
    <w:rsid w:val="002D065E"/>
    <w:rsid w:val="002D07C6"/>
    <w:rsid w:val="002D0A17"/>
    <w:rsid w:val="002D0A90"/>
    <w:rsid w:val="002D0B82"/>
    <w:rsid w:val="002D0C43"/>
    <w:rsid w:val="002D0DC0"/>
    <w:rsid w:val="002D0E6A"/>
    <w:rsid w:val="002D0EA3"/>
    <w:rsid w:val="002D0EC0"/>
    <w:rsid w:val="002D0F73"/>
    <w:rsid w:val="002D1288"/>
    <w:rsid w:val="002D12A3"/>
    <w:rsid w:val="002D12AB"/>
    <w:rsid w:val="002D14DC"/>
    <w:rsid w:val="002D1537"/>
    <w:rsid w:val="002D1652"/>
    <w:rsid w:val="002D1722"/>
    <w:rsid w:val="002D17DC"/>
    <w:rsid w:val="002D18EF"/>
    <w:rsid w:val="002D196E"/>
    <w:rsid w:val="002D1BC7"/>
    <w:rsid w:val="002D1BF7"/>
    <w:rsid w:val="002D1D6F"/>
    <w:rsid w:val="002D1DB3"/>
    <w:rsid w:val="002D1F96"/>
    <w:rsid w:val="002D1FB6"/>
    <w:rsid w:val="002D1FE3"/>
    <w:rsid w:val="002D22A5"/>
    <w:rsid w:val="002D23AB"/>
    <w:rsid w:val="002D245C"/>
    <w:rsid w:val="002D24CC"/>
    <w:rsid w:val="002D255C"/>
    <w:rsid w:val="002D271B"/>
    <w:rsid w:val="002D2870"/>
    <w:rsid w:val="002D2906"/>
    <w:rsid w:val="002D292C"/>
    <w:rsid w:val="002D2CED"/>
    <w:rsid w:val="002D2E0E"/>
    <w:rsid w:val="002D2E3D"/>
    <w:rsid w:val="002D2EA4"/>
    <w:rsid w:val="002D2EDF"/>
    <w:rsid w:val="002D2EFB"/>
    <w:rsid w:val="002D3116"/>
    <w:rsid w:val="002D31F0"/>
    <w:rsid w:val="002D3224"/>
    <w:rsid w:val="002D33AD"/>
    <w:rsid w:val="002D3580"/>
    <w:rsid w:val="002D38AC"/>
    <w:rsid w:val="002D3900"/>
    <w:rsid w:val="002D3992"/>
    <w:rsid w:val="002D39E3"/>
    <w:rsid w:val="002D39EE"/>
    <w:rsid w:val="002D3AAA"/>
    <w:rsid w:val="002D3D51"/>
    <w:rsid w:val="002D3D6F"/>
    <w:rsid w:val="002D3F2A"/>
    <w:rsid w:val="002D4002"/>
    <w:rsid w:val="002D4146"/>
    <w:rsid w:val="002D45D3"/>
    <w:rsid w:val="002D46FA"/>
    <w:rsid w:val="002D4708"/>
    <w:rsid w:val="002D472E"/>
    <w:rsid w:val="002D47EE"/>
    <w:rsid w:val="002D48FB"/>
    <w:rsid w:val="002D4901"/>
    <w:rsid w:val="002D495A"/>
    <w:rsid w:val="002D4BD9"/>
    <w:rsid w:val="002D4E43"/>
    <w:rsid w:val="002D5260"/>
    <w:rsid w:val="002D53BC"/>
    <w:rsid w:val="002D53E7"/>
    <w:rsid w:val="002D5501"/>
    <w:rsid w:val="002D55A4"/>
    <w:rsid w:val="002D5890"/>
    <w:rsid w:val="002D58E2"/>
    <w:rsid w:val="002D5AA9"/>
    <w:rsid w:val="002D5CEA"/>
    <w:rsid w:val="002D5D12"/>
    <w:rsid w:val="002D5EF0"/>
    <w:rsid w:val="002D5FC2"/>
    <w:rsid w:val="002D5FEA"/>
    <w:rsid w:val="002D63C7"/>
    <w:rsid w:val="002D644A"/>
    <w:rsid w:val="002D64FF"/>
    <w:rsid w:val="002D6855"/>
    <w:rsid w:val="002D694F"/>
    <w:rsid w:val="002D6AD8"/>
    <w:rsid w:val="002D6B26"/>
    <w:rsid w:val="002D6C7A"/>
    <w:rsid w:val="002D6D60"/>
    <w:rsid w:val="002D71D1"/>
    <w:rsid w:val="002D7406"/>
    <w:rsid w:val="002D7409"/>
    <w:rsid w:val="002D758A"/>
    <w:rsid w:val="002D75C3"/>
    <w:rsid w:val="002D75C4"/>
    <w:rsid w:val="002D76B0"/>
    <w:rsid w:val="002D7891"/>
    <w:rsid w:val="002D78F0"/>
    <w:rsid w:val="002D79FF"/>
    <w:rsid w:val="002D7B44"/>
    <w:rsid w:val="002D7C94"/>
    <w:rsid w:val="002E01C5"/>
    <w:rsid w:val="002E047C"/>
    <w:rsid w:val="002E055D"/>
    <w:rsid w:val="002E062C"/>
    <w:rsid w:val="002E07CE"/>
    <w:rsid w:val="002E07EA"/>
    <w:rsid w:val="002E0804"/>
    <w:rsid w:val="002E0872"/>
    <w:rsid w:val="002E0AA4"/>
    <w:rsid w:val="002E0E2D"/>
    <w:rsid w:val="002E0E9E"/>
    <w:rsid w:val="002E0FDE"/>
    <w:rsid w:val="002E10BA"/>
    <w:rsid w:val="002E11D6"/>
    <w:rsid w:val="002E130F"/>
    <w:rsid w:val="002E150B"/>
    <w:rsid w:val="002E1772"/>
    <w:rsid w:val="002E18EB"/>
    <w:rsid w:val="002E198C"/>
    <w:rsid w:val="002E19A7"/>
    <w:rsid w:val="002E1AFB"/>
    <w:rsid w:val="002E1E52"/>
    <w:rsid w:val="002E2048"/>
    <w:rsid w:val="002E2059"/>
    <w:rsid w:val="002E209C"/>
    <w:rsid w:val="002E20BE"/>
    <w:rsid w:val="002E2242"/>
    <w:rsid w:val="002E22F4"/>
    <w:rsid w:val="002E2314"/>
    <w:rsid w:val="002E2315"/>
    <w:rsid w:val="002E23A0"/>
    <w:rsid w:val="002E23F0"/>
    <w:rsid w:val="002E2404"/>
    <w:rsid w:val="002E240F"/>
    <w:rsid w:val="002E2424"/>
    <w:rsid w:val="002E2478"/>
    <w:rsid w:val="002E2570"/>
    <w:rsid w:val="002E27C6"/>
    <w:rsid w:val="002E281D"/>
    <w:rsid w:val="002E2891"/>
    <w:rsid w:val="002E29D0"/>
    <w:rsid w:val="002E29DF"/>
    <w:rsid w:val="002E2A2D"/>
    <w:rsid w:val="002E2DD2"/>
    <w:rsid w:val="002E2E93"/>
    <w:rsid w:val="002E3035"/>
    <w:rsid w:val="002E3291"/>
    <w:rsid w:val="002E3344"/>
    <w:rsid w:val="002E3518"/>
    <w:rsid w:val="002E364F"/>
    <w:rsid w:val="002E37C9"/>
    <w:rsid w:val="002E3848"/>
    <w:rsid w:val="002E3C07"/>
    <w:rsid w:val="002E3E49"/>
    <w:rsid w:val="002E3E65"/>
    <w:rsid w:val="002E3EB1"/>
    <w:rsid w:val="002E3F5F"/>
    <w:rsid w:val="002E4054"/>
    <w:rsid w:val="002E44EE"/>
    <w:rsid w:val="002E451E"/>
    <w:rsid w:val="002E45D6"/>
    <w:rsid w:val="002E478E"/>
    <w:rsid w:val="002E4812"/>
    <w:rsid w:val="002E48D4"/>
    <w:rsid w:val="002E48D6"/>
    <w:rsid w:val="002E4A43"/>
    <w:rsid w:val="002E4A9B"/>
    <w:rsid w:val="002E4AA3"/>
    <w:rsid w:val="002E4B75"/>
    <w:rsid w:val="002E4DEB"/>
    <w:rsid w:val="002E4FBD"/>
    <w:rsid w:val="002E50E9"/>
    <w:rsid w:val="002E51A5"/>
    <w:rsid w:val="002E51DF"/>
    <w:rsid w:val="002E52AA"/>
    <w:rsid w:val="002E542E"/>
    <w:rsid w:val="002E5569"/>
    <w:rsid w:val="002E565B"/>
    <w:rsid w:val="002E5A22"/>
    <w:rsid w:val="002E5CB6"/>
    <w:rsid w:val="002E5E8B"/>
    <w:rsid w:val="002E619A"/>
    <w:rsid w:val="002E6476"/>
    <w:rsid w:val="002E652D"/>
    <w:rsid w:val="002E66B9"/>
    <w:rsid w:val="002E68BD"/>
    <w:rsid w:val="002E6983"/>
    <w:rsid w:val="002E6FE4"/>
    <w:rsid w:val="002E710B"/>
    <w:rsid w:val="002E73D9"/>
    <w:rsid w:val="002E73DC"/>
    <w:rsid w:val="002E7486"/>
    <w:rsid w:val="002E7556"/>
    <w:rsid w:val="002E7582"/>
    <w:rsid w:val="002E760D"/>
    <w:rsid w:val="002E7807"/>
    <w:rsid w:val="002E7889"/>
    <w:rsid w:val="002E78A2"/>
    <w:rsid w:val="002E7914"/>
    <w:rsid w:val="002E7B7F"/>
    <w:rsid w:val="002E7CAA"/>
    <w:rsid w:val="002E7EF8"/>
    <w:rsid w:val="002E7F65"/>
    <w:rsid w:val="002F0186"/>
    <w:rsid w:val="002F01DE"/>
    <w:rsid w:val="002F0234"/>
    <w:rsid w:val="002F02BC"/>
    <w:rsid w:val="002F03BD"/>
    <w:rsid w:val="002F06D4"/>
    <w:rsid w:val="002F070A"/>
    <w:rsid w:val="002F07DD"/>
    <w:rsid w:val="002F0805"/>
    <w:rsid w:val="002F08BA"/>
    <w:rsid w:val="002F0999"/>
    <w:rsid w:val="002F09CC"/>
    <w:rsid w:val="002F09E5"/>
    <w:rsid w:val="002F0A24"/>
    <w:rsid w:val="002F0A36"/>
    <w:rsid w:val="002F0BB6"/>
    <w:rsid w:val="002F0C4E"/>
    <w:rsid w:val="002F0E07"/>
    <w:rsid w:val="002F0E54"/>
    <w:rsid w:val="002F0F9A"/>
    <w:rsid w:val="002F108B"/>
    <w:rsid w:val="002F11F7"/>
    <w:rsid w:val="002F141B"/>
    <w:rsid w:val="002F1477"/>
    <w:rsid w:val="002F14CC"/>
    <w:rsid w:val="002F162C"/>
    <w:rsid w:val="002F17A1"/>
    <w:rsid w:val="002F1891"/>
    <w:rsid w:val="002F1C2B"/>
    <w:rsid w:val="002F1C7F"/>
    <w:rsid w:val="002F1CE1"/>
    <w:rsid w:val="002F1D51"/>
    <w:rsid w:val="002F1E79"/>
    <w:rsid w:val="002F2151"/>
    <w:rsid w:val="002F21B8"/>
    <w:rsid w:val="002F21D3"/>
    <w:rsid w:val="002F2305"/>
    <w:rsid w:val="002F2592"/>
    <w:rsid w:val="002F2668"/>
    <w:rsid w:val="002F266B"/>
    <w:rsid w:val="002F26BE"/>
    <w:rsid w:val="002F276D"/>
    <w:rsid w:val="002F27B0"/>
    <w:rsid w:val="002F2A7C"/>
    <w:rsid w:val="002F2A87"/>
    <w:rsid w:val="002F2ACD"/>
    <w:rsid w:val="002F2AFC"/>
    <w:rsid w:val="002F2B1A"/>
    <w:rsid w:val="002F2D0C"/>
    <w:rsid w:val="002F2E04"/>
    <w:rsid w:val="002F2E22"/>
    <w:rsid w:val="002F2E45"/>
    <w:rsid w:val="002F3003"/>
    <w:rsid w:val="002F3023"/>
    <w:rsid w:val="002F31F2"/>
    <w:rsid w:val="002F3233"/>
    <w:rsid w:val="002F3305"/>
    <w:rsid w:val="002F3488"/>
    <w:rsid w:val="002F35EA"/>
    <w:rsid w:val="002F360B"/>
    <w:rsid w:val="002F3755"/>
    <w:rsid w:val="002F38E2"/>
    <w:rsid w:val="002F38FF"/>
    <w:rsid w:val="002F392B"/>
    <w:rsid w:val="002F395E"/>
    <w:rsid w:val="002F3BB0"/>
    <w:rsid w:val="002F3BC6"/>
    <w:rsid w:val="002F3BF2"/>
    <w:rsid w:val="002F3DC7"/>
    <w:rsid w:val="002F3DF6"/>
    <w:rsid w:val="002F3E07"/>
    <w:rsid w:val="002F3ED1"/>
    <w:rsid w:val="002F3F09"/>
    <w:rsid w:val="002F3F9D"/>
    <w:rsid w:val="002F4057"/>
    <w:rsid w:val="002F4199"/>
    <w:rsid w:val="002F4291"/>
    <w:rsid w:val="002F432A"/>
    <w:rsid w:val="002F4350"/>
    <w:rsid w:val="002F43DC"/>
    <w:rsid w:val="002F44EE"/>
    <w:rsid w:val="002F469E"/>
    <w:rsid w:val="002F487D"/>
    <w:rsid w:val="002F4B83"/>
    <w:rsid w:val="002F4C1D"/>
    <w:rsid w:val="002F4C41"/>
    <w:rsid w:val="002F4C42"/>
    <w:rsid w:val="002F4C73"/>
    <w:rsid w:val="002F4CD9"/>
    <w:rsid w:val="002F4F4A"/>
    <w:rsid w:val="002F5016"/>
    <w:rsid w:val="002F5056"/>
    <w:rsid w:val="002F511B"/>
    <w:rsid w:val="002F538A"/>
    <w:rsid w:val="002F5397"/>
    <w:rsid w:val="002F54A9"/>
    <w:rsid w:val="002F54CD"/>
    <w:rsid w:val="002F54E8"/>
    <w:rsid w:val="002F5575"/>
    <w:rsid w:val="002F5577"/>
    <w:rsid w:val="002F5637"/>
    <w:rsid w:val="002F5884"/>
    <w:rsid w:val="002F5A16"/>
    <w:rsid w:val="002F5C05"/>
    <w:rsid w:val="002F5FA5"/>
    <w:rsid w:val="002F6038"/>
    <w:rsid w:val="002F60A0"/>
    <w:rsid w:val="002F61C5"/>
    <w:rsid w:val="002F61C8"/>
    <w:rsid w:val="002F6356"/>
    <w:rsid w:val="002F63C5"/>
    <w:rsid w:val="002F646B"/>
    <w:rsid w:val="002F6546"/>
    <w:rsid w:val="002F66C6"/>
    <w:rsid w:val="002F6829"/>
    <w:rsid w:val="002F6A03"/>
    <w:rsid w:val="002F6B38"/>
    <w:rsid w:val="002F6D53"/>
    <w:rsid w:val="002F6D87"/>
    <w:rsid w:val="002F6EFC"/>
    <w:rsid w:val="002F7055"/>
    <w:rsid w:val="002F7063"/>
    <w:rsid w:val="002F750C"/>
    <w:rsid w:val="002F766A"/>
    <w:rsid w:val="002F76DF"/>
    <w:rsid w:val="002F76EB"/>
    <w:rsid w:val="002F7745"/>
    <w:rsid w:val="002F7783"/>
    <w:rsid w:val="002F786C"/>
    <w:rsid w:val="002F78BF"/>
    <w:rsid w:val="002F78F3"/>
    <w:rsid w:val="002F7902"/>
    <w:rsid w:val="002F79E1"/>
    <w:rsid w:val="002F7AAA"/>
    <w:rsid w:val="002F7AB6"/>
    <w:rsid w:val="002F7AD6"/>
    <w:rsid w:val="002F7BFF"/>
    <w:rsid w:val="002F7CD2"/>
    <w:rsid w:val="002F7D22"/>
    <w:rsid w:val="002F7D60"/>
    <w:rsid w:val="0030008F"/>
    <w:rsid w:val="00300395"/>
    <w:rsid w:val="003003E4"/>
    <w:rsid w:val="0030052F"/>
    <w:rsid w:val="0030059A"/>
    <w:rsid w:val="00300650"/>
    <w:rsid w:val="00300685"/>
    <w:rsid w:val="0030076B"/>
    <w:rsid w:val="003008FB"/>
    <w:rsid w:val="00300BC8"/>
    <w:rsid w:val="00300C05"/>
    <w:rsid w:val="00301241"/>
    <w:rsid w:val="00301275"/>
    <w:rsid w:val="00301371"/>
    <w:rsid w:val="00301388"/>
    <w:rsid w:val="003014F4"/>
    <w:rsid w:val="0030157F"/>
    <w:rsid w:val="0030160A"/>
    <w:rsid w:val="00301823"/>
    <w:rsid w:val="0030192D"/>
    <w:rsid w:val="00301982"/>
    <w:rsid w:val="00301A83"/>
    <w:rsid w:val="00301AFD"/>
    <w:rsid w:val="00301B05"/>
    <w:rsid w:val="00301CE1"/>
    <w:rsid w:val="00301DDA"/>
    <w:rsid w:val="0030238F"/>
    <w:rsid w:val="003024AC"/>
    <w:rsid w:val="00302516"/>
    <w:rsid w:val="00302665"/>
    <w:rsid w:val="00302675"/>
    <w:rsid w:val="00302769"/>
    <w:rsid w:val="0030278B"/>
    <w:rsid w:val="003027FB"/>
    <w:rsid w:val="00302C8A"/>
    <w:rsid w:val="00302D42"/>
    <w:rsid w:val="00303023"/>
    <w:rsid w:val="0030327D"/>
    <w:rsid w:val="00303429"/>
    <w:rsid w:val="0030343C"/>
    <w:rsid w:val="00303457"/>
    <w:rsid w:val="003034C8"/>
    <w:rsid w:val="0030371B"/>
    <w:rsid w:val="00303729"/>
    <w:rsid w:val="0030383F"/>
    <w:rsid w:val="0030391A"/>
    <w:rsid w:val="00303944"/>
    <w:rsid w:val="00303A20"/>
    <w:rsid w:val="00303A67"/>
    <w:rsid w:val="00303A90"/>
    <w:rsid w:val="00303C8B"/>
    <w:rsid w:val="00303CFF"/>
    <w:rsid w:val="00303D58"/>
    <w:rsid w:val="00303D8C"/>
    <w:rsid w:val="003041EA"/>
    <w:rsid w:val="00304216"/>
    <w:rsid w:val="00304244"/>
    <w:rsid w:val="00304353"/>
    <w:rsid w:val="003043DE"/>
    <w:rsid w:val="00304434"/>
    <w:rsid w:val="0030444C"/>
    <w:rsid w:val="00304619"/>
    <w:rsid w:val="0030467F"/>
    <w:rsid w:val="003046B3"/>
    <w:rsid w:val="003046B5"/>
    <w:rsid w:val="003046FD"/>
    <w:rsid w:val="00304909"/>
    <w:rsid w:val="0030492C"/>
    <w:rsid w:val="00304942"/>
    <w:rsid w:val="00304AE5"/>
    <w:rsid w:val="00304AF8"/>
    <w:rsid w:val="00304DA5"/>
    <w:rsid w:val="00304E7E"/>
    <w:rsid w:val="00304EBE"/>
    <w:rsid w:val="00304ECB"/>
    <w:rsid w:val="00304F56"/>
    <w:rsid w:val="00304F58"/>
    <w:rsid w:val="0030515C"/>
    <w:rsid w:val="00305233"/>
    <w:rsid w:val="00305301"/>
    <w:rsid w:val="00305431"/>
    <w:rsid w:val="003054BA"/>
    <w:rsid w:val="003055BC"/>
    <w:rsid w:val="003055DE"/>
    <w:rsid w:val="0030564C"/>
    <w:rsid w:val="0030569E"/>
    <w:rsid w:val="00305963"/>
    <w:rsid w:val="0030599A"/>
    <w:rsid w:val="00305A78"/>
    <w:rsid w:val="00305BB6"/>
    <w:rsid w:val="00305D76"/>
    <w:rsid w:val="00305D83"/>
    <w:rsid w:val="00305DB9"/>
    <w:rsid w:val="00305E63"/>
    <w:rsid w:val="00305ED4"/>
    <w:rsid w:val="00306069"/>
    <w:rsid w:val="0030614D"/>
    <w:rsid w:val="00306159"/>
    <w:rsid w:val="003061AA"/>
    <w:rsid w:val="00306363"/>
    <w:rsid w:val="00306560"/>
    <w:rsid w:val="003066B4"/>
    <w:rsid w:val="00306728"/>
    <w:rsid w:val="00306751"/>
    <w:rsid w:val="00306867"/>
    <w:rsid w:val="00306AB1"/>
    <w:rsid w:val="00306AEC"/>
    <w:rsid w:val="00306BFB"/>
    <w:rsid w:val="00306C1D"/>
    <w:rsid w:val="00306CCD"/>
    <w:rsid w:val="003070D9"/>
    <w:rsid w:val="003071C6"/>
    <w:rsid w:val="003071D9"/>
    <w:rsid w:val="00307214"/>
    <w:rsid w:val="0030730E"/>
    <w:rsid w:val="00307650"/>
    <w:rsid w:val="00307690"/>
    <w:rsid w:val="003077DA"/>
    <w:rsid w:val="003078F2"/>
    <w:rsid w:val="00307999"/>
    <w:rsid w:val="00307A5B"/>
    <w:rsid w:val="00307A65"/>
    <w:rsid w:val="00307C92"/>
    <w:rsid w:val="00307C9F"/>
    <w:rsid w:val="00307E65"/>
    <w:rsid w:val="00307F09"/>
    <w:rsid w:val="00310158"/>
    <w:rsid w:val="00310251"/>
    <w:rsid w:val="00310382"/>
    <w:rsid w:val="0031073C"/>
    <w:rsid w:val="003107F5"/>
    <w:rsid w:val="00310A8F"/>
    <w:rsid w:val="00310B42"/>
    <w:rsid w:val="00310F9B"/>
    <w:rsid w:val="00310FC6"/>
    <w:rsid w:val="00311057"/>
    <w:rsid w:val="00311086"/>
    <w:rsid w:val="003110C8"/>
    <w:rsid w:val="003110EC"/>
    <w:rsid w:val="003111F9"/>
    <w:rsid w:val="00311268"/>
    <w:rsid w:val="0031131C"/>
    <w:rsid w:val="003113BC"/>
    <w:rsid w:val="003114C0"/>
    <w:rsid w:val="003118F8"/>
    <w:rsid w:val="00311AE4"/>
    <w:rsid w:val="00311B64"/>
    <w:rsid w:val="00311BA1"/>
    <w:rsid w:val="00311C7E"/>
    <w:rsid w:val="00311DBF"/>
    <w:rsid w:val="00311E5B"/>
    <w:rsid w:val="00311E7A"/>
    <w:rsid w:val="00312009"/>
    <w:rsid w:val="00312111"/>
    <w:rsid w:val="00312197"/>
    <w:rsid w:val="0031237D"/>
    <w:rsid w:val="003125BB"/>
    <w:rsid w:val="00312761"/>
    <w:rsid w:val="00312A7E"/>
    <w:rsid w:val="00312B54"/>
    <w:rsid w:val="00312B8A"/>
    <w:rsid w:val="00312D4D"/>
    <w:rsid w:val="00312EFC"/>
    <w:rsid w:val="00312F1C"/>
    <w:rsid w:val="00312F87"/>
    <w:rsid w:val="00312FAF"/>
    <w:rsid w:val="00312FEF"/>
    <w:rsid w:val="003133EC"/>
    <w:rsid w:val="003134AA"/>
    <w:rsid w:val="0031375D"/>
    <w:rsid w:val="003139AD"/>
    <w:rsid w:val="00313B47"/>
    <w:rsid w:val="00313B7D"/>
    <w:rsid w:val="00313C40"/>
    <w:rsid w:val="00314293"/>
    <w:rsid w:val="003144A5"/>
    <w:rsid w:val="003144DA"/>
    <w:rsid w:val="00314583"/>
    <w:rsid w:val="003146F8"/>
    <w:rsid w:val="00314B0B"/>
    <w:rsid w:val="00314C54"/>
    <w:rsid w:val="00314D7A"/>
    <w:rsid w:val="00315150"/>
    <w:rsid w:val="0031526B"/>
    <w:rsid w:val="0031528C"/>
    <w:rsid w:val="00315293"/>
    <w:rsid w:val="00315297"/>
    <w:rsid w:val="003154B9"/>
    <w:rsid w:val="0031555D"/>
    <w:rsid w:val="003155CC"/>
    <w:rsid w:val="00315628"/>
    <w:rsid w:val="0031589E"/>
    <w:rsid w:val="00315920"/>
    <w:rsid w:val="00315B7B"/>
    <w:rsid w:val="00315CFD"/>
    <w:rsid w:val="00315D46"/>
    <w:rsid w:val="00315E95"/>
    <w:rsid w:val="00315EEF"/>
    <w:rsid w:val="00315F30"/>
    <w:rsid w:val="00315F64"/>
    <w:rsid w:val="00315F97"/>
    <w:rsid w:val="003161E8"/>
    <w:rsid w:val="003161F2"/>
    <w:rsid w:val="0031624B"/>
    <w:rsid w:val="003164D3"/>
    <w:rsid w:val="00316614"/>
    <w:rsid w:val="003167D9"/>
    <w:rsid w:val="0031681E"/>
    <w:rsid w:val="0031684E"/>
    <w:rsid w:val="003168FA"/>
    <w:rsid w:val="00316B02"/>
    <w:rsid w:val="00316D26"/>
    <w:rsid w:val="00316D5F"/>
    <w:rsid w:val="00316DC4"/>
    <w:rsid w:val="00316F33"/>
    <w:rsid w:val="00316F8E"/>
    <w:rsid w:val="003170A5"/>
    <w:rsid w:val="0031726C"/>
    <w:rsid w:val="00317383"/>
    <w:rsid w:val="003175CA"/>
    <w:rsid w:val="003175ED"/>
    <w:rsid w:val="003176C8"/>
    <w:rsid w:val="003177E5"/>
    <w:rsid w:val="00317861"/>
    <w:rsid w:val="00317905"/>
    <w:rsid w:val="00317BBC"/>
    <w:rsid w:val="00317D5F"/>
    <w:rsid w:val="0032003A"/>
    <w:rsid w:val="00320067"/>
    <w:rsid w:val="00320117"/>
    <w:rsid w:val="00320157"/>
    <w:rsid w:val="00320255"/>
    <w:rsid w:val="003202F6"/>
    <w:rsid w:val="00320348"/>
    <w:rsid w:val="00320431"/>
    <w:rsid w:val="00320450"/>
    <w:rsid w:val="00320573"/>
    <w:rsid w:val="00320797"/>
    <w:rsid w:val="003207B4"/>
    <w:rsid w:val="00320908"/>
    <w:rsid w:val="00320930"/>
    <w:rsid w:val="0032093D"/>
    <w:rsid w:val="00320AE0"/>
    <w:rsid w:val="00320B0E"/>
    <w:rsid w:val="00320CE4"/>
    <w:rsid w:val="00320DA4"/>
    <w:rsid w:val="00320F77"/>
    <w:rsid w:val="0032102F"/>
    <w:rsid w:val="0032104D"/>
    <w:rsid w:val="003210B8"/>
    <w:rsid w:val="00321101"/>
    <w:rsid w:val="00321125"/>
    <w:rsid w:val="003211B1"/>
    <w:rsid w:val="003214B2"/>
    <w:rsid w:val="0032152F"/>
    <w:rsid w:val="00321632"/>
    <w:rsid w:val="0032166E"/>
    <w:rsid w:val="00321724"/>
    <w:rsid w:val="00321759"/>
    <w:rsid w:val="00321832"/>
    <w:rsid w:val="00321897"/>
    <w:rsid w:val="0032196C"/>
    <w:rsid w:val="00321B6C"/>
    <w:rsid w:val="00321C62"/>
    <w:rsid w:val="00321EDF"/>
    <w:rsid w:val="00321F08"/>
    <w:rsid w:val="00322052"/>
    <w:rsid w:val="00322090"/>
    <w:rsid w:val="003220F5"/>
    <w:rsid w:val="00322258"/>
    <w:rsid w:val="003222E6"/>
    <w:rsid w:val="003226F9"/>
    <w:rsid w:val="003226FA"/>
    <w:rsid w:val="00322767"/>
    <w:rsid w:val="0032285D"/>
    <w:rsid w:val="00322917"/>
    <w:rsid w:val="00322A33"/>
    <w:rsid w:val="00322B78"/>
    <w:rsid w:val="00322DE5"/>
    <w:rsid w:val="00322E9F"/>
    <w:rsid w:val="00322F50"/>
    <w:rsid w:val="00322FE0"/>
    <w:rsid w:val="00323567"/>
    <w:rsid w:val="0032365B"/>
    <w:rsid w:val="00323680"/>
    <w:rsid w:val="0032371E"/>
    <w:rsid w:val="00323754"/>
    <w:rsid w:val="00323766"/>
    <w:rsid w:val="003237AE"/>
    <w:rsid w:val="00323A87"/>
    <w:rsid w:val="00323AEE"/>
    <w:rsid w:val="00323E17"/>
    <w:rsid w:val="00323EB0"/>
    <w:rsid w:val="00323F90"/>
    <w:rsid w:val="00323FD3"/>
    <w:rsid w:val="00324214"/>
    <w:rsid w:val="003242FF"/>
    <w:rsid w:val="003244E9"/>
    <w:rsid w:val="00324768"/>
    <w:rsid w:val="00324A48"/>
    <w:rsid w:val="00324A53"/>
    <w:rsid w:val="00324ABF"/>
    <w:rsid w:val="00324B2E"/>
    <w:rsid w:val="00324C5C"/>
    <w:rsid w:val="00324D90"/>
    <w:rsid w:val="00324F1A"/>
    <w:rsid w:val="003250FC"/>
    <w:rsid w:val="00325240"/>
    <w:rsid w:val="0032528A"/>
    <w:rsid w:val="0032532E"/>
    <w:rsid w:val="003253A4"/>
    <w:rsid w:val="00325529"/>
    <w:rsid w:val="0032558F"/>
    <w:rsid w:val="0032560B"/>
    <w:rsid w:val="00325687"/>
    <w:rsid w:val="003256DB"/>
    <w:rsid w:val="0032573E"/>
    <w:rsid w:val="0032592A"/>
    <w:rsid w:val="00325954"/>
    <w:rsid w:val="0032599C"/>
    <w:rsid w:val="00325B84"/>
    <w:rsid w:val="00325DB0"/>
    <w:rsid w:val="00325E8C"/>
    <w:rsid w:val="00325F0D"/>
    <w:rsid w:val="00325F73"/>
    <w:rsid w:val="00325F75"/>
    <w:rsid w:val="00325FC6"/>
    <w:rsid w:val="003263D2"/>
    <w:rsid w:val="003265EB"/>
    <w:rsid w:val="00326640"/>
    <w:rsid w:val="00326991"/>
    <w:rsid w:val="00326B4A"/>
    <w:rsid w:val="00326CAE"/>
    <w:rsid w:val="00326CCD"/>
    <w:rsid w:val="00326E3D"/>
    <w:rsid w:val="00326EE8"/>
    <w:rsid w:val="00326F19"/>
    <w:rsid w:val="00327022"/>
    <w:rsid w:val="0032744C"/>
    <w:rsid w:val="003276B9"/>
    <w:rsid w:val="003276DC"/>
    <w:rsid w:val="0032781B"/>
    <w:rsid w:val="00330010"/>
    <w:rsid w:val="0033003E"/>
    <w:rsid w:val="00330045"/>
    <w:rsid w:val="0033021E"/>
    <w:rsid w:val="0033059A"/>
    <w:rsid w:val="003305B1"/>
    <w:rsid w:val="003305EC"/>
    <w:rsid w:val="003305FB"/>
    <w:rsid w:val="00330633"/>
    <w:rsid w:val="00330639"/>
    <w:rsid w:val="003306AA"/>
    <w:rsid w:val="00330758"/>
    <w:rsid w:val="00330777"/>
    <w:rsid w:val="00330848"/>
    <w:rsid w:val="00330954"/>
    <w:rsid w:val="0033095C"/>
    <w:rsid w:val="00330C91"/>
    <w:rsid w:val="00330CEA"/>
    <w:rsid w:val="00330F97"/>
    <w:rsid w:val="00330FCD"/>
    <w:rsid w:val="00330FDD"/>
    <w:rsid w:val="003310B4"/>
    <w:rsid w:val="003311F4"/>
    <w:rsid w:val="003312BF"/>
    <w:rsid w:val="0033134C"/>
    <w:rsid w:val="003313B1"/>
    <w:rsid w:val="003314B0"/>
    <w:rsid w:val="00331511"/>
    <w:rsid w:val="0033163B"/>
    <w:rsid w:val="0033176D"/>
    <w:rsid w:val="00331771"/>
    <w:rsid w:val="00331B7F"/>
    <w:rsid w:val="00331CC3"/>
    <w:rsid w:val="003320A7"/>
    <w:rsid w:val="0033229F"/>
    <w:rsid w:val="003323EA"/>
    <w:rsid w:val="00332439"/>
    <w:rsid w:val="003324BF"/>
    <w:rsid w:val="003324F9"/>
    <w:rsid w:val="003327D5"/>
    <w:rsid w:val="0033283C"/>
    <w:rsid w:val="00332954"/>
    <w:rsid w:val="00332961"/>
    <w:rsid w:val="00332BDD"/>
    <w:rsid w:val="00332C35"/>
    <w:rsid w:val="00332D08"/>
    <w:rsid w:val="00332D33"/>
    <w:rsid w:val="00332FB0"/>
    <w:rsid w:val="00333301"/>
    <w:rsid w:val="00333622"/>
    <w:rsid w:val="00333680"/>
    <w:rsid w:val="003336A5"/>
    <w:rsid w:val="0033380C"/>
    <w:rsid w:val="00333865"/>
    <w:rsid w:val="00333BFD"/>
    <w:rsid w:val="00333CE3"/>
    <w:rsid w:val="00333DC9"/>
    <w:rsid w:val="00333E19"/>
    <w:rsid w:val="00333E55"/>
    <w:rsid w:val="00333FE0"/>
    <w:rsid w:val="00334024"/>
    <w:rsid w:val="0033451A"/>
    <w:rsid w:val="0033455C"/>
    <w:rsid w:val="0033457C"/>
    <w:rsid w:val="00334705"/>
    <w:rsid w:val="00334779"/>
    <w:rsid w:val="003349DA"/>
    <w:rsid w:val="00334A4D"/>
    <w:rsid w:val="00334AE6"/>
    <w:rsid w:val="00334B37"/>
    <w:rsid w:val="00334CAA"/>
    <w:rsid w:val="00334DA0"/>
    <w:rsid w:val="00334E6E"/>
    <w:rsid w:val="00334EB2"/>
    <w:rsid w:val="00334F19"/>
    <w:rsid w:val="00334FEF"/>
    <w:rsid w:val="003350CC"/>
    <w:rsid w:val="00335138"/>
    <w:rsid w:val="003353CB"/>
    <w:rsid w:val="00335494"/>
    <w:rsid w:val="003355BE"/>
    <w:rsid w:val="003356E7"/>
    <w:rsid w:val="00335A57"/>
    <w:rsid w:val="00335AE5"/>
    <w:rsid w:val="00335B81"/>
    <w:rsid w:val="00335CF2"/>
    <w:rsid w:val="00335D9C"/>
    <w:rsid w:val="00335ED5"/>
    <w:rsid w:val="003361E3"/>
    <w:rsid w:val="0033628E"/>
    <w:rsid w:val="003362EE"/>
    <w:rsid w:val="003364A9"/>
    <w:rsid w:val="00336573"/>
    <w:rsid w:val="003366F8"/>
    <w:rsid w:val="003367B3"/>
    <w:rsid w:val="003369C1"/>
    <w:rsid w:val="003369CD"/>
    <w:rsid w:val="00336DDE"/>
    <w:rsid w:val="00336E91"/>
    <w:rsid w:val="00336F8D"/>
    <w:rsid w:val="0033719B"/>
    <w:rsid w:val="00337401"/>
    <w:rsid w:val="003374B5"/>
    <w:rsid w:val="00337532"/>
    <w:rsid w:val="003375CD"/>
    <w:rsid w:val="0033778F"/>
    <w:rsid w:val="00337AA9"/>
    <w:rsid w:val="00337AF6"/>
    <w:rsid w:val="00337AFE"/>
    <w:rsid w:val="00337C6A"/>
    <w:rsid w:val="00337D21"/>
    <w:rsid w:val="00337DB0"/>
    <w:rsid w:val="00340136"/>
    <w:rsid w:val="003401D8"/>
    <w:rsid w:val="003402D6"/>
    <w:rsid w:val="00340573"/>
    <w:rsid w:val="00340827"/>
    <w:rsid w:val="00340A3C"/>
    <w:rsid w:val="00340BA4"/>
    <w:rsid w:val="00340BE5"/>
    <w:rsid w:val="00340CF1"/>
    <w:rsid w:val="00340DD0"/>
    <w:rsid w:val="00340E38"/>
    <w:rsid w:val="003410C0"/>
    <w:rsid w:val="00341279"/>
    <w:rsid w:val="00341287"/>
    <w:rsid w:val="003413A7"/>
    <w:rsid w:val="003414EB"/>
    <w:rsid w:val="003414EF"/>
    <w:rsid w:val="00341810"/>
    <w:rsid w:val="003419FC"/>
    <w:rsid w:val="00341B84"/>
    <w:rsid w:val="00341DE9"/>
    <w:rsid w:val="00341E2A"/>
    <w:rsid w:val="00341F45"/>
    <w:rsid w:val="00341F9E"/>
    <w:rsid w:val="00342049"/>
    <w:rsid w:val="00342091"/>
    <w:rsid w:val="003421B4"/>
    <w:rsid w:val="003421E9"/>
    <w:rsid w:val="00342294"/>
    <w:rsid w:val="003423DE"/>
    <w:rsid w:val="003424F1"/>
    <w:rsid w:val="0034253B"/>
    <w:rsid w:val="00342570"/>
    <w:rsid w:val="00342701"/>
    <w:rsid w:val="00342A4F"/>
    <w:rsid w:val="00342B71"/>
    <w:rsid w:val="00342BAB"/>
    <w:rsid w:val="00342C33"/>
    <w:rsid w:val="00342DA6"/>
    <w:rsid w:val="00342DFB"/>
    <w:rsid w:val="00342E1A"/>
    <w:rsid w:val="00342EB2"/>
    <w:rsid w:val="00343001"/>
    <w:rsid w:val="0034304B"/>
    <w:rsid w:val="003431EA"/>
    <w:rsid w:val="003431F5"/>
    <w:rsid w:val="003438F4"/>
    <w:rsid w:val="0034393A"/>
    <w:rsid w:val="003439C6"/>
    <w:rsid w:val="00343A06"/>
    <w:rsid w:val="00343A8D"/>
    <w:rsid w:val="00343ADD"/>
    <w:rsid w:val="00343B36"/>
    <w:rsid w:val="00343B68"/>
    <w:rsid w:val="00343C46"/>
    <w:rsid w:val="00343E64"/>
    <w:rsid w:val="00343E6E"/>
    <w:rsid w:val="00344023"/>
    <w:rsid w:val="003440D7"/>
    <w:rsid w:val="003442FE"/>
    <w:rsid w:val="00344316"/>
    <w:rsid w:val="00344330"/>
    <w:rsid w:val="0034435C"/>
    <w:rsid w:val="00344367"/>
    <w:rsid w:val="0034445E"/>
    <w:rsid w:val="0034450E"/>
    <w:rsid w:val="003445C3"/>
    <w:rsid w:val="00344694"/>
    <w:rsid w:val="00344708"/>
    <w:rsid w:val="00344836"/>
    <w:rsid w:val="00344953"/>
    <w:rsid w:val="00344B0F"/>
    <w:rsid w:val="00344BFB"/>
    <w:rsid w:val="00344C8A"/>
    <w:rsid w:val="00344E62"/>
    <w:rsid w:val="00344ED7"/>
    <w:rsid w:val="00345295"/>
    <w:rsid w:val="003453EB"/>
    <w:rsid w:val="003453ED"/>
    <w:rsid w:val="00345413"/>
    <w:rsid w:val="0034552F"/>
    <w:rsid w:val="00345557"/>
    <w:rsid w:val="003455A1"/>
    <w:rsid w:val="003455DA"/>
    <w:rsid w:val="003457E9"/>
    <w:rsid w:val="00345B1C"/>
    <w:rsid w:val="00345B8B"/>
    <w:rsid w:val="00345CB2"/>
    <w:rsid w:val="00345CB9"/>
    <w:rsid w:val="00345CEE"/>
    <w:rsid w:val="00345F25"/>
    <w:rsid w:val="00346156"/>
    <w:rsid w:val="003461F9"/>
    <w:rsid w:val="00346208"/>
    <w:rsid w:val="0034629C"/>
    <w:rsid w:val="0034634D"/>
    <w:rsid w:val="00346420"/>
    <w:rsid w:val="003464E8"/>
    <w:rsid w:val="00346503"/>
    <w:rsid w:val="00346571"/>
    <w:rsid w:val="0034657D"/>
    <w:rsid w:val="003468E4"/>
    <w:rsid w:val="00346A13"/>
    <w:rsid w:val="00346A29"/>
    <w:rsid w:val="00346A2A"/>
    <w:rsid w:val="00346BAB"/>
    <w:rsid w:val="00346DA6"/>
    <w:rsid w:val="00346DE6"/>
    <w:rsid w:val="00346E78"/>
    <w:rsid w:val="00346F1F"/>
    <w:rsid w:val="00346F4B"/>
    <w:rsid w:val="00346F93"/>
    <w:rsid w:val="00346FDC"/>
    <w:rsid w:val="003470E3"/>
    <w:rsid w:val="0034736F"/>
    <w:rsid w:val="00347399"/>
    <w:rsid w:val="00347413"/>
    <w:rsid w:val="0034745D"/>
    <w:rsid w:val="0034753B"/>
    <w:rsid w:val="003475B9"/>
    <w:rsid w:val="003477DB"/>
    <w:rsid w:val="00347894"/>
    <w:rsid w:val="00347A1F"/>
    <w:rsid w:val="00347D46"/>
    <w:rsid w:val="00347FD2"/>
    <w:rsid w:val="00350206"/>
    <w:rsid w:val="00350294"/>
    <w:rsid w:val="003502A4"/>
    <w:rsid w:val="003502BA"/>
    <w:rsid w:val="00350319"/>
    <w:rsid w:val="003503C6"/>
    <w:rsid w:val="003504FB"/>
    <w:rsid w:val="00350555"/>
    <w:rsid w:val="00350679"/>
    <w:rsid w:val="0035071E"/>
    <w:rsid w:val="003507CB"/>
    <w:rsid w:val="00350DD2"/>
    <w:rsid w:val="00350EC7"/>
    <w:rsid w:val="00350EF9"/>
    <w:rsid w:val="00350F71"/>
    <w:rsid w:val="00350FFC"/>
    <w:rsid w:val="0035107A"/>
    <w:rsid w:val="00351087"/>
    <w:rsid w:val="003510E1"/>
    <w:rsid w:val="00351105"/>
    <w:rsid w:val="0035112A"/>
    <w:rsid w:val="0035112E"/>
    <w:rsid w:val="003513D5"/>
    <w:rsid w:val="0035149D"/>
    <w:rsid w:val="00351552"/>
    <w:rsid w:val="00351559"/>
    <w:rsid w:val="00351730"/>
    <w:rsid w:val="003517B6"/>
    <w:rsid w:val="00351B89"/>
    <w:rsid w:val="00351D06"/>
    <w:rsid w:val="00351DE1"/>
    <w:rsid w:val="00351E4A"/>
    <w:rsid w:val="00351EB5"/>
    <w:rsid w:val="00352024"/>
    <w:rsid w:val="003520D6"/>
    <w:rsid w:val="003522B2"/>
    <w:rsid w:val="003524A8"/>
    <w:rsid w:val="003524B1"/>
    <w:rsid w:val="003524C7"/>
    <w:rsid w:val="00352571"/>
    <w:rsid w:val="003525DE"/>
    <w:rsid w:val="00352601"/>
    <w:rsid w:val="0035264C"/>
    <w:rsid w:val="00352708"/>
    <w:rsid w:val="00352A0B"/>
    <w:rsid w:val="00352B1D"/>
    <w:rsid w:val="00352BBC"/>
    <w:rsid w:val="00352CA5"/>
    <w:rsid w:val="00352D71"/>
    <w:rsid w:val="00352E83"/>
    <w:rsid w:val="0035310D"/>
    <w:rsid w:val="00353251"/>
    <w:rsid w:val="003532AF"/>
    <w:rsid w:val="003532C7"/>
    <w:rsid w:val="003533C0"/>
    <w:rsid w:val="00353496"/>
    <w:rsid w:val="003535D9"/>
    <w:rsid w:val="00353682"/>
    <w:rsid w:val="00353A3C"/>
    <w:rsid w:val="00353A67"/>
    <w:rsid w:val="00353B38"/>
    <w:rsid w:val="00353C4F"/>
    <w:rsid w:val="00353CD6"/>
    <w:rsid w:val="00353D42"/>
    <w:rsid w:val="00353D90"/>
    <w:rsid w:val="00353E96"/>
    <w:rsid w:val="00354105"/>
    <w:rsid w:val="0035424A"/>
    <w:rsid w:val="00354264"/>
    <w:rsid w:val="003542CA"/>
    <w:rsid w:val="0035446A"/>
    <w:rsid w:val="00354589"/>
    <w:rsid w:val="003545B1"/>
    <w:rsid w:val="0035469C"/>
    <w:rsid w:val="003546D9"/>
    <w:rsid w:val="003546E3"/>
    <w:rsid w:val="003546FC"/>
    <w:rsid w:val="0035482A"/>
    <w:rsid w:val="00354936"/>
    <w:rsid w:val="00354968"/>
    <w:rsid w:val="003549B7"/>
    <w:rsid w:val="00354A0C"/>
    <w:rsid w:val="00354A86"/>
    <w:rsid w:val="00354ACF"/>
    <w:rsid w:val="00354DD8"/>
    <w:rsid w:val="00354DEB"/>
    <w:rsid w:val="00354E55"/>
    <w:rsid w:val="00354E84"/>
    <w:rsid w:val="00354F45"/>
    <w:rsid w:val="00355020"/>
    <w:rsid w:val="00355214"/>
    <w:rsid w:val="0035547A"/>
    <w:rsid w:val="003554EB"/>
    <w:rsid w:val="00355643"/>
    <w:rsid w:val="0035567C"/>
    <w:rsid w:val="00355714"/>
    <w:rsid w:val="0035585E"/>
    <w:rsid w:val="0035586D"/>
    <w:rsid w:val="003558FE"/>
    <w:rsid w:val="00355BA3"/>
    <w:rsid w:val="00355EE6"/>
    <w:rsid w:val="00356087"/>
    <w:rsid w:val="0035609E"/>
    <w:rsid w:val="003562D8"/>
    <w:rsid w:val="003562FA"/>
    <w:rsid w:val="00356304"/>
    <w:rsid w:val="0035636A"/>
    <w:rsid w:val="0035637E"/>
    <w:rsid w:val="003563E5"/>
    <w:rsid w:val="00356465"/>
    <w:rsid w:val="003566C7"/>
    <w:rsid w:val="003567DE"/>
    <w:rsid w:val="003568E5"/>
    <w:rsid w:val="003568EA"/>
    <w:rsid w:val="0035695D"/>
    <w:rsid w:val="003569E3"/>
    <w:rsid w:val="00356A44"/>
    <w:rsid w:val="00356A6A"/>
    <w:rsid w:val="00356A9F"/>
    <w:rsid w:val="00356AB8"/>
    <w:rsid w:val="00356B22"/>
    <w:rsid w:val="00356BC2"/>
    <w:rsid w:val="00356C00"/>
    <w:rsid w:val="00356CBA"/>
    <w:rsid w:val="00356E3D"/>
    <w:rsid w:val="00356F39"/>
    <w:rsid w:val="003572BC"/>
    <w:rsid w:val="00357392"/>
    <w:rsid w:val="0035759B"/>
    <w:rsid w:val="003576D7"/>
    <w:rsid w:val="003576D9"/>
    <w:rsid w:val="0035774B"/>
    <w:rsid w:val="00357791"/>
    <w:rsid w:val="00357878"/>
    <w:rsid w:val="003578B8"/>
    <w:rsid w:val="0035797A"/>
    <w:rsid w:val="003579E5"/>
    <w:rsid w:val="00357AD0"/>
    <w:rsid w:val="00357EBF"/>
    <w:rsid w:val="00357ECA"/>
    <w:rsid w:val="00357ECE"/>
    <w:rsid w:val="00360027"/>
    <w:rsid w:val="00360179"/>
    <w:rsid w:val="00360278"/>
    <w:rsid w:val="003602C5"/>
    <w:rsid w:val="0036031E"/>
    <w:rsid w:val="0036039F"/>
    <w:rsid w:val="00360400"/>
    <w:rsid w:val="0036047B"/>
    <w:rsid w:val="003604CF"/>
    <w:rsid w:val="00360510"/>
    <w:rsid w:val="00360DC4"/>
    <w:rsid w:val="00360E02"/>
    <w:rsid w:val="00360F06"/>
    <w:rsid w:val="00360F21"/>
    <w:rsid w:val="00360FEC"/>
    <w:rsid w:val="00360FF6"/>
    <w:rsid w:val="0036101B"/>
    <w:rsid w:val="00361150"/>
    <w:rsid w:val="003611E0"/>
    <w:rsid w:val="00361687"/>
    <w:rsid w:val="003616F0"/>
    <w:rsid w:val="00361768"/>
    <w:rsid w:val="003617B2"/>
    <w:rsid w:val="00361865"/>
    <w:rsid w:val="00361A0C"/>
    <w:rsid w:val="00361A1B"/>
    <w:rsid w:val="00361AE1"/>
    <w:rsid w:val="00361B7A"/>
    <w:rsid w:val="00361CF2"/>
    <w:rsid w:val="00361D0E"/>
    <w:rsid w:val="00361D6E"/>
    <w:rsid w:val="00361D81"/>
    <w:rsid w:val="00361E3B"/>
    <w:rsid w:val="00361F1D"/>
    <w:rsid w:val="00361F84"/>
    <w:rsid w:val="00361F85"/>
    <w:rsid w:val="00362041"/>
    <w:rsid w:val="003620BA"/>
    <w:rsid w:val="0036214F"/>
    <w:rsid w:val="0036218A"/>
    <w:rsid w:val="0036219A"/>
    <w:rsid w:val="00362401"/>
    <w:rsid w:val="003624A6"/>
    <w:rsid w:val="003625E6"/>
    <w:rsid w:val="00362640"/>
    <w:rsid w:val="00362655"/>
    <w:rsid w:val="00362720"/>
    <w:rsid w:val="0036279F"/>
    <w:rsid w:val="0036281E"/>
    <w:rsid w:val="003628A9"/>
    <w:rsid w:val="00362990"/>
    <w:rsid w:val="00362AB0"/>
    <w:rsid w:val="00362EB2"/>
    <w:rsid w:val="00362EE5"/>
    <w:rsid w:val="00362FB5"/>
    <w:rsid w:val="0036326A"/>
    <w:rsid w:val="0036332A"/>
    <w:rsid w:val="00363423"/>
    <w:rsid w:val="003634A5"/>
    <w:rsid w:val="003634CF"/>
    <w:rsid w:val="003634FF"/>
    <w:rsid w:val="003637B1"/>
    <w:rsid w:val="003637DF"/>
    <w:rsid w:val="0036390A"/>
    <w:rsid w:val="00363BE7"/>
    <w:rsid w:val="00363C0E"/>
    <w:rsid w:val="00363FCA"/>
    <w:rsid w:val="00363FCF"/>
    <w:rsid w:val="003640B4"/>
    <w:rsid w:val="003640E6"/>
    <w:rsid w:val="0036419C"/>
    <w:rsid w:val="00364386"/>
    <w:rsid w:val="00364492"/>
    <w:rsid w:val="00364575"/>
    <w:rsid w:val="00364761"/>
    <w:rsid w:val="003647E8"/>
    <w:rsid w:val="00364876"/>
    <w:rsid w:val="00364A06"/>
    <w:rsid w:val="00364A97"/>
    <w:rsid w:val="00364B2B"/>
    <w:rsid w:val="00364B74"/>
    <w:rsid w:val="00364D9A"/>
    <w:rsid w:val="00364F15"/>
    <w:rsid w:val="00364F8D"/>
    <w:rsid w:val="00365246"/>
    <w:rsid w:val="003652CF"/>
    <w:rsid w:val="003653F8"/>
    <w:rsid w:val="00365571"/>
    <w:rsid w:val="0036558D"/>
    <w:rsid w:val="0036567F"/>
    <w:rsid w:val="003656C3"/>
    <w:rsid w:val="003656FE"/>
    <w:rsid w:val="003657C3"/>
    <w:rsid w:val="003658DA"/>
    <w:rsid w:val="00365925"/>
    <w:rsid w:val="00365995"/>
    <w:rsid w:val="003659E1"/>
    <w:rsid w:val="00365B89"/>
    <w:rsid w:val="00365C17"/>
    <w:rsid w:val="00365C50"/>
    <w:rsid w:val="00365C8F"/>
    <w:rsid w:val="00365E18"/>
    <w:rsid w:val="00365E2D"/>
    <w:rsid w:val="00365FE0"/>
    <w:rsid w:val="003660AA"/>
    <w:rsid w:val="003662EF"/>
    <w:rsid w:val="0036640B"/>
    <w:rsid w:val="00366480"/>
    <w:rsid w:val="00366483"/>
    <w:rsid w:val="003664EB"/>
    <w:rsid w:val="003665D6"/>
    <w:rsid w:val="0036678F"/>
    <w:rsid w:val="00366C79"/>
    <w:rsid w:val="00366EC8"/>
    <w:rsid w:val="00366F02"/>
    <w:rsid w:val="00366FFF"/>
    <w:rsid w:val="003672F1"/>
    <w:rsid w:val="00367588"/>
    <w:rsid w:val="003675AF"/>
    <w:rsid w:val="003675E5"/>
    <w:rsid w:val="003676B0"/>
    <w:rsid w:val="003676FA"/>
    <w:rsid w:val="00367CA2"/>
    <w:rsid w:val="00367D00"/>
    <w:rsid w:val="00367D2D"/>
    <w:rsid w:val="00367E13"/>
    <w:rsid w:val="00367E2D"/>
    <w:rsid w:val="00367E8B"/>
    <w:rsid w:val="00367FE1"/>
    <w:rsid w:val="00370105"/>
    <w:rsid w:val="00370239"/>
    <w:rsid w:val="00370365"/>
    <w:rsid w:val="003703BC"/>
    <w:rsid w:val="003704EC"/>
    <w:rsid w:val="003705F7"/>
    <w:rsid w:val="003707AC"/>
    <w:rsid w:val="003707FB"/>
    <w:rsid w:val="00370D87"/>
    <w:rsid w:val="00370F43"/>
    <w:rsid w:val="00370FA7"/>
    <w:rsid w:val="0037100A"/>
    <w:rsid w:val="00371151"/>
    <w:rsid w:val="003711D0"/>
    <w:rsid w:val="0037121E"/>
    <w:rsid w:val="00371237"/>
    <w:rsid w:val="0037126B"/>
    <w:rsid w:val="0037148D"/>
    <w:rsid w:val="003715B1"/>
    <w:rsid w:val="003715B8"/>
    <w:rsid w:val="003715E1"/>
    <w:rsid w:val="00371749"/>
    <w:rsid w:val="00371BC7"/>
    <w:rsid w:val="00371BD5"/>
    <w:rsid w:val="00371BF0"/>
    <w:rsid w:val="00371BFE"/>
    <w:rsid w:val="00371F0C"/>
    <w:rsid w:val="00372002"/>
    <w:rsid w:val="003722D6"/>
    <w:rsid w:val="003724D8"/>
    <w:rsid w:val="0037251B"/>
    <w:rsid w:val="00372531"/>
    <w:rsid w:val="0037261B"/>
    <w:rsid w:val="00372651"/>
    <w:rsid w:val="0037267D"/>
    <w:rsid w:val="003726BA"/>
    <w:rsid w:val="00372706"/>
    <w:rsid w:val="00372A58"/>
    <w:rsid w:val="00372D26"/>
    <w:rsid w:val="00372D7F"/>
    <w:rsid w:val="00372D90"/>
    <w:rsid w:val="00372F8A"/>
    <w:rsid w:val="00373154"/>
    <w:rsid w:val="003734B4"/>
    <w:rsid w:val="0037350C"/>
    <w:rsid w:val="0037353D"/>
    <w:rsid w:val="00373673"/>
    <w:rsid w:val="003736C3"/>
    <w:rsid w:val="003738D2"/>
    <w:rsid w:val="00373968"/>
    <w:rsid w:val="00373A9E"/>
    <w:rsid w:val="00373B81"/>
    <w:rsid w:val="00373C2B"/>
    <w:rsid w:val="00373C6C"/>
    <w:rsid w:val="00373CAF"/>
    <w:rsid w:val="0037456F"/>
    <w:rsid w:val="003745A3"/>
    <w:rsid w:val="0037469B"/>
    <w:rsid w:val="003746B9"/>
    <w:rsid w:val="003746E8"/>
    <w:rsid w:val="00374834"/>
    <w:rsid w:val="00374C11"/>
    <w:rsid w:val="00374C36"/>
    <w:rsid w:val="00374D23"/>
    <w:rsid w:val="00374D55"/>
    <w:rsid w:val="00374DDE"/>
    <w:rsid w:val="00374EE9"/>
    <w:rsid w:val="00374FBB"/>
    <w:rsid w:val="00374FD6"/>
    <w:rsid w:val="00375416"/>
    <w:rsid w:val="003756C7"/>
    <w:rsid w:val="00375784"/>
    <w:rsid w:val="003757F8"/>
    <w:rsid w:val="00375806"/>
    <w:rsid w:val="00375861"/>
    <w:rsid w:val="00375AC2"/>
    <w:rsid w:val="00375BAD"/>
    <w:rsid w:val="00375DF3"/>
    <w:rsid w:val="00375EC2"/>
    <w:rsid w:val="00375EC3"/>
    <w:rsid w:val="00375EFF"/>
    <w:rsid w:val="00376004"/>
    <w:rsid w:val="003763C1"/>
    <w:rsid w:val="0037658E"/>
    <w:rsid w:val="00376632"/>
    <w:rsid w:val="003766AB"/>
    <w:rsid w:val="0037681F"/>
    <w:rsid w:val="00376835"/>
    <w:rsid w:val="0037686A"/>
    <w:rsid w:val="00376951"/>
    <w:rsid w:val="00376FBA"/>
    <w:rsid w:val="00376FD5"/>
    <w:rsid w:val="0037700C"/>
    <w:rsid w:val="0037702D"/>
    <w:rsid w:val="00377140"/>
    <w:rsid w:val="003771A9"/>
    <w:rsid w:val="003771D3"/>
    <w:rsid w:val="0037728E"/>
    <w:rsid w:val="0037733C"/>
    <w:rsid w:val="0037739C"/>
    <w:rsid w:val="00377472"/>
    <w:rsid w:val="00377579"/>
    <w:rsid w:val="003775DD"/>
    <w:rsid w:val="003775EE"/>
    <w:rsid w:val="00377992"/>
    <w:rsid w:val="00377999"/>
    <w:rsid w:val="00377A15"/>
    <w:rsid w:val="00377A76"/>
    <w:rsid w:val="00377B74"/>
    <w:rsid w:val="00377D10"/>
    <w:rsid w:val="00377D51"/>
    <w:rsid w:val="00377E91"/>
    <w:rsid w:val="00377E9D"/>
    <w:rsid w:val="00380252"/>
    <w:rsid w:val="003802EA"/>
    <w:rsid w:val="0038041E"/>
    <w:rsid w:val="0038048C"/>
    <w:rsid w:val="003804C1"/>
    <w:rsid w:val="00380528"/>
    <w:rsid w:val="00380586"/>
    <w:rsid w:val="0038080A"/>
    <w:rsid w:val="0038081B"/>
    <w:rsid w:val="0038097F"/>
    <w:rsid w:val="00380C12"/>
    <w:rsid w:val="00380C53"/>
    <w:rsid w:val="00380DFA"/>
    <w:rsid w:val="00380E33"/>
    <w:rsid w:val="00380E44"/>
    <w:rsid w:val="003810D7"/>
    <w:rsid w:val="00381562"/>
    <w:rsid w:val="003815CD"/>
    <w:rsid w:val="00381649"/>
    <w:rsid w:val="00381819"/>
    <w:rsid w:val="0038186D"/>
    <w:rsid w:val="00381984"/>
    <w:rsid w:val="00381AAD"/>
    <w:rsid w:val="00381CEC"/>
    <w:rsid w:val="00381E6E"/>
    <w:rsid w:val="00382086"/>
    <w:rsid w:val="003823C8"/>
    <w:rsid w:val="0038248D"/>
    <w:rsid w:val="00382520"/>
    <w:rsid w:val="00382682"/>
    <w:rsid w:val="00382703"/>
    <w:rsid w:val="003827F8"/>
    <w:rsid w:val="00382A78"/>
    <w:rsid w:val="00382B3C"/>
    <w:rsid w:val="00382C7B"/>
    <w:rsid w:val="00382F4A"/>
    <w:rsid w:val="00382FF0"/>
    <w:rsid w:val="003830C0"/>
    <w:rsid w:val="003830D0"/>
    <w:rsid w:val="0038312C"/>
    <w:rsid w:val="003832EC"/>
    <w:rsid w:val="00383516"/>
    <w:rsid w:val="00383536"/>
    <w:rsid w:val="0038365A"/>
    <w:rsid w:val="0038367D"/>
    <w:rsid w:val="00383681"/>
    <w:rsid w:val="0038375C"/>
    <w:rsid w:val="003837AE"/>
    <w:rsid w:val="003837C0"/>
    <w:rsid w:val="00383913"/>
    <w:rsid w:val="00383B29"/>
    <w:rsid w:val="00383CEB"/>
    <w:rsid w:val="00383D8F"/>
    <w:rsid w:val="00383DC1"/>
    <w:rsid w:val="00383E47"/>
    <w:rsid w:val="00383ECB"/>
    <w:rsid w:val="00383FE8"/>
    <w:rsid w:val="0038405E"/>
    <w:rsid w:val="00384080"/>
    <w:rsid w:val="003840B9"/>
    <w:rsid w:val="00384199"/>
    <w:rsid w:val="00384407"/>
    <w:rsid w:val="003848A4"/>
    <w:rsid w:val="003849D5"/>
    <w:rsid w:val="003849FA"/>
    <w:rsid w:val="00384A6E"/>
    <w:rsid w:val="00384E06"/>
    <w:rsid w:val="00384F4F"/>
    <w:rsid w:val="00384F5D"/>
    <w:rsid w:val="00385163"/>
    <w:rsid w:val="0038528F"/>
    <w:rsid w:val="0038534E"/>
    <w:rsid w:val="0038592E"/>
    <w:rsid w:val="003859A6"/>
    <w:rsid w:val="003859F7"/>
    <w:rsid w:val="00385A05"/>
    <w:rsid w:val="00385A1A"/>
    <w:rsid w:val="00385D4F"/>
    <w:rsid w:val="00385E45"/>
    <w:rsid w:val="00385E8E"/>
    <w:rsid w:val="00385F18"/>
    <w:rsid w:val="00385FA7"/>
    <w:rsid w:val="00386055"/>
    <w:rsid w:val="003860E7"/>
    <w:rsid w:val="003861E3"/>
    <w:rsid w:val="00386213"/>
    <w:rsid w:val="0038627D"/>
    <w:rsid w:val="0038632D"/>
    <w:rsid w:val="003864CE"/>
    <w:rsid w:val="00386615"/>
    <w:rsid w:val="00386764"/>
    <w:rsid w:val="00386BFC"/>
    <w:rsid w:val="00386C8B"/>
    <w:rsid w:val="00386FE1"/>
    <w:rsid w:val="00387092"/>
    <w:rsid w:val="0038714E"/>
    <w:rsid w:val="00387173"/>
    <w:rsid w:val="0038722B"/>
    <w:rsid w:val="003872D3"/>
    <w:rsid w:val="0038752B"/>
    <w:rsid w:val="0038757B"/>
    <w:rsid w:val="00387587"/>
    <w:rsid w:val="003876AE"/>
    <w:rsid w:val="00387774"/>
    <w:rsid w:val="003877E7"/>
    <w:rsid w:val="00387AFD"/>
    <w:rsid w:val="00387B15"/>
    <w:rsid w:val="00387C9C"/>
    <w:rsid w:val="00387D12"/>
    <w:rsid w:val="00387E39"/>
    <w:rsid w:val="00387F22"/>
    <w:rsid w:val="003901E4"/>
    <w:rsid w:val="0039022C"/>
    <w:rsid w:val="0039026A"/>
    <w:rsid w:val="00390373"/>
    <w:rsid w:val="00390480"/>
    <w:rsid w:val="003905FF"/>
    <w:rsid w:val="0039069D"/>
    <w:rsid w:val="00390738"/>
    <w:rsid w:val="00390773"/>
    <w:rsid w:val="00390ABD"/>
    <w:rsid w:val="00390B1A"/>
    <w:rsid w:val="00390B6C"/>
    <w:rsid w:val="00390ECD"/>
    <w:rsid w:val="00390F2A"/>
    <w:rsid w:val="003911CA"/>
    <w:rsid w:val="0039136B"/>
    <w:rsid w:val="00391503"/>
    <w:rsid w:val="0039159F"/>
    <w:rsid w:val="003916C2"/>
    <w:rsid w:val="00391943"/>
    <w:rsid w:val="0039197B"/>
    <w:rsid w:val="00391B17"/>
    <w:rsid w:val="00391D73"/>
    <w:rsid w:val="00391DA2"/>
    <w:rsid w:val="00391DE8"/>
    <w:rsid w:val="00391E0B"/>
    <w:rsid w:val="0039210E"/>
    <w:rsid w:val="0039212B"/>
    <w:rsid w:val="0039212D"/>
    <w:rsid w:val="003922DD"/>
    <w:rsid w:val="0039230D"/>
    <w:rsid w:val="00392438"/>
    <w:rsid w:val="0039262E"/>
    <w:rsid w:val="003927F5"/>
    <w:rsid w:val="003929BD"/>
    <w:rsid w:val="00392A6E"/>
    <w:rsid w:val="00392B7A"/>
    <w:rsid w:val="00392C15"/>
    <w:rsid w:val="00392E99"/>
    <w:rsid w:val="00393047"/>
    <w:rsid w:val="003931C4"/>
    <w:rsid w:val="003931FD"/>
    <w:rsid w:val="00393289"/>
    <w:rsid w:val="00393338"/>
    <w:rsid w:val="00393393"/>
    <w:rsid w:val="003936EC"/>
    <w:rsid w:val="00393834"/>
    <w:rsid w:val="0039387D"/>
    <w:rsid w:val="00393995"/>
    <w:rsid w:val="00393A27"/>
    <w:rsid w:val="00393AF6"/>
    <w:rsid w:val="00393B30"/>
    <w:rsid w:val="00393BB9"/>
    <w:rsid w:val="00393CE1"/>
    <w:rsid w:val="00393EA4"/>
    <w:rsid w:val="00393FA0"/>
    <w:rsid w:val="0039401E"/>
    <w:rsid w:val="00394129"/>
    <w:rsid w:val="00394261"/>
    <w:rsid w:val="0039430A"/>
    <w:rsid w:val="003943E5"/>
    <w:rsid w:val="00394652"/>
    <w:rsid w:val="0039495E"/>
    <w:rsid w:val="003949AA"/>
    <w:rsid w:val="00394CCD"/>
    <w:rsid w:val="00394E66"/>
    <w:rsid w:val="003950A2"/>
    <w:rsid w:val="003950D7"/>
    <w:rsid w:val="00395147"/>
    <w:rsid w:val="0039514E"/>
    <w:rsid w:val="003951BF"/>
    <w:rsid w:val="0039557A"/>
    <w:rsid w:val="003955A1"/>
    <w:rsid w:val="00395773"/>
    <w:rsid w:val="0039589A"/>
    <w:rsid w:val="003958F7"/>
    <w:rsid w:val="0039592E"/>
    <w:rsid w:val="00395A1E"/>
    <w:rsid w:val="00395A27"/>
    <w:rsid w:val="00395E38"/>
    <w:rsid w:val="00395E8E"/>
    <w:rsid w:val="00395F0F"/>
    <w:rsid w:val="00395F1E"/>
    <w:rsid w:val="00395F9D"/>
    <w:rsid w:val="0039617F"/>
    <w:rsid w:val="00396206"/>
    <w:rsid w:val="003962FA"/>
    <w:rsid w:val="003963D5"/>
    <w:rsid w:val="003965DA"/>
    <w:rsid w:val="00396887"/>
    <w:rsid w:val="00396925"/>
    <w:rsid w:val="00396A05"/>
    <w:rsid w:val="00396A30"/>
    <w:rsid w:val="00396BFF"/>
    <w:rsid w:val="00396DF8"/>
    <w:rsid w:val="00396DF9"/>
    <w:rsid w:val="00396FD5"/>
    <w:rsid w:val="003971C8"/>
    <w:rsid w:val="003971F5"/>
    <w:rsid w:val="003972B0"/>
    <w:rsid w:val="003974D2"/>
    <w:rsid w:val="003974EE"/>
    <w:rsid w:val="00397518"/>
    <w:rsid w:val="0039782E"/>
    <w:rsid w:val="00397892"/>
    <w:rsid w:val="0039798B"/>
    <w:rsid w:val="00397A58"/>
    <w:rsid w:val="00397A61"/>
    <w:rsid w:val="00397AA3"/>
    <w:rsid w:val="00397FE7"/>
    <w:rsid w:val="00397FEB"/>
    <w:rsid w:val="003A021B"/>
    <w:rsid w:val="003A02A3"/>
    <w:rsid w:val="003A0468"/>
    <w:rsid w:val="003A04B9"/>
    <w:rsid w:val="003A05EA"/>
    <w:rsid w:val="003A0621"/>
    <w:rsid w:val="003A06B9"/>
    <w:rsid w:val="003A06FF"/>
    <w:rsid w:val="003A0790"/>
    <w:rsid w:val="003A0A5E"/>
    <w:rsid w:val="003A0A87"/>
    <w:rsid w:val="003A0B8A"/>
    <w:rsid w:val="003A0BE2"/>
    <w:rsid w:val="003A0D27"/>
    <w:rsid w:val="003A0DB7"/>
    <w:rsid w:val="003A0EE0"/>
    <w:rsid w:val="003A1185"/>
    <w:rsid w:val="003A14EF"/>
    <w:rsid w:val="003A1500"/>
    <w:rsid w:val="003A1564"/>
    <w:rsid w:val="003A16C7"/>
    <w:rsid w:val="003A1923"/>
    <w:rsid w:val="003A1926"/>
    <w:rsid w:val="003A193B"/>
    <w:rsid w:val="003A199C"/>
    <w:rsid w:val="003A1AD4"/>
    <w:rsid w:val="003A1D08"/>
    <w:rsid w:val="003A1D27"/>
    <w:rsid w:val="003A1DBC"/>
    <w:rsid w:val="003A1E5F"/>
    <w:rsid w:val="003A1FAA"/>
    <w:rsid w:val="003A2065"/>
    <w:rsid w:val="003A20B0"/>
    <w:rsid w:val="003A210B"/>
    <w:rsid w:val="003A220E"/>
    <w:rsid w:val="003A2245"/>
    <w:rsid w:val="003A2285"/>
    <w:rsid w:val="003A2347"/>
    <w:rsid w:val="003A24FE"/>
    <w:rsid w:val="003A2599"/>
    <w:rsid w:val="003A27D4"/>
    <w:rsid w:val="003A2843"/>
    <w:rsid w:val="003A2C27"/>
    <w:rsid w:val="003A2C58"/>
    <w:rsid w:val="003A2D7B"/>
    <w:rsid w:val="003A2D82"/>
    <w:rsid w:val="003A2DA6"/>
    <w:rsid w:val="003A2F6F"/>
    <w:rsid w:val="003A3036"/>
    <w:rsid w:val="003A30E7"/>
    <w:rsid w:val="003A33A6"/>
    <w:rsid w:val="003A3439"/>
    <w:rsid w:val="003A35C6"/>
    <w:rsid w:val="003A35FD"/>
    <w:rsid w:val="003A3627"/>
    <w:rsid w:val="003A3980"/>
    <w:rsid w:val="003A3A67"/>
    <w:rsid w:val="003A3A8B"/>
    <w:rsid w:val="003A3D45"/>
    <w:rsid w:val="003A3E7C"/>
    <w:rsid w:val="003A3EE6"/>
    <w:rsid w:val="003A3F77"/>
    <w:rsid w:val="003A3FD0"/>
    <w:rsid w:val="003A40A0"/>
    <w:rsid w:val="003A4136"/>
    <w:rsid w:val="003A4316"/>
    <w:rsid w:val="003A441B"/>
    <w:rsid w:val="003A441E"/>
    <w:rsid w:val="003A4494"/>
    <w:rsid w:val="003A4496"/>
    <w:rsid w:val="003A4605"/>
    <w:rsid w:val="003A466A"/>
    <w:rsid w:val="003A47FD"/>
    <w:rsid w:val="003A4989"/>
    <w:rsid w:val="003A4C4B"/>
    <w:rsid w:val="003A4D59"/>
    <w:rsid w:val="003A4D99"/>
    <w:rsid w:val="003A4E90"/>
    <w:rsid w:val="003A4EA3"/>
    <w:rsid w:val="003A4EBC"/>
    <w:rsid w:val="003A522D"/>
    <w:rsid w:val="003A5248"/>
    <w:rsid w:val="003A52B5"/>
    <w:rsid w:val="003A534E"/>
    <w:rsid w:val="003A53C5"/>
    <w:rsid w:val="003A546E"/>
    <w:rsid w:val="003A5607"/>
    <w:rsid w:val="003A5622"/>
    <w:rsid w:val="003A56EF"/>
    <w:rsid w:val="003A5891"/>
    <w:rsid w:val="003A5A4D"/>
    <w:rsid w:val="003A5BE1"/>
    <w:rsid w:val="003A5D30"/>
    <w:rsid w:val="003A5E3D"/>
    <w:rsid w:val="003A6084"/>
    <w:rsid w:val="003A61A6"/>
    <w:rsid w:val="003A6275"/>
    <w:rsid w:val="003A627E"/>
    <w:rsid w:val="003A6623"/>
    <w:rsid w:val="003A66BD"/>
    <w:rsid w:val="003A6958"/>
    <w:rsid w:val="003A6A47"/>
    <w:rsid w:val="003A6E28"/>
    <w:rsid w:val="003A6F39"/>
    <w:rsid w:val="003A7030"/>
    <w:rsid w:val="003A724A"/>
    <w:rsid w:val="003A7548"/>
    <w:rsid w:val="003A7643"/>
    <w:rsid w:val="003A78C4"/>
    <w:rsid w:val="003A79F4"/>
    <w:rsid w:val="003A7A2C"/>
    <w:rsid w:val="003A7CAB"/>
    <w:rsid w:val="003A7D66"/>
    <w:rsid w:val="003A7E93"/>
    <w:rsid w:val="003A7F66"/>
    <w:rsid w:val="003A7FEA"/>
    <w:rsid w:val="003B0066"/>
    <w:rsid w:val="003B0177"/>
    <w:rsid w:val="003B0260"/>
    <w:rsid w:val="003B0398"/>
    <w:rsid w:val="003B092D"/>
    <w:rsid w:val="003B09FE"/>
    <w:rsid w:val="003B0A0B"/>
    <w:rsid w:val="003B0BF7"/>
    <w:rsid w:val="003B0DC5"/>
    <w:rsid w:val="003B0F88"/>
    <w:rsid w:val="003B1288"/>
    <w:rsid w:val="003B132A"/>
    <w:rsid w:val="003B145D"/>
    <w:rsid w:val="003B14DB"/>
    <w:rsid w:val="003B14F4"/>
    <w:rsid w:val="003B1556"/>
    <w:rsid w:val="003B17C5"/>
    <w:rsid w:val="003B1848"/>
    <w:rsid w:val="003B18C0"/>
    <w:rsid w:val="003B1913"/>
    <w:rsid w:val="003B1A28"/>
    <w:rsid w:val="003B1A2C"/>
    <w:rsid w:val="003B1A73"/>
    <w:rsid w:val="003B1B0F"/>
    <w:rsid w:val="003B1B21"/>
    <w:rsid w:val="003B1E9F"/>
    <w:rsid w:val="003B201E"/>
    <w:rsid w:val="003B2033"/>
    <w:rsid w:val="003B2048"/>
    <w:rsid w:val="003B2197"/>
    <w:rsid w:val="003B242D"/>
    <w:rsid w:val="003B249B"/>
    <w:rsid w:val="003B24FB"/>
    <w:rsid w:val="003B251C"/>
    <w:rsid w:val="003B259A"/>
    <w:rsid w:val="003B2627"/>
    <w:rsid w:val="003B2633"/>
    <w:rsid w:val="003B27AC"/>
    <w:rsid w:val="003B2AAD"/>
    <w:rsid w:val="003B2B45"/>
    <w:rsid w:val="003B2B95"/>
    <w:rsid w:val="003B2C0D"/>
    <w:rsid w:val="003B2CFA"/>
    <w:rsid w:val="003B2D11"/>
    <w:rsid w:val="003B2E14"/>
    <w:rsid w:val="003B2E84"/>
    <w:rsid w:val="003B3030"/>
    <w:rsid w:val="003B303A"/>
    <w:rsid w:val="003B303F"/>
    <w:rsid w:val="003B3258"/>
    <w:rsid w:val="003B3600"/>
    <w:rsid w:val="003B3690"/>
    <w:rsid w:val="003B36A1"/>
    <w:rsid w:val="003B37EB"/>
    <w:rsid w:val="003B3945"/>
    <w:rsid w:val="003B3971"/>
    <w:rsid w:val="003B39BA"/>
    <w:rsid w:val="003B3A3F"/>
    <w:rsid w:val="003B3C3A"/>
    <w:rsid w:val="003B3DB3"/>
    <w:rsid w:val="003B3F83"/>
    <w:rsid w:val="003B3FD2"/>
    <w:rsid w:val="003B40B4"/>
    <w:rsid w:val="003B41C6"/>
    <w:rsid w:val="003B4347"/>
    <w:rsid w:val="003B4423"/>
    <w:rsid w:val="003B4448"/>
    <w:rsid w:val="003B463F"/>
    <w:rsid w:val="003B478D"/>
    <w:rsid w:val="003B47D9"/>
    <w:rsid w:val="003B4829"/>
    <w:rsid w:val="003B4AC2"/>
    <w:rsid w:val="003B4B30"/>
    <w:rsid w:val="003B4C1A"/>
    <w:rsid w:val="003B4C21"/>
    <w:rsid w:val="003B4E55"/>
    <w:rsid w:val="003B507E"/>
    <w:rsid w:val="003B52EA"/>
    <w:rsid w:val="003B537F"/>
    <w:rsid w:val="003B53E2"/>
    <w:rsid w:val="003B54A6"/>
    <w:rsid w:val="003B56BA"/>
    <w:rsid w:val="003B5780"/>
    <w:rsid w:val="003B5792"/>
    <w:rsid w:val="003B591D"/>
    <w:rsid w:val="003B5A8E"/>
    <w:rsid w:val="003B6021"/>
    <w:rsid w:val="003B60E4"/>
    <w:rsid w:val="003B6266"/>
    <w:rsid w:val="003B6361"/>
    <w:rsid w:val="003B64EF"/>
    <w:rsid w:val="003B66E8"/>
    <w:rsid w:val="003B6746"/>
    <w:rsid w:val="003B677D"/>
    <w:rsid w:val="003B682F"/>
    <w:rsid w:val="003B6AD8"/>
    <w:rsid w:val="003B6B8A"/>
    <w:rsid w:val="003B6FC8"/>
    <w:rsid w:val="003B7059"/>
    <w:rsid w:val="003B71FA"/>
    <w:rsid w:val="003B7204"/>
    <w:rsid w:val="003B7656"/>
    <w:rsid w:val="003B76DF"/>
    <w:rsid w:val="003B788C"/>
    <w:rsid w:val="003B7940"/>
    <w:rsid w:val="003B7ABB"/>
    <w:rsid w:val="003B7B57"/>
    <w:rsid w:val="003B7B87"/>
    <w:rsid w:val="003B7BBC"/>
    <w:rsid w:val="003B7C14"/>
    <w:rsid w:val="003B7D92"/>
    <w:rsid w:val="003B7D9C"/>
    <w:rsid w:val="003B7DEA"/>
    <w:rsid w:val="003B7E2D"/>
    <w:rsid w:val="003B7E3D"/>
    <w:rsid w:val="003B7FE3"/>
    <w:rsid w:val="003C006C"/>
    <w:rsid w:val="003C022B"/>
    <w:rsid w:val="003C0456"/>
    <w:rsid w:val="003C061F"/>
    <w:rsid w:val="003C067D"/>
    <w:rsid w:val="003C08DD"/>
    <w:rsid w:val="003C08EA"/>
    <w:rsid w:val="003C09A9"/>
    <w:rsid w:val="003C0B25"/>
    <w:rsid w:val="003C0C33"/>
    <w:rsid w:val="003C0D3B"/>
    <w:rsid w:val="003C0D4D"/>
    <w:rsid w:val="003C0DA3"/>
    <w:rsid w:val="003C0F10"/>
    <w:rsid w:val="003C0F62"/>
    <w:rsid w:val="003C0FB2"/>
    <w:rsid w:val="003C10FD"/>
    <w:rsid w:val="003C149D"/>
    <w:rsid w:val="003C14FF"/>
    <w:rsid w:val="003C152B"/>
    <w:rsid w:val="003C1664"/>
    <w:rsid w:val="003C1843"/>
    <w:rsid w:val="003C18D7"/>
    <w:rsid w:val="003C1910"/>
    <w:rsid w:val="003C1947"/>
    <w:rsid w:val="003C1BD1"/>
    <w:rsid w:val="003C1CE1"/>
    <w:rsid w:val="003C1DC1"/>
    <w:rsid w:val="003C1DCC"/>
    <w:rsid w:val="003C1EE6"/>
    <w:rsid w:val="003C21D7"/>
    <w:rsid w:val="003C22D5"/>
    <w:rsid w:val="003C23B9"/>
    <w:rsid w:val="003C2408"/>
    <w:rsid w:val="003C2469"/>
    <w:rsid w:val="003C2519"/>
    <w:rsid w:val="003C259D"/>
    <w:rsid w:val="003C25CD"/>
    <w:rsid w:val="003C2677"/>
    <w:rsid w:val="003C2AD2"/>
    <w:rsid w:val="003C2B01"/>
    <w:rsid w:val="003C2B58"/>
    <w:rsid w:val="003C2C00"/>
    <w:rsid w:val="003C2CEA"/>
    <w:rsid w:val="003C2EE4"/>
    <w:rsid w:val="003C2FEC"/>
    <w:rsid w:val="003C312A"/>
    <w:rsid w:val="003C3218"/>
    <w:rsid w:val="003C32C6"/>
    <w:rsid w:val="003C3515"/>
    <w:rsid w:val="003C35D3"/>
    <w:rsid w:val="003C35FC"/>
    <w:rsid w:val="003C3738"/>
    <w:rsid w:val="003C3955"/>
    <w:rsid w:val="003C39CE"/>
    <w:rsid w:val="003C39D5"/>
    <w:rsid w:val="003C3A7C"/>
    <w:rsid w:val="003C3B42"/>
    <w:rsid w:val="003C3BE7"/>
    <w:rsid w:val="003C3CBC"/>
    <w:rsid w:val="003C3CFC"/>
    <w:rsid w:val="003C3D3D"/>
    <w:rsid w:val="003C3D50"/>
    <w:rsid w:val="003C3E0B"/>
    <w:rsid w:val="003C3F67"/>
    <w:rsid w:val="003C3FD3"/>
    <w:rsid w:val="003C4171"/>
    <w:rsid w:val="003C422A"/>
    <w:rsid w:val="003C4424"/>
    <w:rsid w:val="003C4585"/>
    <w:rsid w:val="003C4598"/>
    <w:rsid w:val="003C497F"/>
    <w:rsid w:val="003C4A98"/>
    <w:rsid w:val="003C4C92"/>
    <w:rsid w:val="003C4DBD"/>
    <w:rsid w:val="003C4E28"/>
    <w:rsid w:val="003C4EA1"/>
    <w:rsid w:val="003C4EF4"/>
    <w:rsid w:val="003C4FD5"/>
    <w:rsid w:val="003C50F3"/>
    <w:rsid w:val="003C5560"/>
    <w:rsid w:val="003C5676"/>
    <w:rsid w:val="003C57D8"/>
    <w:rsid w:val="003C5822"/>
    <w:rsid w:val="003C5C7C"/>
    <w:rsid w:val="003C5E15"/>
    <w:rsid w:val="003C5EDD"/>
    <w:rsid w:val="003C5FF6"/>
    <w:rsid w:val="003C613F"/>
    <w:rsid w:val="003C6357"/>
    <w:rsid w:val="003C6519"/>
    <w:rsid w:val="003C67FE"/>
    <w:rsid w:val="003C680F"/>
    <w:rsid w:val="003C69B6"/>
    <w:rsid w:val="003C69C6"/>
    <w:rsid w:val="003C69CF"/>
    <w:rsid w:val="003C69E0"/>
    <w:rsid w:val="003C6A70"/>
    <w:rsid w:val="003C6BB2"/>
    <w:rsid w:val="003C6CC5"/>
    <w:rsid w:val="003C6E8A"/>
    <w:rsid w:val="003C6EEF"/>
    <w:rsid w:val="003C6EF0"/>
    <w:rsid w:val="003C70AB"/>
    <w:rsid w:val="003C717A"/>
    <w:rsid w:val="003C7188"/>
    <w:rsid w:val="003C7281"/>
    <w:rsid w:val="003C7296"/>
    <w:rsid w:val="003C73ED"/>
    <w:rsid w:val="003C7453"/>
    <w:rsid w:val="003C75E3"/>
    <w:rsid w:val="003C7657"/>
    <w:rsid w:val="003C767A"/>
    <w:rsid w:val="003C783A"/>
    <w:rsid w:val="003C7910"/>
    <w:rsid w:val="003C7C03"/>
    <w:rsid w:val="003C7F06"/>
    <w:rsid w:val="003D02A3"/>
    <w:rsid w:val="003D0357"/>
    <w:rsid w:val="003D05F1"/>
    <w:rsid w:val="003D06E0"/>
    <w:rsid w:val="003D08D3"/>
    <w:rsid w:val="003D0A3B"/>
    <w:rsid w:val="003D0BE7"/>
    <w:rsid w:val="003D0CD2"/>
    <w:rsid w:val="003D0D04"/>
    <w:rsid w:val="003D0E54"/>
    <w:rsid w:val="003D1088"/>
    <w:rsid w:val="003D1091"/>
    <w:rsid w:val="003D11D7"/>
    <w:rsid w:val="003D124C"/>
    <w:rsid w:val="003D1522"/>
    <w:rsid w:val="003D15F5"/>
    <w:rsid w:val="003D1677"/>
    <w:rsid w:val="003D167F"/>
    <w:rsid w:val="003D175A"/>
    <w:rsid w:val="003D18F3"/>
    <w:rsid w:val="003D1C00"/>
    <w:rsid w:val="003D1DA0"/>
    <w:rsid w:val="003D1DD0"/>
    <w:rsid w:val="003D1EA0"/>
    <w:rsid w:val="003D1FF0"/>
    <w:rsid w:val="003D204F"/>
    <w:rsid w:val="003D2084"/>
    <w:rsid w:val="003D2177"/>
    <w:rsid w:val="003D219B"/>
    <w:rsid w:val="003D21F9"/>
    <w:rsid w:val="003D2324"/>
    <w:rsid w:val="003D23DF"/>
    <w:rsid w:val="003D2481"/>
    <w:rsid w:val="003D2821"/>
    <w:rsid w:val="003D28A4"/>
    <w:rsid w:val="003D2950"/>
    <w:rsid w:val="003D2A84"/>
    <w:rsid w:val="003D2A95"/>
    <w:rsid w:val="003D2BB6"/>
    <w:rsid w:val="003D2C24"/>
    <w:rsid w:val="003D2DCB"/>
    <w:rsid w:val="003D32BC"/>
    <w:rsid w:val="003D337C"/>
    <w:rsid w:val="003D3593"/>
    <w:rsid w:val="003D38CA"/>
    <w:rsid w:val="003D3B1F"/>
    <w:rsid w:val="003D3D71"/>
    <w:rsid w:val="003D3DB5"/>
    <w:rsid w:val="003D3EC7"/>
    <w:rsid w:val="003D3FA9"/>
    <w:rsid w:val="003D3FB2"/>
    <w:rsid w:val="003D3FD6"/>
    <w:rsid w:val="003D4750"/>
    <w:rsid w:val="003D48E5"/>
    <w:rsid w:val="003D48FF"/>
    <w:rsid w:val="003D4A2B"/>
    <w:rsid w:val="003D4AF5"/>
    <w:rsid w:val="003D4B9F"/>
    <w:rsid w:val="003D4BDF"/>
    <w:rsid w:val="003D4ED9"/>
    <w:rsid w:val="003D501B"/>
    <w:rsid w:val="003D501C"/>
    <w:rsid w:val="003D521F"/>
    <w:rsid w:val="003D533B"/>
    <w:rsid w:val="003D5478"/>
    <w:rsid w:val="003D54DC"/>
    <w:rsid w:val="003D56C3"/>
    <w:rsid w:val="003D5741"/>
    <w:rsid w:val="003D5AEB"/>
    <w:rsid w:val="003D5B9C"/>
    <w:rsid w:val="003D5F5C"/>
    <w:rsid w:val="003D5FDE"/>
    <w:rsid w:val="003D62EA"/>
    <w:rsid w:val="003D6328"/>
    <w:rsid w:val="003D6455"/>
    <w:rsid w:val="003D6581"/>
    <w:rsid w:val="003D66B4"/>
    <w:rsid w:val="003D66DF"/>
    <w:rsid w:val="003D6833"/>
    <w:rsid w:val="003D6973"/>
    <w:rsid w:val="003D6E96"/>
    <w:rsid w:val="003D6EC4"/>
    <w:rsid w:val="003D6FA1"/>
    <w:rsid w:val="003D72FE"/>
    <w:rsid w:val="003D736E"/>
    <w:rsid w:val="003D756F"/>
    <w:rsid w:val="003D7704"/>
    <w:rsid w:val="003D78F7"/>
    <w:rsid w:val="003D7910"/>
    <w:rsid w:val="003D7A14"/>
    <w:rsid w:val="003D7A9B"/>
    <w:rsid w:val="003D7B18"/>
    <w:rsid w:val="003D7BD3"/>
    <w:rsid w:val="003D7C08"/>
    <w:rsid w:val="003D7D17"/>
    <w:rsid w:val="003E01A3"/>
    <w:rsid w:val="003E0450"/>
    <w:rsid w:val="003E0768"/>
    <w:rsid w:val="003E07CC"/>
    <w:rsid w:val="003E096A"/>
    <w:rsid w:val="003E0D9B"/>
    <w:rsid w:val="003E0E01"/>
    <w:rsid w:val="003E0E73"/>
    <w:rsid w:val="003E0ED0"/>
    <w:rsid w:val="003E0FDA"/>
    <w:rsid w:val="003E108D"/>
    <w:rsid w:val="003E11D5"/>
    <w:rsid w:val="003E123D"/>
    <w:rsid w:val="003E12A6"/>
    <w:rsid w:val="003E1375"/>
    <w:rsid w:val="003E1400"/>
    <w:rsid w:val="003E144E"/>
    <w:rsid w:val="003E1457"/>
    <w:rsid w:val="003E184C"/>
    <w:rsid w:val="003E18A2"/>
    <w:rsid w:val="003E1A3F"/>
    <w:rsid w:val="003E1AB9"/>
    <w:rsid w:val="003E1B6A"/>
    <w:rsid w:val="003E1C34"/>
    <w:rsid w:val="003E1C6C"/>
    <w:rsid w:val="003E1F77"/>
    <w:rsid w:val="003E2057"/>
    <w:rsid w:val="003E256B"/>
    <w:rsid w:val="003E2585"/>
    <w:rsid w:val="003E262A"/>
    <w:rsid w:val="003E2717"/>
    <w:rsid w:val="003E2B40"/>
    <w:rsid w:val="003E2DAF"/>
    <w:rsid w:val="003E2E1C"/>
    <w:rsid w:val="003E3131"/>
    <w:rsid w:val="003E31DD"/>
    <w:rsid w:val="003E3364"/>
    <w:rsid w:val="003E3693"/>
    <w:rsid w:val="003E36F6"/>
    <w:rsid w:val="003E374C"/>
    <w:rsid w:val="003E3826"/>
    <w:rsid w:val="003E3899"/>
    <w:rsid w:val="003E38A0"/>
    <w:rsid w:val="003E3913"/>
    <w:rsid w:val="003E391C"/>
    <w:rsid w:val="003E3A81"/>
    <w:rsid w:val="003E3BFD"/>
    <w:rsid w:val="003E3CA0"/>
    <w:rsid w:val="003E3CA8"/>
    <w:rsid w:val="003E3E1D"/>
    <w:rsid w:val="003E3F58"/>
    <w:rsid w:val="003E42CC"/>
    <w:rsid w:val="003E4635"/>
    <w:rsid w:val="003E47CB"/>
    <w:rsid w:val="003E48F7"/>
    <w:rsid w:val="003E492B"/>
    <w:rsid w:val="003E499C"/>
    <w:rsid w:val="003E4AB1"/>
    <w:rsid w:val="003E4AEB"/>
    <w:rsid w:val="003E4AF2"/>
    <w:rsid w:val="003E532F"/>
    <w:rsid w:val="003E5483"/>
    <w:rsid w:val="003E573A"/>
    <w:rsid w:val="003E5761"/>
    <w:rsid w:val="003E57AD"/>
    <w:rsid w:val="003E5AE0"/>
    <w:rsid w:val="003E5B0F"/>
    <w:rsid w:val="003E5B1E"/>
    <w:rsid w:val="003E5C00"/>
    <w:rsid w:val="003E5C08"/>
    <w:rsid w:val="003E5C0E"/>
    <w:rsid w:val="003E5C18"/>
    <w:rsid w:val="003E5C89"/>
    <w:rsid w:val="003E5D61"/>
    <w:rsid w:val="003E62DA"/>
    <w:rsid w:val="003E66BD"/>
    <w:rsid w:val="003E6AC7"/>
    <w:rsid w:val="003E6BCA"/>
    <w:rsid w:val="003E6C1D"/>
    <w:rsid w:val="003E6CFD"/>
    <w:rsid w:val="003E6E91"/>
    <w:rsid w:val="003E6F19"/>
    <w:rsid w:val="003E7011"/>
    <w:rsid w:val="003E7101"/>
    <w:rsid w:val="003E718B"/>
    <w:rsid w:val="003E719B"/>
    <w:rsid w:val="003E73BC"/>
    <w:rsid w:val="003E770C"/>
    <w:rsid w:val="003E771F"/>
    <w:rsid w:val="003E7750"/>
    <w:rsid w:val="003E7811"/>
    <w:rsid w:val="003E7822"/>
    <w:rsid w:val="003E7915"/>
    <w:rsid w:val="003E7971"/>
    <w:rsid w:val="003E7A6A"/>
    <w:rsid w:val="003E7B2A"/>
    <w:rsid w:val="003E7B30"/>
    <w:rsid w:val="003E7BCE"/>
    <w:rsid w:val="003E7BFA"/>
    <w:rsid w:val="003E7D4D"/>
    <w:rsid w:val="003E7F26"/>
    <w:rsid w:val="003F0093"/>
    <w:rsid w:val="003F01BE"/>
    <w:rsid w:val="003F0316"/>
    <w:rsid w:val="003F05F6"/>
    <w:rsid w:val="003F06B3"/>
    <w:rsid w:val="003F0707"/>
    <w:rsid w:val="003F0895"/>
    <w:rsid w:val="003F0935"/>
    <w:rsid w:val="003F0A1E"/>
    <w:rsid w:val="003F0A2F"/>
    <w:rsid w:val="003F0C43"/>
    <w:rsid w:val="003F0C91"/>
    <w:rsid w:val="003F0DD9"/>
    <w:rsid w:val="003F0E6C"/>
    <w:rsid w:val="003F0F7D"/>
    <w:rsid w:val="003F0F8D"/>
    <w:rsid w:val="003F0FB5"/>
    <w:rsid w:val="003F10D5"/>
    <w:rsid w:val="003F10F7"/>
    <w:rsid w:val="003F1155"/>
    <w:rsid w:val="003F162C"/>
    <w:rsid w:val="003F1633"/>
    <w:rsid w:val="003F191E"/>
    <w:rsid w:val="003F19C6"/>
    <w:rsid w:val="003F1B07"/>
    <w:rsid w:val="003F1DA3"/>
    <w:rsid w:val="003F1FCA"/>
    <w:rsid w:val="003F2245"/>
    <w:rsid w:val="003F2363"/>
    <w:rsid w:val="003F2676"/>
    <w:rsid w:val="003F268B"/>
    <w:rsid w:val="003F29EA"/>
    <w:rsid w:val="003F2A09"/>
    <w:rsid w:val="003F2A8C"/>
    <w:rsid w:val="003F2B88"/>
    <w:rsid w:val="003F2C18"/>
    <w:rsid w:val="003F2D05"/>
    <w:rsid w:val="003F2DC7"/>
    <w:rsid w:val="003F3059"/>
    <w:rsid w:val="003F3141"/>
    <w:rsid w:val="003F320D"/>
    <w:rsid w:val="003F32F2"/>
    <w:rsid w:val="003F3405"/>
    <w:rsid w:val="003F35B0"/>
    <w:rsid w:val="003F363B"/>
    <w:rsid w:val="003F36D5"/>
    <w:rsid w:val="003F37FE"/>
    <w:rsid w:val="003F3A7A"/>
    <w:rsid w:val="003F3BA6"/>
    <w:rsid w:val="003F3C1D"/>
    <w:rsid w:val="003F3D55"/>
    <w:rsid w:val="003F3E3E"/>
    <w:rsid w:val="003F3F38"/>
    <w:rsid w:val="003F4029"/>
    <w:rsid w:val="003F40CD"/>
    <w:rsid w:val="003F41BA"/>
    <w:rsid w:val="003F4290"/>
    <w:rsid w:val="003F444E"/>
    <w:rsid w:val="003F4587"/>
    <w:rsid w:val="003F45E4"/>
    <w:rsid w:val="003F4637"/>
    <w:rsid w:val="003F4671"/>
    <w:rsid w:val="003F4694"/>
    <w:rsid w:val="003F4759"/>
    <w:rsid w:val="003F49CC"/>
    <w:rsid w:val="003F4A28"/>
    <w:rsid w:val="003F4B6A"/>
    <w:rsid w:val="003F4C64"/>
    <w:rsid w:val="003F4C68"/>
    <w:rsid w:val="003F4DA8"/>
    <w:rsid w:val="003F4DAC"/>
    <w:rsid w:val="003F4DB5"/>
    <w:rsid w:val="003F4EC6"/>
    <w:rsid w:val="003F4EC9"/>
    <w:rsid w:val="003F5084"/>
    <w:rsid w:val="003F51DE"/>
    <w:rsid w:val="003F52C5"/>
    <w:rsid w:val="003F54B8"/>
    <w:rsid w:val="003F54ED"/>
    <w:rsid w:val="003F5644"/>
    <w:rsid w:val="003F56D8"/>
    <w:rsid w:val="003F56E5"/>
    <w:rsid w:val="003F5757"/>
    <w:rsid w:val="003F580F"/>
    <w:rsid w:val="003F590C"/>
    <w:rsid w:val="003F5975"/>
    <w:rsid w:val="003F5BF6"/>
    <w:rsid w:val="003F5E1D"/>
    <w:rsid w:val="003F618A"/>
    <w:rsid w:val="003F64C2"/>
    <w:rsid w:val="003F6655"/>
    <w:rsid w:val="003F6661"/>
    <w:rsid w:val="003F690C"/>
    <w:rsid w:val="003F6971"/>
    <w:rsid w:val="003F6AC1"/>
    <w:rsid w:val="003F6CBA"/>
    <w:rsid w:val="003F6CEE"/>
    <w:rsid w:val="003F6D1C"/>
    <w:rsid w:val="003F6DA3"/>
    <w:rsid w:val="003F6EAC"/>
    <w:rsid w:val="003F6EB9"/>
    <w:rsid w:val="003F6F18"/>
    <w:rsid w:val="003F6F82"/>
    <w:rsid w:val="003F700C"/>
    <w:rsid w:val="003F75D8"/>
    <w:rsid w:val="003F75DE"/>
    <w:rsid w:val="003F7686"/>
    <w:rsid w:val="003F77B6"/>
    <w:rsid w:val="003F77EC"/>
    <w:rsid w:val="003F785A"/>
    <w:rsid w:val="003F7985"/>
    <w:rsid w:val="003F7997"/>
    <w:rsid w:val="003F7C57"/>
    <w:rsid w:val="003F7C8D"/>
    <w:rsid w:val="003F7CE7"/>
    <w:rsid w:val="0040006B"/>
    <w:rsid w:val="00400196"/>
    <w:rsid w:val="00400523"/>
    <w:rsid w:val="0040057D"/>
    <w:rsid w:val="0040069A"/>
    <w:rsid w:val="004007B5"/>
    <w:rsid w:val="004007EC"/>
    <w:rsid w:val="004009A1"/>
    <w:rsid w:val="00400A44"/>
    <w:rsid w:val="00400B8C"/>
    <w:rsid w:val="00400B9C"/>
    <w:rsid w:val="00400C25"/>
    <w:rsid w:val="00400C50"/>
    <w:rsid w:val="00400DAB"/>
    <w:rsid w:val="00400DBE"/>
    <w:rsid w:val="00400E1D"/>
    <w:rsid w:val="00400E9E"/>
    <w:rsid w:val="00401291"/>
    <w:rsid w:val="00401809"/>
    <w:rsid w:val="00401879"/>
    <w:rsid w:val="00401967"/>
    <w:rsid w:val="00401A38"/>
    <w:rsid w:val="00401B44"/>
    <w:rsid w:val="00401C0C"/>
    <w:rsid w:val="00401CA6"/>
    <w:rsid w:val="00401D88"/>
    <w:rsid w:val="00401DAB"/>
    <w:rsid w:val="00401DCE"/>
    <w:rsid w:val="0040203E"/>
    <w:rsid w:val="0040260C"/>
    <w:rsid w:val="0040268F"/>
    <w:rsid w:val="004026AC"/>
    <w:rsid w:val="0040285E"/>
    <w:rsid w:val="004028BF"/>
    <w:rsid w:val="00402A07"/>
    <w:rsid w:val="00402AA3"/>
    <w:rsid w:val="00402AD4"/>
    <w:rsid w:val="00402B47"/>
    <w:rsid w:val="00402BA2"/>
    <w:rsid w:val="00402BC7"/>
    <w:rsid w:val="00402CD3"/>
    <w:rsid w:val="00402CDD"/>
    <w:rsid w:val="00402D5B"/>
    <w:rsid w:val="00402EBC"/>
    <w:rsid w:val="00403057"/>
    <w:rsid w:val="00403060"/>
    <w:rsid w:val="004030C1"/>
    <w:rsid w:val="0040315C"/>
    <w:rsid w:val="00403230"/>
    <w:rsid w:val="0040327D"/>
    <w:rsid w:val="004032B5"/>
    <w:rsid w:val="004032DE"/>
    <w:rsid w:val="00403539"/>
    <w:rsid w:val="00403585"/>
    <w:rsid w:val="0040365C"/>
    <w:rsid w:val="00403698"/>
    <w:rsid w:val="004036F0"/>
    <w:rsid w:val="004036F2"/>
    <w:rsid w:val="00403811"/>
    <w:rsid w:val="00403857"/>
    <w:rsid w:val="0040385E"/>
    <w:rsid w:val="004038F9"/>
    <w:rsid w:val="0040396D"/>
    <w:rsid w:val="00403AC7"/>
    <w:rsid w:val="00403CD7"/>
    <w:rsid w:val="00403E01"/>
    <w:rsid w:val="00403E04"/>
    <w:rsid w:val="00403E1E"/>
    <w:rsid w:val="00403F97"/>
    <w:rsid w:val="00404083"/>
    <w:rsid w:val="004041CB"/>
    <w:rsid w:val="004041D1"/>
    <w:rsid w:val="00404217"/>
    <w:rsid w:val="0040445A"/>
    <w:rsid w:val="004045E4"/>
    <w:rsid w:val="00404A7E"/>
    <w:rsid w:val="00404BB9"/>
    <w:rsid w:val="00404C83"/>
    <w:rsid w:val="00404D32"/>
    <w:rsid w:val="00404D53"/>
    <w:rsid w:val="00404D90"/>
    <w:rsid w:val="00404E18"/>
    <w:rsid w:val="004050EF"/>
    <w:rsid w:val="00405442"/>
    <w:rsid w:val="004054D8"/>
    <w:rsid w:val="0040556C"/>
    <w:rsid w:val="004055E5"/>
    <w:rsid w:val="00405669"/>
    <w:rsid w:val="004058C7"/>
    <w:rsid w:val="00405907"/>
    <w:rsid w:val="004059F8"/>
    <w:rsid w:val="00405A68"/>
    <w:rsid w:val="00405C4F"/>
    <w:rsid w:val="00405CA7"/>
    <w:rsid w:val="00405CB8"/>
    <w:rsid w:val="00405D19"/>
    <w:rsid w:val="00405E22"/>
    <w:rsid w:val="00405ECC"/>
    <w:rsid w:val="00405FFD"/>
    <w:rsid w:val="004060A3"/>
    <w:rsid w:val="0040616D"/>
    <w:rsid w:val="004061AC"/>
    <w:rsid w:val="00406269"/>
    <w:rsid w:val="00406276"/>
    <w:rsid w:val="0040632D"/>
    <w:rsid w:val="004068AF"/>
    <w:rsid w:val="004069D4"/>
    <w:rsid w:val="004069EE"/>
    <w:rsid w:val="00406A3D"/>
    <w:rsid w:val="00406A48"/>
    <w:rsid w:val="00406AEF"/>
    <w:rsid w:val="00406B31"/>
    <w:rsid w:val="00406B51"/>
    <w:rsid w:val="00406C0F"/>
    <w:rsid w:val="00406D7E"/>
    <w:rsid w:val="00406D89"/>
    <w:rsid w:val="00406F8E"/>
    <w:rsid w:val="004071F6"/>
    <w:rsid w:val="0040735E"/>
    <w:rsid w:val="004075AD"/>
    <w:rsid w:val="0040761E"/>
    <w:rsid w:val="00407710"/>
    <w:rsid w:val="0040776E"/>
    <w:rsid w:val="00407797"/>
    <w:rsid w:val="004077DD"/>
    <w:rsid w:val="00407927"/>
    <w:rsid w:val="00407AC1"/>
    <w:rsid w:val="00407B35"/>
    <w:rsid w:val="00407D60"/>
    <w:rsid w:val="00407D93"/>
    <w:rsid w:val="00407E42"/>
    <w:rsid w:val="00407E79"/>
    <w:rsid w:val="00407F2D"/>
    <w:rsid w:val="004100C8"/>
    <w:rsid w:val="00410161"/>
    <w:rsid w:val="004101DD"/>
    <w:rsid w:val="0041055A"/>
    <w:rsid w:val="004105F1"/>
    <w:rsid w:val="00410678"/>
    <w:rsid w:val="00410729"/>
    <w:rsid w:val="00410777"/>
    <w:rsid w:val="004107C6"/>
    <w:rsid w:val="0041082D"/>
    <w:rsid w:val="004109B1"/>
    <w:rsid w:val="00410D37"/>
    <w:rsid w:val="00410F2A"/>
    <w:rsid w:val="0041109C"/>
    <w:rsid w:val="004110F7"/>
    <w:rsid w:val="004111F6"/>
    <w:rsid w:val="004112C1"/>
    <w:rsid w:val="004114A3"/>
    <w:rsid w:val="004115F0"/>
    <w:rsid w:val="004116C1"/>
    <w:rsid w:val="00411795"/>
    <w:rsid w:val="004117F5"/>
    <w:rsid w:val="00411B69"/>
    <w:rsid w:val="00411C70"/>
    <w:rsid w:val="00411CE7"/>
    <w:rsid w:val="00411DDF"/>
    <w:rsid w:val="00411E9A"/>
    <w:rsid w:val="00412209"/>
    <w:rsid w:val="004123B3"/>
    <w:rsid w:val="004124BA"/>
    <w:rsid w:val="00412548"/>
    <w:rsid w:val="0041258F"/>
    <w:rsid w:val="004125EC"/>
    <w:rsid w:val="004126AF"/>
    <w:rsid w:val="004126E1"/>
    <w:rsid w:val="00412705"/>
    <w:rsid w:val="004127DF"/>
    <w:rsid w:val="004129CE"/>
    <w:rsid w:val="004129FB"/>
    <w:rsid w:val="00412A33"/>
    <w:rsid w:val="00412A5E"/>
    <w:rsid w:val="00412C49"/>
    <w:rsid w:val="00412CD2"/>
    <w:rsid w:val="00412EDC"/>
    <w:rsid w:val="00412F88"/>
    <w:rsid w:val="0041302D"/>
    <w:rsid w:val="004131CA"/>
    <w:rsid w:val="0041339F"/>
    <w:rsid w:val="004133B9"/>
    <w:rsid w:val="00413628"/>
    <w:rsid w:val="00413636"/>
    <w:rsid w:val="00413644"/>
    <w:rsid w:val="00413956"/>
    <w:rsid w:val="00413ACE"/>
    <w:rsid w:val="00413B1D"/>
    <w:rsid w:val="00413CFA"/>
    <w:rsid w:val="00413D93"/>
    <w:rsid w:val="00413F01"/>
    <w:rsid w:val="004141F4"/>
    <w:rsid w:val="0041423E"/>
    <w:rsid w:val="00414302"/>
    <w:rsid w:val="00414386"/>
    <w:rsid w:val="004143C1"/>
    <w:rsid w:val="004143F9"/>
    <w:rsid w:val="00414466"/>
    <w:rsid w:val="00414468"/>
    <w:rsid w:val="004144A4"/>
    <w:rsid w:val="004146F2"/>
    <w:rsid w:val="004146FF"/>
    <w:rsid w:val="00414917"/>
    <w:rsid w:val="004149C0"/>
    <w:rsid w:val="00414E8C"/>
    <w:rsid w:val="00414EB8"/>
    <w:rsid w:val="00414ED0"/>
    <w:rsid w:val="0041527A"/>
    <w:rsid w:val="004153CA"/>
    <w:rsid w:val="00415498"/>
    <w:rsid w:val="00415511"/>
    <w:rsid w:val="00415641"/>
    <w:rsid w:val="00415661"/>
    <w:rsid w:val="00415792"/>
    <w:rsid w:val="00415A10"/>
    <w:rsid w:val="00415A6A"/>
    <w:rsid w:val="00415B17"/>
    <w:rsid w:val="00415B58"/>
    <w:rsid w:val="00415C37"/>
    <w:rsid w:val="00415F65"/>
    <w:rsid w:val="00416024"/>
    <w:rsid w:val="00416069"/>
    <w:rsid w:val="00416070"/>
    <w:rsid w:val="00416258"/>
    <w:rsid w:val="004164D5"/>
    <w:rsid w:val="00416522"/>
    <w:rsid w:val="00416752"/>
    <w:rsid w:val="00416842"/>
    <w:rsid w:val="004168C3"/>
    <w:rsid w:val="00416B00"/>
    <w:rsid w:val="00416BA0"/>
    <w:rsid w:val="00416BD2"/>
    <w:rsid w:val="00416C52"/>
    <w:rsid w:val="00416CE5"/>
    <w:rsid w:val="00416D5B"/>
    <w:rsid w:val="00416DE9"/>
    <w:rsid w:val="00416E4E"/>
    <w:rsid w:val="004171E9"/>
    <w:rsid w:val="00417205"/>
    <w:rsid w:val="00417487"/>
    <w:rsid w:val="004175A7"/>
    <w:rsid w:val="004175DC"/>
    <w:rsid w:val="004176EA"/>
    <w:rsid w:val="00417889"/>
    <w:rsid w:val="004178CF"/>
    <w:rsid w:val="00417A48"/>
    <w:rsid w:val="00417B45"/>
    <w:rsid w:val="00417B77"/>
    <w:rsid w:val="00417BF8"/>
    <w:rsid w:val="00417CB1"/>
    <w:rsid w:val="00417D0B"/>
    <w:rsid w:val="00417D1D"/>
    <w:rsid w:val="00417DD7"/>
    <w:rsid w:val="00417DF1"/>
    <w:rsid w:val="00417F7E"/>
    <w:rsid w:val="0042027C"/>
    <w:rsid w:val="004203A7"/>
    <w:rsid w:val="004203DA"/>
    <w:rsid w:val="004204AF"/>
    <w:rsid w:val="004204C3"/>
    <w:rsid w:val="004204DE"/>
    <w:rsid w:val="00420741"/>
    <w:rsid w:val="00420757"/>
    <w:rsid w:val="00420847"/>
    <w:rsid w:val="004209BC"/>
    <w:rsid w:val="00420BA0"/>
    <w:rsid w:val="00420E7B"/>
    <w:rsid w:val="00420EC0"/>
    <w:rsid w:val="0042118E"/>
    <w:rsid w:val="004212D3"/>
    <w:rsid w:val="0042132B"/>
    <w:rsid w:val="004213B4"/>
    <w:rsid w:val="0042155E"/>
    <w:rsid w:val="004215FB"/>
    <w:rsid w:val="0042161D"/>
    <w:rsid w:val="0042161E"/>
    <w:rsid w:val="004217FE"/>
    <w:rsid w:val="00421915"/>
    <w:rsid w:val="0042193F"/>
    <w:rsid w:val="00421CC7"/>
    <w:rsid w:val="00421D3B"/>
    <w:rsid w:val="00421DC7"/>
    <w:rsid w:val="00421E07"/>
    <w:rsid w:val="00421E26"/>
    <w:rsid w:val="00421EBC"/>
    <w:rsid w:val="00421F6A"/>
    <w:rsid w:val="0042212F"/>
    <w:rsid w:val="004221DA"/>
    <w:rsid w:val="004221E7"/>
    <w:rsid w:val="00422250"/>
    <w:rsid w:val="00422277"/>
    <w:rsid w:val="00422297"/>
    <w:rsid w:val="0042232E"/>
    <w:rsid w:val="0042234C"/>
    <w:rsid w:val="004223B7"/>
    <w:rsid w:val="004223EE"/>
    <w:rsid w:val="00422421"/>
    <w:rsid w:val="00422493"/>
    <w:rsid w:val="00422555"/>
    <w:rsid w:val="0042260B"/>
    <w:rsid w:val="00422935"/>
    <w:rsid w:val="00422B01"/>
    <w:rsid w:val="00422BCD"/>
    <w:rsid w:val="00422D3D"/>
    <w:rsid w:val="00422EC1"/>
    <w:rsid w:val="0042309D"/>
    <w:rsid w:val="004232B0"/>
    <w:rsid w:val="004233E1"/>
    <w:rsid w:val="004234F0"/>
    <w:rsid w:val="00423699"/>
    <w:rsid w:val="00423993"/>
    <w:rsid w:val="00423A29"/>
    <w:rsid w:val="00423B32"/>
    <w:rsid w:val="00423BB1"/>
    <w:rsid w:val="00423C23"/>
    <w:rsid w:val="00423C64"/>
    <w:rsid w:val="00423D8C"/>
    <w:rsid w:val="00423DB2"/>
    <w:rsid w:val="00423F32"/>
    <w:rsid w:val="00423F64"/>
    <w:rsid w:val="00423F71"/>
    <w:rsid w:val="0042410A"/>
    <w:rsid w:val="00424390"/>
    <w:rsid w:val="004243B6"/>
    <w:rsid w:val="004244CF"/>
    <w:rsid w:val="0042459A"/>
    <w:rsid w:val="004246CE"/>
    <w:rsid w:val="00424717"/>
    <w:rsid w:val="00424A26"/>
    <w:rsid w:val="00424B49"/>
    <w:rsid w:val="00424B75"/>
    <w:rsid w:val="00424BE8"/>
    <w:rsid w:val="00424BFF"/>
    <w:rsid w:val="00424C63"/>
    <w:rsid w:val="00424C65"/>
    <w:rsid w:val="00424CB6"/>
    <w:rsid w:val="00424CF5"/>
    <w:rsid w:val="00424E88"/>
    <w:rsid w:val="00424EC0"/>
    <w:rsid w:val="00424F0C"/>
    <w:rsid w:val="00424F7B"/>
    <w:rsid w:val="00424FBA"/>
    <w:rsid w:val="004251F2"/>
    <w:rsid w:val="004252F7"/>
    <w:rsid w:val="00425756"/>
    <w:rsid w:val="0042578F"/>
    <w:rsid w:val="00425791"/>
    <w:rsid w:val="00425815"/>
    <w:rsid w:val="004258F1"/>
    <w:rsid w:val="00425A4E"/>
    <w:rsid w:val="00425AB2"/>
    <w:rsid w:val="00425C5F"/>
    <w:rsid w:val="00425CC3"/>
    <w:rsid w:val="00425DDF"/>
    <w:rsid w:val="00425E7E"/>
    <w:rsid w:val="004260C7"/>
    <w:rsid w:val="00426272"/>
    <w:rsid w:val="00426392"/>
    <w:rsid w:val="004263A6"/>
    <w:rsid w:val="004263DD"/>
    <w:rsid w:val="004263E0"/>
    <w:rsid w:val="00426480"/>
    <w:rsid w:val="00426548"/>
    <w:rsid w:val="00426593"/>
    <w:rsid w:val="004265D4"/>
    <w:rsid w:val="0042660E"/>
    <w:rsid w:val="00426769"/>
    <w:rsid w:val="00426898"/>
    <w:rsid w:val="00426A2A"/>
    <w:rsid w:val="00426A39"/>
    <w:rsid w:val="00426C06"/>
    <w:rsid w:val="00426C11"/>
    <w:rsid w:val="00426C40"/>
    <w:rsid w:val="00426EA3"/>
    <w:rsid w:val="00426EF1"/>
    <w:rsid w:val="00426F0F"/>
    <w:rsid w:val="00426F36"/>
    <w:rsid w:val="0042700F"/>
    <w:rsid w:val="0042717F"/>
    <w:rsid w:val="0042745C"/>
    <w:rsid w:val="00427565"/>
    <w:rsid w:val="00427572"/>
    <w:rsid w:val="00427673"/>
    <w:rsid w:val="00427766"/>
    <w:rsid w:val="004277F8"/>
    <w:rsid w:val="0042792F"/>
    <w:rsid w:val="00427A24"/>
    <w:rsid w:val="00427A65"/>
    <w:rsid w:val="00427B4B"/>
    <w:rsid w:val="00427BEF"/>
    <w:rsid w:val="00427F4D"/>
    <w:rsid w:val="00427FA3"/>
    <w:rsid w:val="0043003E"/>
    <w:rsid w:val="00430090"/>
    <w:rsid w:val="0043010F"/>
    <w:rsid w:val="00430120"/>
    <w:rsid w:val="00430124"/>
    <w:rsid w:val="00430139"/>
    <w:rsid w:val="004301B4"/>
    <w:rsid w:val="00430366"/>
    <w:rsid w:val="004304E4"/>
    <w:rsid w:val="00430623"/>
    <w:rsid w:val="0043070B"/>
    <w:rsid w:val="0043075C"/>
    <w:rsid w:val="00430808"/>
    <w:rsid w:val="004308BE"/>
    <w:rsid w:val="00430B4B"/>
    <w:rsid w:val="00430B5D"/>
    <w:rsid w:val="00430C0A"/>
    <w:rsid w:val="00430F37"/>
    <w:rsid w:val="00430F84"/>
    <w:rsid w:val="00431037"/>
    <w:rsid w:val="004310AB"/>
    <w:rsid w:val="00431151"/>
    <w:rsid w:val="004312B3"/>
    <w:rsid w:val="004312BD"/>
    <w:rsid w:val="00431340"/>
    <w:rsid w:val="004313B0"/>
    <w:rsid w:val="004313F9"/>
    <w:rsid w:val="00431501"/>
    <w:rsid w:val="004315AB"/>
    <w:rsid w:val="004316D8"/>
    <w:rsid w:val="004316EA"/>
    <w:rsid w:val="00431913"/>
    <w:rsid w:val="004319DD"/>
    <w:rsid w:val="00431B5A"/>
    <w:rsid w:val="00431B6F"/>
    <w:rsid w:val="00431CF2"/>
    <w:rsid w:val="00431DC0"/>
    <w:rsid w:val="00431DCB"/>
    <w:rsid w:val="00431E50"/>
    <w:rsid w:val="00431ECC"/>
    <w:rsid w:val="004321F7"/>
    <w:rsid w:val="0043252B"/>
    <w:rsid w:val="004326DE"/>
    <w:rsid w:val="004327F1"/>
    <w:rsid w:val="0043293E"/>
    <w:rsid w:val="00432AB7"/>
    <w:rsid w:val="00432E3B"/>
    <w:rsid w:val="0043303C"/>
    <w:rsid w:val="004330D7"/>
    <w:rsid w:val="004331FE"/>
    <w:rsid w:val="00433386"/>
    <w:rsid w:val="00433392"/>
    <w:rsid w:val="0043339C"/>
    <w:rsid w:val="004333D1"/>
    <w:rsid w:val="004334E2"/>
    <w:rsid w:val="0043391E"/>
    <w:rsid w:val="00433CFC"/>
    <w:rsid w:val="00433D5A"/>
    <w:rsid w:val="00433EFB"/>
    <w:rsid w:val="00433F42"/>
    <w:rsid w:val="00434073"/>
    <w:rsid w:val="004340D7"/>
    <w:rsid w:val="004340F7"/>
    <w:rsid w:val="0043422A"/>
    <w:rsid w:val="004343E4"/>
    <w:rsid w:val="004344E5"/>
    <w:rsid w:val="004345AB"/>
    <w:rsid w:val="0043482F"/>
    <w:rsid w:val="00434AC9"/>
    <w:rsid w:val="00434D6B"/>
    <w:rsid w:val="00434D7C"/>
    <w:rsid w:val="00434E47"/>
    <w:rsid w:val="00434F1B"/>
    <w:rsid w:val="00434F55"/>
    <w:rsid w:val="00435133"/>
    <w:rsid w:val="00435280"/>
    <w:rsid w:val="00435291"/>
    <w:rsid w:val="004352C8"/>
    <w:rsid w:val="00435490"/>
    <w:rsid w:val="00435542"/>
    <w:rsid w:val="0043558F"/>
    <w:rsid w:val="00435607"/>
    <w:rsid w:val="0043561D"/>
    <w:rsid w:val="004356AD"/>
    <w:rsid w:val="0043594F"/>
    <w:rsid w:val="00435C6B"/>
    <w:rsid w:val="00435C80"/>
    <w:rsid w:val="00435C9E"/>
    <w:rsid w:val="00435CBF"/>
    <w:rsid w:val="00435DE7"/>
    <w:rsid w:val="00435EC3"/>
    <w:rsid w:val="00435EE1"/>
    <w:rsid w:val="00435EEB"/>
    <w:rsid w:val="004361A7"/>
    <w:rsid w:val="00436220"/>
    <w:rsid w:val="00436275"/>
    <w:rsid w:val="00436377"/>
    <w:rsid w:val="00436455"/>
    <w:rsid w:val="004367A4"/>
    <w:rsid w:val="00436882"/>
    <w:rsid w:val="004368B7"/>
    <w:rsid w:val="004369E4"/>
    <w:rsid w:val="00436A0A"/>
    <w:rsid w:val="00436B92"/>
    <w:rsid w:val="00436BC0"/>
    <w:rsid w:val="00436CA6"/>
    <w:rsid w:val="00436E13"/>
    <w:rsid w:val="00436E9E"/>
    <w:rsid w:val="00437214"/>
    <w:rsid w:val="00437278"/>
    <w:rsid w:val="004374D1"/>
    <w:rsid w:val="0043786C"/>
    <w:rsid w:val="0043793F"/>
    <w:rsid w:val="004379DE"/>
    <w:rsid w:val="00437B59"/>
    <w:rsid w:val="00437E4F"/>
    <w:rsid w:val="00437FC1"/>
    <w:rsid w:val="0044004F"/>
    <w:rsid w:val="0044021F"/>
    <w:rsid w:val="00440285"/>
    <w:rsid w:val="0044045E"/>
    <w:rsid w:val="00440661"/>
    <w:rsid w:val="00440681"/>
    <w:rsid w:val="004408E8"/>
    <w:rsid w:val="00440DA9"/>
    <w:rsid w:val="00440DCE"/>
    <w:rsid w:val="00441189"/>
    <w:rsid w:val="004414B7"/>
    <w:rsid w:val="004414BB"/>
    <w:rsid w:val="00441516"/>
    <w:rsid w:val="0044156A"/>
    <w:rsid w:val="004415BA"/>
    <w:rsid w:val="00441795"/>
    <w:rsid w:val="0044195E"/>
    <w:rsid w:val="00441989"/>
    <w:rsid w:val="00441A67"/>
    <w:rsid w:val="00441AD4"/>
    <w:rsid w:val="00441B47"/>
    <w:rsid w:val="00441B4C"/>
    <w:rsid w:val="00441E46"/>
    <w:rsid w:val="00441E59"/>
    <w:rsid w:val="00441E71"/>
    <w:rsid w:val="00442051"/>
    <w:rsid w:val="004420AB"/>
    <w:rsid w:val="0044211B"/>
    <w:rsid w:val="0044229A"/>
    <w:rsid w:val="00442477"/>
    <w:rsid w:val="004425F7"/>
    <w:rsid w:val="004425FA"/>
    <w:rsid w:val="00442644"/>
    <w:rsid w:val="00442765"/>
    <w:rsid w:val="00442775"/>
    <w:rsid w:val="00442810"/>
    <w:rsid w:val="00442B33"/>
    <w:rsid w:val="00442BA0"/>
    <w:rsid w:val="00442D07"/>
    <w:rsid w:val="00442D1D"/>
    <w:rsid w:val="00442E32"/>
    <w:rsid w:val="00442EA9"/>
    <w:rsid w:val="00442F61"/>
    <w:rsid w:val="00443052"/>
    <w:rsid w:val="004431F7"/>
    <w:rsid w:val="00443248"/>
    <w:rsid w:val="004432FF"/>
    <w:rsid w:val="00443447"/>
    <w:rsid w:val="00443453"/>
    <w:rsid w:val="004436AC"/>
    <w:rsid w:val="00443755"/>
    <w:rsid w:val="00443994"/>
    <w:rsid w:val="004439F6"/>
    <w:rsid w:val="00443B02"/>
    <w:rsid w:val="00443B76"/>
    <w:rsid w:val="00443D43"/>
    <w:rsid w:val="00443DD5"/>
    <w:rsid w:val="00443DF9"/>
    <w:rsid w:val="00443FE4"/>
    <w:rsid w:val="00444003"/>
    <w:rsid w:val="00444603"/>
    <w:rsid w:val="0044472F"/>
    <w:rsid w:val="0044478E"/>
    <w:rsid w:val="004447D5"/>
    <w:rsid w:val="004447DC"/>
    <w:rsid w:val="004449C1"/>
    <w:rsid w:val="00444ACD"/>
    <w:rsid w:val="00444B22"/>
    <w:rsid w:val="00444BEA"/>
    <w:rsid w:val="00444C21"/>
    <w:rsid w:val="00444EDB"/>
    <w:rsid w:val="00444F64"/>
    <w:rsid w:val="00444F9B"/>
    <w:rsid w:val="0044507A"/>
    <w:rsid w:val="004452B3"/>
    <w:rsid w:val="004453BE"/>
    <w:rsid w:val="00445423"/>
    <w:rsid w:val="00445470"/>
    <w:rsid w:val="004454D5"/>
    <w:rsid w:val="00445516"/>
    <w:rsid w:val="00445577"/>
    <w:rsid w:val="0044566C"/>
    <w:rsid w:val="004457C8"/>
    <w:rsid w:val="004458C2"/>
    <w:rsid w:val="00445A7D"/>
    <w:rsid w:val="00445CFA"/>
    <w:rsid w:val="00445D84"/>
    <w:rsid w:val="0044617E"/>
    <w:rsid w:val="004461FF"/>
    <w:rsid w:val="00446269"/>
    <w:rsid w:val="0044639E"/>
    <w:rsid w:val="0044658E"/>
    <w:rsid w:val="00446847"/>
    <w:rsid w:val="004468FE"/>
    <w:rsid w:val="00446957"/>
    <w:rsid w:val="00446A10"/>
    <w:rsid w:val="00446A36"/>
    <w:rsid w:val="00446A9C"/>
    <w:rsid w:val="00446B18"/>
    <w:rsid w:val="00446BC7"/>
    <w:rsid w:val="00446EC6"/>
    <w:rsid w:val="00446FDC"/>
    <w:rsid w:val="004470AC"/>
    <w:rsid w:val="0044730C"/>
    <w:rsid w:val="004473D6"/>
    <w:rsid w:val="004475CC"/>
    <w:rsid w:val="0044765D"/>
    <w:rsid w:val="004476F8"/>
    <w:rsid w:val="0044774E"/>
    <w:rsid w:val="00447806"/>
    <w:rsid w:val="00447808"/>
    <w:rsid w:val="0044782E"/>
    <w:rsid w:val="00447B76"/>
    <w:rsid w:val="00447CFD"/>
    <w:rsid w:val="00447DD4"/>
    <w:rsid w:val="00447EED"/>
    <w:rsid w:val="00447F16"/>
    <w:rsid w:val="0045030D"/>
    <w:rsid w:val="00450346"/>
    <w:rsid w:val="004503D0"/>
    <w:rsid w:val="0045046D"/>
    <w:rsid w:val="004505CA"/>
    <w:rsid w:val="004507B1"/>
    <w:rsid w:val="0045085B"/>
    <w:rsid w:val="00450923"/>
    <w:rsid w:val="00450A96"/>
    <w:rsid w:val="00450B0F"/>
    <w:rsid w:val="00450B2D"/>
    <w:rsid w:val="00450CCA"/>
    <w:rsid w:val="004510E4"/>
    <w:rsid w:val="00451146"/>
    <w:rsid w:val="00451183"/>
    <w:rsid w:val="0045123E"/>
    <w:rsid w:val="004512AF"/>
    <w:rsid w:val="00451383"/>
    <w:rsid w:val="004513A2"/>
    <w:rsid w:val="00451454"/>
    <w:rsid w:val="00451506"/>
    <w:rsid w:val="00451507"/>
    <w:rsid w:val="00451659"/>
    <w:rsid w:val="0045172D"/>
    <w:rsid w:val="0045194F"/>
    <w:rsid w:val="0045198F"/>
    <w:rsid w:val="00451A63"/>
    <w:rsid w:val="00451A8A"/>
    <w:rsid w:val="00451B2C"/>
    <w:rsid w:val="00451DB9"/>
    <w:rsid w:val="00451EAE"/>
    <w:rsid w:val="00451EFE"/>
    <w:rsid w:val="0045201E"/>
    <w:rsid w:val="0045212B"/>
    <w:rsid w:val="004521F0"/>
    <w:rsid w:val="0045232B"/>
    <w:rsid w:val="00452349"/>
    <w:rsid w:val="004525CC"/>
    <w:rsid w:val="0045296A"/>
    <w:rsid w:val="00452A43"/>
    <w:rsid w:val="00452A89"/>
    <w:rsid w:val="00452AF5"/>
    <w:rsid w:val="00452BF9"/>
    <w:rsid w:val="00452ECC"/>
    <w:rsid w:val="004532B4"/>
    <w:rsid w:val="00453372"/>
    <w:rsid w:val="0045340D"/>
    <w:rsid w:val="004536F0"/>
    <w:rsid w:val="004537C9"/>
    <w:rsid w:val="004538CC"/>
    <w:rsid w:val="00453B2C"/>
    <w:rsid w:val="00453B2F"/>
    <w:rsid w:val="00453C29"/>
    <w:rsid w:val="00453DA1"/>
    <w:rsid w:val="00453F4A"/>
    <w:rsid w:val="0045412B"/>
    <w:rsid w:val="0045417D"/>
    <w:rsid w:val="004543BE"/>
    <w:rsid w:val="00454504"/>
    <w:rsid w:val="004545AC"/>
    <w:rsid w:val="00454689"/>
    <w:rsid w:val="004546C4"/>
    <w:rsid w:val="0045484A"/>
    <w:rsid w:val="00454852"/>
    <w:rsid w:val="00454927"/>
    <w:rsid w:val="00454956"/>
    <w:rsid w:val="0045497A"/>
    <w:rsid w:val="00454B57"/>
    <w:rsid w:val="00454CCE"/>
    <w:rsid w:val="00454D32"/>
    <w:rsid w:val="00455011"/>
    <w:rsid w:val="00455061"/>
    <w:rsid w:val="004550CE"/>
    <w:rsid w:val="0045532F"/>
    <w:rsid w:val="004553F9"/>
    <w:rsid w:val="00455488"/>
    <w:rsid w:val="004554BE"/>
    <w:rsid w:val="004554DC"/>
    <w:rsid w:val="00455564"/>
    <w:rsid w:val="00455669"/>
    <w:rsid w:val="00455680"/>
    <w:rsid w:val="0045576A"/>
    <w:rsid w:val="00455B09"/>
    <w:rsid w:val="00455B64"/>
    <w:rsid w:val="00455DC8"/>
    <w:rsid w:val="00455F22"/>
    <w:rsid w:val="00455F40"/>
    <w:rsid w:val="0045621C"/>
    <w:rsid w:val="00456598"/>
    <w:rsid w:val="00456686"/>
    <w:rsid w:val="0045678C"/>
    <w:rsid w:val="0045696F"/>
    <w:rsid w:val="004569AD"/>
    <w:rsid w:val="00456BB6"/>
    <w:rsid w:val="00456E58"/>
    <w:rsid w:val="00456F15"/>
    <w:rsid w:val="00457000"/>
    <w:rsid w:val="00457189"/>
    <w:rsid w:val="00457281"/>
    <w:rsid w:val="004577DB"/>
    <w:rsid w:val="00457829"/>
    <w:rsid w:val="004578C8"/>
    <w:rsid w:val="004578D0"/>
    <w:rsid w:val="00457933"/>
    <w:rsid w:val="00457956"/>
    <w:rsid w:val="00457988"/>
    <w:rsid w:val="004579C7"/>
    <w:rsid w:val="00457A1F"/>
    <w:rsid w:val="00457AF1"/>
    <w:rsid w:val="00457B93"/>
    <w:rsid w:val="00457C0B"/>
    <w:rsid w:val="00457EB1"/>
    <w:rsid w:val="0046004D"/>
    <w:rsid w:val="00460070"/>
    <w:rsid w:val="004600DE"/>
    <w:rsid w:val="00460216"/>
    <w:rsid w:val="00460291"/>
    <w:rsid w:val="004602C8"/>
    <w:rsid w:val="0046037D"/>
    <w:rsid w:val="004603CA"/>
    <w:rsid w:val="004604FA"/>
    <w:rsid w:val="00460602"/>
    <w:rsid w:val="00460741"/>
    <w:rsid w:val="004607A6"/>
    <w:rsid w:val="004607B5"/>
    <w:rsid w:val="004609C7"/>
    <w:rsid w:val="00460C17"/>
    <w:rsid w:val="00460E5F"/>
    <w:rsid w:val="00461036"/>
    <w:rsid w:val="004610AB"/>
    <w:rsid w:val="004611E5"/>
    <w:rsid w:val="0046120D"/>
    <w:rsid w:val="00461237"/>
    <w:rsid w:val="0046125A"/>
    <w:rsid w:val="004613D6"/>
    <w:rsid w:val="00461415"/>
    <w:rsid w:val="0046175A"/>
    <w:rsid w:val="00461B17"/>
    <w:rsid w:val="00461C76"/>
    <w:rsid w:val="00461F77"/>
    <w:rsid w:val="00461FB8"/>
    <w:rsid w:val="004620F7"/>
    <w:rsid w:val="00462400"/>
    <w:rsid w:val="004624B2"/>
    <w:rsid w:val="0046263F"/>
    <w:rsid w:val="004627A8"/>
    <w:rsid w:val="004627B2"/>
    <w:rsid w:val="004627DD"/>
    <w:rsid w:val="00462886"/>
    <w:rsid w:val="004628E2"/>
    <w:rsid w:val="004629D6"/>
    <w:rsid w:val="00462B34"/>
    <w:rsid w:val="00462BFE"/>
    <w:rsid w:val="00462DA0"/>
    <w:rsid w:val="00462EA7"/>
    <w:rsid w:val="00462F49"/>
    <w:rsid w:val="004630E0"/>
    <w:rsid w:val="00463275"/>
    <w:rsid w:val="004632D4"/>
    <w:rsid w:val="0046337B"/>
    <w:rsid w:val="004633E7"/>
    <w:rsid w:val="004634BC"/>
    <w:rsid w:val="004634D9"/>
    <w:rsid w:val="004634F4"/>
    <w:rsid w:val="0046356C"/>
    <w:rsid w:val="004636D8"/>
    <w:rsid w:val="004636EA"/>
    <w:rsid w:val="004639F7"/>
    <w:rsid w:val="00463A24"/>
    <w:rsid w:val="00463D83"/>
    <w:rsid w:val="00463FC9"/>
    <w:rsid w:val="0046416A"/>
    <w:rsid w:val="0046464D"/>
    <w:rsid w:val="004647D8"/>
    <w:rsid w:val="004648C5"/>
    <w:rsid w:val="00464BA8"/>
    <w:rsid w:val="00464C9F"/>
    <w:rsid w:val="00464D0E"/>
    <w:rsid w:val="0046508F"/>
    <w:rsid w:val="00465258"/>
    <w:rsid w:val="0046531D"/>
    <w:rsid w:val="00465370"/>
    <w:rsid w:val="00465533"/>
    <w:rsid w:val="00465650"/>
    <w:rsid w:val="00465658"/>
    <w:rsid w:val="004657C3"/>
    <w:rsid w:val="004659A3"/>
    <w:rsid w:val="004659FE"/>
    <w:rsid w:val="00465A83"/>
    <w:rsid w:val="00466027"/>
    <w:rsid w:val="00466059"/>
    <w:rsid w:val="00466089"/>
    <w:rsid w:val="00466253"/>
    <w:rsid w:val="004662E6"/>
    <w:rsid w:val="0046630D"/>
    <w:rsid w:val="004663B2"/>
    <w:rsid w:val="004664C3"/>
    <w:rsid w:val="0046657B"/>
    <w:rsid w:val="00466692"/>
    <w:rsid w:val="0046677B"/>
    <w:rsid w:val="00466808"/>
    <w:rsid w:val="00466B7D"/>
    <w:rsid w:val="00466E76"/>
    <w:rsid w:val="00466EFE"/>
    <w:rsid w:val="00466FAC"/>
    <w:rsid w:val="00466FB8"/>
    <w:rsid w:val="0046713F"/>
    <w:rsid w:val="004672FB"/>
    <w:rsid w:val="00467379"/>
    <w:rsid w:val="0046753C"/>
    <w:rsid w:val="0046759E"/>
    <w:rsid w:val="00467793"/>
    <w:rsid w:val="004677AA"/>
    <w:rsid w:val="004678A4"/>
    <w:rsid w:val="00467AF4"/>
    <w:rsid w:val="00467C68"/>
    <w:rsid w:val="00467CC9"/>
    <w:rsid w:val="00467D33"/>
    <w:rsid w:val="00467DAE"/>
    <w:rsid w:val="00467E3A"/>
    <w:rsid w:val="00467E84"/>
    <w:rsid w:val="00467F7F"/>
    <w:rsid w:val="00467F9D"/>
    <w:rsid w:val="00467FC4"/>
    <w:rsid w:val="0046B0D8"/>
    <w:rsid w:val="0046B104"/>
    <w:rsid w:val="004700D0"/>
    <w:rsid w:val="00470267"/>
    <w:rsid w:val="0047030F"/>
    <w:rsid w:val="004703CD"/>
    <w:rsid w:val="00470440"/>
    <w:rsid w:val="00470447"/>
    <w:rsid w:val="0047046A"/>
    <w:rsid w:val="00470550"/>
    <w:rsid w:val="00470636"/>
    <w:rsid w:val="004706BF"/>
    <w:rsid w:val="00470BA7"/>
    <w:rsid w:val="00470C34"/>
    <w:rsid w:val="00470D2B"/>
    <w:rsid w:val="00470EBF"/>
    <w:rsid w:val="00471456"/>
    <w:rsid w:val="004715A5"/>
    <w:rsid w:val="0047174D"/>
    <w:rsid w:val="004717E5"/>
    <w:rsid w:val="004717E9"/>
    <w:rsid w:val="0047189B"/>
    <w:rsid w:val="004719B3"/>
    <w:rsid w:val="00471A2A"/>
    <w:rsid w:val="00471A70"/>
    <w:rsid w:val="00471A94"/>
    <w:rsid w:val="00471B55"/>
    <w:rsid w:val="00471B56"/>
    <w:rsid w:val="00471B9F"/>
    <w:rsid w:val="00471BF0"/>
    <w:rsid w:val="00471C4B"/>
    <w:rsid w:val="00471E74"/>
    <w:rsid w:val="00471FEA"/>
    <w:rsid w:val="00472040"/>
    <w:rsid w:val="00472249"/>
    <w:rsid w:val="0047229B"/>
    <w:rsid w:val="004722D3"/>
    <w:rsid w:val="004724B7"/>
    <w:rsid w:val="004727DE"/>
    <w:rsid w:val="004728E9"/>
    <w:rsid w:val="004729E7"/>
    <w:rsid w:val="00472AEE"/>
    <w:rsid w:val="00472B26"/>
    <w:rsid w:val="00472C34"/>
    <w:rsid w:val="00472DA2"/>
    <w:rsid w:val="00472E46"/>
    <w:rsid w:val="004730E7"/>
    <w:rsid w:val="004731E7"/>
    <w:rsid w:val="0047334B"/>
    <w:rsid w:val="0047342A"/>
    <w:rsid w:val="00473560"/>
    <w:rsid w:val="004735B8"/>
    <w:rsid w:val="004735D2"/>
    <w:rsid w:val="00473694"/>
    <w:rsid w:val="00473961"/>
    <w:rsid w:val="00473A90"/>
    <w:rsid w:val="00473C6E"/>
    <w:rsid w:val="00473C8C"/>
    <w:rsid w:val="00473D07"/>
    <w:rsid w:val="00473DCD"/>
    <w:rsid w:val="00473DFD"/>
    <w:rsid w:val="00473FA8"/>
    <w:rsid w:val="00474066"/>
    <w:rsid w:val="00474100"/>
    <w:rsid w:val="0047437E"/>
    <w:rsid w:val="004743E2"/>
    <w:rsid w:val="00474450"/>
    <w:rsid w:val="004744E0"/>
    <w:rsid w:val="004744FD"/>
    <w:rsid w:val="004745F1"/>
    <w:rsid w:val="00474671"/>
    <w:rsid w:val="004748DA"/>
    <w:rsid w:val="004749FF"/>
    <w:rsid w:val="00474FF6"/>
    <w:rsid w:val="00474FFB"/>
    <w:rsid w:val="00475004"/>
    <w:rsid w:val="00475226"/>
    <w:rsid w:val="00475534"/>
    <w:rsid w:val="004755C9"/>
    <w:rsid w:val="0047561F"/>
    <w:rsid w:val="004757DA"/>
    <w:rsid w:val="0047584A"/>
    <w:rsid w:val="004758C0"/>
    <w:rsid w:val="004759A0"/>
    <w:rsid w:val="00475C7E"/>
    <w:rsid w:val="00475C92"/>
    <w:rsid w:val="00475D8D"/>
    <w:rsid w:val="00475E15"/>
    <w:rsid w:val="00475E77"/>
    <w:rsid w:val="00475E93"/>
    <w:rsid w:val="00475FFC"/>
    <w:rsid w:val="004762DA"/>
    <w:rsid w:val="00476382"/>
    <w:rsid w:val="004765A1"/>
    <w:rsid w:val="00476854"/>
    <w:rsid w:val="004768F6"/>
    <w:rsid w:val="00476ABC"/>
    <w:rsid w:val="00476BA9"/>
    <w:rsid w:val="00476FDA"/>
    <w:rsid w:val="0047710B"/>
    <w:rsid w:val="004772DC"/>
    <w:rsid w:val="00477568"/>
    <w:rsid w:val="00477630"/>
    <w:rsid w:val="004778B1"/>
    <w:rsid w:val="00477A25"/>
    <w:rsid w:val="00477BDD"/>
    <w:rsid w:val="00477BF4"/>
    <w:rsid w:val="00477CB3"/>
    <w:rsid w:val="00477D0B"/>
    <w:rsid w:val="004800B0"/>
    <w:rsid w:val="00480166"/>
    <w:rsid w:val="004801FD"/>
    <w:rsid w:val="0048039B"/>
    <w:rsid w:val="004803F6"/>
    <w:rsid w:val="004805D6"/>
    <w:rsid w:val="00480605"/>
    <w:rsid w:val="00480683"/>
    <w:rsid w:val="00480768"/>
    <w:rsid w:val="00480940"/>
    <w:rsid w:val="004809BC"/>
    <w:rsid w:val="00480A42"/>
    <w:rsid w:val="00480B8E"/>
    <w:rsid w:val="00480D0D"/>
    <w:rsid w:val="00480E59"/>
    <w:rsid w:val="00480EF0"/>
    <w:rsid w:val="00480FA3"/>
    <w:rsid w:val="0048119D"/>
    <w:rsid w:val="0048131C"/>
    <w:rsid w:val="00481329"/>
    <w:rsid w:val="00481442"/>
    <w:rsid w:val="00481582"/>
    <w:rsid w:val="004815BF"/>
    <w:rsid w:val="0048162C"/>
    <w:rsid w:val="004816E2"/>
    <w:rsid w:val="004817EB"/>
    <w:rsid w:val="004818CF"/>
    <w:rsid w:val="00481A6B"/>
    <w:rsid w:val="00481BB7"/>
    <w:rsid w:val="00481D3E"/>
    <w:rsid w:val="00481F0C"/>
    <w:rsid w:val="00481F19"/>
    <w:rsid w:val="00482133"/>
    <w:rsid w:val="004822E1"/>
    <w:rsid w:val="0048233D"/>
    <w:rsid w:val="004825C2"/>
    <w:rsid w:val="004825CB"/>
    <w:rsid w:val="0048261B"/>
    <w:rsid w:val="00482646"/>
    <w:rsid w:val="00482692"/>
    <w:rsid w:val="0048283E"/>
    <w:rsid w:val="004828F4"/>
    <w:rsid w:val="00482A58"/>
    <w:rsid w:val="00482BAF"/>
    <w:rsid w:val="00482D0F"/>
    <w:rsid w:val="00482D72"/>
    <w:rsid w:val="00482E26"/>
    <w:rsid w:val="00482FAF"/>
    <w:rsid w:val="00483146"/>
    <w:rsid w:val="00483208"/>
    <w:rsid w:val="00483214"/>
    <w:rsid w:val="004834A8"/>
    <w:rsid w:val="004835D0"/>
    <w:rsid w:val="004837A2"/>
    <w:rsid w:val="00483851"/>
    <w:rsid w:val="004838FF"/>
    <w:rsid w:val="00483AF7"/>
    <w:rsid w:val="00483B95"/>
    <w:rsid w:val="00483C56"/>
    <w:rsid w:val="00483D9F"/>
    <w:rsid w:val="004840DF"/>
    <w:rsid w:val="0048416F"/>
    <w:rsid w:val="004841C1"/>
    <w:rsid w:val="004841D0"/>
    <w:rsid w:val="0048451C"/>
    <w:rsid w:val="0048456E"/>
    <w:rsid w:val="00484588"/>
    <w:rsid w:val="00484626"/>
    <w:rsid w:val="0048473A"/>
    <w:rsid w:val="0048477E"/>
    <w:rsid w:val="00484C29"/>
    <w:rsid w:val="00484C32"/>
    <w:rsid w:val="00484C8A"/>
    <w:rsid w:val="00484D0A"/>
    <w:rsid w:val="00484D1A"/>
    <w:rsid w:val="00484F5B"/>
    <w:rsid w:val="004852A1"/>
    <w:rsid w:val="00485338"/>
    <w:rsid w:val="004853E8"/>
    <w:rsid w:val="00485488"/>
    <w:rsid w:val="00485493"/>
    <w:rsid w:val="004854AF"/>
    <w:rsid w:val="00485590"/>
    <w:rsid w:val="004855EC"/>
    <w:rsid w:val="0048568B"/>
    <w:rsid w:val="00485782"/>
    <w:rsid w:val="0048581F"/>
    <w:rsid w:val="0048585A"/>
    <w:rsid w:val="004858A8"/>
    <w:rsid w:val="00485E1B"/>
    <w:rsid w:val="00485FAA"/>
    <w:rsid w:val="00486153"/>
    <w:rsid w:val="00486275"/>
    <w:rsid w:val="004862B1"/>
    <w:rsid w:val="00486328"/>
    <w:rsid w:val="00486364"/>
    <w:rsid w:val="00486573"/>
    <w:rsid w:val="0048657E"/>
    <w:rsid w:val="004865AC"/>
    <w:rsid w:val="00486665"/>
    <w:rsid w:val="00486897"/>
    <w:rsid w:val="004868E2"/>
    <w:rsid w:val="00486967"/>
    <w:rsid w:val="0048699E"/>
    <w:rsid w:val="004869D9"/>
    <w:rsid w:val="00486DC4"/>
    <w:rsid w:val="00486DDA"/>
    <w:rsid w:val="004870AF"/>
    <w:rsid w:val="004871A6"/>
    <w:rsid w:val="00487371"/>
    <w:rsid w:val="004877C2"/>
    <w:rsid w:val="00487A9F"/>
    <w:rsid w:val="00487C0A"/>
    <w:rsid w:val="00487E92"/>
    <w:rsid w:val="00487F63"/>
    <w:rsid w:val="00487F71"/>
    <w:rsid w:val="004900A1"/>
    <w:rsid w:val="004902EA"/>
    <w:rsid w:val="00490431"/>
    <w:rsid w:val="00490498"/>
    <w:rsid w:val="00490548"/>
    <w:rsid w:val="004908B6"/>
    <w:rsid w:val="004908E7"/>
    <w:rsid w:val="00490A56"/>
    <w:rsid w:val="00490AE1"/>
    <w:rsid w:val="00490BC8"/>
    <w:rsid w:val="00490BE2"/>
    <w:rsid w:val="00490C9A"/>
    <w:rsid w:val="00490CAF"/>
    <w:rsid w:val="00490CB1"/>
    <w:rsid w:val="00490CB8"/>
    <w:rsid w:val="00490D2B"/>
    <w:rsid w:val="00490EE0"/>
    <w:rsid w:val="00491515"/>
    <w:rsid w:val="004917AB"/>
    <w:rsid w:val="00491989"/>
    <w:rsid w:val="004919B8"/>
    <w:rsid w:val="00491A06"/>
    <w:rsid w:val="00491B67"/>
    <w:rsid w:val="00491B74"/>
    <w:rsid w:val="00491C1A"/>
    <w:rsid w:val="00491C66"/>
    <w:rsid w:val="00491FA5"/>
    <w:rsid w:val="00492121"/>
    <w:rsid w:val="00492203"/>
    <w:rsid w:val="0049228D"/>
    <w:rsid w:val="004923C0"/>
    <w:rsid w:val="004923CE"/>
    <w:rsid w:val="00492535"/>
    <w:rsid w:val="004925BE"/>
    <w:rsid w:val="00492673"/>
    <w:rsid w:val="004927AB"/>
    <w:rsid w:val="004927C7"/>
    <w:rsid w:val="00492995"/>
    <w:rsid w:val="00492AB3"/>
    <w:rsid w:val="00492B04"/>
    <w:rsid w:val="00492B96"/>
    <w:rsid w:val="00492BB5"/>
    <w:rsid w:val="00492C0E"/>
    <w:rsid w:val="00492DC3"/>
    <w:rsid w:val="00492DCD"/>
    <w:rsid w:val="00492EDA"/>
    <w:rsid w:val="00492F7C"/>
    <w:rsid w:val="00492FC5"/>
    <w:rsid w:val="00493163"/>
    <w:rsid w:val="00493196"/>
    <w:rsid w:val="00493387"/>
    <w:rsid w:val="00493606"/>
    <w:rsid w:val="00493786"/>
    <w:rsid w:val="004938B6"/>
    <w:rsid w:val="004938DF"/>
    <w:rsid w:val="00493A85"/>
    <w:rsid w:val="00493C78"/>
    <w:rsid w:val="00493CC5"/>
    <w:rsid w:val="00493E98"/>
    <w:rsid w:val="00493F09"/>
    <w:rsid w:val="00493F8B"/>
    <w:rsid w:val="00494573"/>
    <w:rsid w:val="004945FC"/>
    <w:rsid w:val="004947F2"/>
    <w:rsid w:val="00494894"/>
    <w:rsid w:val="00494DED"/>
    <w:rsid w:val="00494E92"/>
    <w:rsid w:val="00494FF0"/>
    <w:rsid w:val="004950E9"/>
    <w:rsid w:val="0049517D"/>
    <w:rsid w:val="00495380"/>
    <w:rsid w:val="004953E6"/>
    <w:rsid w:val="0049541F"/>
    <w:rsid w:val="0049563E"/>
    <w:rsid w:val="0049570C"/>
    <w:rsid w:val="00495B07"/>
    <w:rsid w:val="00495C17"/>
    <w:rsid w:val="004960D4"/>
    <w:rsid w:val="0049610C"/>
    <w:rsid w:val="0049613D"/>
    <w:rsid w:val="00496257"/>
    <w:rsid w:val="0049626A"/>
    <w:rsid w:val="004962A1"/>
    <w:rsid w:val="004963C7"/>
    <w:rsid w:val="004964DD"/>
    <w:rsid w:val="004964E4"/>
    <w:rsid w:val="0049676B"/>
    <w:rsid w:val="00496836"/>
    <w:rsid w:val="0049683A"/>
    <w:rsid w:val="00496995"/>
    <w:rsid w:val="004969EA"/>
    <w:rsid w:val="00496BF4"/>
    <w:rsid w:val="00496D0D"/>
    <w:rsid w:val="00496D34"/>
    <w:rsid w:val="00496E5B"/>
    <w:rsid w:val="00496EA6"/>
    <w:rsid w:val="00496F61"/>
    <w:rsid w:val="004972C9"/>
    <w:rsid w:val="004974AA"/>
    <w:rsid w:val="004979CB"/>
    <w:rsid w:val="00497CE0"/>
    <w:rsid w:val="00497E2B"/>
    <w:rsid w:val="004A0226"/>
    <w:rsid w:val="004A043B"/>
    <w:rsid w:val="004A0598"/>
    <w:rsid w:val="004A077D"/>
    <w:rsid w:val="004A0866"/>
    <w:rsid w:val="004A0902"/>
    <w:rsid w:val="004A0AD8"/>
    <w:rsid w:val="004A0B9D"/>
    <w:rsid w:val="004A0CD4"/>
    <w:rsid w:val="004A0DA5"/>
    <w:rsid w:val="004A0EAF"/>
    <w:rsid w:val="004A0EF6"/>
    <w:rsid w:val="004A1464"/>
    <w:rsid w:val="004A1917"/>
    <w:rsid w:val="004A1A01"/>
    <w:rsid w:val="004A1AA7"/>
    <w:rsid w:val="004A1B4F"/>
    <w:rsid w:val="004A1BE6"/>
    <w:rsid w:val="004A1E66"/>
    <w:rsid w:val="004A2086"/>
    <w:rsid w:val="004A20B4"/>
    <w:rsid w:val="004A2127"/>
    <w:rsid w:val="004A21A2"/>
    <w:rsid w:val="004A239C"/>
    <w:rsid w:val="004A2411"/>
    <w:rsid w:val="004A242D"/>
    <w:rsid w:val="004A2449"/>
    <w:rsid w:val="004A2503"/>
    <w:rsid w:val="004A25F0"/>
    <w:rsid w:val="004A2735"/>
    <w:rsid w:val="004A276D"/>
    <w:rsid w:val="004A28AA"/>
    <w:rsid w:val="004A29A8"/>
    <w:rsid w:val="004A2AA5"/>
    <w:rsid w:val="004A2AF8"/>
    <w:rsid w:val="004A2B31"/>
    <w:rsid w:val="004A2C8E"/>
    <w:rsid w:val="004A2D79"/>
    <w:rsid w:val="004A303F"/>
    <w:rsid w:val="004A30D8"/>
    <w:rsid w:val="004A3129"/>
    <w:rsid w:val="004A333C"/>
    <w:rsid w:val="004A348F"/>
    <w:rsid w:val="004A35A8"/>
    <w:rsid w:val="004A375D"/>
    <w:rsid w:val="004A391B"/>
    <w:rsid w:val="004A3BA2"/>
    <w:rsid w:val="004A3C63"/>
    <w:rsid w:val="004A41FE"/>
    <w:rsid w:val="004A42F9"/>
    <w:rsid w:val="004A43D7"/>
    <w:rsid w:val="004A4551"/>
    <w:rsid w:val="004A473C"/>
    <w:rsid w:val="004A4C46"/>
    <w:rsid w:val="004A4D4F"/>
    <w:rsid w:val="004A4EDA"/>
    <w:rsid w:val="004A4EEE"/>
    <w:rsid w:val="004A4F28"/>
    <w:rsid w:val="004A501D"/>
    <w:rsid w:val="004A527F"/>
    <w:rsid w:val="004A5463"/>
    <w:rsid w:val="004A54C8"/>
    <w:rsid w:val="004A5842"/>
    <w:rsid w:val="004A59D2"/>
    <w:rsid w:val="004A5A49"/>
    <w:rsid w:val="004A5A6F"/>
    <w:rsid w:val="004A5D83"/>
    <w:rsid w:val="004A5FCE"/>
    <w:rsid w:val="004A607A"/>
    <w:rsid w:val="004A6149"/>
    <w:rsid w:val="004A64C2"/>
    <w:rsid w:val="004A657E"/>
    <w:rsid w:val="004A660D"/>
    <w:rsid w:val="004A6884"/>
    <w:rsid w:val="004A695E"/>
    <w:rsid w:val="004A6CD3"/>
    <w:rsid w:val="004A6E63"/>
    <w:rsid w:val="004A6ED2"/>
    <w:rsid w:val="004A70E9"/>
    <w:rsid w:val="004A7117"/>
    <w:rsid w:val="004A71D8"/>
    <w:rsid w:val="004A74D3"/>
    <w:rsid w:val="004A7558"/>
    <w:rsid w:val="004A758C"/>
    <w:rsid w:val="004A7A16"/>
    <w:rsid w:val="004A7C40"/>
    <w:rsid w:val="004A7EE1"/>
    <w:rsid w:val="004A7F14"/>
    <w:rsid w:val="004A7FC8"/>
    <w:rsid w:val="004B0039"/>
    <w:rsid w:val="004B0160"/>
    <w:rsid w:val="004B01FA"/>
    <w:rsid w:val="004B039A"/>
    <w:rsid w:val="004B03FF"/>
    <w:rsid w:val="004B0417"/>
    <w:rsid w:val="004B0508"/>
    <w:rsid w:val="004B0606"/>
    <w:rsid w:val="004B06B1"/>
    <w:rsid w:val="004B06CE"/>
    <w:rsid w:val="004B074F"/>
    <w:rsid w:val="004B0986"/>
    <w:rsid w:val="004B0A0F"/>
    <w:rsid w:val="004B0BBE"/>
    <w:rsid w:val="004B0D24"/>
    <w:rsid w:val="004B0E35"/>
    <w:rsid w:val="004B0EF0"/>
    <w:rsid w:val="004B1049"/>
    <w:rsid w:val="004B106D"/>
    <w:rsid w:val="004B11C4"/>
    <w:rsid w:val="004B1222"/>
    <w:rsid w:val="004B12D1"/>
    <w:rsid w:val="004B13F0"/>
    <w:rsid w:val="004B1492"/>
    <w:rsid w:val="004B1799"/>
    <w:rsid w:val="004B1827"/>
    <w:rsid w:val="004B192B"/>
    <w:rsid w:val="004B1BB6"/>
    <w:rsid w:val="004B1D88"/>
    <w:rsid w:val="004B1DA7"/>
    <w:rsid w:val="004B1FAB"/>
    <w:rsid w:val="004B2106"/>
    <w:rsid w:val="004B211B"/>
    <w:rsid w:val="004B2307"/>
    <w:rsid w:val="004B23A8"/>
    <w:rsid w:val="004B2590"/>
    <w:rsid w:val="004B2613"/>
    <w:rsid w:val="004B26E1"/>
    <w:rsid w:val="004B276D"/>
    <w:rsid w:val="004B27AD"/>
    <w:rsid w:val="004B27CB"/>
    <w:rsid w:val="004B27D9"/>
    <w:rsid w:val="004B2954"/>
    <w:rsid w:val="004B2A04"/>
    <w:rsid w:val="004B2B9C"/>
    <w:rsid w:val="004B2BA7"/>
    <w:rsid w:val="004B2BAC"/>
    <w:rsid w:val="004B2D96"/>
    <w:rsid w:val="004B2EFA"/>
    <w:rsid w:val="004B2FA7"/>
    <w:rsid w:val="004B34AC"/>
    <w:rsid w:val="004B34E1"/>
    <w:rsid w:val="004B3800"/>
    <w:rsid w:val="004B39E3"/>
    <w:rsid w:val="004B3AF6"/>
    <w:rsid w:val="004B3B6F"/>
    <w:rsid w:val="004B3BAA"/>
    <w:rsid w:val="004B3CBB"/>
    <w:rsid w:val="004B3E3B"/>
    <w:rsid w:val="004B401B"/>
    <w:rsid w:val="004B4092"/>
    <w:rsid w:val="004B4120"/>
    <w:rsid w:val="004B42AB"/>
    <w:rsid w:val="004B430C"/>
    <w:rsid w:val="004B444E"/>
    <w:rsid w:val="004B4500"/>
    <w:rsid w:val="004B46B2"/>
    <w:rsid w:val="004B472A"/>
    <w:rsid w:val="004B483C"/>
    <w:rsid w:val="004B493B"/>
    <w:rsid w:val="004B4A76"/>
    <w:rsid w:val="004B5070"/>
    <w:rsid w:val="004B50F9"/>
    <w:rsid w:val="004B5174"/>
    <w:rsid w:val="004B5379"/>
    <w:rsid w:val="004B538C"/>
    <w:rsid w:val="004B53B2"/>
    <w:rsid w:val="004B53C5"/>
    <w:rsid w:val="004B54D0"/>
    <w:rsid w:val="004B55A0"/>
    <w:rsid w:val="004B56BB"/>
    <w:rsid w:val="004B57BC"/>
    <w:rsid w:val="004B59D1"/>
    <w:rsid w:val="004B5A01"/>
    <w:rsid w:val="004B5AEB"/>
    <w:rsid w:val="004B5B3F"/>
    <w:rsid w:val="004B5C10"/>
    <w:rsid w:val="004B5D4E"/>
    <w:rsid w:val="004B5EA9"/>
    <w:rsid w:val="004B5F30"/>
    <w:rsid w:val="004B6043"/>
    <w:rsid w:val="004B6321"/>
    <w:rsid w:val="004B6406"/>
    <w:rsid w:val="004B668A"/>
    <w:rsid w:val="004B6B00"/>
    <w:rsid w:val="004B6E7B"/>
    <w:rsid w:val="004B6E9E"/>
    <w:rsid w:val="004B71A8"/>
    <w:rsid w:val="004B72E6"/>
    <w:rsid w:val="004B7571"/>
    <w:rsid w:val="004B7620"/>
    <w:rsid w:val="004B77D5"/>
    <w:rsid w:val="004B7808"/>
    <w:rsid w:val="004B78D0"/>
    <w:rsid w:val="004B7972"/>
    <w:rsid w:val="004B7B6F"/>
    <w:rsid w:val="004B7BF5"/>
    <w:rsid w:val="004B7CF0"/>
    <w:rsid w:val="004B7D6B"/>
    <w:rsid w:val="004B7DD8"/>
    <w:rsid w:val="004B7F27"/>
    <w:rsid w:val="004C0096"/>
    <w:rsid w:val="004C00F5"/>
    <w:rsid w:val="004C026A"/>
    <w:rsid w:val="004C02BA"/>
    <w:rsid w:val="004C0342"/>
    <w:rsid w:val="004C04D6"/>
    <w:rsid w:val="004C04F1"/>
    <w:rsid w:val="004C0520"/>
    <w:rsid w:val="004C0526"/>
    <w:rsid w:val="004C07BE"/>
    <w:rsid w:val="004C09AB"/>
    <w:rsid w:val="004C09EF"/>
    <w:rsid w:val="004C0D08"/>
    <w:rsid w:val="004C0D6F"/>
    <w:rsid w:val="004C0F1D"/>
    <w:rsid w:val="004C0F82"/>
    <w:rsid w:val="004C10B8"/>
    <w:rsid w:val="004C1353"/>
    <w:rsid w:val="004C1389"/>
    <w:rsid w:val="004C13AC"/>
    <w:rsid w:val="004C15D6"/>
    <w:rsid w:val="004C160F"/>
    <w:rsid w:val="004C1686"/>
    <w:rsid w:val="004C17D2"/>
    <w:rsid w:val="004C1854"/>
    <w:rsid w:val="004C190A"/>
    <w:rsid w:val="004C192C"/>
    <w:rsid w:val="004C1A33"/>
    <w:rsid w:val="004C1B64"/>
    <w:rsid w:val="004C1CBE"/>
    <w:rsid w:val="004C1D10"/>
    <w:rsid w:val="004C1EBF"/>
    <w:rsid w:val="004C1F7F"/>
    <w:rsid w:val="004C1FB9"/>
    <w:rsid w:val="004C2077"/>
    <w:rsid w:val="004C24CF"/>
    <w:rsid w:val="004C289E"/>
    <w:rsid w:val="004C2947"/>
    <w:rsid w:val="004C2AE7"/>
    <w:rsid w:val="004C2D7E"/>
    <w:rsid w:val="004C2E90"/>
    <w:rsid w:val="004C3066"/>
    <w:rsid w:val="004C32B1"/>
    <w:rsid w:val="004C33BD"/>
    <w:rsid w:val="004C369A"/>
    <w:rsid w:val="004C3940"/>
    <w:rsid w:val="004C3B90"/>
    <w:rsid w:val="004C3BBB"/>
    <w:rsid w:val="004C3C1E"/>
    <w:rsid w:val="004C3C53"/>
    <w:rsid w:val="004C3D60"/>
    <w:rsid w:val="004C3F9E"/>
    <w:rsid w:val="004C4163"/>
    <w:rsid w:val="004C42A7"/>
    <w:rsid w:val="004C4537"/>
    <w:rsid w:val="004C4540"/>
    <w:rsid w:val="004C455A"/>
    <w:rsid w:val="004C472A"/>
    <w:rsid w:val="004C4779"/>
    <w:rsid w:val="004C4924"/>
    <w:rsid w:val="004C49FA"/>
    <w:rsid w:val="004C4AE3"/>
    <w:rsid w:val="004C4BDD"/>
    <w:rsid w:val="004C4C70"/>
    <w:rsid w:val="004C4CED"/>
    <w:rsid w:val="004C4D6F"/>
    <w:rsid w:val="004C4DBF"/>
    <w:rsid w:val="004C4F71"/>
    <w:rsid w:val="004C50A1"/>
    <w:rsid w:val="004C50AD"/>
    <w:rsid w:val="004C50D9"/>
    <w:rsid w:val="004C51C0"/>
    <w:rsid w:val="004C5297"/>
    <w:rsid w:val="004C5317"/>
    <w:rsid w:val="004C53B6"/>
    <w:rsid w:val="004C5571"/>
    <w:rsid w:val="004C55F6"/>
    <w:rsid w:val="004C5645"/>
    <w:rsid w:val="004C5745"/>
    <w:rsid w:val="004C5870"/>
    <w:rsid w:val="004C5875"/>
    <w:rsid w:val="004C5CBB"/>
    <w:rsid w:val="004C5D9F"/>
    <w:rsid w:val="004C5E36"/>
    <w:rsid w:val="004C6109"/>
    <w:rsid w:val="004C618A"/>
    <w:rsid w:val="004C629F"/>
    <w:rsid w:val="004C63F2"/>
    <w:rsid w:val="004C6402"/>
    <w:rsid w:val="004C6600"/>
    <w:rsid w:val="004C68FA"/>
    <w:rsid w:val="004C6A28"/>
    <w:rsid w:val="004C6EB6"/>
    <w:rsid w:val="004C7097"/>
    <w:rsid w:val="004C70F9"/>
    <w:rsid w:val="004C7307"/>
    <w:rsid w:val="004C7322"/>
    <w:rsid w:val="004C737C"/>
    <w:rsid w:val="004C7453"/>
    <w:rsid w:val="004C772E"/>
    <w:rsid w:val="004C7749"/>
    <w:rsid w:val="004C7762"/>
    <w:rsid w:val="004C7811"/>
    <w:rsid w:val="004C796B"/>
    <w:rsid w:val="004C7994"/>
    <w:rsid w:val="004C79B1"/>
    <w:rsid w:val="004C7AAD"/>
    <w:rsid w:val="004C7B0C"/>
    <w:rsid w:val="004C7C4C"/>
    <w:rsid w:val="004C7CB0"/>
    <w:rsid w:val="004C7D36"/>
    <w:rsid w:val="004C7F95"/>
    <w:rsid w:val="004D035C"/>
    <w:rsid w:val="004D03EA"/>
    <w:rsid w:val="004D0428"/>
    <w:rsid w:val="004D0581"/>
    <w:rsid w:val="004D0595"/>
    <w:rsid w:val="004D066C"/>
    <w:rsid w:val="004D0843"/>
    <w:rsid w:val="004D0B8F"/>
    <w:rsid w:val="004D0CE5"/>
    <w:rsid w:val="004D0D1E"/>
    <w:rsid w:val="004D0D3C"/>
    <w:rsid w:val="004D1009"/>
    <w:rsid w:val="004D11C3"/>
    <w:rsid w:val="004D120A"/>
    <w:rsid w:val="004D12DE"/>
    <w:rsid w:val="004D13D2"/>
    <w:rsid w:val="004D161A"/>
    <w:rsid w:val="004D163D"/>
    <w:rsid w:val="004D16EC"/>
    <w:rsid w:val="004D17C5"/>
    <w:rsid w:val="004D17F7"/>
    <w:rsid w:val="004D1802"/>
    <w:rsid w:val="004D1809"/>
    <w:rsid w:val="004D1A29"/>
    <w:rsid w:val="004D1C28"/>
    <w:rsid w:val="004D1C4C"/>
    <w:rsid w:val="004D1D1B"/>
    <w:rsid w:val="004D1D1E"/>
    <w:rsid w:val="004D2075"/>
    <w:rsid w:val="004D20B0"/>
    <w:rsid w:val="004D231B"/>
    <w:rsid w:val="004D243B"/>
    <w:rsid w:val="004D25FD"/>
    <w:rsid w:val="004D272B"/>
    <w:rsid w:val="004D2B97"/>
    <w:rsid w:val="004D2C46"/>
    <w:rsid w:val="004D3009"/>
    <w:rsid w:val="004D3159"/>
    <w:rsid w:val="004D3392"/>
    <w:rsid w:val="004D370F"/>
    <w:rsid w:val="004D38A0"/>
    <w:rsid w:val="004D39CC"/>
    <w:rsid w:val="004D3BFA"/>
    <w:rsid w:val="004D3C96"/>
    <w:rsid w:val="004D3CBB"/>
    <w:rsid w:val="004D3D3C"/>
    <w:rsid w:val="004D3FFE"/>
    <w:rsid w:val="004D401B"/>
    <w:rsid w:val="004D4066"/>
    <w:rsid w:val="004D4180"/>
    <w:rsid w:val="004D449F"/>
    <w:rsid w:val="004D44B6"/>
    <w:rsid w:val="004D4612"/>
    <w:rsid w:val="004D462D"/>
    <w:rsid w:val="004D4637"/>
    <w:rsid w:val="004D4BB5"/>
    <w:rsid w:val="004D4C13"/>
    <w:rsid w:val="004D4C20"/>
    <w:rsid w:val="004D51F0"/>
    <w:rsid w:val="004D5285"/>
    <w:rsid w:val="004D5787"/>
    <w:rsid w:val="004D57F9"/>
    <w:rsid w:val="004D58D4"/>
    <w:rsid w:val="004D5B53"/>
    <w:rsid w:val="004D5CB6"/>
    <w:rsid w:val="004D5D68"/>
    <w:rsid w:val="004D5D7E"/>
    <w:rsid w:val="004D5F84"/>
    <w:rsid w:val="004D60F5"/>
    <w:rsid w:val="004D618C"/>
    <w:rsid w:val="004D627D"/>
    <w:rsid w:val="004D62A1"/>
    <w:rsid w:val="004D6372"/>
    <w:rsid w:val="004D647C"/>
    <w:rsid w:val="004D6530"/>
    <w:rsid w:val="004D695D"/>
    <w:rsid w:val="004D698B"/>
    <w:rsid w:val="004D6C0E"/>
    <w:rsid w:val="004D6F6F"/>
    <w:rsid w:val="004D7132"/>
    <w:rsid w:val="004D71E6"/>
    <w:rsid w:val="004D7311"/>
    <w:rsid w:val="004D748B"/>
    <w:rsid w:val="004D7620"/>
    <w:rsid w:val="004D7663"/>
    <w:rsid w:val="004D772C"/>
    <w:rsid w:val="004D7740"/>
    <w:rsid w:val="004D7773"/>
    <w:rsid w:val="004D77BE"/>
    <w:rsid w:val="004D7DCD"/>
    <w:rsid w:val="004D7E16"/>
    <w:rsid w:val="004D7F9E"/>
    <w:rsid w:val="004E0048"/>
    <w:rsid w:val="004E0096"/>
    <w:rsid w:val="004E00D6"/>
    <w:rsid w:val="004E0221"/>
    <w:rsid w:val="004E05C0"/>
    <w:rsid w:val="004E0627"/>
    <w:rsid w:val="004E0674"/>
    <w:rsid w:val="004E06DE"/>
    <w:rsid w:val="004E0799"/>
    <w:rsid w:val="004E0814"/>
    <w:rsid w:val="004E08BD"/>
    <w:rsid w:val="004E09B4"/>
    <w:rsid w:val="004E0AD4"/>
    <w:rsid w:val="004E0C44"/>
    <w:rsid w:val="004E0D8D"/>
    <w:rsid w:val="004E1027"/>
    <w:rsid w:val="004E10BA"/>
    <w:rsid w:val="004E11D9"/>
    <w:rsid w:val="004E124E"/>
    <w:rsid w:val="004E1293"/>
    <w:rsid w:val="004E1578"/>
    <w:rsid w:val="004E167E"/>
    <w:rsid w:val="004E1720"/>
    <w:rsid w:val="004E197C"/>
    <w:rsid w:val="004E1A23"/>
    <w:rsid w:val="004E21EB"/>
    <w:rsid w:val="004E2226"/>
    <w:rsid w:val="004E223F"/>
    <w:rsid w:val="004E2330"/>
    <w:rsid w:val="004E2385"/>
    <w:rsid w:val="004E2480"/>
    <w:rsid w:val="004E24E7"/>
    <w:rsid w:val="004E2513"/>
    <w:rsid w:val="004E2877"/>
    <w:rsid w:val="004E2967"/>
    <w:rsid w:val="004E2B3E"/>
    <w:rsid w:val="004E2B6F"/>
    <w:rsid w:val="004E2BBE"/>
    <w:rsid w:val="004E2D0D"/>
    <w:rsid w:val="004E2D68"/>
    <w:rsid w:val="004E2E74"/>
    <w:rsid w:val="004E2F1E"/>
    <w:rsid w:val="004E2FC0"/>
    <w:rsid w:val="004E30AA"/>
    <w:rsid w:val="004E316F"/>
    <w:rsid w:val="004E319D"/>
    <w:rsid w:val="004E32FA"/>
    <w:rsid w:val="004E3305"/>
    <w:rsid w:val="004E3526"/>
    <w:rsid w:val="004E3581"/>
    <w:rsid w:val="004E35AC"/>
    <w:rsid w:val="004E3612"/>
    <w:rsid w:val="004E363A"/>
    <w:rsid w:val="004E3650"/>
    <w:rsid w:val="004E3741"/>
    <w:rsid w:val="004E3A0A"/>
    <w:rsid w:val="004E3A83"/>
    <w:rsid w:val="004E3B76"/>
    <w:rsid w:val="004E3BD5"/>
    <w:rsid w:val="004E3C31"/>
    <w:rsid w:val="004E3C44"/>
    <w:rsid w:val="004E3D07"/>
    <w:rsid w:val="004E3D2A"/>
    <w:rsid w:val="004E3D60"/>
    <w:rsid w:val="004E3E43"/>
    <w:rsid w:val="004E3E56"/>
    <w:rsid w:val="004E41CF"/>
    <w:rsid w:val="004E4235"/>
    <w:rsid w:val="004E46D2"/>
    <w:rsid w:val="004E4778"/>
    <w:rsid w:val="004E479B"/>
    <w:rsid w:val="004E47E8"/>
    <w:rsid w:val="004E4868"/>
    <w:rsid w:val="004E4A5B"/>
    <w:rsid w:val="004E4A5D"/>
    <w:rsid w:val="004E4A70"/>
    <w:rsid w:val="004E4C82"/>
    <w:rsid w:val="004E4E04"/>
    <w:rsid w:val="004E4F41"/>
    <w:rsid w:val="004E4F8E"/>
    <w:rsid w:val="004E500B"/>
    <w:rsid w:val="004E503D"/>
    <w:rsid w:val="004E5199"/>
    <w:rsid w:val="004E51A1"/>
    <w:rsid w:val="004E525E"/>
    <w:rsid w:val="004E539D"/>
    <w:rsid w:val="004E54CF"/>
    <w:rsid w:val="004E59CC"/>
    <w:rsid w:val="004E5A32"/>
    <w:rsid w:val="004E5B89"/>
    <w:rsid w:val="004E5BC6"/>
    <w:rsid w:val="004E5D70"/>
    <w:rsid w:val="004E5F76"/>
    <w:rsid w:val="004E605C"/>
    <w:rsid w:val="004E605F"/>
    <w:rsid w:val="004E6109"/>
    <w:rsid w:val="004E621F"/>
    <w:rsid w:val="004E6321"/>
    <w:rsid w:val="004E69FF"/>
    <w:rsid w:val="004E6A6B"/>
    <w:rsid w:val="004E6BA4"/>
    <w:rsid w:val="004E6C58"/>
    <w:rsid w:val="004E6CC0"/>
    <w:rsid w:val="004E6EF5"/>
    <w:rsid w:val="004E6F06"/>
    <w:rsid w:val="004E6F88"/>
    <w:rsid w:val="004E70CB"/>
    <w:rsid w:val="004E72E5"/>
    <w:rsid w:val="004E7468"/>
    <w:rsid w:val="004E7599"/>
    <w:rsid w:val="004E76C5"/>
    <w:rsid w:val="004E7874"/>
    <w:rsid w:val="004E787B"/>
    <w:rsid w:val="004E78FB"/>
    <w:rsid w:val="004E799F"/>
    <w:rsid w:val="004E79D2"/>
    <w:rsid w:val="004E7A70"/>
    <w:rsid w:val="004E7B29"/>
    <w:rsid w:val="004E7B55"/>
    <w:rsid w:val="004E7FB2"/>
    <w:rsid w:val="004F00BD"/>
    <w:rsid w:val="004F0102"/>
    <w:rsid w:val="004F010B"/>
    <w:rsid w:val="004F033B"/>
    <w:rsid w:val="004F05F2"/>
    <w:rsid w:val="004F06BB"/>
    <w:rsid w:val="004F09A3"/>
    <w:rsid w:val="004F09BA"/>
    <w:rsid w:val="004F09D1"/>
    <w:rsid w:val="004F09E9"/>
    <w:rsid w:val="004F0AE5"/>
    <w:rsid w:val="004F0B0B"/>
    <w:rsid w:val="004F0B25"/>
    <w:rsid w:val="004F0C57"/>
    <w:rsid w:val="004F0E0D"/>
    <w:rsid w:val="004F0E27"/>
    <w:rsid w:val="004F0E55"/>
    <w:rsid w:val="004F0EAD"/>
    <w:rsid w:val="004F0FF8"/>
    <w:rsid w:val="004F101C"/>
    <w:rsid w:val="004F1175"/>
    <w:rsid w:val="004F1482"/>
    <w:rsid w:val="004F1565"/>
    <w:rsid w:val="004F1588"/>
    <w:rsid w:val="004F15F9"/>
    <w:rsid w:val="004F16FB"/>
    <w:rsid w:val="004F1754"/>
    <w:rsid w:val="004F1A81"/>
    <w:rsid w:val="004F1E85"/>
    <w:rsid w:val="004F204C"/>
    <w:rsid w:val="004F207A"/>
    <w:rsid w:val="004F2081"/>
    <w:rsid w:val="004F20C4"/>
    <w:rsid w:val="004F2117"/>
    <w:rsid w:val="004F2183"/>
    <w:rsid w:val="004F21D8"/>
    <w:rsid w:val="004F22B4"/>
    <w:rsid w:val="004F25C1"/>
    <w:rsid w:val="004F25E7"/>
    <w:rsid w:val="004F284E"/>
    <w:rsid w:val="004F287A"/>
    <w:rsid w:val="004F293C"/>
    <w:rsid w:val="004F29AB"/>
    <w:rsid w:val="004F2AAA"/>
    <w:rsid w:val="004F2AF3"/>
    <w:rsid w:val="004F2C3B"/>
    <w:rsid w:val="004F2CA9"/>
    <w:rsid w:val="004F2D07"/>
    <w:rsid w:val="004F2D3C"/>
    <w:rsid w:val="004F2F74"/>
    <w:rsid w:val="004F3152"/>
    <w:rsid w:val="004F31AF"/>
    <w:rsid w:val="004F3211"/>
    <w:rsid w:val="004F35A8"/>
    <w:rsid w:val="004F35FD"/>
    <w:rsid w:val="004F3648"/>
    <w:rsid w:val="004F3713"/>
    <w:rsid w:val="004F3791"/>
    <w:rsid w:val="004F38F9"/>
    <w:rsid w:val="004F3B76"/>
    <w:rsid w:val="004F3E0D"/>
    <w:rsid w:val="004F3EE3"/>
    <w:rsid w:val="004F3F7E"/>
    <w:rsid w:val="004F3FED"/>
    <w:rsid w:val="004F402C"/>
    <w:rsid w:val="004F4131"/>
    <w:rsid w:val="004F41DE"/>
    <w:rsid w:val="004F4392"/>
    <w:rsid w:val="004F43F3"/>
    <w:rsid w:val="004F4423"/>
    <w:rsid w:val="004F4430"/>
    <w:rsid w:val="004F4B05"/>
    <w:rsid w:val="004F4B7D"/>
    <w:rsid w:val="004F4CAA"/>
    <w:rsid w:val="004F4E5F"/>
    <w:rsid w:val="004F5110"/>
    <w:rsid w:val="004F51D8"/>
    <w:rsid w:val="004F51E6"/>
    <w:rsid w:val="004F5209"/>
    <w:rsid w:val="004F522A"/>
    <w:rsid w:val="004F5559"/>
    <w:rsid w:val="004F55BC"/>
    <w:rsid w:val="004F5812"/>
    <w:rsid w:val="004F585A"/>
    <w:rsid w:val="004F5863"/>
    <w:rsid w:val="004F58C4"/>
    <w:rsid w:val="004F595E"/>
    <w:rsid w:val="004F5C76"/>
    <w:rsid w:val="004F5F1D"/>
    <w:rsid w:val="004F6112"/>
    <w:rsid w:val="004F6285"/>
    <w:rsid w:val="004F63F2"/>
    <w:rsid w:val="004F6437"/>
    <w:rsid w:val="004F645F"/>
    <w:rsid w:val="004F64B2"/>
    <w:rsid w:val="004F67CE"/>
    <w:rsid w:val="004F6C42"/>
    <w:rsid w:val="004F6DAC"/>
    <w:rsid w:val="004F6E0C"/>
    <w:rsid w:val="004F6E4D"/>
    <w:rsid w:val="004F6E8D"/>
    <w:rsid w:val="004F6F64"/>
    <w:rsid w:val="004F7197"/>
    <w:rsid w:val="004F74C6"/>
    <w:rsid w:val="004F74E3"/>
    <w:rsid w:val="004F74E4"/>
    <w:rsid w:val="004F7512"/>
    <w:rsid w:val="004F770D"/>
    <w:rsid w:val="004F773E"/>
    <w:rsid w:val="004F7A45"/>
    <w:rsid w:val="004F7D5C"/>
    <w:rsid w:val="004F7D9D"/>
    <w:rsid w:val="004F7E15"/>
    <w:rsid w:val="004F7E3A"/>
    <w:rsid w:val="004F7E88"/>
    <w:rsid w:val="004F7F37"/>
    <w:rsid w:val="004F7F98"/>
    <w:rsid w:val="004F7F9A"/>
    <w:rsid w:val="004F7FA8"/>
    <w:rsid w:val="0050004A"/>
    <w:rsid w:val="0050010B"/>
    <w:rsid w:val="00500148"/>
    <w:rsid w:val="0050038F"/>
    <w:rsid w:val="0050040C"/>
    <w:rsid w:val="00500443"/>
    <w:rsid w:val="0050047D"/>
    <w:rsid w:val="005006E5"/>
    <w:rsid w:val="005008CE"/>
    <w:rsid w:val="00500902"/>
    <w:rsid w:val="00500A2D"/>
    <w:rsid w:val="00500ACD"/>
    <w:rsid w:val="00500B7F"/>
    <w:rsid w:val="00500B92"/>
    <w:rsid w:val="00500DA7"/>
    <w:rsid w:val="00500F19"/>
    <w:rsid w:val="00500F4B"/>
    <w:rsid w:val="00500FF5"/>
    <w:rsid w:val="00501044"/>
    <w:rsid w:val="00501072"/>
    <w:rsid w:val="0050108C"/>
    <w:rsid w:val="005012C6"/>
    <w:rsid w:val="0050136E"/>
    <w:rsid w:val="00501386"/>
    <w:rsid w:val="00501402"/>
    <w:rsid w:val="0050141C"/>
    <w:rsid w:val="0050147A"/>
    <w:rsid w:val="005014A1"/>
    <w:rsid w:val="005016E3"/>
    <w:rsid w:val="00501980"/>
    <w:rsid w:val="00501B36"/>
    <w:rsid w:val="00501BFD"/>
    <w:rsid w:val="00501E18"/>
    <w:rsid w:val="00501E42"/>
    <w:rsid w:val="00502067"/>
    <w:rsid w:val="00502214"/>
    <w:rsid w:val="00502320"/>
    <w:rsid w:val="00502332"/>
    <w:rsid w:val="005023E1"/>
    <w:rsid w:val="0050245E"/>
    <w:rsid w:val="0050260E"/>
    <w:rsid w:val="00502641"/>
    <w:rsid w:val="005027AA"/>
    <w:rsid w:val="005028A0"/>
    <w:rsid w:val="00502A3B"/>
    <w:rsid w:val="00502AAE"/>
    <w:rsid w:val="00502C38"/>
    <w:rsid w:val="00502CAE"/>
    <w:rsid w:val="00502D3F"/>
    <w:rsid w:val="00502F04"/>
    <w:rsid w:val="0050301D"/>
    <w:rsid w:val="00503115"/>
    <w:rsid w:val="00503411"/>
    <w:rsid w:val="005035F5"/>
    <w:rsid w:val="005036BE"/>
    <w:rsid w:val="005037D1"/>
    <w:rsid w:val="005038A5"/>
    <w:rsid w:val="00503988"/>
    <w:rsid w:val="00503A37"/>
    <w:rsid w:val="00503C64"/>
    <w:rsid w:val="00503D09"/>
    <w:rsid w:val="00503D31"/>
    <w:rsid w:val="00503FE8"/>
    <w:rsid w:val="00504269"/>
    <w:rsid w:val="005044B0"/>
    <w:rsid w:val="005044BD"/>
    <w:rsid w:val="005045F4"/>
    <w:rsid w:val="0050464D"/>
    <w:rsid w:val="0050471B"/>
    <w:rsid w:val="005048B4"/>
    <w:rsid w:val="00504DE2"/>
    <w:rsid w:val="00504FE9"/>
    <w:rsid w:val="005050D6"/>
    <w:rsid w:val="00505215"/>
    <w:rsid w:val="00505321"/>
    <w:rsid w:val="005054AF"/>
    <w:rsid w:val="0050555E"/>
    <w:rsid w:val="00505588"/>
    <w:rsid w:val="0050558E"/>
    <w:rsid w:val="0050578E"/>
    <w:rsid w:val="005059ED"/>
    <w:rsid w:val="00505A47"/>
    <w:rsid w:val="00505A9F"/>
    <w:rsid w:val="00505AFB"/>
    <w:rsid w:val="00505B64"/>
    <w:rsid w:val="00505DBF"/>
    <w:rsid w:val="00505E21"/>
    <w:rsid w:val="00505F6D"/>
    <w:rsid w:val="00505F7C"/>
    <w:rsid w:val="005061FD"/>
    <w:rsid w:val="0050625B"/>
    <w:rsid w:val="0050634A"/>
    <w:rsid w:val="00506378"/>
    <w:rsid w:val="00506574"/>
    <w:rsid w:val="005065A1"/>
    <w:rsid w:val="0050663F"/>
    <w:rsid w:val="00506655"/>
    <w:rsid w:val="0050667A"/>
    <w:rsid w:val="005067FA"/>
    <w:rsid w:val="00506948"/>
    <w:rsid w:val="0050697D"/>
    <w:rsid w:val="0050701D"/>
    <w:rsid w:val="00507083"/>
    <w:rsid w:val="005071C3"/>
    <w:rsid w:val="005071C7"/>
    <w:rsid w:val="0050721D"/>
    <w:rsid w:val="005073A2"/>
    <w:rsid w:val="005075EF"/>
    <w:rsid w:val="005077A4"/>
    <w:rsid w:val="005077B4"/>
    <w:rsid w:val="00507830"/>
    <w:rsid w:val="005078C6"/>
    <w:rsid w:val="0050793A"/>
    <w:rsid w:val="00507944"/>
    <w:rsid w:val="00507B8C"/>
    <w:rsid w:val="0051018C"/>
    <w:rsid w:val="00510221"/>
    <w:rsid w:val="00510475"/>
    <w:rsid w:val="00510498"/>
    <w:rsid w:val="005105EF"/>
    <w:rsid w:val="00510623"/>
    <w:rsid w:val="00510649"/>
    <w:rsid w:val="00510918"/>
    <w:rsid w:val="0051093F"/>
    <w:rsid w:val="00510D22"/>
    <w:rsid w:val="00510DAA"/>
    <w:rsid w:val="00510DDF"/>
    <w:rsid w:val="00510ECA"/>
    <w:rsid w:val="00510F6A"/>
    <w:rsid w:val="00511071"/>
    <w:rsid w:val="0051112D"/>
    <w:rsid w:val="00511175"/>
    <w:rsid w:val="005116C0"/>
    <w:rsid w:val="005116EE"/>
    <w:rsid w:val="00511781"/>
    <w:rsid w:val="0051186A"/>
    <w:rsid w:val="005118CF"/>
    <w:rsid w:val="005118D3"/>
    <w:rsid w:val="00511A5E"/>
    <w:rsid w:val="00511AE9"/>
    <w:rsid w:val="00511B02"/>
    <w:rsid w:val="00511B0A"/>
    <w:rsid w:val="00511BA7"/>
    <w:rsid w:val="00511BBC"/>
    <w:rsid w:val="00511E18"/>
    <w:rsid w:val="00511E3B"/>
    <w:rsid w:val="005120E9"/>
    <w:rsid w:val="005123A2"/>
    <w:rsid w:val="00512487"/>
    <w:rsid w:val="00512565"/>
    <w:rsid w:val="00512922"/>
    <w:rsid w:val="005129B3"/>
    <w:rsid w:val="00512B1F"/>
    <w:rsid w:val="00512C1A"/>
    <w:rsid w:val="00512CB6"/>
    <w:rsid w:val="00512FEC"/>
    <w:rsid w:val="00513072"/>
    <w:rsid w:val="005130FB"/>
    <w:rsid w:val="005131FE"/>
    <w:rsid w:val="00513211"/>
    <w:rsid w:val="00513245"/>
    <w:rsid w:val="0051325A"/>
    <w:rsid w:val="0051334B"/>
    <w:rsid w:val="0051362E"/>
    <w:rsid w:val="00513699"/>
    <w:rsid w:val="0051372F"/>
    <w:rsid w:val="00513756"/>
    <w:rsid w:val="005137C8"/>
    <w:rsid w:val="00513825"/>
    <w:rsid w:val="00513AAC"/>
    <w:rsid w:val="00513BBF"/>
    <w:rsid w:val="00513BD8"/>
    <w:rsid w:val="00513CEB"/>
    <w:rsid w:val="00514094"/>
    <w:rsid w:val="005140AE"/>
    <w:rsid w:val="0051434F"/>
    <w:rsid w:val="0051435B"/>
    <w:rsid w:val="0051464A"/>
    <w:rsid w:val="00514677"/>
    <w:rsid w:val="00514885"/>
    <w:rsid w:val="005148A6"/>
    <w:rsid w:val="005148C8"/>
    <w:rsid w:val="00514A42"/>
    <w:rsid w:val="00514A68"/>
    <w:rsid w:val="00514C82"/>
    <w:rsid w:val="00514CD0"/>
    <w:rsid w:val="00514EA5"/>
    <w:rsid w:val="00514F1E"/>
    <w:rsid w:val="0051509E"/>
    <w:rsid w:val="005151E3"/>
    <w:rsid w:val="00515262"/>
    <w:rsid w:val="005152D4"/>
    <w:rsid w:val="00515416"/>
    <w:rsid w:val="0051560A"/>
    <w:rsid w:val="0051561C"/>
    <w:rsid w:val="005156B7"/>
    <w:rsid w:val="0051571B"/>
    <w:rsid w:val="00515931"/>
    <w:rsid w:val="00515B56"/>
    <w:rsid w:val="00515B75"/>
    <w:rsid w:val="00515CCA"/>
    <w:rsid w:val="00515D9D"/>
    <w:rsid w:val="00515DAD"/>
    <w:rsid w:val="00515E0C"/>
    <w:rsid w:val="00515E26"/>
    <w:rsid w:val="00515FD7"/>
    <w:rsid w:val="00516010"/>
    <w:rsid w:val="00516538"/>
    <w:rsid w:val="00516687"/>
    <w:rsid w:val="005166E4"/>
    <w:rsid w:val="0051679B"/>
    <w:rsid w:val="005167AB"/>
    <w:rsid w:val="0051688E"/>
    <w:rsid w:val="005168BD"/>
    <w:rsid w:val="005169E0"/>
    <w:rsid w:val="005169F8"/>
    <w:rsid w:val="00516A3F"/>
    <w:rsid w:val="00516AED"/>
    <w:rsid w:val="00516EA6"/>
    <w:rsid w:val="00516F40"/>
    <w:rsid w:val="0051700C"/>
    <w:rsid w:val="0051711D"/>
    <w:rsid w:val="00517145"/>
    <w:rsid w:val="00517467"/>
    <w:rsid w:val="005178FB"/>
    <w:rsid w:val="00517AC9"/>
    <w:rsid w:val="00517CD6"/>
    <w:rsid w:val="00517D55"/>
    <w:rsid w:val="00517D6F"/>
    <w:rsid w:val="00517E33"/>
    <w:rsid w:val="00517E9C"/>
    <w:rsid w:val="0052029A"/>
    <w:rsid w:val="00520309"/>
    <w:rsid w:val="00520388"/>
    <w:rsid w:val="0052056B"/>
    <w:rsid w:val="00520736"/>
    <w:rsid w:val="005208FA"/>
    <w:rsid w:val="005209C1"/>
    <w:rsid w:val="00520B47"/>
    <w:rsid w:val="00520B79"/>
    <w:rsid w:val="00520D16"/>
    <w:rsid w:val="00520E46"/>
    <w:rsid w:val="00520FE0"/>
    <w:rsid w:val="00521053"/>
    <w:rsid w:val="00521136"/>
    <w:rsid w:val="00521301"/>
    <w:rsid w:val="0052137A"/>
    <w:rsid w:val="005213C7"/>
    <w:rsid w:val="0052157A"/>
    <w:rsid w:val="005215F1"/>
    <w:rsid w:val="00521757"/>
    <w:rsid w:val="0052180D"/>
    <w:rsid w:val="00521889"/>
    <w:rsid w:val="005218C7"/>
    <w:rsid w:val="00521AA8"/>
    <w:rsid w:val="00521B25"/>
    <w:rsid w:val="00521E46"/>
    <w:rsid w:val="00521EBD"/>
    <w:rsid w:val="005220DF"/>
    <w:rsid w:val="00522146"/>
    <w:rsid w:val="005221A5"/>
    <w:rsid w:val="00522279"/>
    <w:rsid w:val="005222F5"/>
    <w:rsid w:val="005223C7"/>
    <w:rsid w:val="00522477"/>
    <w:rsid w:val="005227B0"/>
    <w:rsid w:val="0052298B"/>
    <w:rsid w:val="00522A5E"/>
    <w:rsid w:val="00522C05"/>
    <w:rsid w:val="00522C27"/>
    <w:rsid w:val="00522E3B"/>
    <w:rsid w:val="00522EE8"/>
    <w:rsid w:val="0052342B"/>
    <w:rsid w:val="005235DE"/>
    <w:rsid w:val="00523733"/>
    <w:rsid w:val="00523744"/>
    <w:rsid w:val="00523965"/>
    <w:rsid w:val="00523AF6"/>
    <w:rsid w:val="00523C91"/>
    <w:rsid w:val="00523D84"/>
    <w:rsid w:val="00523EF6"/>
    <w:rsid w:val="00524242"/>
    <w:rsid w:val="00524404"/>
    <w:rsid w:val="0052442A"/>
    <w:rsid w:val="005244B7"/>
    <w:rsid w:val="0052450D"/>
    <w:rsid w:val="00524523"/>
    <w:rsid w:val="00524782"/>
    <w:rsid w:val="005249B2"/>
    <w:rsid w:val="00524AF4"/>
    <w:rsid w:val="00524BE4"/>
    <w:rsid w:val="00524C57"/>
    <w:rsid w:val="00524D0F"/>
    <w:rsid w:val="00524E02"/>
    <w:rsid w:val="00524EAF"/>
    <w:rsid w:val="00524F4C"/>
    <w:rsid w:val="00525390"/>
    <w:rsid w:val="00525510"/>
    <w:rsid w:val="00525574"/>
    <w:rsid w:val="00525721"/>
    <w:rsid w:val="005257EC"/>
    <w:rsid w:val="005258A5"/>
    <w:rsid w:val="00525954"/>
    <w:rsid w:val="00525A23"/>
    <w:rsid w:val="00525AD6"/>
    <w:rsid w:val="00525B95"/>
    <w:rsid w:val="00525C00"/>
    <w:rsid w:val="00525CA2"/>
    <w:rsid w:val="00525DBE"/>
    <w:rsid w:val="00525DCE"/>
    <w:rsid w:val="00525E71"/>
    <w:rsid w:val="00525E83"/>
    <w:rsid w:val="00525FAF"/>
    <w:rsid w:val="00525FEC"/>
    <w:rsid w:val="00526030"/>
    <w:rsid w:val="00526165"/>
    <w:rsid w:val="005261BE"/>
    <w:rsid w:val="0052620A"/>
    <w:rsid w:val="005262F7"/>
    <w:rsid w:val="00526763"/>
    <w:rsid w:val="00526992"/>
    <w:rsid w:val="00526AC5"/>
    <w:rsid w:val="00526C52"/>
    <w:rsid w:val="00526C6E"/>
    <w:rsid w:val="00526D3F"/>
    <w:rsid w:val="00526F42"/>
    <w:rsid w:val="00526FC3"/>
    <w:rsid w:val="00527029"/>
    <w:rsid w:val="005274FE"/>
    <w:rsid w:val="005277F4"/>
    <w:rsid w:val="00527BE7"/>
    <w:rsid w:val="00527D42"/>
    <w:rsid w:val="00527D85"/>
    <w:rsid w:val="00527E91"/>
    <w:rsid w:val="00527EC1"/>
    <w:rsid w:val="005302E3"/>
    <w:rsid w:val="005302FC"/>
    <w:rsid w:val="0053032F"/>
    <w:rsid w:val="005304DF"/>
    <w:rsid w:val="00530700"/>
    <w:rsid w:val="00530774"/>
    <w:rsid w:val="005307FF"/>
    <w:rsid w:val="00530BCC"/>
    <w:rsid w:val="00530D9D"/>
    <w:rsid w:val="00530DF3"/>
    <w:rsid w:val="00530E8A"/>
    <w:rsid w:val="00530EFC"/>
    <w:rsid w:val="00530FB5"/>
    <w:rsid w:val="00530FB6"/>
    <w:rsid w:val="00531155"/>
    <w:rsid w:val="005311C8"/>
    <w:rsid w:val="00531350"/>
    <w:rsid w:val="00531431"/>
    <w:rsid w:val="00531463"/>
    <w:rsid w:val="005314FE"/>
    <w:rsid w:val="00531BDA"/>
    <w:rsid w:val="00531CC3"/>
    <w:rsid w:val="00531E1F"/>
    <w:rsid w:val="00531E62"/>
    <w:rsid w:val="00531FBD"/>
    <w:rsid w:val="0053213C"/>
    <w:rsid w:val="00532321"/>
    <w:rsid w:val="00532355"/>
    <w:rsid w:val="005323AA"/>
    <w:rsid w:val="005323C3"/>
    <w:rsid w:val="0053255E"/>
    <w:rsid w:val="005326D4"/>
    <w:rsid w:val="0053279B"/>
    <w:rsid w:val="0053286A"/>
    <w:rsid w:val="00532A58"/>
    <w:rsid w:val="00532C33"/>
    <w:rsid w:val="00532CE1"/>
    <w:rsid w:val="00532D7D"/>
    <w:rsid w:val="00532F27"/>
    <w:rsid w:val="00532F49"/>
    <w:rsid w:val="00532FC4"/>
    <w:rsid w:val="00532FE9"/>
    <w:rsid w:val="0053302D"/>
    <w:rsid w:val="00533037"/>
    <w:rsid w:val="00533045"/>
    <w:rsid w:val="00533152"/>
    <w:rsid w:val="0053326E"/>
    <w:rsid w:val="00533307"/>
    <w:rsid w:val="00533476"/>
    <w:rsid w:val="00533484"/>
    <w:rsid w:val="005334A1"/>
    <w:rsid w:val="00533791"/>
    <w:rsid w:val="005338BD"/>
    <w:rsid w:val="005338C0"/>
    <w:rsid w:val="00533946"/>
    <w:rsid w:val="00533B1C"/>
    <w:rsid w:val="00533B7A"/>
    <w:rsid w:val="00533B8C"/>
    <w:rsid w:val="00533C9C"/>
    <w:rsid w:val="00533D4C"/>
    <w:rsid w:val="00533DD4"/>
    <w:rsid w:val="00533E1C"/>
    <w:rsid w:val="00533E36"/>
    <w:rsid w:val="00533E3E"/>
    <w:rsid w:val="00533E9C"/>
    <w:rsid w:val="005340E7"/>
    <w:rsid w:val="0053418B"/>
    <w:rsid w:val="005341D9"/>
    <w:rsid w:val="005342A4"/>
    <w:rsid w:val="005342C0"/>
    <w:rsid w:val="00534300"/>
    <w:rsid w:val="005343C8"/>
    <w:rsid w:val="0053450A"/>
    <w:rsid w:val="00534545"/>
    <w:rsid w:val="005345A8"/>
    <w:rsid w:val="00534738"/>
    <w:rsid w:val="0053489E"/>
    <w:rsid w:val="005348DF"/>
    <w:rsid w:val="00534907"/>
    <w:rsid w:val="0053499C"/>
    <w:rsid w:val="00534A1E"/>
    <w:rsid w:val="00534A4B"/>
    <w:rsid w:val="00534BBE"/>
    <w:rsid w:val="00534CA8"/>
    <w:rsid w:val="00534DE5"/>
    <w:rsid w:val="00534E48"/>
    <w:rsid w:val="00534FF7"/>
    <w:rsid w:val="00535232"/>
    <w:rsid w:val="00535520"/>
    <w:rsid w:val="005356B3"/>
    <w:rsid w:val="005356BF"/>
    <w:rsid w:val="0053582E"/>
    <w:rsid w:val="00535927"/>
    <w:rsid w:val="00535A39"/>
    <w:rsid w:val="00535B33"/>
    <w:rsid w:val="00535C3B"/>
    <w:rsid w:val="00535CE7"/>
    <w:rsid w:val="00535DC8"/>
    <w:rsid w:val="00535F21"/>
    <w:rsid w:val="00535FDC"/>
    <w:rsid w:val="00536017"/>
    <w:rsid w:val="0053604F"/>
    <w:rsid w:val="0053623D"/>
    <w:rsid w:val="00536391"/>
    <w:rsid w:val="00536455"/>
    <w:rsid w:val="00536476"/>
    <w:rsid w:val="005364E6"/>
    <w:rsid w:val="005366E0"/>
    <w:rsid w:val="005367E0"/>
    <w:rsid w:val="005369DC"/>
    <w:rsid w:val="00536A85"/>
    <w:rsid w:val="00536BF6"/>
    <w:rsid w:val="00536E3E"/>
    <w:rsid w:val="005372C4"/>
    <w:rsid w:val="005373A2"/>
    <w:rsid w:val="005373D6"/>
    <w:rsid w:val="00537530"/>
    <w:rsid w:val="00537756"/>
    <w:rsid w:val="0053780E"/>
    <w:rsid w:val="0053784E"/>
    <w:rsid w:val="0053793C"/>
    <w:rsid w:val="005379F3"/>
    <w:rsid w:val="00537A07"/>
    <w:rsid w:val="00537AEC"/>
    <w:rsid w:val="00537B1A"/>
    <w:rsid w:val="00537FC6"/>
    <w:rsid w:val="00540057"/>
    <w:rsid w:val="0054029C"/>
    <w:rsid w:val="0054030D"/>
    <w:rsid w:val="00540406"/>
    <w:rsid w:val="00540665"/>
    <w:rsid w:val="00540715"/>
    <w:rsid w:val="00540779"/>
    <w:rsid w:val="005408A1"/>
    <w:rsid w:val="005409EA"/>
    <w:rsid w:val="00540ACA"/>
    <w:rsid w:val="00540AE2"/>
    <w:rsid w:val="00540B15"/>
    <w:rsid w:val="00540B2A"/>
    <w:rsid w:val="00540B43"/>
    <w:rsid w:val="00540B4E"/>
    <w:rsid w:val="00540B53"/>
    <w:rsid w:val="00540C5D"/>
    <w:rsid w:val="00540D2C"/>
    <w:rsid w:val="00540D92"/>
    <w:rsid w:val="00540ED7"/>
    <w:rsid w:val="00541510"/>
    <w:rsid w:val="00541692"/>
    <w:rsid w:val="0054173D"/>
    <w:rsid w:val="00541AD7"/>
    <w:rsid w:val="00541BA7"/>
    <w:rsid w:val="00541D80"/>
    <w:rsid w:val="005420E4"/>
    <w:rsid w:val="00542365"/>
    <w:rsid w:val="005423F7"/>
    <w:rsid w:val="0054244C"/>
    <w:rsid w:val="00542477"/>
    <w:rsid w:val="005425EE"/>
    <w:rsid w:val="0054267E"/>
    <w:rsid w:val="00542689"/>
    <w:rsid w:val="005427D2"/>
    <w:rsid w:val="005428D8"/>
    <w:rsid w:val="00542A01"/>
    <w:rsid w:val="00542A12"/>
    <w:rsid w:val="00542B8B"/>
    <w:rsid w:val="00542CDF"/>
    <w:rsid w:val="00542FCB"/>
    <w:rsid w:val="00543155"/>
    <w:rsid w:val="0054322C"/>
    <w:rsid w:val="00543264"/>
    <w:rsid w:val="005432D5"/>
    <w:rsid w:val="00543321"/>
    <w:rsid w:val="00543365"/>
    <w:rsid w:val="00543382"/>
    <w:rsid w:val="005435D7"/>
    <w:rsid w:val="00543648"/>
    <w:rsid w:val="00543D07"/>
    <w:rsid w:val="00543D16"/>
    <w:rsid w:val="00543E66"/>
    <w:rsid w:val="00543E7F"/>
    <w:rsid w:val="00544006"/>
    <w:rsid w:val="0054404D"/>
    <w:rsid w:val="005441B2"/>
    <w:rsid w:val="0054421F"/>
    <w:rsid w:val="005442C4"/>
    <w:rsid w:val="00544361"/>
    <w:rsid w:val="00544372"/>
    <w:rsid w:val="00544425"/>
    <w:rsid w:val="005444DB"/>
    <w:rsid w:val="005445E0"/>
    <w:rsid w:val="005445E2"/>
    <w:rsid w:val="00544A25"/>
    <w:rsid w:val="00544A41"/>
    <w:rsid w:val="00544B1D"/>
    <w:rsid w:val="00544B2F"/>
    <w:rsid w:val="00544CDB"/>
    <w:rsid w:val="00544E08"/>
    <w:rsid w:val="00544FAF"/>
    <w:rsid w:val="005452BC"/>
    <w:rsid w:val="005452F3"/>
    <w:rsid w:val="0054530B"/>
    <w:rsid w:val="00545539"/>
    <w:rsid w:val="00545589"/>
    <w:rsid w:val="0054560A"/>
    <w:rsid w:val="005456AA"/>
    <w:rsid w:val="005456C9"/>
    <w:rsid w:val="005457AF"/>
    <w:rsid w:val="00545A1D"/>
    <w:rsid w:val="00545A36"/>
    <w:rsid w:val="00545BD9"/>
    <w:rsid w:val="00545D4F"/>
    <w:rsid w:val="00545D73"/>
    <w:rsid w:val="00545E5B"/>
    <w:rsid w:val="00546869"/>
    <w:rsid w:val="005468C9"/>
    <w:rsid w:val="005469F7"/>
    <w:rsid w:val="00546A61"/>
    <w:rsid w:val="00546C0E"/>
    <w:rsid w:val="00546CEA"/>
    <w:rsid w:val="00546CF3"/>
    <w:rsid w:val="0054707F"/>
    <w:rsid w:val="00547134"/>
    <w:rsid w:val="00547198"/>
    <w:rsid w:val="0054719D"/>
    <w:rsid w:val="005473E5"/>
    <w:rsid w:val="0054765B"/>
    <w:rsid w:val="005476F9"/>
    <w:rsid w:val="00547770"/>
    <w:rsid w:val="0054779D"/>
    <w:rsid w:val="00547829"/>
    <w:rsid w:val="005478BD"/>
    <w:rsid w:val="00547986"/>
    <w:rsid w:val="005479CD"/>
    <w:rsid w:val="00547B61"/>
    <w:rsid w:val="00547B75"/>
    <w:rsid w:val="00547C7A"/>
    <w:rsid w:val="00547FE4"/>
    <w:rsid w:val="005501D5"/>
    <w:rsid w:val="0055020E"/>
    <w:rsid w:val="00550469"/>
    <w:rsid w:val="00550487"/>
    <w:rsid w:val="005505CD"/>
    <w:rsid w:val="0055060C"/>
    <w:rsid w:val="005506AD"/>
    <w:rsid w:val="00550708"/>
    <w:rsid w:val="005507A2"/>
    <w:rsid w:val="005508CE"/>
    <w:rsid w:val="005508D0"/>
    <w:rsid w:val="00550998"/>
    <w:rsid w:val="00550A68"/>
    <w:rsid w:val="00550A9B"/>
    <w:rsid w:val="00550B50"/>
    <w:rsid w:val="00550BC8"/>
    <w:rsid w:val="00550CA2"/>
    <w:rsid w:val="00550CAD"/>
    <w:rsid w:val="00550D62"/>
    <w:rsid w:val="00551052"/>
    <w:rsid w:val="005510CE"/>
    <w:rsid w:val="0055110F"/>
    <w:rsid w:val="00551182"/>
    <w:rsid w:val="00551270"/>
    <w:rsid w:val="00551393"/>
    <w:rsid w:val="005513F9"/>
    <w:rsid w:val="005514A4"/>
    <w:rsid w:val="005515C2"/>
    <w:rsid w:val="005518F4"/>
    <w:rsid w:val="0055195C"/>
    <w:rsid w:val="00551DFD"/>
    <w:rsid w:val="00551F2E"/>
    <w:rsid w:val="0055234A"/>
    <w:rsid w:val="00552659"/>
    <w:rsid w:val="00552681"/>
    <w:rsid w:val="005528FA"/>
    <w:rsid w:val="00552ABB"/>
    <w:rsid w:val="00552C86"/>
    <w:rsid w:val="00552CB7"/>
    <w:rsid w:val="00552F5D"/>
    <w:rsid w:val="00552FE4"/>
    <w:rsid w:val="00553108"/>
    <w:rsid w:val="00553148"/>
    <w:rsid w:val="00553194"/>
    <w:rsid w:val="005531A9"/>
    <w:rsid w:val="00553282"/>
    <w:rsid w:val="005532C6"/>
    <w:rsid w:val="005533F8"/>
    <w:rsid w:val="00553431"/>
    <w:rsid w:val="005534E0"/>
    <w:rsid w:val="0055353C"/>
    <w:rsid w:val="00553548"/>
    <w:rsid w:val="00553791"/>
    <w:rsid w:val="00553845"/>
    <w:rsid w:val="005538C7"/>
    <w:rsid w:val="00553904"/>
    <w:rsid w:val="00553A4E"/>
    <w:rsid w:val="00553B70"/>
    <w:rsid w:val="00553D43"/>
    <w:rsid w:val="00553DD5"/>
    <w:rsid w:val="00553E58"/>
    <w:rsid w:val="00553FBE"/>
    <w:rsid w:val="005540A9"/>
    <w:rsid w:val="005542E6"/>
    <w:rsid w:val="005544F4"/>
    <w:rsid w:val="0055481E"/>
    <w:rsid w:val="005548A2"/>
    <w:rsid w:val="0055494A"/>
    <w:rsid w:val="0055497F"/>
    <w:rsid w:val="00554A05"/>
    <w:rsid w:val="00554A10"/>
    <w:rsid w:val="00554AD2"/>
    <w:rsid w:val="00554BB5"/>
    <w:rsid w:val="00554CC4"/>
    <w:rsid w:val="00554D98"/>
    <w:rsid w:val="00554F09"/>
    <w:rsid w:val="00554F83"/>
    <w:rsid w:val="00555088"/>
    <w:rsid w:val="005552BA"/>
    <w:rsid w:val="005552D0"/>
    <w:rsid w:val="0055532B"/>
    <w:rsid w:val="00555374"/>
    <w:rsid w:val="0055562C"/>
    <w:rsid w:val="005559AC"/>
    <w:rsid w:val="00555A55"/>
    <w:rsid w:val="00555D6F"/>
    <w:rsid w:val="00555E13"/>
    <w:rsid w:val="00555EB3"/>
    <w:rsid w:val="00555EF2"/>
    <w:rsid w:val="00556541"/>
    <w:rsid w:val="0055671C"/>
    <w:rsid w:val="005568CD"/>
    <w:rsid w:val="005569F9"/>
    <w:rsid w:val="00556C90"/>
    <w:rsid w:val="00556DE7"/>
    <w:rsid w:val="0055700E"/>
    <w:rsid w:val="00557049"/>
    <w:rsid w:val="005571B6"/>
    <w:rsid w:val="005571C5"/>
    <w:rsid w:val="00557375"/>
    <w:rsid w:val="0055747D"/>
    <w:rsid w:val="005579CD"/>
    <w:rsid w:val="00557B8B"/>
    <w:rsid w:val="00557BDF"/>
    <w:rsid w:val="00557D36"/>
    <w:rsid w:val="00560102"/>
    <w:rsid w:val="00560121"/>
    <w:rsid w:val="00560230"/>
    <w:rsid w:val="0056029A"/>
    <w:rsid w:val="00560351"/>
    <w:rsid w:val="005604F4"/>
    <w:rsid w:val="00560513"/>
    <w:rsid w:val="005605CC"/>
    <w:rsid w:val="00560827"/>
    <w:rsid w:val="005609DC"/>
    <w:rsid w:val="00560A20"/>
    <w:rsid w:val="00560CCE"/>
    <w:rsid w:val="00560DAC"/>
    <w:rsid w:val="00560F26"/>
    <w:rsid w:val="005610D8"/>
    <w:rsid w:val="005611A1"/>
    <w:rsid w:val="005611F4"/>
    <w:rsid w:val="005613C4"/>
    <w:rsid w:val="00561400"/>
    <w:rsid w:val="005614A2"/>
    <w:rsid w:val="0056151D"/>
    <w:rsid w:val="00561720"/>
    <w:rsid w:val="005617A2"/>
    <w:rsid w:val="005617EB"/>
    <w:rsid w:val="00561C4E"/>
    <w:rsid w:val="00561DEA"/>
    <w:rsid w:val="00562195"/>
    <w:rsid w:val="00562293"/>
    <w:rsid w:val="005622B6"/>
    <w:rsid w:val="005622BB"/>
    <w:rsid w:val="00562339"/>
    <w:rsid w:val="00562571"/>
    <w:rsid w:val="0056280E"/>
    <w:rsid w:val="00562816"/>
    <w:rsid w:val="005628DC"/>
    <w:rsid w:val="00562AB1"/>
    <w:rsid w:val="00562AD6"/>
    <w:rsid w:val="00562B9E"/>
    <w:rsid w:val="00562D6A"/>
    <w:rsid w:val="00562DE0"/>
    <w:rsid w:val="00562FC9"/>
    <w:rsid w:val="00562FFC"/>
    <w:rsid w:val="00563113"/>
    <w:rsid w:val="00563172"/>
    <w:rsid w:val="005631C3"/>
    <w:rsid w:val="0056325F"/>
    <w:rsid w:val="005632FD"/>
    <w:rsid w:val="00563595"/>
    <w:rsid w:val="0056378E"/>
    <w:rsid w:val="005637BA"/>
    <w:rsid w:val="005637D6"/>
    <w:rsid w:val="0056395F"/>
    <w:rsid w:val="005639DB"/>
    <w:rsid w:val="00563A18"/>
    <w:rsid w:val="00563DDF"/>
    <w:rsid w:val="00563DE5"/>
    <w:rsid w:val="00563F16"/>
    <w:rsid w:val="00563F95"/>
    <w:rsid w:val="00564012"/>
    <w:rsid w:val="005641C9"/>
    <w:rsid w:val="005642AE"/>
    <w:rsid w:val="005642FC"/>
    <w:rsid w:val="005643A3"/>
    <w:rsid w:val="005644C8"/>
    <w:rsid w:val="0056453A"/>
    <w:rsid w:val="00564641"/>
    <w:rsid w:val="005646C1"/>
    <w:rsid w:val="005647FE"/>
    <w:rsid w:val="0056482F"/>
    <w:rsid w:val="00564957"/>
    <w:rsid w:val="00564A1A"/>
    <w:rsid w:val="00564A7D"/>
    <w:rsid w:val="00564DAA"/>
    <w:rsid w:val="0056511F"/>
    <w:rsid w:val="005656BA"/>
    <w:rsid w:val="00565715"/>
    <w:rsid w:val="0056587A"/>
    <w:rsid w:val="0056589A"/>
    <w:rsid w:val="00565959"/>
    <w:rsid w:val="00565A1E"/>
    <w:rsid w:val="00565D31"/>
    <w:rsid w:val="00565D70"/>
    <w:rsid w:val="00565D99"/>
    <w:rsid w:val="00565E50"/>
    <w:rsid w:val="00565E7F"/>
    <w:rsid w:val="00566177"/>
    <w:rsid w:val="005661AE"/>
    <w:rsid w:val="0056621E"/>
    <w:rsid w:val="00566324"/>
    <w:rsid w:val="005663A1"/>
    <w:rsid w:val="0056646F"/>
    <w:rsid w:val="005664A6"/>
    <w:rsid w:val="005666B7"/>
    <w:rsid w:val="005667E6"/>
    <w:rsid w:val="005668F8"/>
    <w:rsid w:val="00566C82"/>
    <w:rsid w:val="00566CD8"/>
    <w:rsid w:val="00566E33"/>
    <w:rsid w:val="00566FF2"/>
    <w:rsid w:val="0056704B"/>
    <w:rsid w:val="00567081"/>
    <w:rsid w:val="005670AA"/>
    <w:rsid w:val="005670D2"/>
    <w:rsid w:val="005670FE"/>
    <w:rsid w:val="00567128"/>
    <w:rsid w:val="00567211"/>
    <w:rsid w:val="00567281"/>
    <w:rsid w:val="00567388"/>
    <w:rsid w:val="00567491"/>
    <w:rsid w:val="005675BF"/>
    <w:rsid w:val="0056769A"/>
    <w:rsid w:val="005676A4"/>
    <w:rsid w:val="005676C3"/>
    <w:rsid w:val="005676E0"/>
    <w:rsid w:val="005678BF"/>
    <w:rsid w:val="0056798B"/>
    <w:rsid w:val="005679FC"/>
    <w:rsid w:val="00567CFF"/>
    <w:rsid w:val="00567D19"/>
    <w:rsid w:val="00567E0A"/>
    <w:rsid w:val="00567F09"/>
    <w:rsid w:val="00569547"/>
    <w:rsid w:val="00570064"/>
    <w:rsid w:val="005701BB"/>
    <w:rsid w:val="005703FE"/>
    <w:rsid w:val="0057042C"/>
    <w:rsid w:val="00570451"/>
    <w:rsid w:val="00570480"/>
    <w:rsid w:val="005704E8"/>
    <w:rsid w:val="0057071A"/>
    <w:rsid w:val="00570756"/>
    <w:rsid w:val="00570892"/>
    <w:rsid w:val="00570B92"/>
    <w:rsid w:val="00570C25"/>
    <w:rsid w:val="00570DC2"/>
    <w:rsid w:val="00570E72"/>
    <w:rsid w:val="00571098"/>
    <w:rsid w:val="00571172"/>
    <w:rsid w:val="005711C4"/>
    <w:rsid w:val="0057134B"/>
    <w:rsid w:val="0057147C"/>
    <w:rsid w:val="005715B6"/>
    <w:rsid w:val="0057164E"/>
    <w:rsid w:val="00571725"/>
    <w:rsid w:val="005717C7"/>
    <w:rsid w:val="00571831"/>
    <w:rsid w:val="0057192E"/>
    <w:rsid w:val="0057198C"/>
    <w:rsid w:val="00571AB5"/>
    <w:rsid w:val="00571AC8"/>
    <w:rsid w:val="00571C07"/>
    <w:rsid w:val="00571E8D"/>
    <w:rsid w:val="00571ECE"/>
    <w:rsid w:val="0057243F"/>
    <w:rsid w:val="0057280A"/>
    <w:rsid w:val="00572879"/>
    <w:rsid w:val="005728C7"/>
    <w:rsid w:val="00572A08"/>
    <w:rsid w:val="00572A09"/>
    <w:rsid w:val="00572A1D"/>
    <w:rsid w:val="00572B23"/>
    <w:rsid w:val="00572B28"/>
    <w:rsid w:val="00572B2A"/>
    <w:rsid w:val="00572D4E"/>
    <w:rsid w:val="00572DC5"/>
    <w:rsid w:val="00572F32"/>
    <w:rsid w:val="0057319F"/>
    <w:rsid w:val="005731A1"/>
    <w:rsid w:val="00573217"/>
    <w:rsid w:val="005736C1"/>
    <w:rsid w:val="005738F6"/>
    <w:rsid w:val="0057392D"/>
    <w:rsid w:val="0057395D"/>
    <w:rsid w:val="005739A7"/>
    <w:rsid w:val="00573B07"/>
    <w:rsid w:val="00573BD9"/>
    <w:rsid w:val="00573D5E"/>
    <w:rsid w:val="00573E52"/>
    <w:rsid w:val="00573EBC"/>
    <w:rsid w:val="00573F3D"/>
    <w:rsid w:val="005740E3"/>
    <w:rsid w:val="005741FD"/>
    <w:rsid w:val="0057438B"/>
    <w:rsid w:val="005743AA"/>
    <w:rsid w:val="005745AE"/>
    <w:rsid w:val="00574680"/>
    <w:rsid w:val="0057470A"/>
    <w:rsid w:val="005747F2"/>
    <w:rsid w:val="0057487A"/>
    <w:rsid w:val="00574B03"/>
    <w:rsid w:val="00574BA9"/>
    <w:rsid w:val="00574CB6"/>
    <w:rsid w:val="00574D1A"/>
    <w:rsid w:val="00575015"/>
    <w:rsid w:val="00575031"/>
    <w:rsid w:val="00575482"/>
    <w:rsid w:val="0057548B"/>
    <w:rsid w:val="005754B5"/>
    <w:rsid w:val="005754C4"/>
    <w:rsid w:val="0057557E"/>
    <w:rsid w:val="005755B3"/>
    <w:rsid w:val="0057583A"/>
    <w:rsid w:val="00575957"/>
    <w:rsid w:val="00575BC3"/>
    <w:rsid w:val="00575D3C"/>
    <w:rsid w:val="00576158"/>
    <w:rsid w:val="00576367"/>
    <w:rsid w:val="005765A4"/>
    <w:rsid w:val="005766BF"/>
    <w:rsid w:val="00576755"/>
    <w:rsid w:val="00576773"/>
    <w:rsid w:val="0057677F"/>
    <w:rsid w:val="005768B7"/>
    <w:rsid w:val="005768BC"/>
    <w:rsid w:val="00576B07"/>
    <w:rsid w:val="00576BA5"/>
    <w:rsid w:val="00576BBC"/>
    <w:rsid w:val="00576BF0"/>
    <w:rsid w:val="00576C2F"/>
    <w:rsid w:val="00576C58"/>
    <w:rsid w:val="00576EDF"/>
    <w:rsid w:val="00576F4F"/>
    <w:rsid w:val="005770A1"/>
    <w:rsid w:val="005771F7"/>
    <w:rsid w:val="00577330"/>
    <w:rsid w:val="00577393"/>
    <w:rsid w:val="0057745E"/>
    <w:rsid w:val="00577A1A"/>
    <w:rsid w:val="00577D8B"/>
    <w:rsid w:val="00577DCB"/>
    <w:rsid w:val="00577F80"/>
    <w:rsid w:val="00577F81"/>
    <w:rsid w:val="00580059"/>
    <w:rsid w:val="0058009F"/>
    <w:rsid w:val="00580143"/>
    <w:rsid w:val="00580305"/>
    <w:rsid w:val="005804DC"/>
    <w:rsid w:val="005805F8"/>
    <w:rsid w:val="00580876"/>
    <w:rsid w:val="005808E5"/>
    <w:rsid w:val="00580AE0"/>
    <w:rsid w:val="00580E30"/>
    <w:rsid w:val="00581045"/>
    <w:rsid w:val="005810DF"/>
    <w:rsid w:val="0058115B"/>
    <w:rsid w:val="00581347"/>
    <w:rsid w:val="005813CC"/>
    <w:rsid w:val="005814FA"/>
    <w:rsid w:val="005815BF"/>
    <w:rsid w:val="00581605"/>
    <w:rsid w:val="005817B9"/>
    <w:rsid w:val="00581AD7"/>
    <w:rsid w:val="00581B72"/>
    <w:rsid w:val="00581D7A"/>
    <w:rsid w:val="00581D7B"/>
    <w:rsid w:val="00582153"/>
    <w:rsid w:val="00582266"/>
    <w:rsid w:val="005824BE"/>
    <w:rsid w:val="0058261D"/>
    <w:rsid w:val="005826D5"/>
    <w:rsid w:val="00582865"/>
    <w:rsid w:val="00582B10"/>
    <w:rsid w:val="00582BE1"/>
    <w:rsid w:val="00582C48"/>
    <w:rsid w:val="00582CB7"/>
    <w:rsid w:val="00582FE8"/>
    <w:rsid w:val="00583006"/>
    <w:rsid w:val="0058312A"/>
    <w:rsid w:val="005831D7"/>
    <w:rsid w:val="00583241"/>
    <w:rsid w:val="005832F0"/>
    <w:rsid w:val="005833C3"/>
    <w:rsid w:val="00583568"/>
    <w:rsid w:val="005837AE"/>
    <w:rsid w:val="005837D5"/>
    <w:rsid w:val="00583876"/>
    <w:rsid w:val="005838CA"/>
    <w:rsid w:val="0058395E"/>
    <w:rsid w:val="00583F15"/>
    <w:rsid w:val="00583F3A"/>
    <w:rsid w:val="00584163"/>
    <w:rsid w:val="0058424E"/>
    <w:rsid w:val="005843C8"/>
    <w:rsid w:val="005843EF"/>
    <w:rsid w:val="00584564"/>
    <w:rsid w:val="0058459B"/>
    <w:rsid w:val="00584B4C"/>
    <w:rsid w:val="00584B5E"/>
    <w:rsid w:val="00584B76"/>
    <w:rsid w:val="00584C04"/>
    <w:rsid w:val="00584C80"/>
    <w:rsid w:val="00584D3E"/>
    <w:rsid w:val="00584D9D"/>
    <w:rsid w:val="00584DBB"/>
    <w:rsid w:val="00584ECC"/>
    <w:rsid w:val="00584FD6"/>
    <w:rsid w:val="0058506F"/>
    <w:rsid w:val="00585431"/>
    <w:rsid w:val="005855B4"/>
    <w:rsid w:val="00585685"/>
    <w:rsid w:val="00585768"/>
    <w:rsid w:val="0058580E"/>
    <w:rsid w:val="00585909"/>
    <w:rsid w:val="00585939"/>
    <w:rsid w:val="0058597A"/>
    <w:rsid w:val="00585AEA"/>
    <w:rsid w:val="00585AF9"/>
    <w:rsid w:val="00585BD3"/>
    <w:rsid w:val="00585BE2"/>
    <w:rsid w:val="00585CBF"/>
    <w:rsid w:val="00585CF1"/>
    <w:rsid w:val="00585EC7"/>
    <w:rsid w:val="00585FED"/>
    <w:rsid w:val="0058608A"/>
    <w:rsid w:val="00586141"/>
    <w:rsid w:val="005862D6"/>
    <w:rsid w:val="005864AB"/>
    <w:rsid w:val="0058664F"/>
    <w:rsid w:val="005866BD"/>
    <w:rsid w:val="005869C5"/>
    <w:rsid w:val="00586A57"/>
    <w:rsid w:val="00586ACB"/>
    <w:rsid w:val="00586AF5"/>
    <w:rsid w:val="00586B67"/>
    <w:rsid w:val="00586BFC"/>
    <w:rsid w:val="00587029"/>
    <w:rsid w:val="00587125"/>
    <w:rsid w:val="005874E7"/>
    <w:rsid w:val="00587521"/>
    <w:rsid w:val="0058758D"/>
    <w:rsid w:val="005876BF"/>
    <w:rsid w:val="00587750"/>
    <w:rsid w:val="005877CF"/>
    <w:rsid w:val="005877FC"/>
    <w:rsid w:val="00587888"/>
    <w:rsid w:val="005878A7"/>
    <w:rsid w:val="005879A6"/>
    <w:rsid w:val="00587AD5"/>
    <w:rsid w:val="00587FD0"/>
    <w:rsid w:val="0059019D"/>
    <w:rsid w:val="0059029D"/>
    <w:rsid w:val="005902EE"/>
    <w:rsid w:val="00590342"/>
    <w:rsid w:val="005904F0"/>
    <w:rsid w:val="005906E6"/>
    <w:rsid w:val="005906F5"/>
    <w:rsid w:val="00590787"/>
    <w:rsid w:val="0059084D"/>
    <w:rsid w:val="00590A40"/>
    <w:rsid w:val="00590D4A"/>
    <w:rsid w:val="00590FC1"/>
    <w:rsid w:val="00590FF7"/>
    <w:rsid w:val="00591053"/>
    <w:rsid w:val="005910A8"/>
    <w:rsid w:val="00591301"/>
    <w:rsid w:val="00591479"/>
    <w:rsid w:val="00591715"/>
    <w:rsid w:val="0059183A"/>
    <w:rsid w:val="0059193F"/>
    <w:rsid w:val="00591AB3"/>
    <w:rsid w:val="00591FA0"/>
    <w:rsid w:val="0059201C"/>
    <w:rsid w:val="00592024"/>
    <w:rsid w:val="00592043"/>
    <w:rsid w:val="0059206F"/>
    <w:rsid w:val="00592089"/>
    <w:rsid w:val="005921BC"/>
    <w:rsid w:val="005924DC"/>
    <w:rsid w:val="0059260D"/>
    <w:rsid w:val="00592983"/>
    <w:rsid w:val="005929E8"/>
    <w:rsid w:val="00592A26"/>
    <w:rsid w:val="00592AB3"/>
    <w:rsid w:val="00592B24"/>
    <w:rsid w:val="00592D3A"/>
    <w:rsid w:val="00592E44"/>
    <w:rsid w:val="00592F87"/>
    <w:rsid w:val="00592FC5"/>
    <w:rsid w:val="0059315C"/>
    <w:rsid w:val="005932A4"/>
    <w:rsid w:val="005933D3"/>
    <w:rsid w:val="00593594"/>
    <w:rsid w:val="005936F6"/>
    <w:rsid w:val="00593735"/>
    <w:rsid w:val="005937CA"/>
    <w:rsid w:val="005938B9"/>
    <w:rsid w:val="0059395C"/>
    <w:rsid w:val="00593A02"/>
    <w:rsid w:val="00593BDD"/>
    <w:rsid w:val="00593C2E"/>
    <w:rsid w:val="00593D7A"/>
    <w:rsid w:val="00593DBE"/>
    <w:rsid w:val="00593E11"/>
    <w:rsid w:val="00593E32"/>
    <w:rsid w:val="00593F3F"/>
    <w:rsid w:val="00593F4A"/>
    <w:rsid w:val="0059418D"/>
    <w:rsid w:val="0059429F"/>
    <w:rsid w:val="005942AD"/>
    <w:rsid w:val="005943AA"/>
    <w:rsid w:val="00594597"/>
    <w:rsid w:val="005945A5"/>
    <w:rsid w:val="0059464C"/>
    <w:rsid w:val="0059466E"/>
    <w:rsid w:val="00594AC3"/>
    <w:rsid w:val="00594C6D"/>
    <w:rsid w:val="00594CBD"/>
    <w:rsid w:val="00594D3F"/>
    <w:rsid w:val="00595074"/>
    <w:rsid w:val="00595224"/>
    <w:rsid w:val="00595286"/>
    <w:rsid w:val="0059546C"/>
    <w:rsid w:val="005954DB"/>
    <w:rsid w:val="005954E6"/>
    <w:rsid w:val="00595590"/>
    <w:rsid w:val="0059566C"/>
    <w:rsid w:val="00595731"/>
    <w:rsid w:val="0059575F"/>
    <w:rsid w:val="0059577B"/>
    <w:rsid w:val="005959FA"/>
    <w:rsid w:val="00595AF6"/>
    <w:rsid w:val="00595D80"/>
    <w:rsid w:val="00596002"/>
    <w:rsid w:val="0059601E"/>
    <w:rsid w:val="0059602D"/>
    <w:rsid w:val="005960F4"/>
    <w:rsid w:val="005961C5"/>
    <w:rsid w:val="0059621F"/>
    <w:rsid w:val="005964A2"/>
    <w:rsid w:val="005964FB"/>
    <w:rsid w:val="005965DE"/>
    <w:rsid w:val="00596618"/>
    <w:rsid w:val="005969D1"/>
    <w:rsid w:val="005969D2"/>
    <w:rsid w:val="00596AED"/>
    <w:rsid w:val="00596C01"/>
    <w:rsid w:val="00596C84"/>
    <w:rsid w:val="00596EDF"/>
    <w:rsid w:val="00596F5F"/>
    <w:rsid w:val="00596FD3"/>
    <w:rsid w:val="0059700A"/>
    <w:rsid w:val="005970A5"/>
    <w:rsid w:val="00597122"/>
    <w:rsid w:val="005971DC"/>
    <w:rsid w:val="00597208"/>
    <w:rsid w:val="005973FF"/>
    <w:rsid w:val="00597423"/>
    <w:rsid w:val="0059762E"/>
    <w:rsid w:val="0059771B"/>
    <w:rsid w:val="00597C85"/>
    <w:rsid w:val="00597E67"/>
    <w:rsid w:val="00597EB3"/>
    <w:rsid w:val="00597FB1"/>
    <w:rsid w:val="005A001D"/>
    <w:rsid w:val="005A00B6"/>
    <w:rsid w:val="005A0162"/>
    <w:rsid w:val="005A01A9"/>
    <w:rsid w:val="005A01DD"/>
    <w:rsid w:val="005A0270"/>
    <w:rsid w:val="005A03F2"/>
    <w:rsid w:val="005A0499"/>
    <w:rsid w:val="005A04AD"/>
    <w:rsid w:val="005A0750"/>
    <w:rsid w:val="005A0791"/>
    <w:rsid w:val="005A07A8"/>
    <w:rsid w:val="005A082D"/>
    <w:rsid w:val="005A0C8F"/>
    <w:rsid w:val="005A0E14"/>
    <w:rsid w:val="005A0F9C"/>
    <w:rsid w:val="005A1078"/>
    <w:rsid w:val="005A1524"/>
    <w:rsid w:val="005A1536"/>
    <w:rsid w:val="005A15D9"/>
    <w:rsid w:val="005A1994"/>
    <w:rsid w:val="005A1A1A"/>
    <w:rsid w:val="005A1A32"/>
    <w:rsid w:val="005A1B55"/>
    <w:rsid w:val="005A1C4D"/>
    <w:rsid w:val="005A1D60"/>
    <w:rsid w:val="005A201C"/>
    <w:rsid w:val="005A2510"/>
    <w:rsid w:val="005A25AD"/>
    <w:rsid w:val="005A25B5"/>
    <w:rsid w:val="005A2719"/>
    <w:rsid w:val="005A2786"/>
    <w:rsid w:val="005A284F"/>
    <w:rsid w:val="005A28D4"/>
    <w:rsid w:val="005A299B"/>
    <w:rsid w:val="005A2B32"/>
    <w:rsid w:val="005A2C9A"/>
    <w:rsid w:val="005A2D6F"/>
    <w:rsid w:val="005A2DDA"/>
    <w:rsid w:val="005A2E07"/>
    <w:rsid w:val="005A2EA1"/>
    <w:rsid w:val="005A3065"/>
    <w:rsid w:val="005A31DA"/>
    <w:rsid w:val="005A343F"/>
    <w:rsid w:val="005A3459"/>
    <w:rsid w:val="005A37EE"/>
    <w:rsid w:val="005A3CC0"/>
    <w:rsid w:val="005A3CC3"/>
    <w:rsid w:val="005A3CF8"/>
    <w:rsid w:val="005A3D29"/>
    <w:rsid w:val="005A403F"/>
    <w:rsid w:val="005A40C2"/>
    <w:rsid w:val="005A4156"/>
    <w:rsid w:val="005A4372"/>
    <w:rsid w:val="005A4457"/>
    <w:rsid w:val="005A44BD"/>
    <w:rsid w:val="005A45C9"/>
    <w:rsid w:val="005A4852"/>
    <w:rsid w:val="005A4959"/>
    <w:rsid w:val="005A4A8A"/>
    <w:rsid w:val="005A4C61"/>
    <w:rsid w:val="005A4C6F"/>
    <w:rsid w:val="005A4CE4"/>
    <w:rsid w:val="005A4E1C"/>
    <w:rsid w:val="005A4ED8"/>
    <w:rsid w:val="005A4EF9"/>
    <w:rsid w:val="005A51DD"/>
    <w:rsid w:val="005A51EF"/>
    <w:rsid w:val="005A52EC"/>
    <w:rsid w:val="005A54F3"/>
    <w:rsid w:val="005A5555"/>
    <w:rsid w:val="005A55B4"/>
    <w:rsid w:val="005A57F2"/>
    <w:rsid w:val="005A58B0"/>
    <w:rsid w:val="005A58D3"/>
    <w:rsid w:val="005A593A"/>
    <w:rsid w:val="005A597A"/>
    <w:rsid w:val="005A5A6B"/>
    <w:rsid w:val="005A5A7A"/>
    <w:rsid w:val="005A5B17"/>
    <w:rsid w:val="005A5BAE"/>
    <w:rsid w:val="005A5DA6"/>
    <w:rsid w:val="005A5EB0"/>
    <w:rsid w:val="005A61D5"/>
    <w:rsid w:val="005A61F1"/>
    <w:rsid w:val="005A629A"/>
    <w:rsid w:val="005A6351"/>
    <w:rsid w:val="005A6383"/>
    <w:rsid w:val="005A6431"/>
    <w:rsid w:val="005A6562"/>
    <w:rsid w:val="005A67C9"/>
    <w:rsid w:val="005A687A"/>
    <w:rsid w:val="005A6AAC"/>
    <w:rsid w:val="005A6B69"/>
    <w:rsid w:val="005A6BFA"/>
    <w:rsid w:val="005A6C11"/>
    <w:rsid w:val="005A6CA3"/>
    <w:rsid w:val="005A6CE8"/>
    <w:rsid w:val="005A6EAA"/>
    <w:rsid w:val="005A70BD"/>
    <w:rsid w:val="005A7180"/>
    <w:rsid w:val="005A720B"/>
    <w:rsid w:val="005A7223"/>
    <w:rsid w:val="005A72C2"/>
    <w:rsid w:val="005A7510"/>
    <w:rsid w:val="005A761B"/>
    <w:rsid w:val="005A76F4"/>
    <w:rsid w:val="005A790C"/>
    <w:rsid w:val="005A7B12"/>
    <w:rsid w:val="005A7B45"/>
    <w:rsid w:val="005A7BE9"/>
    <w:rsid w:val="005A7C30"/>
    <w:rsid w:val="005A7CBF"/>
    <w:rsid w:val="005A7D86"/>
    <w:rsid w:val="005A7F36"/>
    <w:rsid w:val="005B012E"/>
    <w:rsid w:val="005B0216"/>
    <w:rsid w:val="005B0246"/>
    <w:rsid w:val="005B03E7"/>
    <w:rsid w:val="005B0475"/>
    <w:rsid w:val="005B04B2"/>
    <w:rsid w:val="005B0713"/>
    <w:rsid w:val="005B07F7"/>
    <w:rsid w:val="005B088F"/>
    <w:rsid w:val="005B0A68"/>
    <w:rsid w:val="005B0B67"/>
    <w:rsid w:val="005B0D24"/>
    <w:rsid w:val="005B0E20"/>
    <w:rsid w:val="005B0EB1"/>
    <w:rsid w:val="005B0EEB"/>
    <w:rsid w:val="005B146C"/>
    <w:rsid w:val="005B1485"/>
    <w:rsid w:val="005B1504"/>
    <w:rsid w:val="005B176F"/>
    <w:rsid w:val="005B186C"/>
    <w:rsid w:val="005B18EE"/>
    <w:rsid w:val="005B1A9D"/>
    <w:rsid w:val="005B1B59"/>
    <w:rsid w:val="005B1C76"/>
    <w:rsid w:val="005B1C9A"/>
    <w:rsid w:val="005B1E84"/>
    <w:rsid w:val="005B1E87"/>
    <w:rsid w:val="005B1EBA"/>
    <w:rsid w:val="005B2228"/>
    <w:rsid w:val="005B2317"/>
    <w:rsid w:val="005B2371"/>
    <w:rsid w:val="005B2419"/>
    <w:rsid w:val="005B246F"/>
    <w:rsid w:val="005B266C"/>
    <w:rsid w:val="005B2715"/>
    <w:rsid w:val="005B2719"/>
    <w:rsid w:val="005B278B"/>
    <w:rsid w:val="005B283D"/>
    <w:rsid w:val="005B287F"/>
    <w:rsid w:val="005B28E7"/>
    <w:rsid w:val="005B2A4D"/>
    <w:rsid w:val="005B2B92"/>
    <w:rsid w:val="005B2C66"/>
    <w:rsid w:val="005B2F0B"/>
    <w:rsid w:val="005B2F56"/>
    <w:rsid w:val="005B31DD"/>
    <w:rsid w:val="005B3297"/>
    <w:rsid w:val="005B34C4"/>
    <w:rsid w:val="005B3505"/>
    <w:rsid w:val="005B367A"/>
    <w:rsid w:val="005B3762"/>
    <w:rsid w:val="005B3969"/>
    <w:rsid w:val="005B3AB1"/>
    <w:rsid w:val="005B3BCA"/>
    <w:rsid w:val="005B3CD0"/>
    <w:rsid w:val="005B3CF6"/>
    <w:rsid w:val="005B3E84"/>
    <w:rsid w:val="005B3F7E"/>
    <w:rsid w:val="005B4150"/>
    <w:rsid w:val="005B41C3"/>
    <w:rsid w:val="005B41D8"/>
    <w:rsid w:val="005B42B1"/>
    <w:rsid w:val="005B442A"/>
    <w:rsid w:val="005B445F"/>
    <w:rsid w:val="005B44EF"/>
    <w:rsid w:val="005B4595"/>
    <w:rsid w:val="005B46E0"/>
    <w:rsid w:val="005B47A0"/>
    <w:rsid w:val="005B47B0"/>
    <w:rsid w:val="005B48CA"/>
    <w:rsid w:val="005B4A49"/>
    <w:rsid w:val="005B4AAC"/>
    <w:rsid w:val="005B4CD2"/>
    <w:rsid w:val="005B4E9F"/>
    <w:rsid w:val="005B4F0B"/>
    <w:rsid w:val="005B4F3A"/>
    <w:rsid w:val="005B50AC"/>
    <w:rsid w:val="005B5213"/>
    <w:rsid w:val="005B54A1"/>
    <w:rsid w:val="005B5627"/>
    <w:rsid w:val="005B5689"/>
    <w:rsid w:val="005B5755"/>
    <w:rsid w:val="005B5797"/>
    <w:rsid w:val="005B585E"/>
    <w:rsid w:val="005B59D4"/>
    <w:rsid w:val="005B5A8D"/>
    <w:rsid w:val="005B5FB9"/>
    <w:rsid w:val="005B6092"/>
    <w:rsid w:val="005B6253"/>
    <w:rsid w:val="005B6358"/>
    <w:rsid w:val="005B6490"/>
    <w:rsid w:val="005B651F"/>
    <w:rsid w:val="005B662F"/>
    <w:rsid w:val="005B6698"/>
    <w:rsid w:val="005B67D3"/>
    <w:rsid w:val="005B6838"/>
    <w:rsid w:val="005B696D"/>
    <w:rsid w:val="005B69C9"/>
    <w:rsid w:val="005B6B28"/>
    <w:rsid w:val="005B6B6C"/>
    <w:rsid w:val="005B6BEE"/>
    <w:rsid w:val="005B6C14"/>
    <w:rsid w:val="005B6C80"/>
    <w:rsid w:val="005B6D12"/>
    <w:rsid w:val="005B6F11"/>
    <w:rsid w:val="005B6F57"/>
    <w:rsid w:val="005B7072"/>
    <w:rsid w:val="005B70DB"/>
    <w:rsid w:val="005B722B"/>
    <w:rsid w:val="005B731F"/>
    <w:rsid w:val="005B73F1"/>
    <w:rsid w:val="005B742F"/>
    <w:rsid w:val="005B7909"/>
    <w:rsid w:val="005B7A00"/>
    <w:rsid w:val="005B7C66"/>
    <w:rsid w:val="005B7DE0"/>
    <w:rsid w:val="005B7DF3"/>
    <w:rsid w:val="005B7E5E"/>
    <w:rsid w:val="005B7EF0"/>
    <w:rsid w:val="005C03B2"/>
    <w:rsid w:val="005C04C1"/>
    <w:rsid w:val="005C055B"/>
    <w:rsid w:val="005C05C9"/>
    <w:rsid w:val="005C05D0"/>
    <w:rsid w:val="005C0749"/>
    <w:rsid w:val="005C08F1"/>
    <w:rsid w:val="005C0B48"/>
    <w:rsid w:val="005C0BBF"/>
    <w:rsid w:val="005C0C35"/>
    <w:rsid w:val="005C0E62"/>
    <w:rsid w:val="005C0E63"/>
    <w:rsid w:val="005C1030"/>
    <w:rsid w:val="005C1069"/>
    <w:rsid w:val="005C10C8"/>
    <w:rsid w:val="005C11E3"/>
    <w:rsid w:val="005C11EB"/>
    <w:rsid w:val="005C1431"/>
    <w:rsid w:val="005C163B"/>
    <w:rsid w:val="005C1703"/>
    <w:rsid w:val="005C1711"/>
    <w:rsid w:val="005C1795"/>
    <w:rsid w:val="005C194C"/>
    <w:rsid w:val="005C1A04"/>
    <w:rsid w:val="005C1A15"/>
    <w:rsid w:val="005C1A27"/>
    <w:rsid w:val="005C1F93"/>
    <w:rsid w:val="005C213E"/>
    <w:rsid w:val="005C2151"/>
    <w:rsid w:val="005C2464"/>
    <w:rsid w:val="005C26AD"/>
    <w:rsid w:val="005C2978"/>
    <w:rsid w:val="005C29F3"/>
    <w:rsid w:val="005C2A3A"/>
    <w:rsid w:val="005C2ACC"/>
    <w:rsid w:val="005C2B27"/>
    <w:rsid w:val="005C2C4E"/>
    <w:rsid w:val="005C2D9A"/>
    <w:rsid w:val="005C2DDD"/>
    <w:rsid w:val="005C2DF8"/>
    <w:rsid w:val="005C2EB6"/>
    <w:rsid w:val="005C2FF5"/>
    <w:rsid w:val="005C30D6"/>
    <w:rsid w:val="005C30E2"/>
    <w:rsid w:val="005C323A"/>
    <w:rsid w:val="005C347D"/>
    <w:rsid w:val="005C35D0"/>
    <w:rsid w:val="005C362D"/>
    <w:rsid w:val="005C3668"/>
    <w:rsid w:val="005C38DF"/>
    <w:rsid w:val="005C38F3"/>
    <w:rsid w:val="005C3922"/>
    <w:rsid w:val="005C3937"/>
    <w:rsid w:val="005C3B35"/>
    <w:rsid w:val="005C3D48"/>
    <w:rsid w:val="005C3D93"/>
    <w:rsid w:val="005C3E20"/>
    <w:rsid w:val="005C3E37"/>
    <w:rsid w:val="005C3EC2"/>
    <w:rsid w:val="005C3F20"/>
    <w:rsid w:val="005C3FE5"/>
    <w:rsid w:val="005C400B"/>
    <w:rsid w:val="005C415C"/>
    <w:rsid w:val="005C437C"/>
    <w:rsid w:val="005C444F"/>
    <w:rsid w:val="005C44E9"/>
    <w:rsid w:val="005C4519"/>
    <w:rsid w:val="005C45CB"/>
    <w:rsid w:val="005C47C2"/>
    <w:rsid w:val="005C47CA"/>
    <w:rsid w:val="005C48E9"/>
    <w:rsid w:val="005C4A09"/>
    <w:rsid w:val="005C4CDB"/>
    <w:rsid w:val="005C4E46"/>
    <w:rsid w:val="005C5059"/>
    <w:rsid w:val="005C50C8"/>
    <w:rsid w:val="005C50D5"/>
    <w:rsid w:val="005C5178"/>
    <w:rsid w:val="005C54DF"/>
    <w:rsid w:val="005C5596"/>
    <w:rsid w:val="005C564B"/>
    <w:rsid w:val="005C564D"/>
    <w:rsid w:val="005C57F6"/>
    <w:rsid w:val="005C583F"/>
    <w:rsid w:val="005C58EA"/>
    <w:rsid w:val="005C597F"/>
    <w:rsid w:val="005C59AB"/>
    <w:rsid w:val="005C5E4D"/>
    <w:rsid w:val="005C5EDE"/>
    <w:rsid w:val="005C61AC"/>
    <w:rsid w:val="005C61CB"/>
    <w:rsid w:val="005C6232"/>
    <w:rsid w:val="005C62A9"/>
    <w:rsid w:val="005C6346"/>
    <w:rsid w:val="005C647D"/>
    <w:rsid w:val="005C64EA"/>
    <w:rsid w:val="005C6722"/>
    <w:rsid w:val="005C67E6"/>
    <w:rsid w:val="005C682F"/>
    <w:rsid w:val="005C6890"/>
    <w:rsid w:val="005C6BA3"/>
    <w:rsid w:val="005C6D98"/>
    <w:rsid w:val="005C6E20"/>
    <w:rsid w:val="005C6EF1"/>
    <w:rsid w:val="005C6F78"/>
    <w:rsid w:val="005C70C6"/>
    <w:rsid w:val="005C72E6"/>
    <w:rsid w:val="005C7353"/>
    <w:rsid w:val="005C735E"/>
    <w:rsid w:val="005C7365"/>
    <w:rsid w:val="005C73CF"/>
    <w:rsid w:val="005C7413"/>
    <w:rsid w:val="005C7481"/>
    <w:rsid w:val="005C7527"/>
    <w:rsid w:val="005C7582"/>
    <w:rsid w:val="005C762D"/>
    <w:rsid w:val="005C7819"/>
    <w:rsid w:val="005C789D"/>
    <w:rsid w:val="005C7935"/>
    <w:rsid w:val="005C7987"/>
    <w:rsid w:val="005C7C0A"/>
    <w:rsid w:val="005C7CF8"/>
    <w:rsid w:val="005C7CFB"/>
    <w:rsid w:val="005C7EC8"/>
    <w:rsid w:val="005C7F76"/>
    <w:rsid w:val="005D0099"/>
    <w:rsid w:val="005D00EE"/>
    <w:rsid w:val="005D0356"/>
    <w:rsid w:val="005D0361"/>
    <w:rsid w:val="005D03E7"/>
    <w:rsid w:val="005D06B0"/>
    <w:rsid w:val="005D0B73"/>
    <w:rsid w:val="005D0B7E"/>
    <w:rsid w:val="005D0C47"/>
    <w:rsid w:val="005D0CEF"/>
    <w:rsid w:val="005D0D17"/>
    <w:rsid w:val="005D0D68"/>
    <w:rsid w:val="005D0E32"/>
    <w:rsid w:val="005D10B0"/>
    <w:rsid w:val="005D1311"/>
    <w:rsid w:val="005D15F1"/>
    <w:rsid w:val="005D1612"/>
    <w:rsid w:val="005D16B9"/>
    <w:rsid w:val="005D16D0"/>
    <w:rsid w:val="005D1708"/>
    <w:rsid w:val="005D17FF"/>
    <w:rsid w:val="005D18A1"/>
    <w:rsid w:val="005D19CD"/>
    <w:rsid w:val="005D1AAB"/>
    <w:rsid w:val="005D1B04"/>
    <w:rsid w:val="005D1B73"/>
    <w:rsid w:val="005D1BBD"/>
    <w:rsid w:val="005D1D19"/>
    <w:rsid w:val="005D1DBD"/>
    <w:rsid w:val="005D20FF"/>
    <w:rsid w:val="005D210E"/>
    <w:rsid w:val="005D2111"/>
    <w:rsid w:val="005D21E8"/>
    <w:rsid w:val="005D2256"/>
    <w:rsid w:val="005D2362"/>
    <w:rsid w:val="005D2376"/>
    <w:rsid w:val="005D24C9"/>
    <w:rsid w:val="005D252D"/>
    <w:rsid w:val="005D2705"/>
    <w:rsid w:val="005D2757"/>
    <w:rsid w:val="005D27A3"/>
    <w:rsid w:val="005D28E7"/>
    <w:rsid w:val="005D29AF"/>
    <w:rsid w:val="005D2AE4"/>
    <w:rsid w:val="005D2AEA"/>
    <w:rsid w:val="005D2B4D"/>
    <w:rsid w:val="005D2B69"/>
    <w:rsid w:val="005D2F2B"/>
    <w:rsid w:val="005D318E"/>
    <w:rsid w:val="005D3574"/>
    <w:rsid w:val="005D35CD"/>
    <w:rsid w:val="005D3629"/>
    <w:rsid w:val="005D39B4"/>
    <w:rsid w:val="005D39CD"/>
    <w:rsid w:val="005D3DA6"/>
    <w:rsid w:val="005D3F50"/>
    <w:rsid w:val="005D3F81"/>
    <w:rsid w:val="005D3FD9"/>
    <w:rsid w:val="005D404A"/>
    <w:rsid w:val="005D40DE"/>
    <w:rsid w:val="005D4100"/>
    <w:rsid w:val="005D42CF"/>
    <w:rsid w:val="005D42EC"/>
    <w:rsid w:val="005D43A9"/>
    <w:rsid w:val="005D43D1"/>
    <w:rsid w:val="005D44C8"/>
    <w:rsid w:val="005D4673"/>
    <w:rsid w:val="005D4674"/>
    <w:rsid w:val="005D49DC"/>
    <w:rsid w:val="005D4B26"/>
    <w:rsid w:val="005D4B8F"/>
    <w:rsid w:val="005D4C02"/>
    <w:rsid w:val="005D4D88"/>
    <w:rsid w:val="005D4D9D"/>
    <w:rsid w:val="005D4F42"/>
    <w:rsid w:val="005D4F80"/>
    <w:rsid w:val="005D5000"/>
    <w:rsid w:val="005D50A3"/>
    <w:rsid w:val="005D50FF"/>
    <w:rsid w:val="005D52E5"/>
    <w:rsid w:val="005D5491"/>
    <w:rsid w:val="005D59CF"/>
    <w:rsid w:val="005D5ABE"/>
    <w:rsid w:val="005D5C3F"/>
    <w:rsid w:val="005D5D24"/>
    <w:rsid w:val="005D5D5B"/>
    <w:rsid w:val="005D5D9A"/>
    <w:rsid w:val="005D5E0F"/>
    <w:rsid w:val="005D5F0F"/>
    <w:rsid w:val="005D62B9"/>
    <w:rsid w:val="005D62C8"/>
    <w:rsid w:val="005D62D5"/>
    <w:rsid w:val="005D63A7"/>
    <w:rsid w:val="005D6595"/>
    <w:rsid w:val="005D66D7"/>
    <w:rsid w:val="005D680B"/>
    <w:rsid w:val="005D6858"/>
    <w:rsid w:val="005D68B4"/>
    <w:rsid w:val="005D6965"/>
    <w:rsid w:val="005D6CEB"/>
    <w:rsid w:val="005D6D0D"/>
    <w:rsid w:val="005D6D18"/>
    <w:rsid w:val="005D6DB0"/>
    <w:rsid w:val="005D6E4D"/>
    <w:rsid w:val="005D6ECC"/>
    <w:rsid w:val="005D71B9"/>
    <w:rsid w:val="005D7378"/>
    <w:rsid w:val="005D73F4"/>
    <w:rsid w:val="005D75A0"/>
    <w:rsid w:val="005D76D6"/>
    <w:rsid w:val="005D7978"/>
    <w:rsid w:val="005D79B6"/>
    <w:rsid w:val="005D7A45"/>
    <w:rsid w:val="005D7AB2"/>
    <w:rsid w:val="005D7ACB"/>
    <w:rsid w:val="005D7B11"/>
    <w:rsid w:val="005D7B77"/>
    <w:rsid w:val="005D7C5D"/>
    <w:rsid w:val="005D7CAE"/>
    <w:rsid w:val="005D7CCB"/>
    <w:rsid w:val="005D7D2C"/>
    <w:rsid w:val="005D7EC1"/>
    <w:rsid w:val="005D7EE3"/>
    <w:rsid w:val="005E00A5"/>
    <w:rsid w:val="005E0324"/>
    <w:rsid w:val="005E05BD"/>
    <w:rsid w:val="005E07DA"/>
    <w:rsid w:val="005E080C"/>
    <w:rsid w:val="005E088E"/>
    <w:rsid w:val="005E0C69"/>
    <w:rsid w:val="005E10F5"/>
    <w:rsid w:val="005E12ED"/>
    <w:rsid w:val="005E1370"/>
    <w:rsid w:val="005E1472"/>
    <w:rsid w:val="005E147F"/>
    <w:rsid w:val="005E14F0"/>
    <w:rsid w:val="005E1506"/>
    <w:rsid w:val="005E15BE"/>
    <w:rsid w:val="005E1882"/>
    <w:rsid w:val="005E1AF2"/>
    <w:rsid w:val="005E1C60"/>
    <w:rsid w:val="005E1C63"/>
    <w:rsid w:val="005E1C66"/>
    <w:rsid w:val="005E1D3A"/>
    <w:rsid w:val="005E1F87"/>
    <w:rsid w:val="005E1FB7"/>
    <w:rsid w:val="005E1FDA"/>
    <w:rsid w:val="005E2107"/>
    <w:rsid w:val="005E2322"/>
    <w:rsid w:val="005E28C9"/>
    <w:rsid w:val="005E28D6"/>
    <w:rsid w:val="005E2903"/>
    <w:rsid w:val="005E2939"/>
    <w:rsid w:val="005E2987"/>
    <w:rsid w:val="005E2A55"/>
    <w:rsid w:val="005E2A6F"/>
    <w:rsid w:val="005E2C8F"/>
    <w:rsid w:val="005E2D34"/>
    <w:rsid w:val="005E2D89"/>
    <w:rsid w:val="005E2EBE"/>
    <w:rsid w:val="005E3025"/>
    <w:rsid w:val="005E3097"/>
    <w:rsid w:val="005E3468"/>
    <w:rsid w:val="005E353A"/>
    <w:rsid w:val="005E35BB"/>
    <w:rsid w:val="005E3722"/>
    <w:rsid w:val="005E37F5"/>
    <w:rsid w:val="005E3817"/>
    <w:rsid w:val="005E3953"/>
    <w:rsid w:val="005E39F1"/>
    <w:rsid w:val="005E3B18"/>
    <w:rsid w:val="005E3B4E"/>
    <w:rsid w:val="005E3D35"/>
    <w:rsid w:val="005E3DD1"/>
    <w:rsid w:val="005E3E1F"/>
    <w:rsid w:val="005E40FE"/>
    <w:rsid w:val="005E41D6"/>
    <w:rsid w:val="005E4253"/>
    <w:rsid w:val="005E4304"/>
    <w:rsid w:val="005E433B"/>
    <w:rsid w:val="005E43C3"/>
    <w:rsid w:val="005E449C"/>
    <w:rsid w:val="005E4582"/>
    <w:rsid w:val="005E464D"/>
    <w:rsid w:val="005E4653"/>
    <w:rsid w:val="005E47F1"/>
    <w:rsid w:val="005E49D5"/>
    <w:rsid w:val="005E4A58"/>
    <w:rsid w:val="005E4AE1"/>
    <w:rsid w:val="005E4B6A"/>
    <w:rsid w:val="005E4BAF"/>
    <w:rsid w:val="005E4CF3"/>
    <w:rsid w:val="005E4F0A"/>
    <w:rsid w:val="005E5062"/>
    <w:rsid w:val="005E5099"/>
    <w:rsid w:val="005E51DB"/>
    <w:rsid w:val="005E51FB"/>
    <w:rsid w:val="005E53AE"/>
    <w:rsid w:val="005E540F"/>
    <w:rsid w:val="005E589F"/>
    <w:rsid w:val="005E5A36"/>
    <w:rsid w:val="005E5A73"/>
    <w:rsid w:val="005E5D67"/>
    <w:rsid w:val="005E5F21"/>
    <w:rsid w:val="005E61EA"/>
    <w:rsid w:val="005E6352"/>
    <w:rsid w:val="005E63DE"/>
    <w:rsid w:val="005E6439"/>
    <w:rsid w:val="005E662B"/>
    <w:rsid w:val="005E6813"/>
    <w:rsid w:val="005E6A70"/>
    <w:rsid w:val="005E7272"/>
    <w:rsid w:val="005E739E"/>
    <w:rsid w:val="005E73D2"/>
    <w:rsid w:val="005E7455"/>
    <w:rsid w:val="005E750C"/>
    <w:rsid w:val="005E756A"/>
    <w:rsid w:val="005E763F"/>
    <w:rsid w:val="005E7651"/>
    <w:rsid w:val="005E77B0"/>
    <w:rsid w:val="005E783A"/>
    <w:rsid w:val="005E7871"/>
    <w:rsid w:val="005E78E0"/>
    <w:rsid w:val="005E7989"/>
    <w:rsid w:val="005E7E77"/>
    <w:rsid w:val="005F009D"/>
    <w:rsid w:val="005F0236"/>
    <w:rsid w:val="005F024E"/>
    <w:rsid w:val="005F0418"/>
    <w:rsid w:val="005F04F3"/>
    <w:rsid w:val="005F0866"/>
    <w:rsid w:val="005F0921"/>
    <w:rsid w:val="005F0936"/>
    <w:rsid w:val="005F09B2"/>
    <w:rsid w:val="005F0A21"/>
    <w:rsid w:val="005F0A34"/>
    <w:rsid w:val="005F0CFB"/>
    <w:rsid w:val="005F0F0C"/>
    <w:rsid w:val="005F0FFE"/>
    <w:rsid w:val="005F101D"/>
    <w:rsid w:val="005F10F2"/>
    <w:rsid w:val="005F1160"/>
    <w:rsid w:val="005F1208"/>
    <w:rsid w:val="005F1429"/>
    <w:rsid w:val="005F1555"/>
    <w:rsid w:val="005F1700"/>
    <w:rsid w:val="005F1796"/>
    <w:rsid w:val="005F17B7"/>
    <w:rsid w:val="005F18B2"/>
    <w:rsid w:val="005F1B73"/>
    <w:rsid w:val="005F1E80"/>
    <w:rsid w:val="005F212D"/>
    <w:rsid w:val="005F2320"/>
    <w:rsid w:val="005F2483"/>
    <w:rsid w:val="005F2738"/>
    <w:rsid w:val="005F2785"/>
    <w:rsid w:val="005F27BF"/>
    <w:rsid w:val="005F27C7"/>
    <w:rsid w:val="005F29D4"/>
    <w:rsid w:val="005F2B79"/>
    <w:rsid w:val="005F2C18"/>
    <w:rsid w:val="005F2F3B"/>
    <w:rsid w:val="005F304C"/>
    <w:rsid w:val="005F3095"/>
    <w:rsid w:val="005F3162"/>
    <w:rsid w:val="005F3196"/>
    <w:rsid w:val="005F3356"/>
    <w:rsid w:val="005F356E"/>
    <w:rsid w:val="005F379E"/>
    <w:rsid w:val="005F38A0"/>
    <w:rsid w:val="005F38A5"/>
    <w:rsid w:val="005F39E5"/>
    <w:rsid w:val="005F3BA8"/>
    <w:rsid w:val="005F3CFF"/>
    <w:rsid w:val="005F3F24"/>
    <w:rsid w:val="005F416F"/>
    <w:rsid w:val="005F4253"/>
    <w:rsid w:val="005F450E"/>
    <w:rsid w:val="005F458C"/>
    <w:rsid w:val="005F477C"/>
    <w:rsid w:val="005F47A4"/>
    <w:rsid w:val="005F4A5D"/>
    <w:rsid w:val="005F4ACF"/>
    <w:rsid w:val="005F4C7E"/>
    <w:rsid w:val="005F4C93"/>
    <w:rsid w:val="005F4EF2"/>
    <w:rsid w:val="005F4F87"/>
    <w:rsid w:val="005F4F90"/>
    <w:rsid w:val="005F4FC5"/>
    <w:rsid w:val="005F50F3"/>
    <w:rsid w:val="005F51A3"/>
    <w:rsid w:val="005F51A8"/>
    <w:rsid w:val="005F5282"/>
    <w:rsid w:val="005F533C"/>
    <w:rsid w:val="005F539C"/>
    <w:rsid w:val="005F53F0"/>
    <w:rsid w:val="005F543D"/>
    <w:rsid w:val="005F549A"/>
    <w:rsid w:val="005F5711"/>
    <w:rsid w:val="005F5719"/>
    <w:rsid w:val="005F5761"/>
    <w:rsid w:val="005F58B4"/>
    <w:rsid w:val="005F5A30"/>
    <w:rsid w:val="005F5ACD"/>
    <w:rsid w:val="005F5C1C"/>
    <w:rsid w:val="005F5C54"/>
    <w:rsid w:val="005F5D9B"/>
    <w:rsid w:val="005F5EBC"/>
    <w:rsid w:val="005F5F6A"/>
    <w:rsid w:val="005F601F"/>
    <w:rsid w:val="005F6214"/>
    <w:rsid w:val="005F6240"/>
    <w:rsid w:val="005F6485"/>
    <w:rsid w:val="005F6499"/>
    <w:rsid w:val="005F64BC"/>
    <w:rsid w:val="005F6741"/>
    <w:rsid w:val="005F68DF"/>
    <w:rsid w:val="005F69CA"/>
    <w:rsid w:val="005F6A1D"/>
    <w:rsid w:val="005F6ABE"/>
    <w:rsid w:val="005F6AD1"/>
    <w:rsid w:val="005F6F23"/>
    <w:rsid w:val="005F6F29"/>
    <w:rsid w:val="005F734E"/>
    <w:rsid w:val="005F77AE"/>
    <w:rsid w:val="005F78F6"/>
    <w:rsid w:val="005F7C5F"/>
    <w:rsid w:val="005F7E3E"/>
    <w:rsid w:val="005F7E71"/>
    <w:rsid w:val="00600298"/>
    <w:rsid w:val="006002DF"/>
    <w:rsid w:val="00600328"/>
    <w:rsid w:val="00600340"/>
    <w:rsid w:val="00600444"/>
    <w:rsid w:val="0060054A"/>
    <w:rsid w:val="00600718"/>
    <w:rsid w:val="0060094E"/>
    <w:rsid w:val="00600FB5"/>
    <w:rsid w:val="00600FE4"/>
    <w:rsid w:val="006010B3"/>
    <w:rsid w:val="006012C4"/>
    <w:rsid w:val="006012D9"/>
    <w:rsid w:val="006014D9"/>
    <w:rsid w:val="006016F5"/>
    <w:rsid w:val="00601738"/>
    <w:rsid w:val="00601870"/>
    <w:rsid w:val="00601884"/>
    <w:rsid w:val="006019B3"/>
    <w:rsid w:val="00601AA1"/>
    <w:rsid w:val="00601B17"/>
    <w:rsid w:val="00601BBA"/>
    <w:rsid w:val="00601C7A"/>
    <w:rsid w:val="00601E37"/>
    <w:rsid w:val="00601EF1"/>
    <w:rsid w:val="00601F54"/>
    <w:rsid w:val="00601F9A"/>
    <w:rsid w:val="0060204A"/>
    <w:rsid w:val="00602197"/>
    <w:rsid w:val="00602321"/>
    <w:rsid w:val="00602698"/>
    <w:rsid w:val="00602837"/>
    <w:rsid w:val="006028D5"/>
    <w:rsid w:val="00602984"/>
    <w:rsid w:val="006029C3"/>
    <w:rsid w:val="00602D17"/>
    <w:rsid w:val="00602E5D"/>
    <w:rsid w:val="0060308C"/>
    <w:rsid w:val="0060310A"/>
    <w:rsid w:val="0060326A"/>
    <w:rsid w:val="00603522"/>
    <w:rsid w:val="006035B2"/>
    <w:rsid w:val="006036B6"/>
    <w:rsid w:val="00603789"/>
    <w:rsid w:val="00603AC0"/>
    <w:rsid w:val="00603BC5"/>
    <w:rsid w:val="00603DDB"/>
    <w:rsid w:val="00603E3B"/>
    <w:rsid w:val="00603EED"/>
    <w:rsid w:val="00604059"/>
    <w:rsid w:val="006047B2"/>
    <w:rsid w:val="006047C5"/>
    <w:rsid w:val="00604942"/>
    <w:rsid w:val="00604980"/>
    <w:rsid w:val="00604A81"/>
    <w:rsid w:val="00604CBF"/>
    <w:rsid w:val="00604F28"/>
    <w:rsid w:val="00604FAC"/>
    <w:rsid w:val="0060506D"/>
    <w:rsid w:val="006050EE"/>
    <w:rsid w:val="00605150"/>
    <w:rsid w:val="0060517C"/>
    <w:rsid w:val="00605183"/>
    <w:rsid w:val="00605215"/>
    <w:rsid w:val="0060523D"/>
    <w:rsid w:val="00605404"/>
    <w:rsid w:val="006055BD"/>
    <w:rsid w:val="0060569A"/>
    <w:rsid w:val="00605732"/>
    <w:rsid w:val="00605905"/>
    <w:rsid w:val="00605971"/>
    <w:rsid w:val="00605A26"/>
    <w:rsid w:val="00605AA0"/>
    <w:rsid w:val="00605CB1"/>
    <w:rsid w:val="00605CBA"/>
    <w:rsid w:val="00605D0F"/>
    <w:rsid w:val="00605FBA"/>
    <w:rsid w:val="006061A9"/>
    <w:rsid w:val="00606219"/>
    <w:rsid w:val="0060621B"/>
    <w:rsid w:val="00606250"/>
    <w:rsid w:val="0060669D"/>
    <w:rsid w:val="006066E7"/>
    <w:rsid w:val="0060680E"/>
    <w:rsid w:val="0060683C"/>
    <w:rsid w:val="00606A75"/>
    <w:rsid w:val="00606B0C"/>
    <w:rsid w:val="00606B28"/>
    <w:rsid w:val="00606BC8"/>
    <w:rsid w:val="00606DD7"/>
    <w:rsid w:val="00606E30"/>
    <w:rsid w:val="006070E4"/>
    <w:rsid w:val="006070EE"/>
    <w:rsid w:val="0060714B"/>
    <w:rsid w:val="006072F7"/>
    <w:rsid w:val="00607357"/>
    <w:rsid w:val="006073ED"/>
    <w:rsid w:val="00607487"/>
    <w:rsid w:val="00607666"/>
    <w:rsid w:val="006077E4"/>
    <w:rsid w:val="00607804"/>
    <w:rsid w:val="006078AB"/>
    <w:rsid w:val="006079F0"/>
    <w:rsid w:val="00607D94"/>
    <w:rsid w:val="00607DE2"/>
    <w:rsid w:val="00607E85"/>
    <w:rsid w:val="00607E89"/>
    <w:rsid w:val="00607F9D"/>
    <w:rsid w:val="0061031F"/>
    <w:rsid w:val="006106E9"/>
    <w:rsid w:val="0061073F"/>
    <w:rsid w:val="006108EF"/>
    <w:rsid w:val="00610B82"/>
    <w:rsid w:val="00610B8C"/>
    <w:rsid w:val="00610BCB"/>
    <w:rsid w:val="00610D0D"/>
    <w:rsid w:val="00610EA0"/>
    <w:rsid w:val="00611457"/>
    <w:rsid w:val="00611497"/>
    <w:rsid w:val="00611573"/>
    <w:rsid w:val="00611596"/>
    <w:rsid w:val="006118D7"/>
    <w:rsid w:val="00611CA3"/>
    <w:rsid w:val="00611D04"/>
    <w:rsid w:val="00611D64"/>
    <w:rsid w:val="00611F5C"/>
    <w:rsid w:val="00612007"/>
    <w:rsid w:val="0061201C"/>
    <w:rsid w:val="006121CE"/>
    <w:rsid w:val="00612231"/>
    <w:rsid w:val="00612345"/>
    <w:rsid w:val="00612556"/>
    <w:rsid w:val="00612653"/>
    <w:rsid w:val="0061269C"/>
    <w:rsid w:val="006127F2"/>
    <w:rsid w:val="006128E2"/>
    <w:rsid w:val="006128FC"/>
    <w:rsid w:val="006129A4"/>
    <w:rsid w:val="006129E0"/>
    <w:rsid w:val="00612A98"/>
    <w:rsid w:val="00612C8F"/>
    <w:rsid w:val="00612DB3"/>
    <w:rsid w:val="00612E5A"/>
    <w:rsid w:val="00612EB9"/>
    <w:rsid w:val="00612FBF"/>
    <w:rsid w:val="00613118"/>
    <w:rsid w:val="006132E0"/>
    <w:rsid w:val="006133B9"/>
    <w:rsid w:val="0061343D"/>
    <w:rsid w:val="00613574"/>
    <w:rsid w:val="006136E2"/>
    <w:rsid w:val="00613777"/>
    <w:rsid w:val="00613876"/>
    <w:rsid w:val="006139C3"/>
    <w:rsid w:val="00613CFE"/>
    <w:rsid w:val="00613DC4"/>
    <w:rsid w:val="006140E5"/>
    <w:rsid w:val="006142F4"/>
    <w:rsid w:val="0061436D"/>
    <w:rsid w:val="00614586"/>
    <w:rsid w:val="00614609"/>
    <w:rsid w:val="006147BE"/>
    <w:rsid w:val="0061484D"/>
    <w:rsid w:val="006148E2"/>
    <w:rsid w:val="00614B09"/>
    <w:rsid w:val="00614BB0"/>
    <w:rsid w:val="00614F0A"/>
    <w:rsid w:val="00614FB3"/>
    <w:rsid w:val="00615114"/>
    <w:rsid w:val="00615170"/>
    <w:rsid w:val="006151CD"/>
    <w:rsid w:val="00615295"/>
    <w:rsid w:val="0061540A"/>
    <w:rsid w:val="0061544B"/>
    <w:rsid w:val="00615451"/>
    <w:rsid w:val="0061549D"/>
    <w:rsid w:val="0061557C"/>
    <w:rsid w:val="00615923"/>
    <w:rsid w:val="006159F4"/>
    <w:rsid w:val="00615A8A"/>
    <w:rsid w:val="00615A8B"/>
    <w:rsid w:val="00615AA5"/>
    <w:rsid w:val="00615AC2"/>
    <w:rsid w:val="00615AFB"/>
    <w:rsid w:val="00615C48"/>
    <w:rsid w:val="00615CF1"/>
    <w:rsid w:val="00615DB0"/>
    <w:rsid w:val="00615E89"/>
    <w:rsid w:val="00615FE1"/>
    <w:rsid w:val="0061606A"/>
    <w:rsid w:val="00616095"/>
    <w:rsid w:val="0061609A"/>
    <w:rsid w:val="00616160"/>
    <w:rsid w:val="006162F8"/>
    <w:rsid w:val="006163FF"/>
    <w:rsid w:val="00616472"/>
    <w:rsid w:val="006165BF"/>
    <w:rsid w:val="006167F7"/>
    <w:rsid w:val="00616B1D"/>
    <w:rsid w:val="00616BE1"/>
    <w:rsid w:val="00616C18"/>
    <w:rsid w:val="00616C35"/>
    <w:rsid w:val="00616C5C"/>
    <w:rsid w:val="00616CCE"/>
    <w:rsid w:val="00616E90"/>
    <w:rsid w:val="00616F60"/>
    <w:rsid w:val="00617059"/>
    <w:rsid w:val="00617129"/>
    <w:rsid w:val="0061723B"/>
    <w:rsid w:val="006172AD"/>
    <w:rsid w:val="0061735B"/>
    <w:rsid w:val="006174C5"/>
    <w:rsid w:val="0061755F"/>
    <w:rsid w:val="0061759F"/>
    <w:rsid w:val="00617770"/>
    <w:rsid w:val="006178EE"/>
    <w:rsid w:val="00617902"/>
    <w:rsid w:val="00617935"/>
    <w:rsid w:val="00617A24"/>
    <w:rsid w:val="00617A2C"/>
    <w:rsid w:val="00620129"/>
    <w:rsid w:val="006201C9"/>
    <w:rsid w:val="006201D0"/>
    <w:rsid w:val="006201F6"/>
    <w:rsid w:val="006203BD"/>
    <w:rsid w:val="0062045A"/>
    <w:rsid w:val="00620466"/>
    <w:rsid w:val="00620489"/>
    <w:rsid w:val="00620573"/>
    <w:rsid w:val="0062061A"/>
    <w:rsid w:val="006207F8"/>
    <w:rsid w:val="00620A60"/>
    <w:rsid w:val="00620A71"/>
    <w:rsid w:val="00620B12"/>
    <w:rsid w:val="00620BB9"/>
    <w:rsid w:val="00620D7B"/>
    <w:rsid w:val="00620DCF"/>
    <w:rsid w:val="00620EA9"/>
    <w:rsid w:val="00620F6F"/>
    <w:rsid w:val="006211D0"/>
    <w:rsid w:val="0062120C"/>
    <w:rsid w:val="00621413"/>
    <w:rsid w:val="00621669"/>
    <w:rsid w:val="00621725"/>
    <w:rsid w:val="0062179A"/>
    <w:rsid w:val="00621826"/>
    <w:rsid w:val="006218C6"/>
    <w:rsid w:val="00621903"/>
    <w:rsid w:val="00621BAE"/>
    <w:rsid w:val="00621C3F"/>
    <w:rsid w:val="00621C93"/>
    <w:rsid w:val="0062207F"/>
    <w:rsid w:val="00622163"/>
    <w:rsid w:val="00622185"/>
    <w:rsid w:val="0062236D"/>
    <w:rsid w:val="006224DB"/>
    <w:rsid w:val="006224FF"/>
    <w:rsid w:val="006225EE"/>
    <w:rsid w:val="0062266F"/>
    <w:rsid w:val="00622761"/>
    <w:rsid w:val="0062278B"/>
    <w:rsid w:val="0062280B"/>
    <w:rsid w:val="00622BDA"/>
    <w:rsid w:val="00622BFC"/>
    <w:rsid w:val="00622D29"/>
    <w:rsid w:val="006230CA"/>
    <w:rsid w:val="0062319F"/>
    <w:rsid w:val="006232F4"/>
    <w:rsid w:val="00623377"/>
    <w:rsid w:val="00623482"/>
    <w:rsid w:val="00623731"/>
    <w:rsid w:val="006238D9"/>
    <w:rsid w:val="00623916"/>
    <w:rsid w:val="0062398D"/>
    <w:rsid w:val="00623A38"/>
    <w:rsid w:val="00623A3B"/>
    <w:rsid w:val="00623B09"/>
    <w:rsid w:val="00623BC8"/>
    <w:rsid w:val="00623ED3"/>
    <w:rsid w:val="00624520"/>
    <w:rsid w:val="006246AD"/>
    <w:rsid w:val="00624719"/>
    <w:rsid w:val="00624724"/>
    <w:rsid w:val="00624862"/>
    <w:rsid w:val="0062498A"/>
    <w:rsid w:val="006249A8"/>
    <w:rsid w:val="006249C9"/>
    <w:rsid w:val="00624A96"/>
    <w:rsid w:val="00624B41"/>
    <w:rsid w:val="00624EDE"/>
    <w:rsid w:val="00624F69"/>
    <w:rsid w:val="00624F9D"/>
    <w:rsid w:val="00625262"/>
    <w:rsid w:val="00625699"/>
    <w:rsid w:val="006256C9"/>
    <w:rsid w:val="0062575F"/>
    <w:rsid w:val="0062593B"/>
    <w:rsid w:val="00625B64"/>
    <w:rsid w:val="00625D46"/>
    <w:rsid w:val="006261B7"/>
    <w:rsid w:val="00626207"/>
    <w:rsid w:val="0062620D"/>
    <w:rsid w:val="0062637A"/>
    <w:rsid w:val="00626501"/>
    <w:rsid w:val="006266BF"/>
    <w:rsid w:val="00626758"/>
    <w:rsid w:val="006268E8"/>
    <w:rsid w:val="00626923"/>
    <w:rsid w:val="0062692B"/>
    <w:rsid w:val="00626996"/>
    <w:rsid w:val="00626AFC"/>
    <w:rsid w:val="00626C75"/>
    <w:rsid w:val="00626CA6"/>
    <w:rsid w:val="00626DB7"/>
    <w:rsid w:val="00626E24"/>
    <w:rsid w:val="00626EDA"/>
    <w:rsid w:val="00626F9A"/>
    <w:rsid w:val="00627069"/>
    <w:rsid w:val="006270A1"/>
    <w:rsid w:val="00627149"/>
    <w:rsid w:val="0062715C"/>
    <w:rsid w:val="0062727E"/>
    <w:rsid w:val="0062733F"/>
    <w:rsid w:val="0062772F"/>
    <w:rsid w:val="00627783"/>
    <w:rsid w:val="006277CE"/>
    <w:rsid w:val="006279C2"/>
    <w:rsid w:val="00627C68"/>
    <w:rsid w:val="00627E8E"/>
    <w:rsid w:val="00627EF3"/>
    <w:rsid w:val="00627F1C"/>
    <w:rsid w:val="006301DE"/>
    <w:rsid w:val="00630328"/>
    <w:rsid w:val="0063034F"/>
    <w:rsid w:val="00630386"/>
    <w:rsid w:val="00630445"/>
    <w:rsid w:val="00630483"/>
    <w:rsid w:val="0063054B"/>
    <w:rsid w:val="00630605"/>
    <w:rsid w:val="006306B0"/>
    <w:rsid w:val="0063071A"/>
    <w:rsid w:val="00630744"/>
    <w:rsid w:val="006307F5"/>
    <w:rsid w:val="00630810"/>
    <w:rsid w:val="00630979"/>
    <w:rsid w:val="006309A9"/>
    <w:rsid w:val="00630ABF"/>
    <w:rsid w:val="00630F9A"/>
    <w:rsid w:val="0063115F"/>
    <w:rsid w:val="00631203"/>
    <w:rsid w:val="00631290"/>
    <w:rsid w:val="006313BE"/>
    <w:rsid w:val="006313CF"/>
    <w:rsid w:val="006314CD"/>
    <w:rsid w:val="00631609"/>
    <w:rsid w:val="0063169F"/>
    <w:rsid w:val="006316D6"/>
    <w:rsid w:val="00631768"/>
    <w:rsid w:val="006317FA"/>
    <w:rsid w:val="006319F4"/>
    <w:rsid w:val="00631AB7"/>
    <w:rsid w:val="00631BC5"/>
    <w:rsid w:val="00631BE4"/>
    <w:rsid w:val="00631EC2"/>
    <w:rsid w:val="0063203A"/>
    <w:rsid w:val="0063203E"/>
    <w:rsid w:val="00632066"/>
    <w:rsid w:val="0063213D"/>
    <w:rsid w:val="006321E8"/>
    <w:rsid w:val="00632277"/>
    <w:rsid w:val="00632291"/>
    <w:rsid w:val="006323F1"/>
    <w:rsid w:val="00632404"/>
    <w:rsid w:val="0063241C"/>
    <w:rsid w:val="006325E9"/>
    <w:rsid w:val="0063260B"/>
    <w:rsid w:val="00632639"/>
    <w:rsid w:val="006327BA"/>
    <w:rsid w:val="00632889"/>
    <w:rsid w:val="006328B7"/>
    <w:rsid w:val="0063294E"/>
    <w:rsid w:val="00632955"/>
    <w:rsid w:val="0063295E"/>
    <w:rsid w:val="00632D63"/>
    <w:rsid w:val="00632DE2"/>
    <w:rsid w:val="00632E4E"/>
    <w:rsid w:val="00632EC8"/>
    <w:rsid w:val="00632F8B"/>
    <w:rsid w:val="006330CD"/>
    <w:rsid w:val="006333D3"/>
    <w:rsid w:val="0063342E"/>
    <w:rsid w:val="006334CD"/>
    <w:rsid w:val="006334D9"/>
    <w:rsid w:val="0063359C"/>
    <w:rsid w:val="00633678"/>
    <w:rsid w:val="006336B5"/>
    <w:rsid w:val="00633A99"/>
    <w:rsid w:val="00633F16"/>
    <w:rsid w:val="006341A5"/>
    <w:rsid w:val="0063432D"/>
    <w:rsid w:val="00634386"/>
    <w:rsid w:val="00634397"/>
    <w:rsid w:val="006343C6"/>
    <w:rsid w:val="006343EA"/>
    <w:rsid w:val="00634BAF"/>
    <w:rsid w:val="00634D8C"/>
    <w:rsid w:val="00634DB5"/>
    <w:rsid w:val="00634DDE"/>
    <w:rsid w:val="00634F5A"/>
    <w:rsid w:val="00634F76"/>
    <w:rsid w:val="00634F84"/>
    <w:rsid w:val="00635188"/>
    <w:rsid w:val="00635418"/>
    <w:rsid w:val="0063542E"/>
    <w:rsid w:val="0063543D"/>
    <w:rsid w:val="00635620"/>
    <w:rsid w:val="0063562B"/>
    <w:rsid w:val="0063567A"/>
    <w:rsid w:val="00635760"/>
    <w:rsid w:val="00635801"/>
    <w:rsid w:val="00635BE8"/>
    <w:rsid w:val="00635CC5"/>
    <w:rsid w:val="00635CED"/>
    <w:rsid w:val="00635F5D"/>
    <w:rsid w:val="00635FA3"/>
    <w:rsid w:val="0063607B"/>
    <w:rsid w:val="00636129"/>
    <w:rsid w:val="006361A6"/>
    <w:rsid w:val="006362B2"/>
    <w:rsid w:val="006362EC"/>
    <w:rsid w:val="00636468"/>
    <w:rsid w:val="006364C3"/>
    <w:rsid w:val="006364F3"/>
    <w:rsid w:val="0063650D"/>
    <w:rsid w:val="0063682B"/>
    <w:rsid w:val="006368D2"/>
    <w:rsid w:val="00636904"/>
    <w:rsid w:val="006369CA"/>
    <w:rsid w:val="00636C19"/>
    <w:rsid w:val="00636CD1"/>
    <w:rsid w:val="00636CDD"/>
    <w:rsid w:val="00636D96"/>
    <w:rsid w:val="00636DC8"/>
    <w:rsid w:val="00636E13"/>
    <w:rsid w:val="00636FCB"/>
    <w:rsid w:val="00637131"/>
    <w:rsid w:val="0063714D"/>
    <w:rsid w:val="00637336"/>
    <w:rsid w:val="00637380"/>
    <w:rsid w:val="00637413"/>
    <w:rsid w:val="00637416"/>
    <w:rsid w:val="0063758F"/>
    <w:rsid w:val="00637722"/>
    <w:rsid w:val="0063783A"/>
    <w:rsid w:val="0063798D"/>
    <w:rsid w:val="00637A52"/>
    <w:rsid w:val="00637A6E"/>
    <w:rsid w:val="00637C90"/>
    <w:rsid w:val="00640069"/>
    <w:rsid w:val="006400E3"/>
    <w:rsid w:val="0064013A"/>
    <w:rsid w:val="00640195"/>
    <w:rsid w:val="0064024C"/>
    <w:rsid w:val="0064059E"/>
    <w:rsid w:val="006405A9"/>
    <w:rsid w:val="006406F7"/>
    <w:rsid w:val="00640733"/>
    <w:rsid w:val="006409E0"/>
    <w:rsid w:val="00640A24"/>
    <w:rsid w:val="00640AAC"/>
    <w:rsid w:val="00640D23"/>
    <w:rsid w:val="00640E5D"/>
    <w:rsid w:val="00640E97"/>
    <w:rsid w:val="00640EE7"/>
    <w:rsid w:val="00640F42"/>
    <w:rsid w:val="00640FA6"/>
    <w:rsid w:val="00641048"/>
    <w:rsid w:val="00641197"/>
    <w:rsid w:val="006411C9"/>
    <w:rsid w:val="006412F7"/>
    <w:rsid w:val="00641311"/>
    <w:rsid w:val="00641495"/>
    <w:rsid w:val="00641508"/>
    <w:rsid w:val="00641693"/>
    <w:rsid w:val="006419F5"/>
    <w:rsid w:val="00641A17"/>
    <w:rsid w:val="00641A20"/>
    <w:rsid w:val="00641A4A"/>
    <w:rsid w:val="00641C07"/>
    <w:rsid w:val="00641FDD"/>
    <w:rsid w:val="00642098"/>
    <w:rsid w:val="00642243"/>
    <w:rsid w:val="00642591"/>
    <w:rsid w:val="00642640"/>
    <w:rsid w:val="00642CF4"/>
    <w:rsid w:val="00642D49"/>
    <w:rsid w:val="00642E13"/>
    <w:rsid w:val="00642EBC"/>
    <w:rsid w:val="006432E6"/>
    <w:rsid w:val="0064354E"/>
    <w:rsid w:val="006435CD"/>
    <w:rsid w:val="006436DE"/>
    <w:rsid w:val="0064377A"/>
    <w:rsid w:val="006438FD"/>
    <w:rsid w:val="00643C54"/>
    <w:rsid w:val="00643C87"/>
    <w:rsid w:val="00643D56"/>
    <w:rsid w:val="00643EA5"/>
    <w:rsid w:val="00643FC5"/>
    <w:rsid w:val="006443BB"/>
    <w:rsid w:val="0064469C"/>
    <w:rsid w:val="006446A8"/>
    <w:rsid w:val="00644768"/>
    <w:rsid w:val="00644C06"/>
    <w:rsid w:val="00644CDC"/>
    <w:rsid w:val="00644D11"/>
    <w:rsid w:val="00644EE1"/>
    <w:rsid w:val="00644EE3"/>
    <w:rsid w:val="0064502D"/>
    <w:rsid w:val="00645185"/>
    <w:rsid w:val="006451F3"/>
    <w:rsid w:val="0064546F"/>
    <w:rsid w:val="006454AA"/>
    <w:rsid w:val="00645596"/>
    <w:rsid w:val="0064589B"/>
    <w:rsid w:val="00645A50"/>
    <w:rsid w:val="00645BC7"/>
    <w:rsid w:val="00645C97"/>
    <w:rsid w:val="00645CAD"/>
    <w:rsid w:val="00645E25"/>
    <w:rsid w:val="00645F0D"/>
    <w:rsid w:val="00645F78"/>
    <w:rsid w:val="00646004"/>
    <w:rsid w:val="006460B3"/>
    <w:rsid w:val="006462F1"/>
    <w:rsid w:val="006463D9"/>
    <w:rsid w:val="006463DB"/>
    <w:rsid w:val="006463F8"/>
    <w:rsid w:val="00646485"/>
    <w:rsid w:val="006464A1"/>
    <w:rsid w:val="0064685C"/>
    <w:rsid w:val="0064696B"/>
    <w:rsid w:val="0064697F"/>
    <w:rsid w:val="006469C6"/>
    <w:rsid w:val="00646B4F"/>
    <w:rsid w:val="00646C0E"/>
    <w:rsid w:val="00646CCF"/>
    <w:rsid w:val="00646E12"/>
    <w:rsid w:val="00646E13"/>
    <w:rsid w:val="00646FF7"/>
    <w:rsid w:val="00647052"/>
    <w:rsid w:val="006472BF"/>
    <w:rsid w:val="006472CE"/>
    <w:rsid w:val="00647308"/>
    <w:rsid w:val="006474B3"/>
    <w:rsid w:val="00647535"/>
    <w:rsid w:val="0064755D"/>
    <w:rsid w:val="0064773B"/>
    <w:rsid w:val="006477C7"/>
    <w:rsid w:val="00647927"/>
    <w:rsid w:val="00647A15"/>
    <w:rsid w:val="00647ABE"/>
    <w:rsid w:val="00647AEB"/>
    <w:rsid w:val="00647B0A"/>
    <w:rsid w:val="00647E23"/>
    <w:rsid w:val="0065003F"/>
    <w:rsid w:val="00650220"/>
    <w:rsid w:val="006506A1"/>
    <w:rsid w:val="006506A4"/>
    <w:rsid w:val="00650797"/>
    <w:rsid w:val="006507CB"/>
    <w:rsid w:val="006509FD"/>
    <w:rsid w:val="00650A31"/>
    <w:rsid w:val="00650ADD"/>
    <w:rsid w:val="00650B21"/>
    <w:rsid w:val="00650BC6"/>
    <w:rsid w:val="00650F3E"/>
    <w:rsid w:val="00650FAF"/>
    <w:rsid w:val="006510C2"/>
    <w:rsid w:val="006511E1"/>
    <w:rsid w:val="0065123C"/>
    <w:rsid w:val="006512DB"/>
    <w:rsid w:val="00651333"/>
    <w:rsid w:val="006514C4"/>
    <w:rsid w:val="00651630"/>
    <w:rsid w:val="0065163A"/>
    <w:rsid w:val="0065177C"/>
    <w:rsid w:val="00651980"/>
    <w:rsid w:val="00651AAF"/>
    <w:rsid w:val="00651BE0"/>
    <w:rsid w:val="00651C2E"/>
    <w:rsid w:val="00651D23"/>
    <w:rsid w:val="00651D2E"/>
    <w:rsid w:val="00651FA2"/>
    <w:rsid w:val="0065216D"/>
    <w:rsid w:val="0065217D"/>
    <w:rsid w:val="0065238E"/>
    <w:rsid w:val="00652406"/>
    <w:rsid w:val="006525C8"/>
    <w:rsid w:val="006525D1"/>
    <w:rsid w:val="00652621"/>
    <w:rsid w:val="0065279B"/>
    <w:rsid w:val="006528BF"/>
    <w:rsid w:val="00652A63"/>
    <w:rsid w:val="00652F86"/>
    <w:rsid w:val="00652FB7"/>
    <w:rsid w:val="00653229"/>
    <w:rsid w:val="00653325"/>
    <w:rsid w:val="00653392"/>
    <w:rsid w:val="0065346B"/>
    <w:rsid w:val="0065374A"/>
    <w:rsid w:val="006537B5"/>
    <w:rsid w:val="00653891"/>
    <w:rsid w:val="00653997"/>
    <w:rsid w:val="00653C85"/>
    <w:rsid w:val="00653E6C"/>
    <w:rsid w:val="00654049"/>
    <w:rsid w:val="006540FB"/>
    <w:rsid w:val="0065427A"/>
    <w:rsid w:val="006545C9"/>
    <w:rsid w:val="006547F0"/>
    <w:rsid w:val="0065485F"/>
    <w:rsid w:val="00654A8B"/>
    <w:rsid w:val="00654C35"/>
    <w:rsid w:val="00654D40"/>
    <w:rsid w:val="00654E46"/>
    <w:rsid w:val="00654E4D"/>
    <w:rsid w:val="0065502A"/>
    <w:rsid w:val="00655095"/>
    <w:rsid w:val="006551F4"/>
    <w:rsid w:val="00655299"/>
    <w:rsid w:val="006553DA"/>
    <w:rsid w:val="00655550"/>
    <w:rsid w:val="00655573"/>
    <w:rsid w:val="006555E6"/>
    <w:rsid w:val="006555F7"/>
    <w:rsid w:val="00655A2E"/>
    <w:rsid w:val="00655C46"/>
    <w:rsid w:val="00655C8A"/>
    <w:rsid w:val="00655D3C"/>
    <w:rsid w:val="00655ED5"/>
    <w:rsid w:val="0065617D"/>
    <w:rsid w:val="00656222"/>
    <w:rsid w:val="00656270"/>
    <w:rsid w:val="006563FD"/>
    <w:rsid w:val="006564F5"/>
    <w:rsid w:val="0065656F"/>
    <w:rsid w:val="00656629"/>
    <w:rsid w:val="0065666E"/>
    <w:rsid w:val="00656690"/>
    <w:rsid w:val="0065676F"/>
    <w:rsid w:val="00656990"/>
    <w:rsid w:val="00656A51"/>
    <w:rsid w:val="00656AB7"/>
    <w:rsid w:val="00656B5F"/>
    <w:rsid w:val="00656B86"/>
    <w:rsid w:val="00656C56"/>
    <w:rsid w:val="00656CCA"/>
    <w:rsid w:val="00656DB0"/>
    <w:rsid w:val="00657021"/>
    <w:rsid w:val="00657275"/>
    <w:rsid w:val="0065744C"/>
    <w:rsid w:val="00657470"/>
    <w:rsid w:val="00657563"/>
    <w:rsid w:val="006576FB"/>
    <w:rsid w:val="0065780E"/>
    <w:rsid w:val="006579CC"/>
    <w:rsid w:val="00657D85"/>
    <w:rsid w:val="00657EA8"/>
    <w:rsid w:val="00657FA4"/>
    <w:rsid w:val="006601E5"/>
    <w:rsid w:val="00660349"/>
    <w:rsid w:val="00660479"/>
    <w:rsid w:val="00660496"/>
    <w:rsid w:val="006604D6"/>
    <w:rsid w:val="0066057C"/>
    <w:rsid w:val="00660655"/>
    <w:rsid w:val="006607D8"/>
    <w:rsid w:val="0066090D"/>
    <w:rsid w:val="00660AC6"/>
    <w:rsid w:val="00660D27"/>
    <w:rsid w:val="006610E3"/>
    <w:rsid w:val="006610F6"/>
    <w:rsid w:val="006615F0"/>
    <w:rsid w:val="00661617"/>
    <w:rsid w:val="00661671"/>
    <w:rsid w:val="00661740"/>
    <w:rsid w:val="006617FF"/>
    <w:rsid w:val="0066182B"/>
    <w:rsid w:val="006618CF"/>
    <w:rsid w:val="006618EE"/>
    <w:rsid w:val="00661A96"/>
    <w:rsid w:val="00661B83"/>
    <w:rsid w:val="00661C0F"/>
    <w:rsid w:val="00661FAC"/>
    <w:rsid w:val="00661FCD"/>
    <w:rsid w:val="0066200F"/>
    <w:rsid w:val="00662029"/>
    <w:rsid w:val="006620D6"/>
    <w:rsid w:val="006620E3"/>
    <w:rsid w:val="00662122"/>
    <w:rsid w:val="006621EF"/>
    <w:rsid w:val="00662401"/>
    <w:rsid w:val="00662410"/>
    <w:rsid w:val="0066242B"/>
    <w:rsid w:val="006625C4"/>
    <w:rsid w:val="00662632"/>
    <w:rsid w:val="0066272B"/>
    <w:rsid w:val="00662A24"/>
    <w:rsid w:val="00662A43"/>
    <w:rsid w:val="00662A93"/>
    <w:rsid w:val="00662A96"/>
    <w:rsid w:val="00662AA9"/>
    <w:rsid w:val="00662C82"/>
    <w:rsid w:val="00662D00"/>
    <w:rsid w:val="00662D97"/>
    <w:rsid w:val="0066302A"/>
    <w:rsid w:val="00663161"/>
    <w:rsid w:val="00663171"/>
    <w:rsid w:val="0066325A"/>
    <w:rsid w:val="00663384"/>
    <w:rsid w:val="006633C2"/>
    <w:rsid w:val="006635A9"/>
    <w:rsid w:val="006636AE"/>
    <w:rsid w:val="0066375E"/>
    <w:rsid w:val="006637ED"/>
    <w:rsid w:val="00663F13"/>
    <w:rsid w:val="00663F99"/>
    <w:rsid w:val="006641CE"/>
    <w:rsid w:val="006641FB"/>
    <w:rsid w:val="00664306"/>
    <w:rsid w:val="0066433F"/>
    <w:rsid w:val="00664353"/>
    <w:rsid w:val="006643CA"/>
    <w:rsid w:val="0066445D"/>
    <w:rsid w:val="00664465"/>
    <w:rsid w:val="006646CB"/>
    <w:rsid w:val="006647AC"/>
    <w:rsid w:val="00664879"/>
    <w:rsid w:val="006649AD"/>
    <w:rsid w:val="00664B69"/>
    <w:rsid w:val="006651A2"/>
    <w:rsid w:val="00665285"/>
    <w:rsid w:val="006652C2"/>
    <w:rsid w:val="00665414"/>
    <w:rsid w:val="006655A4"/>
    <w:rsid w:val="0066562E"/>
    <w:rsid w:val="006656AF"/>
    <w:rsid w:val="0066591C"/>
    <w:rsid w:val="00665C79"/>
    <w:rsid w:val="00665D26"/>
    <w:rsid w:val="00665F36"/>
    <w:rsid w:val="00665F6A"/>
    <w:rsid w:val="0066606E"/>
    <w:rsid w:val="00666086"/>
    <w:rsid w:val="00666240"/>
    <w:rsid w:val="006662C2"/>
    <w:rsid w:val="00666343"/>
    <w:rsid w:val="00666490"/>
    <w:rsid w:val="006666B7"/>
    <w:rsid w:val="00666742"/>
    <w:rsid w:val="006668FC"/>
    <w:rsid w:val="00666B92"/>
    <w:rsid w:val="00666BA9"/>
    <w:rsid w:val="00666C0B"/>
    <w:rsid w:val="00666C62"/>
    <w:rsid w:val="00666CD2"/>
    <w:rsid w:val="00666CD7"/>
    <w:rsid w:val="00666DFA"/>
    <w:rsid w:val="00666E5E"/>
    <w:rsid w:val="00666F12"/>
    <w:rsid w:val="0066715A"/>
    <w:rsid w:val="00667176"/>
    <w:rsid w:val="006671DF"/>
    <w:rsid w:val="00667207"/>
    <w:rsid w:val="006673FC"/>
    <w:rsid w:val="0066740F"/>
    <w:rsid w:val="00667742"/>
    <w:rsid w:val="00667756"/>
    <w:rsid w:val="0066781E"/>
    <w:rsid w:val="0066787A"/>
    <w:rsid w:val="0066797E"/>
    <w:rsid w:val="00667A4B"/>
    <w:rsid w:val="00667B03"/>
    <w:rsid w:val="00667B13"/>
    <w:rsid w:val="00667B3B"/>
    <w:rsid w:val="00667B80"/>
    <w:rsid w:val="00667DAC"/>
    <w:rsid w:val="00667FD9"/>
    <w:rsid w:val="00670174"/>
    <w:rsid w:val="00670222"/>
    <w:rsid w:val="0067032F"/>
    <w:rsid w:val="00670465"/>
    <w:rsid w:val="00670510"/>
    <w:rsid w:val="00670839"/>
    <w:rsid w:val="00670B8D"/>
    <w:rsid w:val="00670BE6"/>
    <w:rsid w:val="00670C4B"/>
    <w:rsid w:val="00670D9C"/>
    <w:rsid w:val="00670E8A"/>
    <w:rsid w:val="00670F6B"/>
    <w:rsid w:val="0067105F"/>
    <w:rsid w:val="00671069"/>
    <w:rsid w:val="006710CC"/>
    <w:rsid w:val="006711F5"/>
    <w:rsid w:val="0067128C"/>
    <w:rsid w:val="00671352"/>
    <w:rsid w:val="006713A5"/>
    <w:rsid w:val="006713AD"/>
    <w:rsid w:val="0067145B"/>
    <w:rsid w:val="0067159A"/>
    <w:rsid w:val="006715DB"/>
    <w:rsid w:val="0067166C"/>
    <w:rsid w:val="006716AE"/>
    <w:rsid w:val="006716BE"/>
    <w:rsid w:val="006717B9"/>
    <w:rsid w:val="0067190F"/>
    <w:rsid w:val="00671A51"/>
    <w:rsid w:val="00671A88"/>
    <w:rsid w:val="00671AD1"/>
    <w:rsid w:val="00671C7B"/>
    <w:rsid w:val="00671DBE"/>
    <w:rsid w:val="00671DEF"/>
    <w:rsid w:val="00671DFD"/>
    <w:rsid w:val="00671E77"/>
    <w:rsid w:val="006722F4"/>
    <w:rsid w:val="00672316"/>
    <w:rsid w:val="00672452"/>
    <w:rsid w:val="006724F0"/>
    <w:rsid w:val="006726C1"/>
    <w:rsid w:val="00672A5E"/>
    <w:rsid w:val="00672AEF"/>
    <w:rsid w:val="00672CF1"/>
    <w:rsid w:val="006730BD"/>
    <w:rsid w:val="0067312F"/>
    <w:rsid w:val="006732B2"/>
    <w:rsid w:val="00673302"/>
    <w:rsid w:val="0067357F"/>
    <w:rsid w:val="00673658"/>
    <w:rsid w:val="00673903"/>
    <w:rsid w:val="00673B2F"/>
    <w:rsid w:val="00673BFC"/>
    <w:rsid w:val="00673CA4"/>
    <w:rsid w:val="0067402D"/>
    <w:rsid w:val="0067402F"/>
    <w:rsid w:val="0067417D"/>
    <w:rsid w:val="006741E5"/>
    <w:rsid w:val="006742BE"/>
    <w:rsid w:val="00674398"/>
    <w:rsid w:val="006743EF"/>
    <w:rsid w:val="00674414"/>
    <w:rsid w:val="0067458D"/>
    <w:rsid w:val="00674698"/>
    <w:rsid w:val="006746EF"/>
    <w:rsid w:val="00674A71"/>
    <w:rsid w:val="00674A80"/>
    <w:rsid w:val="00674C58"/>
    <w:rsid w:val="00675032"/>
    <w:rsid w:val="00675067"/>
    <w:rsid w:val="006750C2"/>
    <w:rsid w:val="00675174"/>
    <w:rsid w:val="00675263"/>
    <w:rsid w:val="006752A6"/>
    <w:rsid w:val="0067544C"/>
    <w:rsid w:val="0067559E"/>
    <w:rsid w:val="00675766"/>
    <w:rsid w:val="0067580D"/>
    <w:rsid w:val="0067588F"/>
    <w:rsid w:val="00675A1E"/>
    <w:rsid w:val="00675A9D"/>
    <w:rsid w:val="00675B8D"/>
    <w:rsid w:val="00675B91"/>
    <w:rsid w:val="00675C1A"/>
    <w:rsid w:val="00675C9F"/>
    <w:rsid w:val="00675CF1"/>
    <w:rsid w:val="0067620B"/>
    <w:rsid w:val="0067645F"/>
    <w:rsid w:val="006766AF"/>
    <w:rsid w:val="00676865"/>
    <w:rsid w:val="00676988"/>
    <w:rsid w:val="00676A18"/>
    <w:rsid w:val="00676A54"/>
    <w:rsid w:val="00676ADA"/>
    <w:rsid w:val="00676AED"/>
    <w:rsid w:val="00676B41"/>
    <w:rsid w:val="00676B58"/>
    <w:rsid w:val="00676D99"/>
    <w:rsid w:val="00676E7D"/>
    <w:rsid w:val="00676F58"/>
    <w:rsid w:val="0067717D"/>
    <w:rsid w:val="00677239"/>
    <w:rsid w:val="006772B5"/>
    <w:rsid w:val="00677754"/>
    <w:rsid w:val="006777DF"/>
    <w:rsid w:val="00677A34"/>
    <w:rsid w:val="00677C0A"/>
    <w:rsid w:val="00677CDF"/>
    <w:rsid w:val="00680121"/>
    <w:rsid w:val="0068055E"/>
    <w:rsid w:val="006808A2"/>
    <w:rsid w:val="00680BBF"/>
    <w:rsid w:val="00680C16"/>
    <w:rsid w:val="00680C7E"/>
    <w:rsid w:val="00680DF7"/>
    <w:rsid w:val="00680E09"/>
    <w:rsid w:val="00680EE5"/>
    <w:rsid w:val="006811DC"/>
    <w:rsid w:val="00681379"/>
    <w:rsid w:val="0068140B"/>
    <w:rsid w:val="0068154D"/>
    <w:rsid w:val="00681582"/>
    <w:rsid w:val="006815FF"/>
    <w:rsid w:val="00681643"/>
    <w:rsid w:val="006817CC"/>
    <w:rsid w:val="00681994"/>
    <w:rsid w:val="00681A49"/>
    <w:rsid w:val="00681B5B"/>
    <w:rsid w:val="00681BAB"/>
    <w:rsid w:val="00681C6B"/>
    <w:rsid w:val="00681CD3"/>
    <w:rsid w:val="00681E47"/>
    <w:rsid w:val="00681F9F"/>
    <w:rsid w:val="00681FB8"/>
    <w:rsid w:val="00682096"/>
    <w:rsid w:val="0068214D"/>
    <w:rsid w:val="006825EF"/>
    <w:rsid w:val="0068262C"/>
    <w:rsid w:val="00682739"/>
    <w:rsid w:val="0068278F"/>
    <w:rsid w:val="00682791"/>
    <w:rsid w:val="006827A5"/>
    <w:rsid w:val="00682834"/>
    <w:rsid w:val="006828DF"/>
    <w:rsid w:val="00682BE6"/>
    <w:rsid w:val="00682CFA"/>
    <w:rsid w:val="00682D5F"/>
    <w:rsid w:val="00682E5C"/>
    <w:rsid w:val="0068300C"/>
    <w:rsid w:val="0068306A"/>
    <w:rsid w:val="00683070"/>
    <w:rsid w:val="00683091"/>
    <w:rsid w:val="006831BE"/>
    <w:rsid w:val="00683280"/>
    <w:rsid w:val="0068336D"/>
    <w:rsid w:val="006833D4"/>
    <w:rsid w:val="00683514"/>
    <w:rsid w:val="0068357A"/>
    <w:rsid w:val="00683608"/>
    <w:rsid w:val="006837CF"/>
    <w:rsid w:val="00683946"/>
    <w:rsid w:val="006839F0"/>
    <w:rsid w:val="00683A04"/>
    <w:rsid w:val="00683A30"/>
    <w:rsid w:val="00683BB1"/>
    <w:rsid w:val="00683C62"/>
    <w:rsid w:val="00683D3E"/>
    <w:rsid w:val="00683E5A"/>
    <w:rsid w:val="00684043"/>
    <w:rsid w:val="006840A9"/>
    <w:rsid w:val="006840C0"/>
    <w:rsid w:val="00684131"/>
    <w:rsid w:val="006841E0"/>
    <w:rsid w:val="006841EC"/>
    <w:rsid w:val="00684216"/>
    <w:rsid w:val="0068429E"/>
    <w:rsid w:val="006842D6"/>
    <w:rsid w:val="0068435D"/>
    <w:rsid w:val="00684397"/>
    <w:rsid w:val="00684741"/>
    <w:rsid w:val="0068478B"/>
    <w:rsid w:val="0068482E"/>
    <w:rsid w:val="006849C1"/>
    <w:rsid w:val="006849EE"/>
    <w:rsid w:val="006849F8"/>
    <w:rsid w:val="00684BAE"/>
    <w:rsid w:val="00684BB4"/>
    <w:rsid w:val="00684BBB"/>
    <w:rsid w:val="00684CE4"/>
    <w:rsid w:val="00684D82"/>
    <w:rsid w:val="00684E80"/>
    <w:rsid w:val="00684F70"/>
    <w:rsid w:val="00684F86"/>
    <w:rsid w:val="00685178"/>
    <w:rsid w:val="006851EA"/>
    <w:rsid w:val="00685343"/>
    <w:rsid w:val="00685365"/>
    <w:rsid w:val="006853BB"/>
    <w:rsid w:val="006854E5"/>
    <w:rsid w:val="00685587"/>
    <w:rsid w:val="0068571B"/>
    <w:rsid w:val="00685752"/>
    <w:rsid w:val="0068578B"/>
    <w:rsid w:val="0068593E"/>
    <w:rsid w:val="00685956"/>
    <w:rsid w:val="00685989"/>
    <w:rsid w:val="00685D42"/>
    <w:rsid w:val="00685D6A"/>
    <w:rsid w:val="00685D7B"/>
    <w:rsid w:val="00685E73"/>
    <w:rsid w:val="00685F21"/>
    <w:rsid w:val="00685F85"/>
    <w:rsid w:val="00685F99"/>
    <w:rsid w:val="00686227"/>
    <w:rsid w:val="006862C6"/>
    <w:rsid w:val="0068632D"/>
    <w:rsid w:val="006863C1"/>
    <w:rsid w:val="0068669C"/>
    <w:rsid w:val="0068674B"/>
    <w:rsid w:val="00686756"/>
    <w:rsid w:val="006868A2"/>
    <w:rsid w:val="006868BA"/>
    <w:rsid w:val="00686C3A"/>
    <w:rsid w:val="00686F06"/>
    <w:rsid w:val="00686FCF"/>
    <w:rsid w:val="00687017"/>
    <w:rsid w:val="006870A6"/>
    <w:rsid w:val="006870C1"/>
    <w:rsid w:val="0068729F"/>
    <w:rsid w:val="00687342"/>
    <w:rsid w:val="006874C9"/>
    <w:rsid w:val="006875FB"/>
    <w:rsid w:val="0068760A"/>
    <w:rsid w:val="00687789"/>
    <w:rsid w:val="006877FE"/>
    <w:rsid w:val="00687930"/>
    <w:rsid w:val="006879FC"/>
    <w:rsid w:val="00687D47"/>
    <w:rsid w:val="00687E26"/>
    <w:rsid w:val="00690159"/>
    <w:rsid w:val="0069039A"/>
    <w:rsid w:val="00690456"/>
    <w:rsid w:val="006904F8"/>
    <w:rsid w:val="00690504"/>
    <w:rsid w:val="00690578"/>
    <w:rsid w:val="006905E9"/>
    <w:rsid w:val="00690628"/>
    <w:rsid w:val="0069063C"/>
    <w:rsid w:val="00690726"/>
    <w:rsid w:val="006909A5"/>
    <w:rsid w:val="00690AF9"/>
    <w:rsid w:val="00690C48"/>
    <w:rsid w:val="00690C86"/>
    <w:rsid w:val="00690C9E"/>
    <w:rsid w:val="00690D87"/>
    <w:rsid w:val="00690DCA"/>
    <w:rsid w:val="00690EC9"/>
    <w:rsid w:val="00691093"/>
    <w:rsid w:val="006911D2"/>
    <w:rsid w:val="00691238"/>
    <w:rsid w:val="006912A0"/>
    <w:rsid w:val="006912E7"/>
    <w:rsid w:val="0069135B"/>
    <w:rsid w:val="00691380"/>
    <w:rsid w:val="00691387"/>
    <w:rsid w:val="0069149E"/>
    <w:rsid w:val="00691504"/>
    <w:rsid w:val="006915CD"/>
    <w:rsid w:val="0069162A"/>
    <w:rsid w:val="006917EF"/>
    <w:rsid w:val="00691A64"/>
    <w:rsid w:val="00691ADB"/>
    <w:rsid w:val="00691C42"/>
    <w:rsid w:val="00691EC1"/>
    <w:rsid w:val="00691EDD"/>
    <w:rsid w:val="0069202D"/>
    <w:rsid w:val="00692058"/>
    <w:rsid w:val="006921AD"/>
    <w:rsid w:val="00692254"/>
    <w:rsid w:val="0069225A"/>
    <w:rsid w:val="0069239D"/>
    <w:rsid w:val="0069244F"/>
    <w:rsid w:val="006926BD"/>
    <w:rsid w:val="00692716"/>
    <w:rsid w:val="00692740"/>
    <w:rsid w:val="00692785"/>
    <w:rsid w:val="00692AAA"/>
    <w:rsid w:val="00692DFC"/>
    <w:rsid w:val="00692F26"/>
    <w:rsid w:val="00692F89"/>
    <w:rsid w:val="006932AA"/>
    <w:rsid w:val="00693448"/>
    <w:rsid w:val="00693493"/>
    <w:rsid w:val="006935A3"/>
    <w:rsid w:val="006935F1"/>
    <w:rsid w:val="00693613"/>
    <w:rsid w:val="006936B8"/>
    <w:rsid w:val="006936E3"/>
    <w:rsid w:val="00693774"/>
    <w:rsid w:val="006937E2"/>
    <w:rsid w:val="0069386F"/>
    <w:rsid w:val="006938E5"/>
    <w:rsid w:val="00693948"/>
    <w:rsid w:val="00693CE4"/>
    <w:rsid w:val="00693D32"/>
    <w:rsid w:val="00693E03"/>
    <w:rsid w:val="00694117"/>
    <w:rsid w:val="006941D5"/>
    <w:rsid w:val="006941FD"/>
    <w:rsid w:val="00694652"/>
    <w:rsid w:val="00694911"/>
    <w:rsid w:val="006949A3"/>
    <w:rsid w:val="00694AE6"/>
    <w:rsid w:val="00694CD6"/>
    <w:rsid w:val="00694D08"/>
    <w:rsid w:val="00694E6E"/>
    <w:rsid w:val="00694F5F"/>
    <w:rsid w:val="00694F63"/>
    <w:rsid w:val="00694F6E"/>
    <w:rsid w:val="006950EA"/>
    <w:rsid w:val="006951CA"/>
    <w:rsid w:val="00695379"/>
    <w:rsid w:val="0069583F"/>
    <w:rsid w:val="00695885"/>
    <w:rsid w:val="006959C2"/>
    <w:rsid w:val="00695B98"/>
    <w:rsid w:val="00695F65"/>
    <w:rsid w:val="00695FDC"/>
    <w:rsid w:val="00695FEC"/>
    <w:rsid w:val="0069611A"/>
    <w:rsid w:val="006962D7"/>
    <w:rsid w:val="00696585"/>
    <w:rsid w:val="006965D3"/>
    <w:rsid w:val="006967B1"/>
    <w:rsid w:val="00696891"/>
    <w:rsid w:val="0069693F"/>
    <w:rsid w:val="006969FD"/>
    <w:rsid w:val="00696A57"/>
    <w:rsid w:val="00696C50"/>
    <w:rsid w:val="00696CE1"/>
    <w:rsid w:val="00697410"/>
    <w:rsid w:val="0069767B"/>
    <w:rsid w:val="006976A5"/>
    <w:rsid w:val="00697A6C"/>
    <w:rsid w:val="00697BAE"/>
    <w:rsid w:val="00697C12"/>
    <w:rsid w:val="00697D47"/>
    <w:rsid w:val="00697DC1"/>
    <w:rsid w:val="00697EDA"/>
    <w:rsid w:val="006A01C1"/>
    <w:rsid w:val="006A046D"/>
    <w:rsid w:val="006A04FC"/>
    <w:rsid w:val="006A050B"/>
    <w:rsid w:val="006A05BF"/>
    <w:rsid w:val="006A07BA"/>
    <w:rsid w:val="006A07F6"/>
    <w:rsid w:val="006A08F9"/>
    <w:rsid w:val="006A0A10"/>
    <w:rsid w:val="006A0C1A"/>
    <w:rsid w:val="006A0C34"/>
    <w:rsid w:val="006A0C4F"/>
    <w:rsid w:val="006A0C91"/>
    <w:rsid w:val="006A0F4C"/>
    <w:rsid w:val="006A0F71"/>
    <w:rsid w:val="006A11D1"/>
    <w:rsid w:val="006A1503"/>
    <w:rsid w:val="006A161C"/>
    <w:rsid w:val="006A161D"/>
    <w:rsid w:val="006A18A6"/>
    <w:rsid w:val="006A191F"/>
    <w:rsid w:val="006A19A8"/>
    <w:rsid w:val="006A19E4"/>
    <w:rsid w:val="006A1A1C"/>
    <w:rsid w:val="006A1C50"/>
    <w:rsid w:val="006A1CB8"/>
    <w:rsid w:val="006A1E98"/>
    <w:rsid w:val="006A1F32"/>
    <w:rsid w:val="006A1F5A"/>
    <w:rsid w:val="006A1FDA"/>
    <w:rsid w:val="006A209F"/>
    <w:rsid w:val="006A212A"/>
    <w:rsid w:val="006A221F"/>
    <w:rsid w:val="006A2242"/>
    <w:rsid w:val="006A2394"/>
    <w:rsid w:val="006A2560"/>
    <w:rsid w:val="006A2570"/>
    <w:rsid w:val="006A25D7"/>
    <w:rsid w:val="006A25E2"/>
    <w:rsid w:val="006A26E3"/>
    <w:rsid w:val="006A2745"/>
    <w:rsid w:val="006A27E3"/>
    <w:rsid w:val="006A2821"/>
    <w:rsid w:val="006A2969"/>
    <w:rsid w:val="006A297B"/>
    <w:rsid w:val="006A2A5E"/>
    <w:rsid w:val="006A2AB1"/>
    <w:rsid w:val="006A2E9B"/>
    <w:rsid w:val="006A2EF6"/>
    <w:rsid w:val="006A2F69"/>
    <w:rsid w:val="006A3169"/>
    <w:rsid w:val="006A33E7"/>
    <w:rsid w:val="006A345C"/>
    <w:rsid w:val="006A34E2"/>
    <w:rsid w:val="006A37B6"/>
    <w:rsid w:val="006A380E"/>
    <w:rsid w:val="006A394B"/>
    <w:rsid w:val="006A3A79"/>
    <w:rsid w:val="006A3B36"/>
    <w:rsid w:val="006A3BA4"/>
    <w:rsid w:val="006A3BAD"/>
    <w:rsid w:val="006A3C81"/>
    <w:rsid w:val="006A3CB2"/>
    <w:rsid w:val="006A3E0B"/>
    <w:rsid w:val="006A3F47"/>
    <w:rsid w:val="006A403C"/>
    <w:rsid w:val="006A40BF"/>
    <w:rsid w:val="006A42B2"/>
    <w:rsid w:val="006A462A"/>
    <w:rsid w:val="006A4813"/>
    <w:rsid w:val="006A483A"/>
    <w:rsid w:val="006A4946"/>
    <w:rsid w:val="006A4A29"/>
    <w:rsid w:val="006A4C7D"/>
    <w:rsid w:val="006A4D34"/>
    <w:rsid w:val="006A4D41"/>
    <w:rsid w:val="006A4DB8"/>
    <w:rsid w:val="006A4DC8"/>
    <w:rsid w:val="006A4E17"/>
    <w:rsid w:val="006A4F0D"/>
    <w:rsid w:val="006A50E7"/>
    <w:rsid w:val="006A52A2"/>
    <w:rsid w:val="006A531A"/>
    <w:rsid w:val="006A54AD"/>
    <w:rsid w:val="006A554E"/>
    <w:rsid w:val="006A5719"/>
    <w:rsid w:val="006A5789"/>
    <w:rsid w:val="006A5836"/>
    <w:rsid w:val="006A5889"/>
    <w:rsid w:val="006A593F"/>
    <w:rsid w:val="006A5A56"/>
    <w:rsid w:val="006A5F0C"/>
    <w:rsid w:val="006A5F97"/>
    <w:rsid w:val="006A625C"/>
    <w:rsid w:val="006A6381"/>
    <w:rsid w:val="006A6383"/>
    <w:rsid w:val="006A639A"/>
    <w:rsid w:val="006A63A4"/>
    <w:rsid w:val="006A63E2"/>
    <w:rsid w:val="006A65E7"/>
    <w:rsid w:val="006A6706"/>
    <w:rsid w:val="006A6854"/>
    <w:rsid w:val="006A70D8"/>
    <w:rsid w:val="006A71C9"/>
    <w:rsid w:val="006A71D4"/>
    <w:rsid w:val="006A725C"/>
    <w:rsid w:val="006A731D"/>
    <w:rsid w:val="006A7328"/>
    <w:rsid w:val="006A73F1"/>
    <w:rsid w:val="006A78B7"/>
    <w:rsid w:val="006A7A9D"/>
    <w:rsid w:val="006A7AFD"/>
    <w:rsid w:val="006A7BD1"/>
    <w:rsid w:val="006A7BEF"/>
    <w:rsid w:val="006A7CE9"/>
    <w:rsid w:val="006A7CEF"/>
    <w:rsid w:val="006A7D2F"/>
    <w:rsid w:val="006A7D45"/>
    <w:rsid w:val="006A7DA2"/>
    <w:rsid w:val="006A7EA0"/>
    <w:rsid w:val="006B0006"/>
    <w:rsid w:val="006B0218"/>
    <w:rsid w:val="006B027F"/>
    <w:rsid w:val="006B0460"/>
    <w:rsid w:val="006B04D4"/>
    <w:rsid w:val="006B05F7"/>
    <w:rsid w:val="006B077B"/>
    <w:rsid w:val="006B0784"/>
    <w:rsid w:val="006B0793"/>
    <w:rsid w:val="006B0800"/>
    <w:rsid w:val="006B08CA"/>
    <w:rsid w:val="006B08D6"/>
    <w:rsid w:val="006B0A4D"/>
    <w:rsid w:val="006B0AC5"/>
    <w:rsid w:val="006B0B79"/>
    <w:rsid w:val="006B0BF0"/>
    <w:rsid w:val="006B0EF9"/>
    <w:rsid w:val="006B110E"/>
    <w:rsid w:val="006B1133"/>
    <w:rsid w:val="006B11DA"/>
    <w:rsid w:val="006B181A"/>
    <w:rsid w:val="006B19D0"/>
    <w:rsid w:val="006B1C6F"/>
    <w:rsid w:val="006B1D81"/>
    <w:rsid w:val="006B1EA0"/>
    <w:rsid w:val="006B1ED4"/>
    <w:rsid w:val="006B1FEC"/>
    <w:rsid w:val="006B2039"/>
    <w:rsid w:val="006B2173"/>
    <w:rsid w:val="006B21D7"/>
    <w:rsid w:val="006B2293"/>
    <w:rsid w:val="006B22F1"/>
    <w:rsid w:val="006B23AE"/>
    <w:rsid w:val="006B23B6"/>
    <w:rsid w:val="006B2680"/>
    <w:rsid w:val="006B2684"/>
    <w:rsid w:val="006B296C"/>
    <w:rsid w:val="006B2A52"/>
    <w:rsid w:val="006B2A83"/>
    <w:rsid w:val="006B2CB6"/>
    <w:rsid w:val="006B2D2B"/>
    <w:rsid w:val="006B2F06"/>
    <w:rsid w:val="006B31B9"/>
    <w:rsid w:val="006B337D"/>
    <w:rsid w:val="006B34FB"/>
    <w:rsid w:val="006B3593"/>
    <w:rsid w:val="006B35ED"/>
    <w:rsid w:val="006B36E3"/>
    <w:rsid w:val="006B3BBD"/>
    <w:rsid w:val="006B3E73"/>
    <w:rsid w:val="006B3EAE"/>
    <w:rsid w:val="006B3EB2"/>
    <w:rsid w:val="006B3F52"/>
    <w:rsid w:val="006B4065"/>
    <w:rsid w:val="006B4157"/>
    <w:rsid w:val="006B41F6"/>
    <w:rsid w:val="006B4312"/>
    <w:rsid w:val="006B4398"/>
    <w:rsid w:val="006B4451"/>
    <w:rsid w:val="006B445E"/>
    <w:rsid w:val="006B4704"/>
    <w:rsid w:val="006B474B"/>
    <w:rsid w:val="006B47EB"/>
    <w:rsid w:val="006B47FD"/>
    <w:rsid w:val="006B480C"/>
    <w:rsid w:val="006B48B6"/>
    <w:rsid w:val="006B495E"/>
    <w:rsid w:val="006B497A"/>
    <w:rsid w:val="006B4B90"/>
    <w:rsid w:val="006B4BF7"/>
    <w:rsid w:val="006B4C0A"/>
    <w:rsid w:val="006B4D09"/>
    <w:rsid w:val="006B4D29"/>
    <w:rsid w:val="006B4EE6"/>
    <w:rsid w:val="006B4EF8"/>
    <w:rsid w:val="006B528E"/>
    <w:rsid w:val="006B53DB"/>
    <w:rsid w:val="006B53F5"/>
    <w:rsid w:val="006B54AB"/>
    <w:rsid w:val="006B567A"/>
    <w:rsid w:val="006B5780"/>
    <w:rsid w:val="006B57FE"/>
    <w:rsid w:val="006B5930"/>
    <w:rsid w:val="006B5B70"/>
    <w:rsid w:val="006B5E98"/>
    <w:rsid w:val="006B61B9"/>
    <w:rsid w:val="006B6273"/>
    <w:rsid w:val="006B627D"/>
    <w:rsid w:val="006B635F"/>
    <w:rsid w:val="006B6492"/>
    <w:rsid w:val="006B65C2"/>
    <w:rsid w:val="006B6613"/>
    <w:rsid w:val="006B67FB"/>
    <w:rsid w:val="006B6845"/>
    <w:rsid w:val="006B695D"/>
    <w:rsid w:val="006B6AC1"/>
    <w:rsid w:val="006B6ACA"/>
    <w:rsid w:val="006B6BED"/>
    <w:rsid w:val="006B6C52"/>
    <w:rsid w:val="006B6CD8"/>
    <w:rsid w:val="006B6CF2"/>
    <w:rsid w:val="006B7104"/>
    <w:rsid w:val="006B7158"/>
    <w:rsid w:val="006B7161"/>
    <w:rsid w:val="006B72E6"/>
    <w:rsid w:val="006B7389"/>
    <w:rsid w:val="006B73B1"/>
    <w:rsid w:val="006B74AF"/>
    <w:rsid w:val="006B75B4"/>
    <w:rsid w:val="006B7628"/>
    <w:rsid w:val="006B7685"/>
    <w:rsid w:val="006B7758"/>
    <w:rsid w:val="006B7764"/>
    <w:rsid w:val="006B777A"/>
    <w:rsid w:val="006B7795"/>
    <w:rsid w:val="006B7816"/>
    <w:rsid w:val="006B78C1"/>
    <w:rsid w:val="006B791E"/>
    <w:rsid w:val="006B7A65"/>
    <w:rsid w:val="006B7C53"/>
    <w:rsid w:val="006B7D26"/>
    <w:rsid w:val="006B7D6C"/>
    <w:rsid w:val="006B7D90"/>
    <w:rsid w:val="006B7FA6"/>
    <w:rsid w:val="006C043A"/>
    <w:rsid w:val="006C04AF"/>
    <w:rsid w:val="006C089F"/>
    <w:rsid w:val="006C08EA"/>
    <w:rsid w:val="006C0A88"/>
    <w:rsid w:val="006C0D00"/>
    <w:rsid w:val="006C0D68"/>
    <w:rsid w:val="006C112A"/>
    <w:rsid w:val="006C123C"/>
    <w:rsid w:val="006C12A4"/>
    <w:rsid w:val="006C14FF"/>
    <w:rsid w:val="006C1525"/>
    <w:rsid w:val="006C1816"/>
    <w:rsid w:val="006C1831"/>
    <w:rsid w:val="006C1A7C"/>
    <w:rsid w:val="006C1AA0"/>
    <w:rsid w:val="006C1AC7"/>
    <w:rsid w:val="006C1ACC"/>
    <w:rsid w:val="006C1C08"/>
    <w:rsid w:val="006C1DB5"/>
    <w:rsid w:val="006C1E7C"/>
    <w:rsid w:val="006C1FE4"/>
    <w:rsid w:val="006C1FFF"/>
    <w:rsid w:val="006C20BB"/>
    <w:rsid w:val="006C2200"/>
    <w:rsid w:val="006C2592"/>
    <w:rsid w:val="006C269C"/>
    <w:rsid w:val="006C2737"/>
    <w:rsid w:val="006C277E"/>
    <w:rsid w:val="006C27BF"/>
    <w:rsid w:val="006C28A1"/>
    <w:rsid w:val="006C2970"/>
    <w:rsid w:val="006C2ACF"/>
    <w:rsid w:val="006C2B90"/>
    <w:rsid w:val="006C2BB1"/>
    <w:rsid w:val="006C2C85"/>
    <w:rsid w:val="006C2E44"/>
    <w:rsid w:val="006C2ECB"/>
    <w:rsid w:val="006C2EDB"/>
    <w:rsid w:val="006C300D"/>
    <w:rsid w:val="006C3063"/>
    <w:rsid w:val="006C32E1"/>
    <w:rsid w:val="006C33A1"/>
    <w:rsid w:val="006C3465"/>
    <w:rsid w:val="006C34CD"/>
    <w:rsid w:val="006C3554"/>
    <w:rsid w:val="006C394B"/>
    <w:rsid w:val="006C3A2F"/>
    <w:rsid w:val="006C3AB6"/>
    <w:rsid w:val="006C3B88"/>
    <w:rsid w:val="006C3BC1"/>
    <w:rsid w:val="006C3DFB"/>
    <w:rsid w:val="006C3E36"/>
    <w:rsid w:val="006C3EFD"/>
    <w:rsid w:val="006C3FD6"/>
    <w:rsid w:val="006C403B"/>
    <w:rsid w:val="006C41C7"/>
    <w:rsid w:val="006C4202"/>
    <w:rsid w:val="006C4252"/>
    <w:rsid w:val="006C44EB"/>
    <w:rsid w:val="006C4840"/>
    <w:rsid w:val="006C4871"/>
    <w:rsid w:val="006C4AEC"/>
    <w:rsid w:val="006C4BBE"/>
    <w:rsid w:val="006C4E41"/>
    <w:rsid w:val="006C4FA9"/>
    <w:rsid w:val="006C50E0"/>
    <w:rsid w:val="006C50E5"/>
    <w:rsid w:val="006C5210"/>
    <w:rsid w:val="006C53C9"/>
    <w:rsid w:val="006C5446"/>
    <w:rsid w:val="006C5459"/>
    <w:rsid w:val="006C5547"/>
    <w:rsid w:val="006C55A2"/>
    <w:rsid w:val="006C56A2"/>
    <w:rsid w:val="006C56CD"/>
    <w:rsid w:val="006C56F0"/>
    <w:rsid w:val="006C5874"/>
    <w:rsid w:val="006C5AE5"/>
    <w:rsid w:val="006C5B90"/>
    <w:rsid w:val="006C5C7E"/>
    <w:rsid w:val="006C5F9F"/>
    <w:rsid w:val="006C6049"/>
    <w:rsid w:val="006C60D6"/>
    <w:rsid w:val="006C6107"/>
    <w:rsid w:val="006C62A1"/>
    <w:rsid w:val="006C62BF"/>
    <w:rsid w:val="006C6573"/>
    <w:rsid w:val="006C6729"/>
    <w:rsid w:val="006C67B9"/>
    <w:rsid w:val="006C67C4"/>
    <w:rsid w:val="006C6926"/>
    <w:rsid w:val="006C6A2F"/>
    <w:rsid w:val="006C6DDC"/>
    <w:rsid w:val="006C6E42"/>
    <w:rsid w:val="006C6F2B"/>
    <w:rsid w:val="006C7025"/>
    <w:rsid w:val="006C7061"/>
    <w:rsid w:val="006C71F9"/>
    <w:rsid w:val="006C721B"/>
    <w:rsid w:val="006C727D"/>
    <w:rsid w:val="006C7513"/>
    <w:rsid w:val="006C75EE"/>
    <w:rsid w:val="006C7633"/>
    <w:rsid w:val="006C7713"/>
    <w:rsid w:val="006C7790"/>
    <w:rsid w:val="006C7879"/>
    <w:rsid w:val="006C7AF8"/>
    <w:rsid w:val="006C7B06"/>
    <w:rsid w:val="006C7B62"/>
    <w:rsid w:val="006C7BC3"/>
    <w:rsid w:val="006C7D3B"/>
    <w:rsid w:val="006D000D"/>
    <w:rsid w:val="006D00C4"/>
    <w:rsid w:val="006D012A"/>
    <w:rsid w:val="006D01E8"/>
    <w:rsid w:val="006D0207"/>
    <w:rsid w:val="006D0301"/>
    <w:rsid w:val="006D03B0"/>
    <w:rsid w:val="006D085C"/>
    <w:rsid w:val="006D0945"/>
    <w:rsid w:val="006D0A02"/>
    <w:rsid w:val="006D0A09"/>
    <w:rsid w:val="006D0B3A"/>
    <w:rsid w:val="006D0E91"/>
    <w:rsid w:val="006D0ED9"/>
    <w:rsid w:val="006D0F15"/>
    <w:rsid w:val="006D1134"/>
    <w:rsid w:val="006D1138"/>
    <w:rsid w:val="006D11F0"/>
    <w:rsid w:val="006D13B7"/>
    <w:rsid w:val="006D13FC"/>
    <w:rsid w:val="006D15A6"/>
    <w:rsid w:val="006D16AB"/>
    <w:rsid w:val="006D1799"/>
    <w:rsid w:val="006D1874"/>
    <w:rsid w:val="006D19C4"/>
    <w:rsid w:val="006D1F6D"/>
    <w:rsid w:val="006D1F9C"/>
    <w:rsid w:val="006D2039"/>
    <w:rsid w:val="006D2052"/>
    <w:rsid w:val="006D20C6"/>
    <w:rsid w:val="006D217F"/>
    <w:rsid w:val="006D2197"/>
    <w:rsid w:val="006D21AB"/>
    <w:rsid w:val="006D2270"/>
    <w:rsid w:val="006D22FB"/>
    <w:rsid w:val="006D2349"/>
    <w:rsid w:val="006D2545"/>
    <w:rsid w:val="006D285C"/>
    <w:rsid w:val="006D2A03"/>
    <w:rsid w:val="006D2AB2"/>
    <w:rsid w:val="006D2ACA"/>
    <w:rsid w:val="006D2B09"/>
    <w:rsid w:val="006D2B9C"/>
    <w:rsid w:val="006D2BA4"/>
    <w:rsid w:val="006D2BA8"/>
    <w:rsid w:val="006D2D0E"/>
    <w:rsid w:val="006D2EBB"/>
    <w:rsid w:val="006D2EBF"/>
    <w:rsid w:val="006D2F92"/>
    <w:rsid w:val="006D333F"/>
    <w:rsid w:val="006D33D1"/>
    <w:rsid w:val="006D33FF"/>
    <w:rsid w:val="006D3473"/>
    <w:rsid w:val="006D35A1"/>
    <w:rsid w:val="006D35AC"/>
    <w:rsid w:val="006D3728"/>
    <w:rsid w:val="006D3766"/>
    <w:rsid w:val="006D37B6"/>
    <w:rsid w:val="006D3A36"/>
    <w:rsid w:val="006D3A3A"/>
    <w:rsid w:val="006D3E02"/>
    <w:rsid w:val="006D4290"/>
    <w:rsid w:val="006D42EA"/>
    <w:rsid w:val="006D42F8"/>
    <w:rsid w:val="006D435E"/>
    <w:rsid w:val="006D43B1"/>
    <w:rsid w:val="006D441C"/>
    <w:rsid w:val="006D4464"/>
    <w:rsid w:val="006D44A1"/>
    <w:rsid w:val="006D479D"/>
    <w:rsid w:val="006D4A5D"/>
    <w:rsid w:val="006D4D44"/>
    <w:rsid w:val="006D4D5E"/>
    <w:rsid w:val="006D4DC8"/>
    <w:rsid w:val="006D4E30"/>
    <w:rsid w:val="006D4E7C"/>
    <w:rsid w:val="006D5118"/>
    <w:rsid w:val="006D53BF"/>
    <w:rsid w:val="006D5417"/>
    <w:rsid w:val="006D5696"/>
    <w:rsid w:val="006D56D2"/>
    <w:rsid w:val="006D5714"/>
    <w:rsid w:val="006D578A"/>
    <w:rsid w:val="006D59A7"/>
    <w:rsid w:val="006D59CF"/>
    <w:rsid w:val="006D5B38"/>
    <w:rsid w:val="006D5DD2"/>
    <w:rsid w:val="006D5F25"/>
    <w:rsid w:val="006D5F8B"/>
    <w:rsid w:val="006D60C7"/>
    <w:rsid w:val="006D64F6"/>
    <w:rsid w:val="006D6508"/>
    <w:rsid w:val="006D66A9"/>
    <w:rsid w:val="006D6878"/>
    <w:rsid w:val="006D68D8"/>
    <w:rsid w:val="006D6A86"/>
    <w:rsid w:val="006D6DB1"/>
    <w:rsid w:val="006D6E70"/>
    <w:rsid w:val="006D7173"/>
    <w:rsid w:val="006D7192"/>
    <w:rsid w:val="006D71B3"/>
    <w:rsid w:val="006D71B9"/>
    <w:rsid w:val="006D71DA"/>
    <w:rsid w:val="006D71E6"/>
    <w:rsid w:val="006D72BF"/>
    <w:rsid w:val="006D7442"/>
    <w:rsid w:val="006D74BD"/>
    <w:rsid w:val="006D7711"/>
    <w:rsid w:val="006D7864"/>
    <w:rsid w:val="006D78B5"/>
    <w:rsid w:val="006D7961"/>
    <w:rsid w:val="006D799A"/>
    <w:rsid w:val="006D79DB"/>
    <w:rsid w:val="006D79EB"/>
    <w:rsid w:val="006D79F2"/>
    <w:rsid w:val="006D7A40"/>
    <w:rsid w:val="006D7BD6"/>
    <w:rsid w:val="006D7C7E"/>
    <w:rsid w:val="006D7D13"/>
    <w:rsid w:val="006D7E75"/>
    <w:rsid w:val="006D7E8E"/>
    <w:rsid w:val="006D7EB4"/>
    <w:rsid w:val="006D7EBA"/>
    <w:rsid w:val="006D7F09"/>
    <w:rsid w:val="006D7F50"/>
    <w:rsid w:val="006D7FFA"/>
    <w:rsid w:val="006E008F"/>
    <w:rsid w:val="006E026E"/>
    <w:rsid w:val="006E0380"/>
    <w:rsid w:val="006E048E"/>
    <w:rsid w:val="006E04EA"/>
    <w:rsid w:val="006E05D1"/>
    <w:rsid w:val="006E05E9"/>
    <w:rsid w:val="006E0639"/>
    <w:rsid w:val="006E06BC"/>
    <w:rsid w:val="006E08BB"/>
    <w:rsid w:val="006E0A4D"/>
    <w:rsid w:val="006E0ABF"/>
    <w:rsid w:val="006E0EA2"/>
    <w:rsid w:val="006E117A"/>
    <w:rsid w:val="006E1238"/>
    <w:rsid w:val="006E128D"/>
    <w:rsid w:val="006E1518"/>
    <w:rsid w:val="006E15BF"/>
    <w:rsid w:val="006E15D2"/>
    <w:rsid w:val="006E1636"/>
    <w:rsid w:val="006E16B9"/>
    <w:rsid w:val="006E18A3"/>
    <w:rsid w:val="006E18AD"/>
    <w:rsid w:val="006E1B3B"/>
    <w:rsid w:val="006E1E86"/>
    <w:rsid w:val="006E1EE1"/>
    <w:rsid w:val="006E1F3D"/>
    <w:rsid w:val="006E21C6"/>
    <w:rsid w:val="006E21EF"/>
    <w:rsid w:val="006E2366"/>
    <w:rsid w:val="006E2375"/>
    <w:rsid w:val="006E2554"/>
    <w:rsid w:val="006E25AD"/>
    <w:rsid w:val="006E25B1"/>
    <w:rsid w:val="006E25F9"/>
    <w:rsid w:val="006E26BA"/>
    <w:rsid w:val="006E274C"/>
    <w:rsid w:val="006E2864"/>
    <w:rsid w:val="006E2937"/>
    <w:rsid w:val="006E2972"/>
    <w:rsid w:val="006E2A4B"/>
    <w:rsid w:val="006E2B93"/>
    <w:rsid w:val="006E2B9E"/>
    <w:rsid w:val="006E2EF9"/>
    <w:rsid w:val="006E3180"/>
    <w:rsid w:val="006E331D"/>
    <w:rsid w:val="006E36DC"/>
    <w:rsid w:val="006E386D"/>
    <w:rsid w:val="006E3AA0"/>
    <w:rsid w:val="006E3D79"/>
    <w:rsid w:val="006E3DD5"/>
    <w:rsid w:val="006E4074"/>
    <w:rsid w:val="006E4096"/>
    <w:rsid w:val="006E429F"/>
    <w:rsid w:val="006E42B4"/>
    <w:rsid w:val="006E433E"/>
    <w:rsid w:val="006E4460"/>
    <w:rsid w:val="006E4689"/>
    <w:rsid w:val="006E46D5"/>
    <w:rsid w:val="006E46E5"/>
    <w:rsid w:val="006E473D"/>
    <w:rsid w:val="006E4772"/>
    <w:rsid w:val="006E49D5"/>
    <w:rsid w:val="006E4A8E"/>
    <w:rsid w:val="006E4B99"/>
    <w:rsid w:val="006E4BE4"/>
    <w:rsid w:val="006E4CAE"/>
    <w:rsid w:val="006E51A5"/>
    <w:rsid w:val="006E5240"/>
    <w:rsid w:val="006E5316"/>
    <w:rsid w:val="006E5371"/>
    <w:rsid w:val="006E53AB"/>
    <w:rsid w:val="006E559D"/>
    <w:rsid w:val="006E561A"/>
    <w:rsid w:val="006E56AC"/>
    <w:rsid w:val="006E56D4"/>
    <w:rsid w:val="006E5842"/>
    <w:rsid w:val="006E58EB"/>
    <w:rsid w:val="006E59A4"/>
    <w:rsid w:val="006E59BB"/>
    <w:rsid w:val="006E5B6D"/>
    <w:rsid w:val="006E5C87"/>
    <w:rsid w:val="006E5C9C"/>
    <w:rsid w:val="006E5D84"/>
    <w:rsid w:val="006E5DB9"/>
    <w:rsid w:val="006E5E16"/>
    <w:rsid w:val="006E5E47"/>
    <w:rsid w:val="006E5E5D"/>
    <w:rsid w:val="006E5E6D"/>
    <w:rsid w:val="006E5E72"/>
    <w:rsid w:val="006E5F36"/>
    <w:rsid w:val="006E6016"/>
    <w:rsid w:val="006E61BF"/>
    <w:rsid w:val="006E625D"/>
    <w:rsid w:val="006E6402"/>
    <w:rsid w:val="006E64B3"/>
    <w:rsid w:val="006E65EA"/>
    <w:rsid w:val="006E692E"/>
    <w:rsid w:val="006E693E"/>
    <w:rsid w:val="006E697B"/>
    <w:rsid w:val="006E6AEA"/>
    <w:rsid w:val="006E6C7E"/>
    <w:rsid w:val="006E6D3C"/>
    <w:rsid w:val="006E6D51"/>
    <w:rsid w:val="006E6F3B"/>
    <w:rsid w:val="006E6F41"/>
    <w:rsid w:val="006E7208"/>
    <w:rsid w:val="006E7217"/>
    <w:rsid w:val="006E72C5"/>
    <w:rsid w:val="006E7496"/>
    <w:rsid w:val="006E74E5"/>
    <w:rsid w:val="006E7510"/>
    <w:rsid w:val="006E76A8"/>
    <w:rsid w:val="006E7954"/>
    <w:rsid w:val="006E7968"/>
    <w:rsid w:val="006E7BF8"/>
    <w:rsid w:val="006E7C4D"/>
    <w:rsid w:val="006E7CA1"/>
    <w:rsid w:val="006E7F22"/>
    <w:rsid w:val="006E7F97"/>
    <w:rsid w:val="006E9F09"/>
    <w:rsid w:val="006F0092"/>
    <w:rsid w:val="006F0172"/>
    <w:rsid w:val="006F01C1"/>
    <w:rsid w:val="006F028C"/>
    <w:rsid w:val="006F03D1"/>
    <w:rsid w:val="006F07C5"/>
    <w:rsid w:val="006F07FB"/>
    <w:rsid w:val="006F086E"/>
    <w:rsid w:val="006F0928"/>
    <w:rsid w:val="006F0B92"/>
    <w:rsid w:val="006F0C0E"/>
    <w:rsid w:val="006F0DE9"/>
    <w:rsid w:val="006F1009"/>
    <w:rsid w:val="006F10CC"/>
    <w:rsid w:val="006F10F1"/>
    <w:rsid w:val="006F11AE"/>
    <w:rsid w:val="006F11EC"/>
    <w:rsid w:val="006F1419"/>
    <w:rsid w:val="006F1426"/>
    <w:rsid w:val="006F153A"/>
    <w:rsid w:val="006F1632"/>
    <w:rsid w:val="006F1806"/>
    <w:rsid w:val="006F185E"/>
    <w:rsid w:val="006F18FD"/>
    <w:rsid w:val="006F19A5"/>
    <w:rsid w:val="006F1B0E"/>
    <w:rsid w:val="006F1D18"/>
    <w:rsid w:val="006F1E4B"/>
    <w:rsid w:val="006F2114"/>
    <w:rsid w:val="006F2146"/>
    <w:rsid w:val="006F22AB"/>
    <w:rsid w:val="006F2362"/>
    <w:rsid w:val="006F2472"/>
    <w:rsid w:val="006F24C4"/>
    <w:rsid w:val="006F2558"/>
    <w:rsid w:val="006F25D3"/>
    <w:rsid w:val="006F26CF"/>
    <w:rsid w:val="006F280C"/>
    <w:rsid w:val="006F283C"/>
    <w:rsid w:val="006F288A"/>
    <w:rsid w:val="006F296E"/>
    <w:rsid w:val="006F2ABC"/>
    <w:rsid w:val="006F2DD3"/>
    <w:rsid w:val="006F2EF7"/>
    <w:rsid w:val="006F2F53"/>
    <w:rsid w:val="006F2F5F"/>
    <w:rsid w:val="006F324A"/>
    <w:rsid w:val="006F3288"/>
    <w:rsid w:val="006F32CA"/>
    <w:rsid w:val="006F3364"/>
    <w:rsid w:val="006F34C6"/>
    <w:rsid w:val="006F34D6"/>
    <w:rsid w:val="006F3871"/>
    <w:rsid w:val="006F3BA0"/>
    <w:rsid w:val="006F3BD8"/>
    <w:rsid w:val="006F3D73"/>
    <w:rsid w:val="006F3E4E"/>
    <w:rsid w:val="006F40A5"/>
    <w:rsid w:val="006F4262"/>
    <w:rsid w:val="006F441E"/>
    <w:rsid w:val="006F47B8"/>
    <w:rsid w:val="006F4CBB"/>
    <w:rsid w:val="006F4F65"/>
    <w:rsid w:val="006F540B"/>
    <w:rsid w:val="006F55FD"/>
    <w:rsid w:val="006F58A1"/>
    <w:rsid w:val="006F59E5"/>
    <w:rsid w:val="006F5B71"/>
    <w:rsid w:val="006F5C2D"/>
    <w:rsid w:val="006F5E77"/>
    <w:rsid w:val="006F5F7B"/>
    <w:rsid w:val="006F6147"/>
    <w:rsid w:val="006F63D8"/>
    <w:rsid w:val="006F6807"/>
    <w:rsid w:val="006F690E"/>
    <w:rsid w:val="006F6950"/>
    <w:rsid w:val="006F6999"/>
    <w:rsid w:val="006F6B25"/>
    <w:rsid w:val="006F6B6E"/>
    <w:rsid w:val="006F6E6E"/>
    <w:rsid w:val="006F6EC8"/>
    <w:rsid w:val="006F6F7E"/>
    <w:rsid w:val="006F6FB4"/>
    <w:rsid w:val="006F6FE0"/>
    <w:rsid w:val="006F70F1"/>
    <w:rsid w:val="006F70F5"/>
    <w:rsid w:val="006F712A"/>
    <w:rsid w:val="006F71BE"/>
    <w:rsid w:val="006F72C3"/>
    <w:rsid w:val="006F7315"/>
    <w:rsid w:val="006F74A3"/>
    <w:rsid w:val="006F74F1"/>
    <w:rsid w:val="006F75A9"/>
    <w:rsid w:val="006F7616"/>
    <w:rsid w:val="006F76F2"/>
    <w:rsid w:val="006F77D8"/>
    <w:rsid w:val="006F7936"/>
    <w:rsid w:val="006F7953"/>
    <w:rsid w:val="006F7965"/>
    <w:rsid w:val="006F7B83"/>
    <w:rsid w:val="006F7E59"/>
    <w:rsid w:val="006F7F6C"/>
    <w:rsid w:val="0070017C"/>
    <w:rsid w:val="00700672"/>
    <w:rsid w:val="0070072C"/>
    <w:rsid w:val="00700808"/>
    <w:rsid w:val="007009D6"/>
    <w:rsid w:val="00700A7E"/>
    <w:rsid w:val="00700A9C"/>
    <w:rsid w:val="00700BCF"/>
    <w:rsid w:val="00700C26"/>
    <w:rsid w:val="00700F0F"/>
    <w:rsid w:val="007010CD"/>
    <w:rsid w:val="007011BE"/>
    <w:rsid w:val="007012DC"/>
    <w:rsid w:val="007013E6"/>
    <w:rsid w:val="0070143F"/>
    <w:rsid w:val="0070158E"/>
    <w:rsid w:val="0070159A"/>
    <w:rsid w:val="00701667"/>
    <w:rsid w:val="00701684"/>
    <w:rsid w:val="0070190D"/>
    <w:rsid w:val="00701994"/>
    <w:rsid w:val="007019D2"/>
    <w:rsid w:val="00701A6A"/>
    <w:rsid w:val="00701AF3"/>
    <w:rsid w:val="00701D88"/>
    <w:rsid w:val="00701DF0"/>
    <w:rsid w:val="00702179"/>
    <w:rsid w:val="0070218C"/>
    <w:rsid w:val="00702208"/>
    <w:rsid w:val="0070225F"/>
    <w:rsid w:val="007022B9"/>
    <w:rsid w:val="0070248F"/>
    <w:rsid w:val="0070256C"/>
    <w:rsid w:val="00702715"/>
    <w:rsid w:val="00702856"/>
    <w:rsid w:val="00702A14"/>
    <w:rsid w:val="00702B19"/>
    <w:rsid w:val="00702C5E"/>
    <w:rsid w:val="00702EB6"/>
    <w:rsid w:val="00702F95"/>
    <w:rsid w:val="00702F9B"/>
    <w:rsid w:val="0070304A"/>
    <w:rsid w:val="0070332D"/>
    <w:rsid w:val="00703451"/>
    <w:rsid w:val="00703626"/>
    <w:rsid w:val="0070364A"/>
    <w:rsid w:val="00703910"/>
    <w:rsid w:val="00703A54"/>
    <w:rsid w:val="00703AD7"/>
    <w:rsid w:val="00703C33"/>
    <w:rsid w:val="00703D68"/>
    <w:rsid w:val="00703E37"/>
    <w:rsid w:val="00703F37"/>
    <w:rsid w:val="007041D2"/>
    <w:rsid w:val="007043AB"/>
    <w:rsid w:val="00704419"/>
    <w:rsid w:val="0070447D"/>
    <w:rsid w:val="00704806"/>
    <w:rsid w:val="0070493A"/>
    <w:rsid w:val="007049A0"/>
    <w:rsid w:val="00704B6C"/>
    <w:rsid w:val="00704C44"/>
    <w:rsid w:val="00704F48"/>
    <w:rsid w:val="00704FBC"/>
    <w:rsid w:val="00704FBD"/>
    <w:rsid w:val="00704FFA"/>
    <w:rsid w:val="0070505B"/>
    <w:rsid w:val="00705077"/>
    <w:rsid w:val="007050D9"/>
    <w:rsid w:val="0070510A"/>
    <w:rsid w:val="00705422"/>
    <w:rsid w:val="00705473"/>
    <w:rsid w:val="007054A7"/>
    <w:rsid w:val="00705A1D"/>
    <w:rsid w:val="00705B2F"/>
    <w:rsid w:val="00705B99"/>
    <w:rsid w:val="00705BB0"/>
    <w:rsid w:val="00705C17"/>
    <w:rsid w:val="00705C30"/>
    <w:rsid w:val="00705D61"/>
    <w:rsid w:val="00705DC7"/>
    <w:rsid w:val="00705EA7"/>
    <w:rsid w:val="0070603A"/>
    <w:rsid w:val="00706117"/>
    <w:rsid w:val="00706157"/>
    <w:rsid w:val="007061B1"/>
    <w:rsid w:val="007061C5"/>
    <w:rsid w:val="0070625F"/>
    <w:rsid w:val="00706279"/>
    <w:rsid w:val="00706504"/>
    <w:rsid w:val="007065E9"/>
    <w:rsid w:val="00706607"/>
    <w:rsid w:val="0070663B"/>
    <w:rsid w:val="00706778"/>
    <w:rsid w:val="0070679E"/>
    <w:rsid w:val="007067EB"/>
    <w:rsid w:val="007068A5"/>
    <w:rsid w:val="00706913"/>
    <w:rsid w:val="00706987"/>
    <w:rsid w:val="00706AE7"/>
    <w:rsid w:val="00706B0B"/>
    <w:rsid w:val="00706B18"/>
    <w:rsid w:val="00706B3C"/>
    <w:rsid w:val="00706B53"/>
    <w:rsid w:val="00706B73"/>
    <w:rsid w:val="00706CB8"/>
    <w:rsid w:val="00706EA6"/>
    <w:rsid w:val="00707011"/>
    <w:rsid w:val="0070721E"/>
    <w:rsid w:val="007074BF"/>
    <w:rsid w:val="007074C8"/>
    <w:rsid w:val="007076F2"/>
    <w:rsid w:val="00707818"/>
    <w:rsid w:val="007078E5"/>
    <w:rsid w:val="00707912"/>
    <w:rsid w:val="00707A80"/>
    <w:rsid w:val="00707B3E"/>
    <w:rsid w:val="00707CDB"/>
    <w:rsid w:val="00707EAA"/>
    <w:rsid w:val="00707EF4"/>
    <w:rsid w:val="00710008"/>
    <w:rsid w:val="0071000B"/>
    <w:rsid w:val="007100F9"/>
    <w:rsid w:val="0071045A"/>
    <w:rsid w:val="0071053D"/>
    <w:rsid w:val="0071057B"/>
    <w:rsid w:val="007105E6"/>
    <w:rsid w:val="007108C9"/>
    <w:rsid w:val="00710A2B"/>
    <w:rsid w:val="00710C5C"/>
    <w:rsid w:val="00710C89"/>
    <w:rsid w:val="00710D3C"/>
    <w:rsid w:val="00710D49"/>
    <w:rsid w:val="00710EA7"/>
    <w:rsid w:val="00710F80"/>
    <w:rsid w:val="007114A5"/>
    <w:rsid w:val="007115F6"/>
    <w:rsid w:val="0071161E"/>
    <w:rsid w:val="00711715"/>
    <w:rsid w:val="00711780"/>
    <w:rsid w:val="00711829"/>
    <w:rsid w:val="007118F4"/>
    <w:rsid w:val="00711976"/>
    <w:rsid w:val="00711A0D"/>
    <w:rsid w:val="00711A6E"/>
    <w:rsid w:val="00711C1B"/>
    <w:rsid w:val="00711C6C"/>
    <w:rsid w:val="00711C7B"/>
    <w:rsid w:val="00711DA4"/>
    <w:rsid w:val="00711E11"/>
    <w:rsid w:val="00711E39"/>
    <w:rsid w:val="00711F41"/>
    <w:rsid w:val="0071279F"/>
    <w:rsid w:val="007129BC"/>
    <w:rsid w:val="007129D9"/>
    <w:rsid w:val="007129E4"/>
    <w:rsid w:val="00712A54"/>
    <w:rsid w:val="00712B03"/>
    <w:rsid w:val="00712C94"/>
    <w:rsid w:val="00712CE2"/>
    <w:rsid w:val="00712D69"/>
    <w:rsid w:val="00712D81"/>
    <w:rsid w:val="00712F05"/>
    <w:rsid w:val="00712FD5"/>
    <w:rsid w:val="0071322D"/>
    <w:rsid w:val="007134C7"/>
    <w:rsid w:val="007135C6"/>
    <w:rsid w:val="007135D8"/>
    <w:rsid w:val="007135F1"/>
    <w:rsid w:val="00713651"/>
    <w:rsid w:val="007138BA"/>
    <w:rsid w:val="00713DDE"/>
    <w:rsid w:val="00713E8A"/>
    <w:rsid w:val="00713EC9"/>
    <w:rsid w:val="00713FAB"/>
    <w:rsid w:val="00714233"/>
    <w:rsid w:val="00714239"/>
    <w:rsid w:val="0071434D"/>
    <w:rsid w:val="00714453"/>
    <w:rsid w:val="007144B1"/>
    <w:rsid w:val="007145A5"/>
    <w:rsid w:val="0071462C"/>
    <w:rsid w:val="0071462E"/>
    <w:rsid w:val="00714682"/>
    <w:rsid w:val="00714703"/>
    <w:rsid w:val="007147AD"/>
    <w:rsid w:val="007147BE"/>
    <w:rsid w:val="007148EC"/>
    <w:rsid w:val="0071499D"/>
    <w:rsid w:val="00714A2E"/>
    <w:rsid w:val="00714ACF"/>
    <w:rsid w:val="00714BF6"/>
    <w:rsid w:val="00714C96"/>
    <w:rsid w:val="00714CB4"/>
    <w:rsid w:val="00714CCD"/>
    <w:rsid w:val="00714FEC"/>
    <w:rsid w:val="00715059"/>
    <w:rsid w:val="00715129"/>
    <w:rsid w:val="007154C8"/>
    <w:rsid w:val="00715589"/>
    <w:rsid w:val="00715637"/>
    <w:rsid w:val="00715654"/>
    <w:rsid w:val="0071571D"/>
    <w:rsid w:val="007157F3"/>
    <w:rsid w:val="0071580D"/>
    <w:rsid w:val="007158F5"/>
    <w:rsid w:val="00715947"/>
    <w:rsid w:val="007159E0"/>
    <w:rsid w:val="00715C48"/>
    <w:rsid w:val="00715CDD"/>
    <w:rsid w:val="00715DB8"/>
    <w:rsid w:val="00715E08"/>
    <w:rsid w:val="00715F62"/>
    <w:rsid w:val="00716006"/>
    <w:rsid w:val="00716008"/>
    <w:rsid w:val="0071611E"/>
    <w:rsid w:val="0071613E"/>
    <w:rsid w:val="007161E0"/>
    <w:rsid w:val="0071626A"/>
    <w:rsid w:val="007162EA"/>
    <w:rsid w:val="0071635D"/>
    <w:rsid w:val="0071640B"/>
    <w:rsid w:val="0071644F"/>
    <w:rsid w:val="007165B9"/>
    <w:rsid w:val="007168A6"/>
    <w:rsid w:val="007169B3"/>
    <w:rsid w:val="00716A00"/>
    <w:rsid w:val="00716A7C"/>
    <w:rsid w:val="00716D38"/>
    <w:rsid w:val="00716DF5"/>
    <w:rsid w:val="00716FFC"/>
    <w:rsid w:val="00717404"/>
    <w:rsid w:val="007174F3"/>
    <w:rsid w:val="00717551"/>
    <w:rsid w:val="00717576"/>
    <w:rsid w:val="007177BF"/>
    <w:rsid w:val="007177E9"/>
    <w:rsid w:val="00717802"/>
    <w:rsid w:val="00717D18"/>
    <w:rsid w:val="00717D33"/>
    <w:rsid w:val="00717E83"/>
    <w:rsid w:val="0072005E"/>
    <w:rsid w:val="00720234"/>
    <w:rsid w:val="0072041D"/>
    <w:rsid w:val="007204EC"/>
    <w:rsid w:val="00720541"/>
    <w:rsid w:val="007207D2"/>
    <w:rsid w:val="00720A59"/>
    <w:rsid w:val="00720B3E"/>
    <w:rsid w:val="00720B4E"/>
    <w:rsid w:val="00720C45"/>
    <w:rsid w:val="00720C77"/>
    <w:rsid w:val="00720D7E"/>
    <w:rsid w:val="00720FF7"/>
    <w:rsid w:val="00721257"/>
    <w:rsid w:val="007212A6"/>
    <w:rsid w:val="007212A9"/>
    <w:rsid w:val="007212AD"/>
    <w:rsid w:val="00721673"/>
    <w:rsid w:val="007216E0"/>
    <w:rsid w:val="007217E7"/>
    <w:rsid w:val="0072188D"/>
    <w:rsid w:val="0072198E"/>
    <w:rsid w:val="007219C2"/>
    <w:rsid w:val="007219FA"/>
    <w:rsid w:val="00721A64"/>
    <w:rsid w:val="00721B19"/>
    <w:rsid w:val="00721BAC"/>
    <w:rsid w:val="00721C85"/>
    <w:rsid w:val="00721D80"/>
    <w:rsid w:val="00721E37"/>
    <w:rsid w:val="00721ED8"/>
    <w:rsid w:val="007220AD"/>
    <w:rsid w:val="0072212C"/>
    <w:rsid w:val="00722159"/>
    <w:rsid w:val="0072215C"/>
    <w:rsid w:val="00722215"/>
    <w:rsid w:val="007222B2"/>
    <w:rsid w:val="00722313"/>
    <w:rsid w:val="00722409"/>
    <w:rsid w:val="00722486"/>
    <w:rsid w:val="007226B8"/>
    <w:rsid w:val="0072271C"/>
    <w:rsid w:val="00722767"/>
    <w:rsid w:val="00722896"/>
    <w:rsid w:val="00722940"/>
    <w:rsid w:val="0072294F"/>
    <w:rsid w:val="007229E4"/>
    <w:rsid w:val="00722A8E"/>
    <w:rsid w:val="00722AA6"/>
    <w:rsid w:val="00722AC5"/>
    <w:rsid w:val="00722B51"/>
    <w:rsid w:val="00722D78"/>
    <w:rsid w:val="00722E10"/>
    <w:rsid w:val="00722EB4"/>
    <w:rsid w:val="00723051"/>
    <w:rsid w:val="00723099"/>
    <w:rsid w:val="00723124"/>
    <w:rsid w:val="0072313A"/>
    <w:rsid w:val="00723327"/>
    <w:rsid w:val="00723556"/>
    <w:rsid w:val="007236C9"/>
    <w:rsid w:val="007238C3"/>
    <w:rsid w:val="007239E5"/>
    <w:rsid w:val="00723C29"/>
    <w:rsid w:val="00723C74"/>
    <w:rsid w:val="00723E93"/>
    <w:rsid w:val="007240F1"/>
    <w:rsid w:val="0072413A"/>
    <w:rsid w:val="0072413F"/>
    <w:rsid w:val="007243B5"/>
    <w:rsid w:val="00724455"/>
    <w:rsid w:val="007244D2"/>
    <w:rsid w:val="0072452D"/>
    <w:rsid w:val="0072459A"/>
    <w:rsid w:val="00724854"/>
    <w:rsid w:val="00724878"/>
    <w:rsid w:val="007249A7"/>
    <w:rsid w:val="007249DC"/>
    <w:rsid w:val="007249E2"/>
    <w:rsid w:val="00724A0C"/>
    <w:rsid w:val="00725063"/>
    <w:rsid w:val="007253A2"/>
    <w:rsid w:val="007253F4"/>
    <w:rsid w:val="007254A7"/>
    <w:rsid w:val="0072568A"/>
    <w:rsid w:val="0072572F"/>
    <w:rsid w:val="00725768"/>
    <w:rsid w:val="007257B0"/>
    <w:rsid w:val="007257F6"/>
    <w:rsid w:val="00725853"/>
    <w:rsid w:val="007258BD"/>
    <w:rsid w:val="007258F7"/>
    <w:rsid w:val="007258FB"/>
    <w:rsid w:val="00725951"/>
    <w:rsid w:val="00725956"/>
    <w:rsid w:val="00725BA4"/>
    <w:rsid w:val="00725E10"/>
    <w:rsid w:val="00725F2E"/>
    <w:rsid w:val="007260E0"/>
    <w:rsid w:val="007260EA"/>
    <w:rsid w:val="0072617F"/>
    <w:rsid w:val="00726375"/>
    <w:rsid w:val="007263A9"/>
    <w:rsid w:val="0072652F"/>
    <w:rsid w:val="0072655B"/>
    <w:rsid w:val="0072675A"/>
    <w:rsid w:val="0072675F"/>
    <w:rsid w:val="007267FF"/>
    <w:rsid w:val="0072683A"/>
    <w:rsid w:val="0072683C"/>
    <w:rsid w:val="00726983"/>
    <w:rsid w:val="00726BD1"/>
    <w:rsid w:val="00726C01"/>
    <w:rsid w:val="00726C16"/>
    <w:rsid w:val="00726C34"/>
    <w:rsid w:val="00726D2B"/>
    <w:rsid w:val="00726E84"/>
    <w:rsid w:val="00726FB7"/>
    <w:rsid w:val="00727415"/>
    <w:rsid w:val="0072746C"/>
    <w:rsid w:val="00727488"/>
    <w:rsid w:val="00727570"/>
    <w:rsid w:val="00727616"/>
    <w:rsid w:val="0072761D"/>
    <w:rsid w:val="0072776D"/>
    <w:rsid w:val="0072782E"/>
    <w:rsid w:val="007279A5"/>
    <w:rsid w:val="00727A89"/>
    <w:rsid w:val="00727C67"/>
    <w:rsid w:val="00727F51"/>
    <w:rsid w:val="007301EA"/>
    <w:rsid w:val="00730343"/>
    <w:rsid w:val="007305AD"/>
    <w:rsid w:val="00730619"/>
    <w:rsid w:val="007306F2"/>
    <w:rsid w:val="00730750"/>
    <w:rsid w:val="00730761"/>
    <w:rsid w:val="007307AD"/>
    <w:rsid w:val="00730806"/>
    <w:rsid w:val="007308BA"/>
    <w:rsid w:val="0073099E"/>
    <w:rsid w:val="00730A2E"/>
    <w:rsid w:val="00730A67"/>
    <w:rsid w:val="00730AAF"/>
    <w:rsid w:val="00730B08"/>
    <w:rsid w:val="00730CBD"/>
    <w:rsid w:val="00730CF5"/>
    <w:rsid w:val="00730E40"/>
    <w:rsid w:val="00730EB8"/>
    <w:rsid w:val="00730ED2"/>
    <w:rsid w:val="00731046"/>
    <w:rsid w:val="007310C9"/>
    <w:rsid w:val="007310F3"/>
    <w:rsid w:val="007311CF"/>
    <w:rsid w:val="007311F4"/>
    <w:rsid w:val="0073134C"/>
    <w:rsid w:val="00731409"/>
    <w:rsid w:val="0073154F"/>
    <w:rsid w:val="0073160D"/>
    <w:rsid w:val="007317B7"/>
    <w:rsid w:val="00731944"/>
    <w:rsid w:val="00731A19"/>
    <w:rsid w:val="00731D14"/>
    <w:rsid w:val="00732019"/>
    <w:rsid w:val="00732096"/>
    <w:rsid w:val="00732319"/>
    <w:rsid w:val="0073238C"/>
    <w:rsid w:val="0073238E"/>
    <w:rsid w:val="007324FA"/>
    <w:rsid w:val="00732698"/>
    <w:rsid w:val="0073270F"/>
    <w:rsid w:val="00732766"/>
    <w:rsid w:val="007327EE"/>
    <w:rsid w:val="00732853"/>
    <w:rsid w:val="007329A2"/>
    <w:rsid w:val="007329B9"/>
    <w:rsid w:val="00732A89"/>
    <w:rsid w:val="00732B20"/>
    <w:rsid w:val="00732B3B"/>
    <w:rsid w:val="00732B48"/>
    <w:rsid w:val="007331B6"/>
    <w:rsid w:val="0073321E"/>
    <w:rsid w:val="007334E8"/>
    <w:rsid w:val="007335E1"/>
    <w:rsid w:val="00733696"/>
    <w:rsid w:val="00733793"/>
    <w:rsid w:val="0073396E"/>
    <w:rsid w:val="00733EEF"/>
    <w:rsid w:val="00733F44"/>
    <w:rsid w:val="00734185"/>
    <w:rsid w:val="0073423B"/>
    <w:rsid w:val="0073425E"/>
    <w:rsid w:val="007344B2"/>
    <w:rsid w:val="007344B4"/>
    <w:rsid w:val="00734505"/>
    <w:rsid w:val="00734649"/>
    <w:rsid w:val="00734ABE"/>
    <w:rsid w:val="00734DA3"/>
    <w:rsid w:val="00734DD9"/>
    <w:rsid w:val="007350D9"/>
    <w:rsid w:val="007352DC"/>
    <w:rsid w:val="007354B0"/>
    <w:rsid w:val="00735530"/>
    <w:rsid w:val="00735622"/>
    <w:rsid w:val="0073564E"/>
    <w:rsid w:val="007356B7"/>
    <w:rsid w:val="0073577A"/>
    <w:rsid w:val="007357E1"/>
    <w:rsid w:val="0073587A"/>
    <w:rsid w:val="007358C9"/>
    <w:rsid w:val="007358D6"/>
    <w:rsid w:val="00735959"/>
    <w:rsid w:val="00735A70"/>
    <w:rsid w:val="00735C6B"/>
    <w:rsid w:val="00735C82"/>
    <w:rsid w:val="00735CFA"/>
    <w:rsid w:val="00735D00"/>
    <w:rsid w:val="00735DD4"/>
    <w:rsid w:val="00735F69"/>
    <w:rsid w:val="00735F70"/>
    <w:rsid w:val="00736001"/>
    <w:rsid w:val="00736171"/>
    <w:rsid w:val="00736429"/>
    <w:rsid w:val="00736546"/>
    <w:rsid w:val="0073667C"/>
    <w:rsid w:val="007366FF"/>
    <w:rsid w:val="007368BD"/>
    <w:rsid w:val="007368C6"/>
    <w:rsid w:val="00736A0D"/>
    <w:rsid w:val="00736A45"/>
    <w:rsid w:val="00736AA6"/>
    <w:rsid w:val="00736BC2"/>
    <w:rsid w:val="00736C35"/>
    <w:rsid w:val="00736E82"/>
    <w:rsid w:val="007370D7"/>
    <w:rsid w:val="0073713B"/>
    <w:rsid w:val="007371D5"/>
    <w:rsid w:val="00737255"/>
    <w:rsid w:val="007373AC"/>
    <w:rsid w:val="007373EB"/>
    <w:rsid w:val="00737409"/>
    <w:rsid w:val="007374D9"/>
    <w:rsid w:val="0073761A"/>
    <w:rsid w:val="00737863"/>
    <w:rsid w:val="00737A42"/>
    <w:rsid w:val="00737B45"/>
    <w:rsid w:val="00737C14"/>
    <w:rsid w:val="00737C88"/>
    <w:rsid w:val="00737CCC"/>
    <w:rsid w:val="00737DD5"/>
    <w:rsid w:val="007400D2"/>
    <w:rsid w:val="0074028F"/>
    <w:rsid w:val="00740708"/>
    <w:rsid w:val="007408DA"/>
    <w:rsid w:val="00740B06"/>
    <w:rsid w:val="00740E05"/>
    <w:rsid w:val="00740F42"/>
    <w:rsid w:val="00741038"/>
    <w:rsid w:val="007412C2"/>
    <w:rsid w:val="007414DB"/>
    <w:rsid w:val="0074164B"/>
    <w:rsid w:val="00741738"/>
    <w:rsid w:val="00741917"/>
    <w:rsid w:val="00741A56"/>
    <w:rsid w:val="00741B9F"/>
    <w:rsid w:val="00741DA1"/>
    <w:rsid w:val="00741E88"/>
    <w:rsid w:val="00741EBF"/>
    <w:rsid w:val="00741F6D"/>
    <w:rsid w:val="0074204A"/>
    <w:rsid w:val="00742063"/>
    <w:rsid w:val="007420EF"/>
    <w:rsid w:val="0074227B"/>
    <w:rsid w:val="007422E8"/>
    <w:rsid w:val="007422FD"/>
    <w:rsid w:val="007423D3"/>
    <w:rsid w:val="007424D1"/>
    <w:rsid w:val="0074256F"/>
    <w:rsid w:val="00742638"/>
    <w:rsid w:val="007426AB"/>
    <w:rsid w:val="00742932"/>
    <w:rsid w:val="00742A12"/>
    <w:rsid w:val="00742B7A"/>
    <w:rsid w:val="00742BBC"/>
    <w:rsid w:val="00742BC0"/>
    <w:rsid w:val="00742C12"/>
    <w:rsid w:val="00742F2F"/>
    <w:rsid w:val="007430FC"/>
    <w:rsid w:val="00743194"/>
    <w:rsid w:val="00743279"/>
    <w:rsid w:val="00743365"/>
    <w:rsid w:val="007433B7"/>
    <w:rsid w:val="00743667"/>
    <w:rsid w:val="00743685"/>
    <w:rsid w:val="007436C6"/>
    <w:rsid w:val="007436EE"/>
    <w:rsid w:val="007436F6"/>
    <w:rsid w:val="00743814"/>
    <w:rsid w:val="007439ED"/>
    <w:rsid w:val="00743A41"/>
    <w:rsid w:val="00743B89"/>
    <w:rsid w:val="00743CF6"/>
    <w:rsid w:val="00743D96"/>
    <w:rsid w:val="00743DC4"/>
    <w:rsid w:val="00744011"/>
    <w:rsid w:val="00744180"/>
    <w:rsid w:val="00744241"/>
    <w:rsid w:val="007443A5"/>
    <w:rsid w:val="00744502"/>
    <w:rsid w:val="00744586"/>
    <w:rsid w:val="00744902"/>
    <w:rsid w:val="0074493A"/>
    <w:rsid w:val="0074498C"/>
    <w:rsid w:val="00744B0E"/>
    <w:rsid w:val="00744C71"/>
    <w:rsid w:val="00744CAB"/>
    <w:rsid w:val="00744CE9"/>
    <w:rsid w:val="00744ECE"/>
    <w:rsid w:val="00744EF7"/>
    <w:rsid w:val="00744FDC"/>
    <w:rsid w:val="00745269"/>
    <w:rsid w:val="007453A4"/>
    <w:rsid w:val="0074547E"/>
    <w:rsid w:val="00745980"/>
    <w:rsid w:val="00745A57"/>
    <w:rsid w:val="00745C67"/>
    <w:rsid w:val="00745E27"/>
    <w:rsid w:val="00745F12"/>
    <w:rsid w:val="00745F3B"/>
    <w:rsid w:val="00746214"/>
    <w:rsid w:val="0074634B"/>
    <w:rsid w:val="0074651A"/>
    <w:rsid w:val="0074666A"/>
    <w:rsid w:val="007466B6"/>
    <w:rsid w:val="007467BD"/>
    <w:rsid w:val="007467D6"/>
    <w:rsid w:val="00746A11"/>
    <w:rsid w:val="00746D1A"/>
    <w:rsid w:val="00746E1F"/>
    <w:rsid w:val="00746F26"/>
    <w:rsid w:val="00746F39"/>
    <w:rsid w:val="00746FB8"/>
    <w:rsid w:val="00746FCA"/>
    <w:rsid w:val="00746FE6"/>
    <w:rsid w:val="0074701C"/>
    <w:rsid w:val="007470C9"/>
    <w:rsid w:val="0074726A"/>
    <w:rsid w:val="007472CF"/>
    <w:rsid w:val="00747458"/>
    <w:rsid w:val="0074775A"/>
    <w:rsid w:val="00747767"/>
    <w:rsid w:val="007479F2"/>
    <w:rsid w:val="00747A0A"/>
    <w:rsid w:val="00747B91"/>
    <w:rsid w:val="00747DAB"/>
    <w:rsid w:val="00747FFB"/>
    <w:rsid w:val="007501A8"/>
    <w:rsid w:val="007501D9"/>
    <w:rsid w:val="00750221"/>
    <w:rsid w:val="0075047A"/>
    <w:rsid w:val="0075047E"/>
    <w:rsid w:val="0075049F"/>
    <w:rsid w:val="007505DB"/>
    <w:rsid w:val="00750766"/>
    <w:rsid w:val="00750A26"/>
    <w:rsid w:val="00750D38"/>
    <w:rsid w:val="00750D45"/>
    <w:rsid w:val="00750DF8"/>
    <w:rsid w:val="0075117D"/>
    <w:rsid w:val="0075120B"/>
    <w:rsid w:val="007512A1"/>
    <w:rsid w:val="00751379"/>
    <w:rsid w:val="00751393"/>
    <w:rsid w:val="00751423"/>
    <w:rsid w:val="00751472"/>
    <w:rsid w:val="00751577"/>
    <w:rsid w:val="007515A7"/>
    <w:rsid w:val="00751673"/>
    <w:rsid w:val="00751709"/>
    <w:rsid w:val="00751760"/>
    <w:rsid w:val="00751B0B"/>
    <w:rsid w:val="00751B19"/>
    <w:rsid w:val="00751C19"/>
    <w:rsid w:val="00751F15"/>
    <w:rsid w:val="00751F91"/>
    <w:rsid w:val="00752000"/>
    <w:rsid w:val="007521F8"/>
    <w:rsid w:val="007522F3"/>
    <w:rsid w:val="0075239F"/>
    <w:rsid w:val="0075282A"/>
    <w:rsid w:val="007528F6"/>
    <w:rsid w:val="00752926"/>
    <w:rsid w:val="00752B99"/>
    <w:rsid w:val="00752CCC"/>
    <w:rsid w:val="00752D75"/>
    <w:rsid w:val="00752D7F"/>
    <w:rsid w:val="00752DBA"/>
    <w:rsid w:val="00752E43"/>
    <w:rsid w:val="00753042"/>
    <w:rsid w:val="007530B3"/>
    <w:rsid w:val="00753319"/>
    <w:rsid w:val="007533A4"/>
    <w:rsid w:val="0075350E"/>
    <w:rsid w:val="00753745"/>
    <w:rsid w:val="007537F7"/>
    <w:rsid w:val="00753919"/>
    <w:rsid w:val="00753A55"/>
    <w:rsid w:val="00753A9F"/>
    <w:rsid w:val="00753AA0"/>
    <w:rsid w:val="00753B21"/>
    <w:rsid w:val="00753B90"/>
    <w:rsid w:val="00753C46"/>
    <w:rsid w:val="00753E01"/>
    <w:rsid w:val="007541E9"/>
    <w:rsid w:val="00754215"/>
    <w:rsid w:val="00754231"/>
    <w:rsid w:val="00754320"/>
    <w:rsid w:val="0075436C"/>
    <w:rsid w:val="0075443F"/>
    <w:rsid w:val="0075477C"/>
    <w:rsid w:val="0075485E"/>
    <w:rsid w:val="00754953"/>
    <w:rsid w:val="007549EE"/>
    <w:rsid w:val="00754A9F"/>
    <w:rsid w:val="00754CAC"/>
    <w:rsid w:val="00754DBD"/>
    <w:rsid w:val="00754E8B"/>
    <w:rsid w:val="00754F25"/>
    <w:rsid w:val="00755636"/>
    <w:rsid w:val="0075563E"/>
    <w:rsid w:val="0075580C"/>
    <w:rsid w:val="0075586D"/>
    <w:rsid w:val="00755BE2"/>
    <w:rsid w:val="00755C33"/>
    <w:rsid w:val="00755C8B"/>
    <w:rsid w:val="00755F0A"/>
    <w:rsid w:val="00756040"/>
    <w:rsid w:val="007560D0"/>
    <w:rsid w:val="00756109"/>
    <w:rsid w:val="00756319"/>
    <w:rsid w:val="007563FA"/>
    <w:rsid w:val="00756429"/>
    <w:rsid w:val="0075642E"/>
    <w:rsid w:val="007565A8"/>
    <w:rsid w:val="0075672A"/>
    <w:rsid w:val="0075683E"/>
    <w:rsid w:val="00756A03"/>
    <w:rsid w:val="00756A99"/>
    <w:rsid w:val="00756C36"/>
    <w:rsid w:val="00756C3D"/>
    <w:rsid w:val="00756C4C"/>
    <w:rsid w:val="00756CA0"/>
    <w:rsid w:val="00756CC8"/>
    <w:rsid w:val="00756D13"/>
    <w:rsid w:val="00756F9B"/>
    <w:rsid w:val="0075703A"/>
    <w:rsid w:val="007570AA"/>
    <w:rsid w:val="007570D8"/>
    <w:rsid w:val="007570ED"/>
    <w:rsid w:val="00757151"/>
    <w:rsid w:val="0075716F"/>
    <w:rsid w:val="0075723B"/>
    <w:rsid w:val="00757572"/>
    <w:rsid w:val="00757699"/>
    <w:rsid w:val="007578C3"/>
    <w:rsid w:val="007579D9"/>
    <w:rsid w:val="007579E0"/>
    <w:rsid w:val="00757A00"/>
    <w:rsid w:val="00757C5B"/>
    <w:rsid w:val="0076013E"/>
    <w:rsid w:val="00760167"/>
    <w:rsid w:val="00760278"/>
    <w:rsid w:val="00760511"/>
    <w:rsid w:val="007605CD"/>
    <w:rsid w:val="00760635"/>
    <w:rsid w:val="00760681"/>
    <w:rsid w:val="0076090D"/>
    <w:rsid w:val="00760A07"/>
    <w:rsid w:val="00760A4A"/>
    <w:rsid w:val="00760A5E"/>
    <w:rsid w:val="00760B9E"/>
    <w:rsid w:val="00760BB4"/>
    <w:rsid w:val="0076108E"/>
    <w:rsid w:val="007610D6"/>
    <w:rsid w:val="007610DC"/>
    <w:rsid w:val="0076113A"/>
    <w:rsid w:val="0076120D"/>
    <w:rsid w:val="00761370"/>
    <w:rsid w:val="007613B3"/>
    <w:rsid w:val="00761535"/>
    <w:rsid w:val="0076155D"/>
    <w:rsid w:val="0076162D"/>
    <w:rsid w:val="007616DC"/>
    <w:rsid w:val="00761712"/>
    <w:rsid w:val="007617C0"/>
    <w:rsid w:val="007617DA"/>
    <w:rsid w:val="00761A60"/>
    <w:rsid w:val="00761D46"/>
    <w:rsid w:val="00761E0B"/>
    <w:rsid w:val="00762023"/>
    <w:rsid w:val="007621E4"/>
    <w:rsid w:val="007622C2"/>
    <w:rsid w:val="00762384"/>
    <w:rsid w:val="007623C8"/>
    <w:rsid w:val="00762490"/>
    <w:rsid w:val="007624A1"/>
    <w:rsid w:val="007624EB"/>
    <w:rsid w:val="007625E1"/>
    <w:rsid w:val="00762713"/>
    <w:rsid w:val="00762762"/>
    <w:rsid w:val="0076284F"/>
    <w:rsid w:val="00762A2B"/>
    <w:rsid w:val="00762A3B"/>
    <w:rsid w:val="00762A54"/>
    <w:rsid w:val="0076332B"/>
    <w:rsid w:val="0076340C"/>
    <w:rsid w:val="0076362B"/>
    <w:rsid w:val="00763824"/>
    <w:rsid w:val="00763B4B"/>
    <w:rsid w:val="00763BD1"/>
    <w:rsid w:val="00763C71"/>
    <w:rsid w:val="00763D15"/>
    <w:rsid w:val="00763F05"/>
    <w:rsid w:val="00763F42"/>
    <w:rsid w:val="00764173"/>
    <w:rsid w:val="007641C5"/>
    <w:rsid w:val="007642C5"/>
    <w:rsid w:val="007642D3"/>
    <w:rsid w:val="007643B4"/>
    <w:rsid w:val="0076473F"/>
    <w:rsid w:val="00764877"/>
    <w:rsid w:val="0076496D"/>
    <w:rsid w:val="00764B82"/>
    <w:rsid w:val="00764DB4"/>
    <w:rsid w:val="00764E3D"/>
    <w:rsid w:val="0076514D"/>
    <w:rsid w:val="00765174"/>
    <w:rsid w:val="0076527E"/>
    <w:rsid w:val="00765297"/>
    <w:rsid w:val="007652AF"/>
    <w:rsid w:val="007653B9"/>
    <w:rsid w:val="007653D3"/>
    <w:rsid w:val="00765423"/>
    <w:rsid w:val="00765485"/>
    <w:rsid w:val="007654BA"/>
    <w:rsid w:val="007654EE"/>
    <w:rsid w:val="007656AB"/>
    <w:rsid w:val="007656D5"/>
    <w:rsid w:val="007657BF"/>
    <w:rsid w:val="007657E6"/>
    <w:rsid w:val="0076597F"/>
    <w:rsid w:val="0076599A"/>
    <w:rsid w:val="00765CBB"/>
    <w:rsid w:val="00765DD1"/>
    <w:rsid w:val="00765ED5"/>
    <w:rsid w:val="00765F0D"/>
    <w:rsid w:val="00765FD9"/>
    <w:rsid w:val="007662E6"/>
    <w:rsid w:val="007663CF"/>
    <w:rsid w:val="00766493"/>
    <w:rsid w:val="007664B1"/>
    <w:rsid w:val="00766513"/>
    <w:rsid w:val="0076665A"/>
    <w:rsid w:val="00766743"/>
    <w:rsid w:val="00766779"/>
    <w:rsid w:val="0076680A"/>
    <w:rsid w:val="007668E9"/>
    <w:rsid w:val="007669CB"/>
    <w:rsid w:val="00766C15"/>
    <w:rsid w:val="00767073"/>
    <w:rsid w:val="00767184"/>
    <w:rsid w:val="00767488"/>
    <w:rsid w:val="0076750E"/>
    <w:rsid w:val="00767546"/>
    <w:rsid w:val="0076756B"/>
    <w:rsid w:val="007677BF"/>
    <w:rsid w:val="007678D2"/>
    <w:rsid w:val="007679DC"/>
    <w:rsid w:val="00767B8A"/>
    <w:rsid w:val="00767D43"/>
    <w:rsid w:val="00770173"/>
    <w:rsid w:val="00770243"/>
    <w:rsid w:val="007703DE"/>
    <w:rsid w:val="007704BA"/>
    <w:rsid w:val="0077062C"/>
    <w:rsid w:val="007706FA"/>
    <w:rsid w:val="00770826"/>
    <w:rsid w:val="007708C3"/>
    <w:rsid w:val="00770914"/>
    <w:rsid w:val="00770966"/>
    <w:rsid w:val="00770A96"/>
    <w:rsid w:val="00770B2E"/>
    <w:rsid w:val="00770CB7"/>
    <w:rsid w:val="00770CB9"/>
    <w:rsid w:val="00770D1E"/>
    <w:rsid w:val="00770FAD"/>
    <w:rsid w:val="0077106D"/>
    <w:rsid w:val="00771277"/>
    <w:rsid w:val="0077132C"/>
    <w:rsid w:val="00771364"/>
    <w:rsid w:val="0077147B"/>
    <w:rsid w:val="007714A9"/>
    <w:rsid w:val="0077152B"/>
    <w:rsid w:val="007715D9"/>
    <w:rsid w:val="00771724"/>
    <w:rsid w:val="0077196C"/>
    <w:rsid w:val="007719A7"/>
    <w:rsid w:val="00771BE6"/>
    <w:rsid w:val="00771CB9"/>
    <w:rsid w:val="00771CD0"/>
    <w:rsid w:val="00771F24"/>
    <w:rsid w:val="00772054"/>
    <w:rsid w:val="00772072"/>
    <w:rsid w:val="007720C4"/>
    <w:rsid w:val="00772197"/>
    <w:rsid w:val="00772229"/>
    <w:rsid w:val="00772326"/>
    <w:rsid w:val="0077233B"/>
    <w:rsid w:val="00772511"/>
    <w:rsid w:val="0077272C"/>
    <w:rsid w:val="00772791"/>
    <w:rsid w:val="00772798"/>
    <w:rsid w:val="0077290D"/>
    <w:rsid w:val="00772A14"/>
    <w:rsid w:val="00772B24"/>
    <w:rsid w:val="00772D0D"/>
    <w:rsid w:val="00772D5F"/>
    <w:rsid w:val="00772E30"/>
    <w:rsid w:val="0077347A"/>
    <w:rsid w:val="00773638"/>
    <w:rsid w:val="0077387C"/>
    <w:rsid w:val="00773A01"/>
    <w:rsid w:val="00773A84"/>
    <w:rsid w:val="00773BE0"/>
    <w:rsid w:val="00773D09"/>
    <w:rsid w:val="00773E55"/>
    <w:rsid w:val="00773F5B"/>
    <w:rsid w:val="00773FEE"/>
    <w:rsid w:val="00774171"/>
    <w:rsid w:val="007744AE"/>
    <w:rsid w:val="007744CF"/>
    <w:rsid w:val="007745FF"/>
    <w:rsid w:val="00774620"/>
    <w:rsid w:val="0077485D"/>
    <w:rsid w:val="00774A9C"/>
    <w:rsid w:val="00774ADB"/>
    <w:rsid w:val="00774AEB"/>
    <w:rsid w:val="00774B6D"/>
    <w:rsid w:val="00774C1E"/>
    <w:rsid w:val="00774D04"/>
    <w:rsid w:val="00774D79"/>
    <w:rsid w:val="007751CA"/>
    <w:rsid w:val="0077550B"/>
    <w:rsid w:val="00775728"/>
    <w:rsid w:val="00775891"/>
    <w:rsid w:val="007758D1"/>
    <w:rsid w:val="007759E1"/>
    <w:rsid w:val="00775AE0"/>
    <w:rsid w:val="00775D39"/>
    <w:rsid w:val="00775F1E"/>
    <w:rsid w:val="00775F97"/>
    <w:rsid w:val="00775FFC"/>
    <w:rsid w:val="007760BA"/>
    <w:rsid w:val="007760F8"/>
    <w:rsid w:val="0077621C"/>
    <w:rsid w:val="00776587"/>
    <w:rsid w:val="007767DD"/>
    <w:rsid w:val="00776801"/>
    <w:rsid w:val="00776924"/>
    <w:rsid w:val="00776A20"/>
    <w:rsid w:val="00776A83"/>
    <w:rsid w:val="00776B0F"/>
    <w:rsid w:val="00776C4D"/>
    <w:rsid w:val="00776C68"/>
    <w:rsid w:val="00776D5F"/>
    <w:rsid w:val="00776DD4"/>
    <w:rsid w:val="00776FB5"/>
    <w:rsid w:val="00777028"/>
    <w:rsid w:val="0077716C"/>
    <w:rsid w:val="007771D1"/>
    <w:rsid w:val="0077736E"/>
    <w:rsid w:val="00777378"/>
    <w:rsid w:val="0077739A"/>
    <w:rsid w:val="00777474"/>
    <w:rsid w:val="00777621"/>
    <w:rsid w:val="007777D8"/>
    <w:rsid w:val="00777848"/>
    <w:rsid w:val="007778D0"/>
    <w:rsid w:val="00777AD0"/>
    <w:rsid w:val="00777C15"/>
    <w:rsid w:val="00777D27"/>
    <w:rsid w:val="00777D72"/>
    <w:rsid w:val="00777F5F"/>
    <w:rsid w:val="00777F99"/>
    <w:rsid w:val="00780086"/>
    <w:rsid w:val="00780194"/>
    <w:rsid w:val="0078028E"/>
    <w:rsid w:val="00780347"/>
    <w:rsid w:val="00780580"/>
    <w:rsid w:val="0078070C"/>
    <w:rsid w:val="0078070F"/>
    <w:rsid w:val="00780714"/>
    <w:rsid w:val="0078073A"/>
    <w:rsid w:val="007807AD"/>
    <w:rsid w:val="0078083D"/>
    <w:rsid w:val="00780904"/>
    <w:rsid w:val="00780B90"/>
    <w:rsid w:val="007810D7"/>
    <w:rsid w:val="0078119A"/>
    <w:rsid w:val="007813C6"/>
    <w:rsid w:val="00781756"/>
    <w:rsid w:val="007818EC"/>
    <w:rsid w:val="00781931"/>
    <w:rsid w:val="00781A3C"/>
    <w:rsid w:val="00781A74"/>
    <w:rsid w:val="00781ABD"/>
    <w:rsid w:val="00781E4B"/>
    <w:rsid w:val="00781F80"/>
    <w:rsid w:val="00782006"/>
    <w:rsid w:val="00782079"/>
    <w:rsid w:val="007820B4"/>
    <w:rsid w:val="00782498"/>
    <w:rsid w:val="007825D5"/>
    <w:rsid w:val="007827E4"/>
    <w:rsid w:val="00782821"/>
    <w:rsid w:val="00782A98"/>
    <w:rsid w:val="00782AD9"/>
    <w:rsid w:val="00782D3E"/>
    <w:rsid w:val="00782D88"/>
    <w:rsid w:val="00782D9D"/>
    <w:rsid w:val="00782EEB"/>
    <w:rsid w:val="00782F07"/>
    <w:rsid w:val="00782F23"/>
    <w:rsid w:val="00783095"/>
    <w:rsid w:val="0078314E"/>
    <w:rsid w:val="007831F6"/>
    <w:rsid w:val="0078334E"/>
    <w:rsid w:val="007833F8"/>
    <w:rsid w:val="007835C6"/>
    <w:rsid w:val="00783677"/>
    <w:rsid w:val="007836F5"/>
    <w:rsid w:val="00783A7C"/>
    <w:rsid w:val="00783B07"/>
    <w:rsid w:val="00783C88"/>
    <w:rsid w:val="00783CA8"/>
    <w:rsid w:val="00783D2A"/>
    <w:rsid w:val="00783D4D"/>
    <w:rsid w:val="00783D8A"/>
    <w:rsid w:val="00783E64"/>
    <w:rsid w:val="00783F70"/>
    <w:rsid w:val="00783FC1"/>
    <w:rsid w:val="00784050"/>
    <w:rsid w:val="007841A0"/>
    <w:rsid w:val="007843A4"/>
    <w:rsid w:val="00784416"/>
    <w:rsid w:val="007844A9"/>
    <w:rsid w:val="00784596"/>
    <w:rsid w:val="0078463E"/>
    <w:rsid w:val="00784675"/>
    <w:rsid w:val="007847B9"/>
    <w:rsid w:val="00784848"/>
    <w:rsid w:val="007848AB"/>
    <w:rsid w:val="00784BA6"/>
    <w:rsid w:val="00784BF8"/>
    <w:rsid w:val="00784C6F"/>
    <w:rsid w:val="00784D16"/>
    <w:rsid w:val="00784DF2"/>
    <w:rsid w:val="00785047"/>
    <w:rsid w:val="007854C0"/>
    <w:rsid w:val="007854DE"/>
    <w:rsid w:val="00785505"/>
    <w:rsid w:val="0078561A"/>
    <w:rsid w:val="007856BA"/>
    <w:rsid w:val="007858CF"/>
    <w:rsid w:val="00785973"/>
    <w:rsid w:val="00785A70"/>
    <w:rsid w:val="00785B76"/>
    <w:rsid w:val="00785DE6"/>
    <w:rsid w:val="00785FDA"/>
    <w:rsid w:val="00786021"/>
    <w:rsid w:val="00786044"/>
    <w:rsid w:val="00786097"/>
    <w:rsid w:val="007860FA"/>
    <w:rsid w:val="00786228"/>
    <w:rsid w:val="0078658A"/>
    <w:rsid w:val="00786599"/>
    <w:rsid w:val="007865AD"/>
    <w:rsid w:val="00786622"/>
    <w:rsid w:val="007866E4"/>
    <w:rsid w:val="00786793"/>
    <w:rsid w:val="0078699A"/>
    <w:rsid w:val="00786A9E"/>
    <w:rsid w:val="00786B2A"/>
    <w:rsid w:val="00786B85"/>
    <w:rsid w:val="00786CDA"/>
    <w:rsid w:val="00786DC1"/>
    <w:rsid w:val="00786F6A"/>
    <w:rsid w:val="0078705A"/>
    <w:rsid w:val="0078706C"/>
    <w:rsid w:val="00787085"/>
    <w:rsid w:val="00787096"/>
    <w:rsid w:val="00787166"/>
    <w:rsid w:val="0078725E"/>
    <w:rsid w:val="00787278"/>
    <w:rsid w:val="00787308"/>
    <w:rsid w:val="00787463"/>
    <w:rsid w:val="007878B2"/>
    <w:rsid w:val="007878E3"/>
    <w:rsid w:val="00787B00"/>
    <w:rsid w:val="00787C02"/>
    <w:rsid w:val="00787C47"/>
    <w:rsid w:val="00787D7B"/>
    <w:rsid w:val="00787E48"/>
    <w:rsid w:val="00787E7E"/>
    <w:rsid w:val="00787E92"/>
    <w:rsid w:val="00787FCC"/>
    <w:rsid w:val="007900E9"/>
    <w:rsid w:val="00790102"/>
    <w:rsid w:val="007901F2"/>
    <w:rsid w:val="00790344"/>
    <w:rsid w:val="007903E1"/>
    <w:rsid w:val="007904D9"/>
    <w:rsid w:val="007905ED"/>
    <w:rsid w:val="007906E2"/>
    <w:rsid w:val="00790979"/>
    <w:rsid w:val="00790988"/>
    <w:rsid w:val="00790C0B"/>
    <w:rsid w:val="00790FCE"/>
    <w:rsid w:val="007910F4"/>
    <w:rsid w:val="0079144A"/>
    <w:rsid w:val="007916A8"/>
    <w:rsid w:val="00791BBD"/>
    <w:rsid w:val="00791CE3"/>
    <w:rsid w:val="00791DD3"/>
    <w:rsid w:val="00791F0C"/>
    <w:rsid w:val="0079201E"/>
    <w:rsid w:val="0079250F"/>
    <w:rsid w:val="007925B5"/>
    <w:rsid w:val="00792864"/>
    <w:rsid w:val="007928C7"/>
    <w:rsid w:val="0079297C"/>
    <w:rsid w:val="00792A56"/>
    <w:rsid w:val="00792A73"/>
    <w:rsid w:val="00792E12"/>
    <w:rsid w:val="00792E9A"/>
    <w:rsid w:val="00792FAE"/>
    <w:rsid w:val="00793026"/>
    <w:rsid w:val="007930A9"/>
    <w:rsid w:val="00793143"/>
    <w:rsid w:val="007931D5"/>
    <w:rsid w:val="00793560"/>
    <w:rsid w:val="00793645"/>
    <w:rsid w:val="007936E4"/>
    <w:rsid w:val="0079386D"/>
    <w:rsid w:val="007938EA"/>
    <w:rsid w:val="00793926"/>
    <w:rsid w:val="00793986"/>
    <w:rsid w:val="00793B32"/>
    <w:rsid w:val="00793CF1"/>
    <w:rsid w:val="00793DE8"/>
    <w:rsid w:val="00793E03"/>
    <w:rsid w:val="00793FCA"/>
    <w:rsid w:val="00793FF0"/>
    <w:rsid w:val="00794051"/>
    <w:rsid w:val="00794284"/>
    <w:rsid w:val="00794733"/>
    <w:rsid w:val="00794744"/>
    <w:rsid w:val="007947A1"/>
    <w:rsid w:val="00794860"/>
    <w:rsid w:val="0079486F"/>
    <w:rsid w:val="007948B5"/>
    <w:rsid w:val="0079493F"/>
    <w:rsid w:val="007949EC"/>
    <w:rsid w:val="00794AC1"/>
    <w:rsid w:val="00794CC1"/>
    <w:rsid w:val="00794CF0"/>
    <w:rsid w:val="00794DA5"/>
    <w:rsid w:val="00795150"/>
    <w:rsid w:val="0079517B"/>
    <w:rsid w:val="007952B7"/>
    <w:rsid w:val="007952F8"/>
    <w:rsid w:val="007955DF"/>
    <w:rsid w:val="007956A4"/>
    <w:rsid w:val="00795801"/>
    <w:rsid w:val="00795879"/>
    <w:rsid w:val="0079593A"/>
    <w:rsid w:val="00795B24"/>
    <w:rsid w:val="00795C10"/>
    <w:rsid w:val="00795D5B"/>
    <w:rsid w:val="00795DD1"/>
    <w:rsid w:val="00795ECA"/>
    <w:rsid w:val="00795F7D"/>
    <w:rsid w:val="00795F90"/>
    <w:rsid w:val="00795FC6"/>
    <w:rsid w:val="00796018"/>
    <w:rsid w:val="0079601C"/>
    <w:rsid w:val="0079602C"/>
    <w:rsid w:val="00796209"/>
    <w:rsid w:val="0079621B"/>
    <w:rsid w:val="00796304"/>
    <w:rsid w:val="00796393"/>
    <w:rsid w:val="00796576"/>
    <w:rsid w:val="0079668C"/>
    <w:rsid w:val="007967A6"/>
    <w:rsid w:val="00796936"/>
    <w:rsid w:val="00796A00"/>
    <w:rsid w:val="00796AEC"/>
    <w:rsid w:val="00796D22"/>
    <w:rsid w:val="00796D98"/>
    <w:rsid w:val="00796E92"/>
    <w:rsid w:val="00797327"/>
    <w:rsid w:val="0079739E"/>
    <w:rsid w:val="00797569"/>
    <w:rsid w:val="00797689"/>
    <w:rsid w:val="0079774D"/>
    <w:rsid w:val="007A0032"/>
    <w:rsid w:val="007A0060"/>
    <w:rsid w:val="007A00CB"/>
    <w:rsid w:val="007A00D7"/>
    <w:rsid w:val="007A011D"/>
    <w:rsid w:val="007A028A"/>
    <w:rsid w:val="007A02FB"/>
    <w:rsid w:val="007A0593"/>
    <w:rsid w:val="007A05E9"/>
    <w:rsid w:val="007A07AF"/>
    <w:rsid w:val="007A0818"/>
    <w:rsid w:val="007A0BFC"/>
    <w:rsid w:val="007A0BFE"/>
    <w:rsid w:val="007A0DB4"/>
    <w:rsid w:val="007A0E74"/>
    <w:rsid w:val="007A0EEF"/>
    <w:rsid w:val="007A0F89"/>
    <w:rsid w:val="007A10CE"/>
    <w:rsid w:val="007A12AE"/>
    <w:rsid w:val="007A160F"/>
    <w:rsid w:val="007A1926"/>
    <w:rsid w:val="007A199B"/>
    <w:rsid w:val="007A19D7"/>
    <w:rsid w:val="007A1B48"/>
    <w:rsid w:val="007A1C4F"/>
    <w:rsid w:val="007A1C66"/>
    <w:rsid w:val="007A1C83"/>
    <w:rsid w:val="007A1CC6"/>
    <w:rsid w:val="007A1EFC"/>
    <w:rsid w:val="007A1FBE"/>
    <w:rsid w:val="007A20C0"/>
    <w:rsid w:val="007A2139"/>
    <w:rsid w:val="007A21E5"/>
    <w:rsid w:val="007A22E1"/>
    <w:rsid w:val="007A2357"/>
    <w:rsid w:val="007A25CA"/>
    <w:rsid w:val="007A27B6"/>
    <w:rsid w:val="007A27E6"/>
    <w:rsid w:val="007A2B57"/>
    <w:rsid w:val="007A2B8E"/>
    <w:rsid w:val="007A2CFC"/>
    <w:rsid w:val="007A2D94"/>
    <w:rsid w:val="007A313E"/>
    <w:rsid w:val="007A31D1"/>
    <w:rsid w:val="007A320E"/>
    <w:rsid w:val="007A32A6"/>
    <w:rsid w:val="007A348C"/>
    <w:rsid w:val="007A3A12"/>
    <w:rsid w:val="007A3A51"/>
    <w:rsid w:val="007A3B73"/>
    <w:rsid w:val="007A3BBD"/>
    <w:rsid w:val="007A3D8F"/>
    <w:rsid w:val="007A3FFB"/>
    <w:rsid w:val="007A40E4"/>
    <w:rsid w:val="007A413A"/>
    <w:rsid w:val="007A4376"/>
    <w:rsid w:val="007A43CF"/>
    <w:rsid w:val="007A43EA"/>
    <w:rsid w:val="007A45C5"/>
    <w:rsid w:val="007A461B"/>
    <w:rsid w:val="007A475B"/>
    <w:rsid w:val="007A483B"/>
    <w:rsid w:val="007A4D04"/>
    <w:rsid w:val="007A4D5E"/>
    <w:rsid w:val="007A4EEA"/>
    <w:rsid w:val="007A5213"/>
    <w:rsid w:val="007A5385"/>
    <w:rsid w:val="007A54AB"/>
    <w:rsid w:val="007A55C2"/>
    <w:rsid w:val="007A5871"/>
    <w:rsid w:val="007A590C"/>
    <w:rsid w:val="007A59FF"/>
    <w:rsid w:val="007A5A1D"/>
    <w:rsid w:val="007A5CD3"/>
    <w:rsid w:val="007A5CF2"/>
    <w:rsid w:val="007A5E6A"/>
    <w:rsid w:val="007A5E9B"/>
    <w:rsid w:val="007A602B"/>
    <w:rsid w:val="007A604E"/>
    <w:rsid w:val="007A6318"/>
    <w:rsid w:val="007A635A"/>
    <w:rsid w:val="007A66FA"/>
    <w:rsid w:val="007A6799"/>
    <w:rsid w:val="007A69D2"/>
    <w:rsid w:val="007A6A56"/>
    <w:rsid w:val="007A6AAC"/>
    <w:rsid w:val="007A6CA2"/>
    <w:rsid w:val="007A6E53"/>
    <w:rsid w:val="007A6E61"/>
    <w:rsid w:val="007A6FC7"/>
    <w:rsid w:val="007A7085"/>
    <w:rsid w:val="007A7166"/>
    <w:rsid w:val="007A731A"/>
    <w:rsid w:val="007A75E1"/>
    <w:rsid w:val="007A7601"/>
    <w:rsid w:val="007A76A5"/>
    <w:rsid w:val="007A774C"/>
    <w:rsid w:val="007A7808"/>
    <w:rsid w:val="007A78BE"/>
    <w:rsid w:val="007A7A2C"/>
    <w:rsid w:val="007A7B00"/>
    <w:rsid w:val="007A7CBC"/>
    <w:rsid w:val="007A7D7D"/>
    <w:rsid w:val="007A7D7F"/>
    <w:rsid w:val="007A7DA0"/>
    <w:rsid w:val="007A7E08"/>
    <w:rsid w:val="007A7E42"/>
    <w:rsid w:val="007A7E46"/>
    <w:rsid w:val="007A7F0B"/>
    <w:rsid w:val="007A7F18"/>
    <w:rsid w:val="007A7F90"/>
    <w:rsid w:val="007B0051"/>
    <w:rsid w:val="007B0100"/>
    <w:rsid w:val="007B0386"/>
    <w:rsid w:val="007B05F7"/>
    <w:rsid w:val="007B06D5"/>
    <w:rsid w:val="007B0780"/>
    <w:rsid w:val="007B0F90"/>
    <w:rsid w:val="007B0FED"/>
    <w:rsid w:val="007B12D2"/>
    <w:rsid w:val="007B1403"/>
    <w:rsid w:val="007B146E"/>
    <w:rsid w:val="007B1549"/>
    <w:rsid w:val="007B15C8"/>
    <w:rsid w:val="007B16B8"/>
    <w:rsid w:val="007B1864"/>
    <w:rsid w:val="007B1943"/>
    <w:rsid w:val="007B1965"/>
    <w:rsid w:val="007B1A71"/>
    <w:rsid w:val="007B1A9B"/>
    <w:rsid w:val="007B1B3A"/>
    <w:rsid w:val="007B1CDB"/>
    <w:rsid w:val="007B1DBF"/>
    <w:rsid w:val="007B1DDA"/>
    <w:rsid w:val="007B2161"/>
    <w:rsid w:val="007B21C1"/>
    <w:rsid w:val="007B21D4"/>
    <w:rsid w:val="007B21E9"/>
    <w:rsid w:val="007B2492"/>
    <w:rsid w:val="007B2760"/>
    <w:rsid w:val="007B27DE"/>
    <w:rsid w:val="007B28CA"/>
    <w:rsid w:val="007B2921"/>
    <w:rsid w:val="007B29E3"/>
    <w:rsid w:val="007B2C30"/>
    <w:rsid w:val="007B2DAA"/>
    <w:rsid w:val="007B2E0F"/>
    <w:rsid w:val="007B2E33"/>
    <w:rsid w:val="007B2FD4"/>
    <w:rsid w:val="007B3215"/>
    <w:rsid w:val="007B321A"/>
    <w:rsid w:val="007B3278"/>
    <w:rsid w:val="007B335D"/>
    <w:rsid w:val="007B3417"/>
    <w:rsid w:val="007B342D"/>
    <w:rsid w:val="007B343E"/>
    <w:rsid w:val="007B34E5"/>
    <w:rsid w:val="007B35FD"/>
    <w:rsid w:val="007B3603"/>
    <w:rsid w:val="007B3666"/>
    <w:rsid w:val="007B3C9C"/>
    <w:rsid w:val="007B3D08"/>
    <w:rsid w:val="007B3DD7"/>
    <w:rsid w:val="007B3E80"/>
    <w:rsid w:val="007B402B"/>
    <w:rsid w:val="007B407B"/>
    <w:rsid w:val="007B4203"/>
    <w:rsid w:val="007B44E6"/>
    <w:rsid w:val="007B4555"/>
    <w:rsid w:val="007B4881"/>
    <w:rsid w:val="007B4933"/>
    <w:rsid w:val="007B4AA6"/>
    <w:rsid w:val="007B4B2D"/>
    <w:rsid w:val="007B4D63"/>
    <w:rsid w:val="007B4EDA"/>
    <w:rsid w:val="007B4F98"/>
    <w:rsid w:val="007B4FF3"/>
    <w:rsid w:val="007B50CD"/>
    <w:rsid w:val="007B51EE"/>
    <w:rsid w:val="007B5377"/>
    <w:rsid w:val="007B53CD"/>
    <w:rsid w:val="007B549E"/>
    <w:rsid w:val="007B577A"/>
    <w:rsid w:val="007B57D2"/>
    <w:rsid w:val="007B586C"/>
    <w:rsid w:val="007B591E"/>
    <w:rsid w:val="007B5DFF"/>
    <w:rsid w:val="007B5FB4"/>
    <w:rsid w:val="007B5FD7"/>
    <w:rsid w:val="007B61E1"/>
    <w:rsid w:val="007B6332"/>
    <w:rsid w:val="007B6435"/>
    <w:rsid w:val="007B650A"/>
    <w:rsid w:val="007B651F"/>
    <w:rsid w:val="007B6524"/>
    <w:rsid w:val="007B6749"/>
    <w:rsid w:val="007B6D1F"/>
    <w:rsid w:val="007B6D37"/>
    <w:rsid w:val="007B6DBD"/>
    <w:rsid w:val="007B6F1B"/>
    <w:rsid w:val="007B7308"/>
    <w:rsid w:val="007B74AC"/>
    <w:rsid w:val="007B758E"/>
    <w:rsid w:val="007B759D"/>
    <w:rsid w:val="007B7693"/>
    <w:rsid w:val="007B7708"/>
    <w:rsid w:val="007B7790"/>
    <w:rsid w:val="007B787E"/>
    <w:rsid w:val="007B788E"/>
    <w:rsid w:val="007B7950"/>
    <w:rsid w:val="007B79BD"/>
    <w:rsid w:val="007B79DE"/>
    <w:rsid w:val="007B7A19"/>
    <w:rsid w:val="007B7A5B"/>
    <w:rsid w:val="007B7A9C"/>
    <w:rsid w:val="007B7AA7"/>
    <w:rsid w:val="007B7EDB"/>
    <w:rsid w:val="007B7EEB"/>
    <w:rsid w:val="007B7F26"/>
    <w:rsid w:val="007B7F93"/>
    <w:rsid w:val="007B7FCE"/>
    <w:rsid w:val="007B7FDB"/>
    <w:rsid w:val="007B7FEE"/>
    <w:rsid w:val="007C0016"/>
    <w:rsid w:val="007C008D"/>
    <w:rsid w:val="007C00AB"/>
    <w:rsid w:val="007C01C7"/>
    <w:rsid w:val="007C03D0"/>
    <w:rsid w:val="007C04C0"/>
    <w:rsid w:val="007C05E2"/>
    <w:rsid w:val="007C06A3"/>
    <w:rsid w:val="007C09A5"/>
    <w:rsid w:val="007C10E5"/>
    <w:rsid w:val="007C1109"/>
    <w:rsid w:val="007C1273"/>
    <w:rsid w:val="007C13BC"/>
    <w:rsid w:val="007C13D6"/>
    <w:rsid w:val="007C1409"/>
    <w:rsid w:val="007C166B"/>
    <w:rsid w:val="007C17C9"/>
    <w:rsid w:val="007C1A52"/>
    <w:rsid w:val="007C1A5F"/>
    <w:rsid w:val="007C1ABF"/>
    <w:rsid w:val="007C1D79"/>
    <w:rsid w:val="007C1D95"/>
    <w:rsid w:val="007C1E98"/>
    <w:rsid w:val="007C1FA0"/>
    <w:rsid w:val="007C1FF1"/>
    <w:rsid w:val="007C2144"/>
    <w:rsid w:val="007C2226"/>
    <w:rsid w:val="007C2334"/>
    <w:rsid w:val="007C23D8"/>
    <w:rsid w:val="007C249B"/>
    <w:rsid w:val="007C26A2"/>
    <w:rsid w:val="007C2853"/>
    <w:rsid w:val="007C28A4"/>
    <w:rsid w:val="007C2A83"/>
    <w:rsid w:val="007C2BBD"/>
    <w:rsid w:val="007C2BE4"/>
    <w:rsid w:val="007C2CBB"/>
    <w:rsid w:val="007C2D37"/>
    <w:rsid w:val="007C2E0A"/>
    <w:rsid w:val="007C2F1D"/>
    <w:rsid w:val="007C2F72"/>
    <w:rsid w:val="007C3293"/>
    <w:rsid w:val="007C335C"/>
    <w:rsid w:val="007C3533"/>
    <w:rsid w:val="007C358B"/>
    <w:rsid w:val="007C35AA"/>
    <w:rsid w:val="007C36FD"/>
    <w:rsid w:val="007C3736"/>
    <w:rsid w:val="007C3846"/>
    <w:rsid w:val="007C38D7"/>
    <w:rsid w:val="007C3AA5"/>
    <w:rsid w:val="007C3B97"/>
    <w:rsid w:val="007C3C0F"/>
    <w:rsid w:val="007C3DCD"/>
    <w:rsid w:val="007C3E6F"/>
    <w:rsid w:val="007C3FF9"/>
    <w:rsid w:val="007C4084"/>
    <w:rsid w:val="007C415C"/>
    <w:rsid w:val="007C41CC"/>
    <w:rsid w:val="007C41F2"/>
    <w:rsid w:val="007C42F8"/>
    <w:rsid w:val="007C431E"/>
    <w:rsid w:val="007C44F0"/>
    <w:rsid w:val="007C45C4"/>
    <w:rsid w:val="007C472B"/>
    <w:rsid w:val="007C483E"/>
    <w:rsid w:val="007C4853"/>
    <w:rsid w:val="007C4945"/>
    <w:rsid w:val="007C49B6"/>
    <w:rsid w:val="007C4A94"/>
    <w:rsid w:val="007C4B15"/>
    <w:rsid w:val="007C4B28"/>
    <w:rsid w:val="007C4B3E"/>
    <w:rsid w:val="007C4FF7"/>
    <w:rsid w:val="007C50B0"/>
    <w:rsid w:val="007C50D3"/>
    <w:rsid w:val="007C5175"/>
    <w:rsid w:val="007C521E"/>
    <w:rsid w:val="007C52DD"/>
    <w:rsid w:val="007C530D"/>
    <w:rsid w:val="007C5449"/>
    <w:rsid w:val="007C5537"/>
    <w:rsid w:val="007C55BF"/>
    <w:rsid w:val="007C563F"/>
    <w:rsid w:val="007C575F"/>
    <w:rsid w:val="007C5B04"/>
    <w:rsid w:val="007C5D15"/>
    <w:rsid w:val="007C6086"/>
    <w:rsid w:val="007C61CC"/>
    <w:rsid w:val="007C6213"/>
    <w:rsid w:val="007C6261"/>
    <w:rsid w:val="007C63C1"/>
    <w:rsid w:val="007C6441"/>
    <w:rsid w:val="007C64A9"/>
    <w:rsid w:val="007C65F7"/>
    <w:rsid w:val="007C668D"/>
    <w:rsid w:val="007C6832"/>
    <w:rsid w:val="007C687D"/>
    <w:rsid w:val="007C6993"/>
    <w:rsid w:val="007C6CAD"/>
    <w:rsid w:val="007C6DA2"/>
    <w:rsid w:val="007C6E06"/>
    <w:rsid w:val="007C6FBC"/>
    <w:rsid w:val="007C729E"/>
    <w:rsid w:val="007C7468"/>
    <w:rsid w:val="007C7556"/>
    <w:rsid w:val="007C758C"/>
    <w:rsid w:val="007C7755"/>
    <w:rsid w:val="007C77EC"/>
    <w:rsid w:val="007C7C11"/>
    <w:rsid w:val="007C7CDD"/>
    <w:rsid w:val="007C7D6D"/>
    <w:rsid w:val="007C7E34"/>
    <w:rsid w:val="007D00FF"/>
    <w:rsid w:val="007D0241"/>
    <w:rsid w:val="007D02D0"/>
    <w:rsid w:val="007D0518"/>
    <w:rsid w:val="007D0629"/>
    <w:rsid w:val="007D064F"/>
    <w:rsid w:val="007D0705"/>
    <w:rsid w:val="007D0737"/>
    <w:rsid w:val="007D0757"/>
    <w:rsid w:val="007D098A"/>
    <w:rsid w:val="007D0B66"/>
    <w:rsid w:val="007D0CD7"/>
    <w:rsid w:val="007D0D56"/>
    <w:rsid w:val="007D0E1F"/>
    <w:rsid w:val="007D0EEF"/>
    <w:rsid w:val="007D0EFC"/>
    <w:rsid w:val="007D0F7B"/>
    <w:rsid w:val="007D119D"/>
    <w:rsid w:val="007D11BC"/>
    <w:rsid w:val="007D13FB"/>
    <w:rsid w:val="007D1452"/>
    <w:rsid w:val="007D1493"/>
    <w:rsid w:val="007D14E9"/>
    <w:rsid w:val="007D14FE"/>
    <w:rsid w:val="007D1519"/>
    <w:rsid w:val="007D1714"/>
    <w:rsid w:val="007D18C2"/>
    <w:rsid w:val="007D190B"/>
    <w:rsid w:val="007D19A0"/>
    <w:rsid w:val="007D1A02"/>
    <w:rsid w:val="007D1A51"/>
    <w:rsid w:val="007D1B46"/>
    <w:rsid w:val="007D1D94"/>
    <w:rsid w:val="007D1E10"/>
    <w:rsid w:val="007D1EB8"/>
    <w:rsid w:val="007D1FF8"/>
    <w:rsid w:val="007D20C1"/>
    <w:rsid w:val="007D2347"/>
    <w:rsid w:val="007D2411"/>
    <w:rsid w:val="007D24A2"/>
    <w:rsid w:val="007D26EB"/>
    <w:rsid w:val="007D2702"/>
    <w:rsid w:val="007D299F"/>
    <w:rsid w:val="007D29D8"/>
    <w:rsid w:val="007D2A37"/>
    <w:rsid w:val="007D2CC9"/>
    <w:rsid w:val="007D2EB7"/>
    <w:rsid w:val="007D2FF1"/>
    <w:rsid w:val="007D301F"/>
    <w:rsid w:val="007D3037"/>
    <w:rsid w:val="007D3133"/>
    <w:rsid w:val="007D31AA"/>
    <w:rsid w:val="007D3305"/>
    <w:rsid w:val="007D33D2"/>
    <w:rsid w:val="007D34EE"/>
    <w:rsid w:val="007D35DD"/>
    <w:rsid w:val="007D37E8"/>
    <w:rsid w:val="007D3A2B"/>
    <w:rsid w:val="007D3CFD"/>
    <w:rsid w:val="007D3E5F"/>
    <w:rsid w:val="007D3F97"/>
    <w:rsid w:val="007D4298"/>
    <w:rsid w:val="007D4365"/>
    <w:rsid w:val="007D447A"/>
    <w:rsid w:val="007D4774"/>
    <w:rsid w:val="007D480B"/>
    <w:rsid w:val="007D49A5"/>
    <w:rsid w:val="007D4B7B"/>
    <w:rsid w:val="007D4B8D"/>
    <w:rsid w:val="007D4BD3"/>
    <w:rsid w:val="007D4E02"/>
    <w:rsid w:val="007D4ED9"/>
    <w:rsid w:val="007D5291"/>
    <w:rsid w:val="007D541C"/>
    <w:rsid w:val="007D5443"/>
    <w:rsid w:val="007D55BB"/>
    <w:rsid w:val="007D55E3"/>
    <w:rsid w:val="007D5609"/>
    <w:rsid w:val="007D59EC"/>
    <w:rsid w:val="007D5B78"/>
    <w:rsid w:val="007D5BDD"/>
    <w:rsid w:val="007D5CE4"/>
    <w:rsid w:val="007D5DCD"/>
    <w:rsid w:val="007D5EF5"/>
    <w:rsid w:val="007D654F"/>
    <w:rsid w:val="007D6568"/>
    <w:rsid w:val="007D68E7"/>
    <w:rsid w:val="007D6C47"/>
    <w:rsid w:val="007D6CAD"/>
    <w:rsid w:val="007D6D66"/>
    <w:rsid w:val="007D6E43"/>
    <w:rsid w:val="007D71A4"/>
    <w:rsid w:val="007D7294"/>
    <w:rsid w:val="007D7797"/>
    <w:rsid w:val="007D7876"/>
    <w:rsid w:val="007D7921"/>
    <w:rsid w:val="007D79A5"/>
    <w:rsid w:val="007D7A93"/>
    <w:rsid w:val="007D7B3A"/>
    <w:rsid w:val="007D7C19"/>
    <w:rsid w:val="007D7EA4"/>
    <w:rsid w:val="007E0021"/>
    <w:rsid w:val="007E00AB"/>
    <w:rsid w:val="007E029F"/>
    <w:rsid w:val="007E02A8"/>
    <w:rsid w:val="007E03C5"/>
    <w:rsid w:val="007E03ED"/>
    <w:rsid w:val="007E0446"/>
    <w:rsid w:val="007E04D1"/>
    <w:rsid w:val="007E057C"/>
    <w:rsid w:val="007E05B5"/>
    <w:rsid w:val="007E05D1"/>
    <w:rsid w:val="007E0685"/>
    <w:rsid w:val="007E07DE"/>
    <w:rsid w:val="007E0AAB"/>
    <w:rsid w:val="007E0BC7"/>
    <w:rsid w:val="007E0C20"/>
    <w:rsid w:val="007E0C89"/>
    <w:rsid w:val="007E0F23"/>
    <w:rsid w:val="007E0F66"/>
    <w:rsid w:val="007E112F"/>
    <w:rsid w:val="007E1305"/>
    <w:rsid w:val="007E1530"/>
    <w:rsid w:val="007E160B"/>
    <w:rsid w:val="007E16A8"/>
    <w:rsid w:val="007E16E5"/>
    <w:rsid w:val="007E1737"/>
    <w:rsid w:val="007E173D"/>
    <w:rsid w:val="007E17E0"/>
    <w:rsid w:val="007E1898"/>
    <w:rsid w:val="007E18D3"/>
    <w:rsid w:val="007E1A96"/>
    <w:rsid w:val="007E1B77"/>
    <w:rsid w:val="007E1DD7"/>
    <w:rsid w:val="007E1DEA"/>
    <w:rsid w:val="007E1F3F"/>
    <w:rsid w:val="007E1FC0"/>
    <w:rsid w:val="007E2173"/>
    <w:rsid w:val="007E2199"/>
    <w:rsid w:val="007E245D"/>
    <w:rsid w:val="007E245F"/>
    <w:rsid w:val="007E277B"/>
    <w:rsid w:val="007E281F"/>
    <w:rsid w:val="007E2883"/>
    <w:rsid w:val="007E2950"/>
    <w:rsid w:val="007E2AEC"/>
    <w:rsid w:val="007E2C33"/>
    <w:rsid w:val="007E2E2F"/>
    <w:rsid w:val="007E2EB2"/>
    <w:rsid w:val="007E30F8"/>
    <w:rsid w:val="007E3141"/>
    <w:rsid w:val="007E3161"/>
    <w:rsid w:val="007E3196"/>
    <w:rsid w:val="007E31F1"/>
    <w:rsid w:val="007E32C2"/>
    <w:rsid w:val="007E33BF"/>
    <w:rsid w:val="007E35F7"/>
    <w:rsid w:val="007E3746"/>
    <w:rsid w:val="007E378A"/>
    <w:rsid w:val="007E3959"/>
    <w:rsid w:val="007E3D09"/>
    <w:rsid w:val="007E3F83"/>
    <w:rsid w:val="007E410F"/>
    <w:rsid w:val="007E4195"/>
    <w:rsid w:val="007E4213"/>
    <w:rsid w:val="007E4216"/>
    <w:rsid w:val="007E4246"/>
    <w:rsid w:val="007E443F"/>
    <w:rsid w:val="007E447C"/>
    <w:rsid w:val="007E45F3"/>
    <w:rsid w:val="007E460D"/>
    <w:rsid w:val="007E4888"/>
    <w:rsid w:val="007E493D"/>
    <w:rsid w:val="007E4B4B"/>
    <w:rsid w:val="007E4CB9"/>
    <w:rsid w:val="007E4D41"/>
    <w:rsid w:val="007E4D6E"/>
    <w:rsid w:val="007E4E13"/>
    <w:rsid w:val="007E4F50"/>
    <w:rsid w:val="007E50F5"/>
    <w:rsid w:val="007E50F6"/>
    <w:rsid w:val="007E5364"/>
    <w:rsid w:val="007E53DB"/>
    <w:rsid w:val="007E541D"/>
    <w:rsid w:val="007E54E7"/>
    <w:rsid w:val="007E56F0"/>
    <w:rsid w:val="007E573A"/>
    <w:rsid w:val="007E5757"/>
    <w:rsid w:val="007E57F3"/>
    <w:rsid w:val="007E5A35"/>
    <w:rsid w:val="007E5A86"/>
    <w:rsid w:val="007E5B2A"/>
    <w:rsid w:val="007E5F89"/>
    <w:rsid w:val="007E5F90"/>
    <w:rsid w:val="007E5FA6"/>
    <w:rsid w:val="007E5FDD"/>
    <w:rsid w:val="007E60BC"/>
    <w:rsid w:val="007E61F3"/>
    <w:rsid w:val="007E64B2"/>
    <w:rsid w:val="007E6528"/>
    <w:rsid w:val="007E683D"/>
    <w:rsid w:val="007E685A"/>
    <w:rsid w:val="007E68A2"/>
    <w:rsid w:val="007E6918"/>
    <w:rsid w:val="007E69A0"/>
    <w:rsid w:val="007E69C0"/>
    <w:rsid w:val="007E6A6C"/>
    <w:rsid w:val="007E6ABC"/>
    <w:rsid w:val="007E6C39"/>
    <w:rsid w:val="007E6CCA"/>
    <w:rsid w:val="007E6D3C"/>
    <w:rsid w:val="007E6E8C"/>
    <w:rsid w:val="007E6EC8"/>
    <w:rsid w:val="007E6ED4"/>
    <w:rsid w:val="007E6EF1"/>
    <w:rsid w:val="007E6F47"/>
    <w:rsid w:val="007E6F50"/>
    <w:rsid w:val="007E70B2"/>
    <w:rsid w:val="007E7365"/>
    <w:rsid w:val="007E73DA"/>
    <w:rsid w:val="007E751B"/>
    <w:rsid w:val="007E75DB"/>
    <w:rsid w:val="007E761A"/>
    <w:rsid w:val="007E7819"/>
    <w:rsid w:val="007E782B"/>
    <w:rsid w:val="007E7AB2"/>
    <w:rsid w:val="007E7ADF"/>
    <w:rsid w:val="007E7B22"/>
    <w:rsid w:val="007E7B48"/>
    <w:rsid w:val="007E7B54"/>
    <w:rsid w:val="007E7C94"/>
    <w:rsid w:val="007E7CAA"/>
    <w:rsid w:val="007E7CB0"/>
    <w:rsid w:val="007E7D27"/>
    <w:rsid w:val="007E7F91"/>
    <w:rsid w:val="007F005C"/>
    <w:rsid w:val="007F0189"/>
    <w:rsid w:val="007F01C0"/>
    <w:rsid w:val="007F01CA"/>
    <w:rsid w:val="007F021A"/>
    <w:rsid w:val="007F037A"/>
    <w:rsid w:val="007F0602"/>
    <w:rsid w:val="007F0633"/>
    <w:rsid w:val="007F0878"/>
    <w:rsid w:val="007F08EB"/>
    <w:rsid w:val="007F095B"/>
    <w:rsid w:val="007F0999"/>
    <w:rsid w:val="007F0D6A"/>
    <w:rsid w:val="007F0E85"/>
    <w:rsid w:val="007F0F88"/>
    <w:rsid w:val="007F11AC"/>
    <w:rsid w:val="007F1248"/>
    <w:rsid w:val="007F14B1"/>
    <w:rsid w:val="007F14C9"/>
    <w:rsid w:val="007F1907"/>
    <w:rsid w:val="007F1A28"/>
    <w:rsid w:val="007F1A60"/>
    <w:rsid w:val="007F1CE7"/>
    <w:rsid w:val="007F1F1B"/>
    <w:rsid w:val="007F22AE"/>
    <w:rsid w:val="007F230C"/>
    <w:rsid w:val="007F23FD"/>
    <w:rsid w:val="007F243F"/>
    <w:rsid w:val="007F2526"/>
    <w:rsid w:val="007F2547"/>
    <w:rsid w:val="007F254D"/>
    <w:rsid w:val="007F258A"/>
    <w:rsid w:val="007F2633"/>
    <w:rsid w:val="007F2650"/>
    <w:rsid w:val="007F2654"/>
    <w:rsid w:val="007F2672"/>
    <w:rsid w:val="007F26CD"/>
    <w:rsid w:val="007F2843"/>
    <w:rsid w:val="007F2855"/>
    <w:rsid w:val="007F28B8"/>
    <w:rsid w:val="007F2922"/>
    <w:rsid w:val="007F29A2"/>
    <w:rsid w:val="007F29F0"/>
    <w:rsid w:val="007F2A0A"/>
    <w:rsid w:val="007F2A57"/>
    <w:rsid w:val="007F2B00"/>
    <w:rsid w:val="007F2BAF"/>
    <w:rsid w:val="007F2CBF"/>
    <w:rsid w:val="007F2CE3"/>
    <w:rsid w:val="007F2E26"/>
    <w:rsid w:val="007F2E71"/>
    <w:rsid w:val="007F2ECE"/>
    <w:rsid w:val="007F31DD"/>
    <w:rsid w:val="007F3492"/>
    <w:rsid w:val="007F3A02"/>
    <w:rsid w:val="007F3A5F"/>
    <w:rsid w:val="007F3AEF"/>
    <w:rsid w:val="007F3B06"/>
    <w:rsid w:val="007F3B32"/>
    <w:rsid w:val="007F3DF3"/>
    <w:rsid w:val="007F3FE0"/>
    <w:rsid w:val="007F430F"/>
    <w:rsid w:val="007F4365"/>
    <w:rsid w:val="007F448F"/>
    <w:rsid w:val="007F4516"/>
    <w:rsid w:val="007F457D"/>
    <w:rsid w:val="007F4669"/>
    <w:rsid w:val="007F46E4"/>
    <w:rsid w:val="007F4839"/>
    <w:rsid w:val="007F4877"/>
    <w:rsid w:val="007F48C3"/>
    <w:rsid w:val="007F4917"/>
    <w:rsid w:val="007F4AEE"/>
    <w:rsid w:val="007F4B24"/>
    <w:rsid w:val="007F4CEA"/>
    <w:rsid w:val="007F4D13"/>
    <w:rsid w:val="007F4F4E"/>
    <w:rsid w:val="007F4F70"/>
    <w:rsid w:val="007F51D7"/>
    <w:rsid w:val="007F536B"/>
    <w:rsid w:val="007F53B4"/>
    <w:rsid w:val="007F53C9"/>
    <w:rsid w:val="007F5404"/>
    <w:rsid w:val="007F5432"/>
    <w:rsid w:val="007F54F8"/>
    <w:rsid w:val="007F566B"/>
    <w:rsid w:val="007F56BC"/>
    <w:rsid w:val="007F576B"/>
    <w:rsid w:val="007F5784"/>
    <w:rsid w:val="007F5797"/>
    <w:rsid w:val="007F590C"/>
    <w:rsid w:val="007F5950"/>
    <w:rsid w:val="007F5967"/>
    <w:rsid w:val="007F5A4A"/>
    <w:rsid w:val="007F5B22"/>
    <w:rsid w:val="007F6157"/>
    <w:rsid w:val="007F61F5"/>
    <w:rsid w:val="007F6273"/>
    <w:rsid w:val="007F6386"/>
    <w:rsid w:val="007F64AD"/>
    <w:rsid w:val="007F65BB"/>
    <w:rsid w:val="007F66E3"/>
    <w:rsid w:val="007F6704"/>
    <w:rsid w:val="007F6723"/>
    <w:rsid w:val="007F67CD"/>
    <w:rsid w:val="007F68DF"/>
    <w:rsid w:val="007F6BA8"/>
    <w:rsid w:val="007F6CE2"/>
    <w:rsid w:val="007F6D00"/>
    <w:rsid w:val="007F6E74"/>
    <w:rsid w:val="007F6F92"/>
    <w:rsid w:val="007F71A5"/>
    <w:rsid w:val="007F71C3"/>
    <w:rsid w:val="007F724C"/>
    <w:rsid w:val="007F73AB"/>
    <w:rsid w:val="007F7651"/>
    <w:rsid w:val="007F768E"/>
    <w:rsid w:val="007F76BD"/>
    <w:rsid w:val="007F777B"/>
    <w:rsid w:val="007F78B1"/>
    <w:rsid w:val="007F78D0"/>
    <w:rsid w:val="007F799B"/>
    <w:rsid w:val="007F7B32"/>
    <w:rsid w:val="007F7B44"/>
    <w:rsid w:val="007F7B69"/>
    <w:rsid w:val="007F7C82"/>
    <w:rsid w:val="007F7D12"/>
    <w:rsid w:val="007F7DB9"/>
    <w:rsid w:val="007F7F62"/>
    <w:rsid w:val="008000AB"/>
    <w:rsid w:val="008000D5"/>
    <w:rsid w:val="00800697"/>
    <w:rsid w:val="0080074F"/>
    <w:rsid w:val="00800764"/>
    <w:rsid w:val="00800792"/>
    <w:rsid w:val="00800896"/>
    <w:rsid w:val="008008C4"/>
    <w:rsid w:val="00800AE6"/>
    <w:rsid w:val="00800B53"/>
    <w:rsid w:val="00800B9F"/>
    <w:rsid w:val="00800BE5"/>
    <w:rsid w:val="008010B7"/>
    <w:rsid w:val="008011C8"/>
    <w:rsid w:val="0080178A"/>
    <w:rsid w:val="00801862"/>
    <w:rsid w:val="008018FD"/>
    <w:rsid w:val="00801B38"/>
    <w:rsid w:val="00801BA9"/>
    <w:rsid w:val="00801CE1"/>
    <w:rsid w:val="00801DFA"/>
    <w:rsid w:val="00801E43"/>
    <w:rsid w:val="00801F7C"/>
    <w:rsid w:val="00801F89"/>
    <w:rsid w:val="0080229E"/>
    <w:rsid w:val="008022F1"/>
    <w:rsid w:val="008023A1"/>
    <w:rsid w:val="008023CB"/>
    <w:rsid w:val="0080248C"/>
    <w:rsid w:val="008024AB"/>
    <w:rsid w:val="0080258B"/>
    <w:rsid w:val="0080275C"/>
    <w:rsid w:val="00802790"/>
    <w:rsid w:val="008028C0"/>
    <w:rsid w:val="008029D9"/>
    <w:rsid w:val="00802ABF"/>
    <w:rsid w:val="00802B0E"/>
    <w:rsid w:val="00802CA4"/>
    <w:rsid w:val="00802CD7"/>
    <w:rsid w:val="00802D45"/>
    <w:rsid w:val="00802DD7"/>
    <w:rsid w:val="00802EB0"/>
    <w:rsid w:val="00802F0D"/>
    <w:rsid w:val="0080300D"/>
    <w:rsid w:val="0080329A"/>
    <w:rsid w:val="0080343E"/>
    <w:rsid w:val="0080361B"/>
    <w:rsid w:val="008036E5"/>
    <w:rsid w:val="008037FE"/>
    <w:rsid w:val="008038B4"/>
    <w:rsid w:val="008038E0"/>
    <w:rsid w:val="00803941"/>
    <w:rsid w:val="00803978"/>
    <w:rsid w:val="00803A8A"/>
    <w:rsid w:val="00803D33"/>
    <w:rsid w:val="00803D41"/>
    <w:rsid w:val="00803E1B"/>
    <w:rsid w:val="00803E69"/>
    <w:rsid w:val="00804190"/>
    <w:rsid w:val="008041A7"/>
    <w:rsid w:val="008041EB"/>
    <w:rsid w:val="00804244"/>
    <w:rsid w:val="00804367"/>
    <w:rsid w:val="0080443E"/>
    <w:rsid w:val="0080465F"/>
    <w:rsid w:val="00804822"/>
    <w:rsid w:val="00804C0C"/>
    <w:rsid w:val="00804E38"/>
    <w:rsid w:val="00804E51"/>
    <w:rsid w:val="00804E9D"/>
    <w:rsid w:val="00804FB3"/>
    <w:rsid w:val="0080505D"/>
    <w:rsid w:val="00805070"/>
    <w:rsid w:val="00805175"/>
    <w:rsid w:val="00805302"/>
    <w:rsid w:val="0080564D"/>
    <w:rsid w:val="0080569E"/>
    <w:rsid w:val="008056E0"/>
    <w:rsid w:val="00805828"/>
    <w:rsid w:val="008058AC"/>
    <w:rsid w:val="008059E3"/>
    <w:rsid w:val="00805B1F"/>
    <w:rsid w:val="00805BBD"/>
    <w:rsid w:val="00805C0D"/>
    <w:rsid w:val="00805C8A"/>
    <w:rsid w:val="00805E14"/>
    <w:rsid w:val="00805F66"/>
    <w:rsid w:val="00806105"/>
    <w:rsid w:val="00806129"/>
    <w:rsid w:val="008061EC"/>
    <w:rsid w:val="00806238"/>
    <w:rsid w:val="0080652D"/>
    <w:rsid w:val="008065FF"/>
    <w:rsid w:val="0080675E"/>
    <w:rsid w:val="008067C5"/>
    <w:rsid w:val="0080685E"/>
    <w:rsid w:val="008069DB"/>
    <w:rsid w:val="00806B75"/>
    <w:rsid w:val="00806D88"/>
    <w:rsid w:val="00806E14"/>
    <w:rsid w:val="00807192"/>
    <w:rsid w:val="008071E9"/>
    <w:rsid w:val="008072E2"/>
    <w:rsid w:val="008073B7"/>
    <w:rsid w:val="008074A2"/>
    <w:rsid w:val="008074E4"/>
    <w:rsid w:val="008074FE"/>
    <w:rsid w:val="008075EE"/>
    <w:rsid w:val="0080777B"/>
    <w:rsid w:val="00807B28"/>
    <w:rsid w:val="00807B39"/>
    <w:rsid w:val="00807BAB"/>
    <w:rsid w:val="00807D38"/>
    <w:rsid w:val="00807D87"/>
    <w:rsid w:val="00807DC7"/>
    <w:rsid w:val="00807FE8"/>
    <w:rsid w:val="00810014"/>
    <w:rsid w:val="0081012C"/>
    <w:rsid w:val="008102D8"/>
    <w:rsid w:val="00810309"/>
    <w:rsid w:val="008103D2"/>
    <w:rsid w:val="0081049D"/>
    <w:rsid w:val="0081066B"/>
    <w:rsid w:val="008106DC"/>
    <w:rsid w:val="008107C9"/>
    <w:rsid w:val="0081086A"/>
    <w:rsid w:val="00810878"/>
    <w:rsid w:val="008108E6"/>
    <w:rsid w:val="008109A9"/>
    <w:rsid w:val="00810A51"/>
    <w:rsid w:val="00810A6E"/>
    <w:rsid w:val="00810B68"/>
    <w:rsid w:val="00810B97"/>
    <w:rsid w:val="00810E49"/>
    <w:rsid w:val="00810E6E"/>
    <w:rsid w:val="0081105E"/>
    <w:rsid w:val="008111D8"/>
    <w:rsid w:val="0081141F"/>
    <w:rsid w:val="00811456"/>
    <w:rsid w:val="0081149B"/>
    <w:rsid w:val="008114F1"/>
    <w:rsid w:val="0081157A"/>
    <w:rsid w:val="00811886"/>
    <w:rsid w:val="008118A9"/>
    <w:rsid w:val="008118C4"/>
    <w:rsid w:val="008118EA"/>
    <w:rsid w:val="0081194D"/>
    <w:rsid w:val="008119AF"/>
    <w:rsid w:val="00811B17"/>
    <w:rsid w:val="00811C87"/>
    <w:rsid w:val="00811C96"/>
    <w:rsid w:val="00811E19"/>
    <w:rsid w:val="00811E6B"/>
    <w:rsid w:val="00811F73"/>
    <w:rsid w:val="008122BE"/>
    <w:rsid w:val="008123B4"/>
    <w:rsid w:val="008123E4"/>
    <w:rsid w:val="00812492"/>
    <w:rsid w:val="00812506"/>
    <w:rsid w:val="00812756"/>
    <w:rsid w:val="0081285E"/>
    <w:rsid w:val="00812AEA"/>
    <w:rsid w:val="00812C44"/>
    <w:rsid w:val="00812D65"/>
    <w:rsid w:val="00812E0E"/>
    <w:rsid w:val="00812E1A"/>
    <w:rsid w:val="00812F50"/>
    <w:rsid w:val="00813238"/>
    <w:rsid w:val="00813241"/>
    <w:rsid w:val="008133D9"/>
    <w:rsid w:val="00813514"/>
    <w:rsid w:val="00813523"/>
    <w:rsid w:val="00813638"/>
    <w:rsid w:val="00813A09"/>
    <w:rsid w:val="00813A9E"/>
    <w:rsid w:val="00813BBE"/>
    <w:rsid w:val="00813DEA"/>
    <w:rsid w:val="00813F52"/>
    <w:rsid w:val="00814117"/>
    <w:rsid w:val="0081411E"/>
    <w:rsid w:val="00814359"/>
    <w:rsid w:val="008143AD"/>
    <w:rsid w:val="0081456F"/>
    <w:rsid w:val="008146BE"/>
    <w:rsid w:val="008147BC"/>
    <w:rsid w:val="008147CD"/>
    <w:rsid w:val="008147E9"/>
    <w:rsid w:val="0081485D"/>
    <w:rsid w:val="008148E0"/>
    <w:rsid w:val="0081495C"/>
    <w:rsid w:val="008149D7"/>
    <w:rsid w:val="00814AA2"/>
    <w:rsid w:val="00814ABC"/>
    <w:rsid w:val="00814B0F"/>
    <w:rsid w:val="00814BBA"/>
    <w:rsid w:val="00814C1B"/>
    <w:rsid w:val="00814E49"/>
    <w:rsid w:val="00814FA5"/>
    <w:rsid w:val="008151F9"/>
    <w:rsid w:val="00815547"/>
    <w:rsid w:val="00815583"/>
    <w:rsid w:val="0081583E"/>
    <w:rsid w:val="00815B3B"/>
    <w:rsid w:val="00815B92"/>
    <w:rsid w:val="00815C39"/>
    <w:rsid w:val="00815D7A"/>
    <w:rsid w:val="00815E2F"/>
    <w:rsid w:val="00815F38"/>
    <w:rsid w:val="0081601E"/>
    <w:rsid w:val="008160A7"/>
    <w:rsid w:val="008161BC"/>
    <w:rsid w:val="00816413"/>
    <w:rsid w:val="00816421"/>
    <w:rsid w:val="00816695"/>
    <w:rsid w:val="00816834"/>
    <w:rsid w:val="00816A1C"/>
    <w:rsid w:val="00816CC4"/>
    <w:rsid w:val="00816D6F"/>
    <w:rsid w:val="00816D9A"/>
    <w:rsid w:val="00816E8B"/>
    <w:rsid w:val="00816F6C"/>
    <w:rsid w:val="00816FD4"/>
    <w:rsid w:val="00816FDC"/>
    <w:rsid w:val="00817033"/>
    <w:rsid w:val="0081705B"/>
    <w:rsid w:val="00817237"/>
    <w:rsid w:val="00817361"/>
    <w:rsid w:val="00817384"/>
    <w:rsid w:val="0081738F"/>
    <w:rsid w:val="00817539"/>
    <w:rsid w:val="00817580"/>
    <w:rsid w:val="008177A8"/>
    <w:rsid w:val="008177C7"/>
    <w:rsid w:val="0081791A"/>
    <w:rsid w:val="00817BE6"/>
    <w:rsid w:val="00817C88"/>
    <w:rsid w:val="00817CB5"/>
    <w:rsid w:val="00817DB2"/>
    <w:rsid w:val="00817DBE"/>
    <w:rsid w:val="00817E04"/>
    <w:rsid w:val="00817E6C"/>
    <w:rsid w:val="00817F96"/>
    <w:rsid w:val="00820059"/>
    <w:rsid w:val="0082020E"/>
    <w:rsid w:val="00820218"/>
    <w:rsid w:val="0082022C"/>
    <w:rsid w:val="00820351"/>
    <w:rsid w:val="008206C4"/>
    <w:rsid w:val="008206E2"/>
    <w:rsid w:val="008207B6"/>
    <w:rsid w:val="008207F5"/>
    <w:rsid w:val="00820905"/>
    <w:rsid w:val="0082092E"/>
    <w:rsid w:val="00820945"/>
    <w:rsid w:val="00820A0C"/>
    <w:rsid w:val="00820A33"/>
    <w:rsid w:val="00820AF4"/>
    <w:rsid w:val="00820C2A"/>
    <w:rsid w:val="00820C9C"/>
    <w:rsid w:val="00820E8F"/>
    <w:rsid w:val="00820ED0"/>
    <w:rsid w:val="00820F3D"/>
    <w:rsid w:val="00821013"/>
    <w:rsid w:val="00821074"/>
    <w:rsid w:val="00821173"/>
    <w:rsid w:val="008211B5"/>
    <w:rsid w:val="008212AC"/>
    <w:rsid w:val="00821394"/>
    <w:rsid w:val="008213C4"/>
    <w:rsid w:val="008213FE"/>
    <w:rsid w:val="00821445"/>
    <w:rsid w:val="00821688"/>
    <w:rsid w:val="008216F6"/>
    <w:rsid w:val="00821704"/>
    <w:rsid w:val="008218AB"/>
    <w:rsid w:val="008218C8"/>
    <w:rsid w:val="008219A1"/>
    <w:rsid w:val="00821B0B"/>
    <w:rsid w:val="00821B65"/>
    <w:rsid w:val="00821C5C"/>
    <w:rsid w:val="00821EB8"/>
    <w:rsid w:val="00821F96"/>
    <w:rsid w:val="00821FEE"/>
    <w:rsid w:val="008221BA"/>
    <w:rsid w:val="008221FD"/>
    <w:rsid w:val="00822231"/>
    <w:rsid w:val="008223D6"/>
    <w:rsid w:val="0082244A"/>
    <w:rsid w:val="0082253E"/>
    <w:rsid w:val="008226AD"/>
    <w:rsid w:val="00822849"/>
    <w:rsid w:val="008229E6"/>
    <w:rsid w:val="00822A9E"/>
    <w:rsid w:val="00822AD5"/>
    <w:rsid w:val="00822AF9"/>
    <w:rsid w:val="00822C65"/>
    <w:rsid w:val="00822DD7"/>
    <w:rsid w:val="00823555"/>
    <w:rsid w:val="0082368D"/>
    <w:rsid w:val="0082369B"/>
    <w:rsid w:val="0082371D"/>
    <w:rsid w:val="00823765"/>
    <w:rsid w:val="008238A7"/>
    <w:rsid w:val="008239A5"/>
    <w:rsid w:val="00823B2B"/>
    <w:rsid w:val="00823C53"/>
    <w:rsid w:val="00823CA2"/>
    <w:rsid w:val="00823DFE"/>
    <w:rsid w:val="0082406A"/>
    <w:rsid w:val="00824164"/>
    <w:rsid w:val="0082417A"/>
    <w:rsid w:val="008243B9"/>
    <w:rsid w:val="00824663"/>
    <w:rsid w:val="00824944"/>
    <w:rsid w:val="00824CA3"/>
    <w:rsid w:val="00824F6D"/>
    <w:rsid w:val="00824FDE"/>
    <w:rsid w:val="00825239"/>
    <w:rsid w:val="00825374"/>
    <w:rsid w:val="00825381"/>
    <w:rsid w:val="008253FF"/>
    <w:rsid w:val="0082550A"/>
    <w:rsid w:val="0082569A"/>
    <w:rsid w:val="008256E0"/>
    <w:rsid w:val="00825765"/>
    <w:rsid w:val="00825820"/>
    <w:rsid w:val="008258FC"/>
    <w:rsid w:val="0082593C"/>
    <w:rsid w:val="00825AE7"/>
    <w:rsid w:val="00825D68"/>
    <w:rsid w:val="00825D77"/>
    <w:rsid w:val="00825E3C"/>
    <w:rsid w:val="00825E43"/>
    <w:rsid w:val="00825F3F"/>
    <w:rsid w:val="00825FD1"/>
    <w:rsid w:val="00825FEE"/>
    <w:rsid w:val="00826029"/>
    <w:rsid w:val="0082609A"/>
    <w:rsid w:val="008260C8"/>
    <w:rsid w:val="008264E4"/>
    <w:rsid w:val="0082666E"/>
    <w:rsid w:val="00826695"/>
    <w:rsid w:val="0082679A"/>
    <w:rsid w:val="008268A4"/>
    <w:rsid w:val="00826B25"/>
    <w:rsid w:val="00826C9F"/>
    <w:rsid w:val="00826CC4"/>
    <w:rsid w:val="00827026"/>
    <w:rsid w:val="008270C3"/>
    <w:rsid w:val="00827230"/>
    <w:rsid w:val="008272E1"/>
    <w:rsid w:val="008278E6"/>
    <w:rsid w:val="008279C4"/>
    <w:rsid w:val="00827B7B"/>
    <w:rsid w:val="00827C5E"/>
    <w:rsid w:val="00827C6B"/>
    <w:rsid w:val="0083023F"/>
    <w:rsid w:val="0083034F"/>
    <w:rsid w:val="00830518"/>
    <w:rsid w:val="008305EB"/>
    <w:rsid w:val="008306A0"/>
    <w:rsid w:val="008306EB"/>
    <w:rsid w:val="0083070B"/>
    <w:rsid w:val="00830806"/>
    <w:rsid w:val="00830891"/>
    <w:rsid w:val="008308DD"/>
    <w:rsid w:val="0083096A"/>
    <w:rsid w:val="00830BAE"/>
    <w:rsid w:val="00831049"/>
    <w:rsid w:val="008310D0"/>
    <w:rsid w:val="0083115A"/>
    <w:rsid w:val="0083128C"/>
    <w:rsid w:val="00831350"/>
    <w:rsid w:val="00831357"/>
    <w:rsid w:val="0083148C"/>
    <w:rsid w:val="0083152D"/>
    <w:rsid w:val="00831682"/>
    <w:rsid w:val="008316D9"/>
    <w:rsid w:val="00831A52"/>
    <w:rsid w:val="00831ABB"/>
    <w:rsid w:val="00831C39"/>
    <w:rsid w:val="00831F05"/>
    <w:rsid w:val="0083200C"/>
    <w:rsid w:val="0083202F"/>
    <w:rsid w:val="008321FE"/>
    <w:rsid w:val="0083230D"/>
    <w:rsid w:val="008324B4"/>
    <w:rsid w:val="008327F4"/>
    <w:rsid w:val="00832893"/>
    <w:rsid w:val="00832A41"/>
    <w:rsid w:val="00832A54"/>
    <w:rsid w:val="00832D26"/>
    <w:rsid w:val="00832ED7"/>
    <w:rsid w:val="00832F3A"/>
    <w:rsid w:val="008330DF"/>
    <w:rsid w:val="00833275"/>
    <w:rsid w:val="00833373"/>
    <w:rsid w:val="008335C9"/>
    <w:rsid w:val="008338B1"/>
    <w:rsid w:val="0083397D"/>
    <w:rsid w:val="00833E8B"/>
    <w:rsid w:val="00833F95"/>
    <w:rsid w:val="0083407B"/>
    <w:rsid w:val="008341CA"/>
    <w:rsid w:val="0083434B"/>
    <w:rsid w:val="008343D6"/>
    <w:rsid w:val="0083444F"/>
    <w:rsid w:val="008344E9"/>
    <w:rsid w:val="00834513"/>
    <w:rsid w:val="00834751"/>
    <w:rsid w:val="00834787"/>
    <w:rsid w:val="008348B3"/>
    <w:rsid w:val="008348C4"/>
    <w:rsid w:val="00834C04"/>
    <w:rsid w:val="00834C23"/>
    <w:rsid w:val="00834CB8"/>
    <w:rsid w:val="00835035"/>
    <w:rsid w:val="008350EE"/>
    <w:rsid w:val="00835234"/>
    <w:rsid w:val="00835278"/>
    <w:rsid w:val="0083531F"/>
    <w:rsid w:val="0083555B"/>
    <w:rsid w:val="0083560A"/>
    <w:rsid w:val="00835634"/>
    <w:rsid w:val="0083567B"/>
    <w:rsid w:val="0083586C"/>
    <w:rsid w:val="00835908"/>
    <w:rsid w:val="00835AA8"/>
    <w:rsid w:val="00835C4B"/>
    <w:rsid w:val="00835C75"/>
    <w:rsid w:val="00835D14"/>
    <w:rsid w:val="00835EBD"/>
    <w:rsid w:val="0083603C"/>
    <w:rsid w:val="0083610D"/>
    <w:rsid w:val="00836142"/>
    <w:rsid w:val="008361FD"/>
    <w:rsid w:val="00836297"/>
    <w:rsid w:val="00836381"/>
    <w:rsid w:val="008363B8"/>
    <w:rsid w:val="0083642D"/>
    <w:rsid w:val="008364E2"/>
    <w:rsid w:val="00836573"/>
    <w:rsid w:val="008365E5"/>
    <w:rsid w:val="0083664A"/>
    <w:rsid w:val="008366D9"/>
    <w:rsid w:val="00836974"/>
    <w:rsid w:val="00836A3B"/>
    <w:rsid w:val="00836ADE"/>
    <w:rsid w:val="00836B46"/>
    <w:rsid w:val="00836F8D"/>
    <w:rsid w:val="00837054"/>
    <w:rsid w:val="00837062"/>
    <w:rsid w:val="00837076"/>
    <w:rsid w:val="00837170"/>
    <w:rsid w:val="0083728B"/>
    <w:rsid w:val="008372AD"/>
    <w:rsid w:val="008375B2"/>
    <w:rsid w:val="0083764F"/>
    <w:rsid w:val="00837703"/>
    <w:rsid w:val="0083777F"/>
    <w:rsid w:val="00837A13"/>
    <w:rsid w:val="00837B95"/>
    <w:rsid w:val="00837BB7"/>
    <w:rsid w:val="00837D0A"/>
    <w:rsid w:val="00837E31"/>
    <w:rsid w:val="00837E87"/>
    <w:rsid w:val="00837EF6"/>
    <w:rsid w:val="0084007B"/>
    <w:rsid w:val="008400FC"/>
    <w:rsid w:val="00840150"/>
    <w:rsid w:val="008401B8"/>
    <w:rsid w:val="0084020D"/>
    <w:rsid w:val="00840226"/>
    <w:rsid w:val="00840272"/>
    <w:rsid w:val="00840332"/>
    <w:rsid w:val="008403CD"/>
    <w:rsid w:val="00840485"/>
    <w:rsid w:val="00840531"/>
    <w:rsid w:val="00840623"/>
    <w:rsid w:val="0084088C"/>
    <w:rsid w:val="00840DD4"/>
    <w:rsid w:val="00840DF5"/>
    <w:rsid w:val="00840EC9"/>
    <w:rsid w:val="00841010"/>
    <w:rsid w:val="008411DB"/>
    <w:rsid w:val="008412D5"/>
    <w:rsid w:val="008412E8"/>
    <w:rsid w:val="008415FD"/>
    <w:rsid w:val="00841805"/>
    <w:rsid w:val="008418D4"/>
    <w:rsid w:val="00841999"/>
    <w:rsid w:val="00841B7B"/>
    <w:rsid w:val="00841BF1"/>
    <w:rsid w:val="00841E32"/>
    <w:rsid w:val="00841EAC"/>
    <w:rsid w:val="00841F7F"/>
    <w:rsid w:val="00841FBE"/>
    <w:rsid w:val="0084211F"/>
    <w:rsid w:val="00842178"/>
    <w:rsid w:val="00842191"/>
    <w:rsid w:val="008421DD"/>
    <w:rsid w:val="00842232"/>
    <w:rsid w:val="00842399"/>
    <w:rsid w:val="0084247E"/>
    <w:rsid w:val="008424A1"/>
    <w:rsid w:val="008424AE"/>
    <w:rsid w:val="008425FD"/>
    <w:rsid w:val="0084265A"/>
    <w:rsid w:val="00842867"/>
    <w:rsid w:val="00842958"/>
    <w:rsid w:val="008429C6"/>
    <w:rsid w:val="008429CA"/>
    <w:rsid w:val="00842ABC"/>
    <w:rsid w:val="00842ADC"/>
    <w:rsid w:val="00842B7A"/>
    <w:rsid w:val="008430A2"/>
    <w:rsid w:val="008430DF"/>
    <w:rsid w:val="00843185"/>
    <w:rsid w:val="00843217"/>
    <w:rsid w:val="00843389"/>
    <w:rsid w:val="008433B7"/>
    <w:rsid w:val="00843520"/>
    <w:rsid w:val="00843966"/>
    <w:rsid w:val="00843A12"/>
    <w:rsid w:val="00843C9D"/>
    <w:rsid w:val="00843D90"/>
    <w:rsid w:val="00843F81"/>
    <w:rsid w:val="0084400E"/>
    <w:rsid w:val="00844146"/>
    <w:rsid w:val="008441FF"/>
    <w:rsid w:val="008443C0"/>
    <w:rsid w:val="00844442"/>
    <w:rsid w:val="008444A9"/>
    <w:rsid w:val="0084453F"/>
    <w:rsid w:val="0084455E"/>
    <w:rsid w:val="008445D6"/>
    <w:rsid w:val="00844824"/>
    <w:rsid w:val="0084498D"/>
    <w:rsid w:val="008449F1"/>
    <w:rsid w:val="00844AB5"/>
    <w:rsid w:val="00844AE6"/>
    <w:rsid w:val="00844CD8"/>
    <w:rsid w:val="00844EFD"/>
    <w:rsid w:val="00845147"/>
    <w:rsid w:val="0084516F"/>
    <w:rsid w:val="0084519B"/>
    <w:rsid w:val="0084525E"/>
    <w:rsid w:val="00845287"/>
    <w:rsid w:val="0084547A"/>
    <w:rsid w:val="008455B5"/>
    <w:rsid w:val="00845607"/>
    <w:rsid w:val="008457B7"/>
    <w:rsid w:val="008457BA"/>
    <w:rsid w:val="00845A47"/>
    <w:rsid w:val="00846117"/>
    <w:rsid w:val="00846154"/>
    <w:rsid w:val="00846203"/>
    <w:rsid w:val="00846335"/>
    <w:rsid w:val="008464C1"/>
    <w:rsid w:val="0084663E"/>
    <w:rsid w:val="0084667E"/>
    <w:rsid w:val="00846708"/>
    <w:rsid w:val="008469D3"/>
    <w:rsid w:val="00846A21"/>
    <w:rsid w:val="00846C13"/>
    <w:rsid w:val="00846D85"/>
    <w:rsid w:val="00846E8F"/>
    <w:rsid w:val="00846FA7"/>
    <w:rsid w:val="0084722E"/>
    <w:rsid w:val="00847382"/>
    <w:rsid w:val="0084744E"/>
    <w:rsid w:val="008474DC"/>
    <w:rsid w:val="0084758B"/>
    <w:rsid w:val="008475CC"/>
    <w:rsid w:val="0084777C"/>
    <w:rsid w:val="00847817"/>
    <w:rsid w:val="00847B32"/>
    <w:rsid w:val="00847CF6"/>
    <w:rsid w:val="00847E07"/>
    <w:rsid w:val="00847F03"/>
    <w:rsid w:val="00847F8D"/>
    <w:rsid w:val="00850048"/>
    <w:rsid w:val="0085017E"/>
    <w:rsid w:val="0085023C"/>
    <w:rsid w:val="0085027B"/>
    <w:rsid w:val="00850430"/>
    <w:rsid w:val="00850464"/>
    <w:rsid w:val="00850485"/>
    <w:rsid w:val="008504B0"/>
    <w:rsid w:val="008504F3"/>
    <w:rsid w:val="008506E6"/>
    <w:rsid w:val="00850822"/>
    <w:rsid w:val="0085083E"/>
    <w:rsid w:val="00850921"/>
    <w:rsid w:val="00850981"/>
    <w:rsid w:val="00850B18"/>
    <w:rsid w:val="00850B63"/>
    <w:rsid w:val="00850D53"/>
    <w:rsid w:val="00850E3D"/>
    <w:rsid w:val="00850EDE"/>
    <w:rsid w:val="00850F3E"/>
    <w:rsid w:val="00850F66"/>
    <w:rsid w:val="008510DC"/>
    <w:rsid w:val="008510DD"/>
    <w:rsid w:val="00851154"/>
    <w:rsid w:val="008512A2"/>
    <w:rsid w:val="008512E9"/>
    <w:rsid w:val="008513D9"/>
    <w:rsid w:val="008518E8"/>
    <w:rsid w:val="00851A4D"/>
    <w:rsid w:val="00851B8C"/>
    <w:rsid w:val="00851C90"/>
    <w:rsid w:val="00851D4D"/>
    <w:rsid w:val="00851E7A"/>
    <w:rsid w:val="00851E90"/>
    <w:rsid w:val="00851EBA"/>
    <w:rsid w:val="00851FE9"/>
    <w:rsid w:val="008521EF"/>
    <w:rsid w:val="008522EC"/>
    <w:rsid w:val="008524E0"/>
    <w:rsid w:val="008525C3"/>
    <w:rsid w:val="008526C3"/>
    <w:rsid w:val="00852752"/>
    <w:rsid w:val="00852801"/>
    <w:rsid w:val="008528D1"/>
    <w:rsid w:val="008528D5"/>
    <w:rsid w:val="008529CF"/>
    <w:rsid w:val="00852AF9"/>
    <w:rsid w:val="00852C31"/>
    <w:rsid w:val="00852C5E"/>
    <w:rsid w:val="00852DA2"/>
    <w:rsid w:val="00852DE4"/>
    <w:rsid w:val="008530CF"/>
    <w:rsid w:val="00853148"/>
    <w:rsid w:val="008534FC"/>
    <w:rsid w:val="0085372D"/>
    <w:rsid w:val="00853744"/>
    <w:rsid w:val="00853969"/>
    <w:rsid w:val="008539D9"/>
    <w:rsid w:val="00853A11"/>
    <w:rsid w:val="00853B3F"/>
    <w:rsid w:val="00853B58"/>
    <w:rsid w:val="00853BDA"/>
    <w:rsid w:val="00853DF4"/>
    <w:rsid w:val="00853F93"/>
    <w:rsid w:val="00853F95"/>
    <w:rsid w:val="008540F0"/>
    <w:rsid w:val="00854145"/>
    <w:rsid w:val="00854165"/>
    <w:rsid w:val="0085423B"/>
    <w:rsid w:val="00854402"/>
    <w:rsid w:val="00854533"/>
    <w:rsid w:val="0085462D"/>
    <w:rsid w:val="008546CD"/>
    <w:rsid w:val="008546F6"/>
    <w:rsid w:val="00854720"/>
    <w:rsid w:val="00854732"/>
    <w:rsid w:val="0085475B"/>
    <w:rsid w:val="0085478C"/>
    <w:rsid w:val="00854823"/>
    <w:rsid w:val="008548AA"/>
    <w:rsid w:val="00854C1A"/>
    <w:rsid w:val="00854C64"/>
    <w:rsid w:val="00854D4E"/>
    <w:rsid w:val="00854E10"/>
    <w:rsid w:val="008550B4"/>
    <w:rsid w:val="00855274"/>
    <w:rsid w:val="00855467"/>
    <w:rsid w:val="00855582"/>
    <w:rsid w:val="008557CC"/>
    <w:rsid w:val="00855821"/>
    <w:rsid w:val="00855BA5"/>
    <w:rsid w:val="00855EAC"/>
    <w:rsid w:val="00855F6A"/>
    <w:rsid w:val="00855FEF"/>
    <w:rsid w:val="0085647E"/>
    <w:rsid w:val="00856693"/>
    <w:rsid w:val="0085674A"/>
    <w:rsid w:val="00856785"/>
    <w:rsid w:val="008569A9"/>
    <w:rsid w:val="00856A7B"/>
    <w:rsid w:val="00856BB7"/>
    <w:rsid w:val="00856DFA"/>
    <w:rsid w:val="00856F4E"/>
    <w:rsid w:val="00856F55"/>
    <w:rsid w:val="00856FDA"/>
    <w:rsid w:val="008572A9"/>
    <w:rsid w:val="00857369"/>
    <w:rsid w:val="008574DD"/>
    <w:rsid w:val="008574E6"/>
    <w:rsid w:val="00857521"/>
    <w:rsid w:val="00857793"/>
    <w:rsid w:val="00857852"/>
    <w:rsid w:val="00857964"/>
    <w:rsid w:val="00857973"/>
    <w:rsid w:val="008579B1"/>
    <w:rsid w:val="00857A7C"/>
    <w:rsid w:val="00857B0D"/>
    <w:rsid w:val="00857B30"/>
    <w:rsid w:val="00857B33"/>
    <w:rsid w:val="00857B68"/>
    <w:rsid w:val="00857BD8"/>
    <w:rsid w:val="00857BFB"/>
    <w:rsid w:val="00857CCA"/>
    <w:rsid w:val="00857ECE"/>
    <w:rsid w:val="008600D0"/>
    <w:rsid w:val="008604FD"/>
    <w:rsid w:val="00860599"/>
    <w:rsid w:val="00860657"/>
    <w:rsid w:val="008608F2"/>
    <w:rsid w:val="00860B81"/>
    <w:rsid w:val="00860C8F"/>
    <w:rsid w:val="00860D19"/>
    <w:rsid w:val="00860F2F"/>
    <w:rsid w:val="0086104C"/>
    <w:rsid w:val="008610B1"/>
    <w:rsid w:val="0086122C"/>
    <w:rsid w:val="008612C6"/>
    <w:rsid w:val="008615EC"/>
    <w:rsid w:val="00861611"/>
    <w:rsid w:val="008617A8"/>
    <w:rsid w:val="008618A7"/>
    <w:rsid w:val="008619E6"/>
    <w:rsid w:val="00861A2B"/>
    <w:rsid w:val="00861A5C"/>
    <w:rsid w:val="00861D93"/>
    <w:rsid w:val="00861EAD"/>
    <w:rsid w:val="00861F8C"/>
    <w:rsid w:val="008620CA"/>
    <w:rsid w:val="008621BC"/>
    <w:rsid w:val="0086259C"/>
    <w:rsid w:val="00862608"/>
    <w:rsid w:val="008626A0"/>
    <w:rsid w:val="008626EF"/>
    <w:rsid w:val="00862705"/>
    <w:rsid w:val="0086273E"/>
    <w:rsid w:val="00862943"/>
    <w:rsid w:val="00862A30"/>
    <w:rsid w:val="00862C61"/>
    <w:rsid w:val="00862CF7"/>
    <w:rsid w:val="00862D82"/>
    <w:rsid w:val="00862E0F"/>
    <w:rsid w:val="00862EC9"/>
    <w:rsid w:val="00862EDE"/>
    <w:rsid w:val="00862EEE"/>
    <w:rsid w:val="00862FEA"/>
    <w:rsid w:val="00863010"/>
    <w:rsid w:val="0086311C"/>
    <w:rsid w:val="0086329C"/>
    <w:rsid w:val="008633B3"/>
    <w:rsid w:val="008633EF"/>
    <w:rsid w:val="00863533"/>
    <w:rsid w:val="00863682"/>
    <w:rsid w:val="0086373A"/>
    <w:rsid w:val="008637AD"/>
    <w:rsid w:val="0086398B"/>
    <w:rsid w:val="00863C36"/>
    <w:rsid w:val="00863C74"/>
    <w:rsid w:val="00863C8D"/>
    <w:rsid w:val="00863FD5"/>
    <w:rsid w:val="0086404B"/>
    <w:rsid w:val="00864074"/>
    <w:rsid w:val="008640CB"/>
    <w:rsid w:val="00864288"/>
    <w:rsid w:val="00864314"/>
    <w:rsid w:val="008643AA"/>
    <w:rsid w:val="008643F4"/>
    <w:rsid w:val="008644F4"/>
    <w:rsid w:val="00864865"/>
    <w:rsid w:val="00864947"/>
    <w:rsid w:val="00864B32"/>
    <w:rsid w:val="00864C3F"/>
    <w:rsid w:val="00864C48"/>
    <w:rsid w:val="00864CDE"/>
    <w:rsid w:val="00864D09"/>
    <w:rsid w:val="00864FDF"/>
    <w:rsid w:val="0086505E"/>
    <w:rsid w:val="0086508A"/>
    <w:rsid w:val="0086509F"/>
    <w:rsid w:val="008652A7"/>
    <w:rsid w:val="0086537B"/>
    <w:rsid w:val="00865392"/>
    <w:rsid w:val="0086586F"/>
    <w:rsid w:val="008658DB"/>
    <w:rsid w:val="00865957"/>
    <w:rsid w:val="00865AC2"/>
    <w:rsid w:val="00865BB1"/>
    <w:rsid w:val="00865BBE"/>
    <w:rsid w:val="00865C58"/>
    <w:rsid w:val="00865F69"/>
    <w:rsid w:val="00866079"/>
    <w:rsid w:val="008660AA"/>
    <w:rsid w:val="008660F0"/>
    <w:rsid w:val="008661EE"/>
    <w:rsid w:val="00866215"/>
    <w:rsid w:val="00866677"/>
    <w:rsid w:val="00866913"/>
    <w:rsid w:val="00866A7B"/>
    <w:rsid w:val="00866ACA"/>
    <w:rsid w:val="00866B42"/>
    <w:rsid w:val="00866C37"/>
    <w:rsid w:val="00866CFD"/>
    <w:rsid w:val="008672D8"/>
    <w:rsid w:val="00867670"/>
    <w:rsid w:val="008678AE"/>
    <w:rsid w:val="00867943"/>
    <w:rsid w:val="00867B35"/>
    <w:rsid w:val="00867CE0"/>
    <w:rsid w:val="00867E12"/>
    <w:rsid w:val="0087003C"/>
    <w:rsid w:val="00870125"/>
    <w:rsid w:val="0087015C"/>
    <w:rsid w:val="00870181"/>
    <w:rsid w:val="00870184"/>
    <w:rsid w:val="00870227"/>
    <w:rsid w:val="008704A6"/>
    <w:rsid w:val="0087055C"/>
    <w:rsid w:val="00870823"/>
    <w:rsid w:val="0087094A"/>
    <w:rsid w:val="00870A21"/>
    <w:rsid w:val="00870A3D"/>
    <w:rsid w:val="00870A6A"/>
    <w:rsid w:val="00870B2C"/>
    <w:rsid w:val="00870B3E"/>
    <w:rsid w:val="00870C08"/>
    <w:rsid w:val="00870D0A"/>
    <w:rsid w:val="00870D0E"/>
    <w:rsid w:val="00870DF7"/>
    <w:rsid w:val="00870F2E"/>
    <w:rsid w:val="00870FEF"/>
    <w:rsid w:val="008710AC"/>
    <w:rsid w:val="008710EF"/>
    <w:rsid w:val="0087116C"/>
    <w:rsid w:val="00871455"/>
    <w:rsid w:val="0087145D"/>
    <w:rsid w:val="008717B8"/>
    <w:rsid w:val="0087182E"/>
    <w:rsid w:val="00871B39"/>
    <w:rsid w:val="00871B3B"/>
    <w:rsid w:val="00871DA3"/>
    <w:rsid w:val="00871DF7"/>
    <w:rsid w:val="00871E54"/>
    <w:rsid w:val="00871E99"/>
    <w:rsid w:val="00871EA8"/>
    <w:rsid w:val="00871EBF"/>
    <w:rsid w:val="00871F0A"/>
    <w:rsid w:val="0087220F"/>
    <w:rsid w:val="0087225F"/>
    <w:rsid w:val="008723A9"/>
    <w:rsid w:val="00872414"/>
    <w:rsid w:val="008726EC"/>
    <w:rsid w:val="00872861"/>
    <w:rsid w:val="00872906"/>
    <w:rsid w:val="00872925"/>
    <w:rsid w:val="00872B23"/>
    <w:rsid w:val="00872C19"/>
    <w:rsid w:val="00872C29"/>
    <w:rsid w:val="00872DC0"/>
    <w:rsid w:val="00872EBD"/>
    <w:rsid w:val="00873156"/>
    <w:rsid w:val="00873569"/>
    <w:rsid w:val="00873584"/>
    <w:rsid w:val="0087371B"/>
    <w:rsid w:val="00873732"/>
    <w:rsid w:val="00873794"/>
    <w:rsid w:val="0087384E"/>
    <w:rsid w:val="008739A9"/>
    <w:rsid w:val="00873A06"/>
    <w:rsid w:val="00873A80"/>
    <w:rsid w:val="00873AF5"/>
    <w:rsid w:val="00873DEC"/>
    <w:rsid w:val="00873F9A"/>
    <w:rsid w:val="00874012"/>
    <w:rsid w:val="0087414C"/>
    <w:rsid w:val="00874156"/>
    <w:rsid w:val="008741F4"/>
    <w:rsid w:val="008742DE"/>
    <w:rsid w:val="00874459"/>
    <w:rsid w:val="008745A8"/>
    <w:rsid w:val="00874950"/>
    <w:rsid w:val="00874961"/>
    <w:rsid w:val="008749FF"/>
    <w:rsid w:val="00874AD1"/>
    <w:rsid w:val="00874E5E"/>
    <w:rsid w:val="00874EFD"/>
    <w:rsid w:val="00875022"/>
    <w:rsid w:val="00875169"/>
    <w:rsid w:val="008753D1"/>
    <w:rsid w:val="008754B7"/>
    <w:rsid w:val="00875505"/>
    <w:rsid w:val="0087556A"/>
    <w:rsid w:val="008757B1"/>
    <w:rsid w:val="00875888"/>
    <w:rsid w:val="0087596C"/>
    <w:rsid w:val="00875CF8"/>
    <w:rsid w:val="00875D86"/>
    <w:rsid w:val="00875E8A"/>
    <w:rsid w:val="008760BE"/>
    <w:rsid w:val="00876127"/>
    <w:rsid w:val="00876130"/>
    <w:rsid w:val="008761E9"/>
    <w:rsid w:val="008762F9"/>
    <w:rsid w:val="0087631C"/>
    <w:rsid w:val="00876346"/>
    <w:rsid w:val="00876560"/>
    <w:rsid w:val="00876575"/>
    <w:rsid w:val="008768B2"/>
    <w:rsid w:val="00876A40"/>
    <w:rsid w:val="00876A73"/>
    <w:rsid w:val="00876A81"/>
    <w:rsid w:val="00876AA0"/>
    <w:rsid w:val="00876C5B"/>
    <w:rsid w:val="00876DBA"/>
    <w:rsid w:val="00876F72"/>
    <w:rsid w:val="00877073"/>
    <w:rsid w:val="008770FD"/>
    <w:rsid w:val="008770FE"/>
    <w:rsid w:val="008771C3"/>
    <w:rsid w:val="00877227"/>
    <w:rsid w:val="008772F3"/>
    <w:rsid w:val="008776BB"/>
    <w:rsid w:val="008777C6"/>
    <w:rsid w:val="0087785C"/>
    <w:rsid w:val="008778BC"/>
    <w:rsid w:val="00877B63"/>
    <w:rsid w:val="00877BEB"/>
    <w:rsid w:val="00877C26"/>
    <w:rsid w:val="00877C7F"/>
    <w:rsid w:val="00877DEF"/>
    <w:rsid w:val="00877FBD"/>
    <w:rsid w:val="0088014E"/>
    <w:rsid w:val="00880165"/>
    <w:rsid w:val="00880179"/>
    <w:rsid w:val="0088026E"/>
    <w:rsid w:val="00880343"/>
    <w:rsid w:val="0088035D"/>
    <w:rsid w:val="00880360"/>
    <w:rsid w:val="00880392"/>
    <w:rsid w:val="00880538"/>
    <w:rsid w:val="0088068F"/>
    <w:rsid w:val="0088072C"/>
    <w:rsid w:val="0088096D"/>
    <w:rsid w:val="00880BA3"/>
    <w:rsid w:val="00880E37"/>
    <w:rsid w:val="00880F4D"/>
    <w:rsid w:val="00880FF3"/>
    <w:rsid w:val="008815AC"/>
    <w:rsid w:val="008816B3"/>
    <w:rsid w:val="008816E5"/>
    <w:rsid w:val="00881757"/>
    <w:rsid w:val="008818A9"/>
    <w:rsid w:val="00881B25"/>
    <w:rsid w:val="00881CC3"/>
    <w:rsid w:val="00881CFA"/>
    <w:rsid w:val="00881D8D"/>
    <w:rsid w:val="00882A52"/>
    <w:rsid w:val="00882AA4"/>
    <w:rsid w:val="00882CFE"/>
    <w:rsid w:val="00882F1B"/>
    <w:rsid w:val="00883157"/>
    <w:rsid w:val="008831A2"/>
    <w:rsid w:val="008834CE"/>
    <w:rsid w:val="008836A4"/>
    <w:rsid w:val="0088382A"/>
    <w:rsid w:val="00883852"/>
    <w:rsid w:val="008838D2"/>
    <w:rsid w:val="00883A35"/>
    <w:rsid w:val="00883BA3"/>
    <w:rsid w:val="00883DCF"/>
    <w:rsid w:val="008841A8"/>
    <w:rsid w:val="00884546"/>
    <w:rsid w:val="00884660"/>
    <w:rsid w:val="0088472F"/>
    <w:rsid w:val="0088479C"/>
    <w:rsid w:val="0088480B"/>
    <w:rsid w:val="00884936"/>
    <w:rsid w:val="00884D46"/>
    <w:rsid w:val="00884E64"/>
    <w:rsid w:val="0088537A"/>
    <w:rsid w:val="00885435"/>
    <w:rsid w:val="0088549A"/>
    <w:rsid w:val="00885540"/>
    <w:rsid w:val="008855CA"/>
    <w:rsid w:val="008855D2"/>
    <w:rsid w:val="008856A7"/>
    <w:rsid w:val="00885769"/>
    <w:rsid w:val="008857EE"/>
    <w:rsid w:val="00885857"/>
    <w:rsid w:val="00885B33"/>
    <w:rsid w:val="00885B68"/>
    <w:rsid w:val="00885BD1"/>
    <w:rsid w:val="00885EB3"/>
    <w:rsid w:val="00886012"/>
    <w:rsid w:val="00886028"/>
    <w:rsid w:val="008861D0"/>
    <w:rsid w:val="008862E7"/>
    <w:rsid w:val="00886317"/>
    <w:rsid w:val="0088648B"/>
    <w:rsid w:val="008864C6"/>
    <w:rsid w:val="008864D0"/>
    <w:rsid w:val="008866BB"/>
    <w:rsid w:val="00886B35"/>
    <w:rsid w:val="00886C63"/>
    <w:rsid w:val="00886CCE"/>
    <w:rsid w:val="00886CEA"/>
    <w:rsid w:val="00886DB1"/>
    <w:rsid w:val="00886E57"/>
    <w:rsid w:val="008870CD"/>
    <w:rsid w:val="00887235"/>
    <w:rsid w:val="00887301"/>
    <w:rsid w:val="00887377"/>
    <w:rsid w:val="008873A4"/>
    <w:rsid w:val="008873E7"/>
    <w:rsid w:val="00887430"/>
    <w:rsid w:val="008875BE"/>
    <w:rsid w:val="00887802"/>
    <w:rsid w:val="008879DB"/>
    <w:rsid w:val="00887AB6"/>
    <w:rsid w:val="00887B0E"/>
    <w:rsid w:val="00887B55"/>
    <w:rsid w:val="00887CED"/>
    <w:rsid w:val="00887D7E"/>
    <w:rsid w:val="00887F76"/>
    <w:rsid w:val="00887FCD"/>
    <w:rsid w:val="008901E5"/>
    <w:rsid w:val="00890525"/>
    <w:rsid w:val="008906D9"/>
    <w:rsid w:val="0089075A"/>
    <w:rsid w:val="00890773"/>
    <w:rsid w:val="00890786"/>
    <w:rsid w:val="008907F3"/>
    <w:rsid w:val="0089097A"/>
    <w:rsid w:val="00890984"/>
    <w:rsid w:val="00890AC7"/>
    <w:rsid w:val="00890C20"/>
    <w:rsid w:val="00890C2F"/>
    <w:rsid w:val="00890C38"/>
    <w:rsid w:val="00890C4D"/>
    <w:rsid w:val="00890C5D"/>
    <w:rsid w:val="00890CCF"/>
    <w:rsid w:val="00890EA6"/>
    <w:rsid w:val="00891060"/>
    <w:rsid w:val="008910CB"/>
    <w:rsid w:val="00891293"/>
    <w:rsid w:val="008913DD"/>
    <w:rsid w:val="00891459"/>
    <w:rsid w:val="0089153B"/>
    <w:rsid w:val="0089165F"/>
    <w:rsid w:val="008916B1"/>
    <w:rsid w:val="008917E4"/>
    <w:rsid w:val="0089189B"/>
    <w:rsid w:val="008918DD"/>
    <w:rsid w:val="00891D7C"/>
    <w:rsid w:val="00891F14"/>
    <w:rsid w:val="00891FD7"/>
    <w:rsid w:val="00892069"/>
    <w:rsid w:val="00892139"/>
    <w:rsid w:val="00892216"/>
    <w:rsid w:val="00892295"/>
    <w:rsid w:val="00892373"/>
    <w:rsid w:val="008924AB"/>
    <w:rsid w:val="0089257C"/>
    <w:rsid w:val="0089258B"/>
    <w:rsid w:val="008925DE"/>
    <w:rsid w:val="008925FE"/>
    <w:rsid w:val="00892A10"/>
    <w:rsid w:val="00892A93"/>
    <w:rsid w:val="00892DEB"/>
    <w:rsid w:val="00892ED2"/>
    <w:rsid w:val="00892FF5"/>
    <w:rsid w:val="0089308F"/>
    <w:rsid w:val="00893091"/>
    <w:rsid w:val="00893206"/>
    <w:rsid w:val="00893292"/>
    <w:rsid w:val="00893306"/>
    <w:rsid w:val="00893307"/>
    <w:rsid w:val="0089330B"/>
    <w:rsid w:val="00893380"/>
    <w:rsid w:val="00893549"/>
    <w:rsid w:val="00893830"/>
    <w:rsid w:val="00893843"/>
    <w:rsid w:val="0089395B"/>
    <w:rsid w:val="008939A9"/>
    <w:rsid w:val="00893B42"/>
    <w:rsid w:val="00893C65"/>
    <w:rsid w:val="00893D7E"/>
    <w:rsid w:val="00893E17"/>
    <w:rsid w:val="00893E95"/>
    <w:rsid w:val="008941BC"/>
    <w:rsid w:val="008943ED"/>
    <w:rsid w:val="008945E2"/>
    <w:rsid w:val="0089467D"/>
    <w:rsid w:val="00894AE6"/>
    <w:rsid w:val="00894BB2"/>
    <w:rsid w:val="00894CCA"/>
    <w:rsid w:val="00894D41"/>
    <w:rsid w:val="00894FBD"/>
    <w:rsid w:val="00894FD1"/>
    <w:rsid w:val="00895414"/>
    <w:rsid w:val="00895483"/>
    <w:rsid w:val="00895508"/>
    <w:rsid w:val="00895619"/>
    <w:rsid w:val="0089578F"/>
    <w:rsid w:val="00895807"/>
    <w:rsid w:val="00895818"/>
    <w:rsid w:val="0089582A"/>
    <w:rsid w:val="00895A0F"/>
    <w:rsid w:val="00895C1D"/>
    <w:rsid w:val="00895CC1"/>
    <w:rsid w:val="00895EA6"/>
    <w:rsid w:val="00895FAF"/>
    <w:rsid w:val="0089617C"/>
    <w:rsid w:val="00896352"/>
    <w:rsid w:val="00896438"/>
    <w:rsid w:val="00896501"/>
    <w:rsid w:val="008966AA"/>
    <w:rsid w:val="008968DB"/>
    <w:rsid w:val="008969A7"/>
    <w:rsid w:val="00896AC9"/>
    <w:rsid w:val="00896C9E"/>
    <w:rsid w:val="00896E84"/>
    <w:rsid w:val="00896EA0"/>
    <w:rsid w:val="00896F50"/>
    <w:rsid w:val="00896FAD"/>
    <w:rsid w:val="00897042"/>
    <w:rsid w:val="00897104"/>
    <w:rsid w:val="00897107"/>
    <w:rsid w:val="0089719C"/>
    <w:rsid w:val="008972D3"/>
    <w:rsid w:val="008973FF"/>
    <w:rsid w:val="00897607"/>
    <w:rsid w:val="008976CA"/>
    <w:rsid w:val="00897951"/>
    <w:rsid w:val="00897991"/>
    <w:rsid w:val="008979D1"/>
    <w:rsid w:val="00897AB9"/>
    <w:rsid w:val="00897CA6"/>
    <w:rsid w:val="00897D10"/>
    <w:rsid w:val="008A08A1"/>
    <w:rsid w:val="008A0908"/>
    <w:rsid w:val="008A091E"/>
    <w:rsid w:val="008A0964"/>
    <w:rsid w:val="008A0997"/>
    <w:rsid w:val="008A0AC4"/>
    <w:rsid w:val="008A0BD9"/>
    <w:rsid w:val="008A0C5B"/>
    <w:rsid w:val="008A0FE1"/>
    <w:rsid w:val="008A104F"/>
    <w:rsid w:val="008A1532"/>
    <w:rsid w:val="008A1620"/>
    <w:rsid w:val="008A1705"/>
    <w:rsid w:val="008A1706"/>
    <w:rsid w:val="008A18DA"/>
    <w:rsid w:val="008A192D"/>
    <w:rsid w:val="008A1939"/>
    <w:rsid w:val="008A1A6E"/>
    <w:rsid w:val="008A1C6A"/>
    <w:rsid w:val="008A1D40"/>
    <w:rsid w:val="008A1E5D"/>
    <w:rsid w:val="008A1FAF"/>
    <w:rsid w:val="008A236B"/>
    <w:rsid w:val="008A23E3"/>
    <w:rsid w:val="008A23E8"/>
    <w:rsid w:val="008A254A"/>
    <w:rsid w:val="008A2582"/>
    <w:rsid w:val="008A25AD"/>
    <w:rsid w:val="008A28C5"/>
    <w:rsid w:val="008A2A3B"/>
    <w:rsid w:val="008A2B58"/>
    <w:rsid w:val="008A2BAB"/>
    <w:rsid w:val="008A2D9A"/>
    <w:rsid w:val="008A2DEA"/>
    <w:rsid w:val="008A2E12"/>
    <w:rsid w:val="008A2FB1"/>
    <w:rsid w:val="008A2FF9"/>
    <w:rsid w:val="008A3027"/>
    <w:rsid w:val="008A3128"/>
    <w:rsid w:val="008A312E"/>
    <w:rsid w:val="008A326D"/>
    <w:rsid w:val="008A3329"/>
    <w:rsid w:val="008A33F0"/>
    <w:rsid w:val="008A3535"/>
    <w:rsid w:val="008A38A5"/>
    <w:rsid w:val="008A38C6"/>
    <w:rsid w:val="008A393A"/>
    <w:rsid w:val="008A3964"/>
    <w:rsid w:val="008A3B03"/>
    <w:rsid w:val="008A3B3B"/>
    <w:rsid w:val="008A3C37"/>
    <w:rsid w:val="008A3C76"/>
    <w:rsid w:val="008A3FFE"/>
    <w:rsid w:val="008A4062"/>
    <w:rsid w:val="008A4085"/>
    <w:rsid w:val="008A40BA"/>
    <w:rsid w:val="008A41A3"/>
    <w:rsid w:val="008A45D1"/>
    <w:rsid w:val="008A461C"/>
    <w:rsid w:val="008A4692"/>
    <w:rsid w:val="008A46BD"/>
    <w:rsid w:val="008A4745"/>
    <w:rsid w:val="008A4763"/>
    <w:rsid w:val="008A485D"/>
    <w:rsid w:val="008A4A8C"/>
    <w:rsid w:val="008A4AD6"/>
    <w:rsid w:val="008A52B6"/>
    <w:rsid w:val="008A538D"/>
    <w:rsid w:val="008A55A1"/>
    <w:rsid w:val="008A55A3"/>
    <w:rsid w:val="008A561F"/>
    <w:rsid w:val="008A5620"/>
    <w:rsid w:val="008A574E"/>
    <w:rsid w:val="008A5762"/>
    <w:rsid w:val="008A5B9A"/>
    <w:rsid w:val="008A5C79"/>
    <w:rsid w:val="008A5EF2"/>
    <w:rsid w:val="008A6054"/>
    <w:rsid w:val="008A607B"/>
    <w:rsid w:val="008A612F"/>
    <w:rsid w:val="008A649E"/>
    <w:rsid w:val="008A67EF"/>
    <w:rsid w:val="008A6885"/>
    <w:rsid w:val="008A69A5"/>
    <w:rsid w:val="008A6A0F"/>
    <w:rsid w:val="008A6A61"/>
    <w:rsid w:val="008A6AA5"/>
    <w:rsid w:val="008A6D78"/>
    <w:rsid w:val="008A6DD1"/>
    <w:rsid w:val="008A6E59"/>
    <w:rsid w:val="008A6E63"/>
    <w:rsid w:val="008A6F75"/>
    <w:rsid w:val="008A6FB8"/>
    <w:rsid w:val="008A7019"/>
    <w:rsid w:val="008A70A9"/>
    <w:rsid w:val="008A71D7"/>
    <w:rsid w:val="008A753C"/>
    <w:rsid w:val="008A753F"/>
    <w:rsid w:val="008A75B8"/>
    <w:rsid w:val="008A76AB"/>
    <w:rsid w:val="008A76D1"/>
    <w:rsid w:val="008A7815"/>
    <w:rsid w:val="008A7AAF"/>
    <w:rsid w:val="008A7C8E"/>
    <w:rsid w:val="008A7EDC"/>
    <w:rsid w:val="008AECE0"/>
    <w:rsid w:val="008B003D"/>
    <w:rsid w:val="008B0485"/>
    <w:rsid w:val="008B0565"/>
    <w:rsid w:val="008B077C"/>
    <w:rsid w:val="008B07BD"/>
    <w:rsid w:val="008B087A"/>
    <w:rsid w:val="008B08B0"/>
    <w:rsid w:val="008B0977"/>
    <w:rsid w:val="008B0B93"/>
    <w:rsid w:val="008B0D84"/>
    <w:rsid w:val="008B0DB9"/>
    <w:rsid w:val="008B0DDF"/>
    <w:rsid w:val="008B0E84"/>
    <w:rsid w:val="008B0E9E"/>
    <w:rsid w:val="008B0EBB"/>
    <w:rsid w:val="008B0F18"/>
    <w:rsid w:val="008B1110"/>
    <w:rsid w:val="008B132E"/>
    <w:rsid w:val="008B159D"/>
    <w:rsid w:val="008B15A6"/>
    <w:rsid w:val="008B184C"/>
    <w:rsid w:val="008B1AC5"/>
    <w:rsid w:val="008B1ADB"/>
    <w:rsid w:val="008B1B0E"/>
    <w:rsid w:val="008B1CA4"/>
    <w:rsid w:val="008B1D8C"/>
    <w:rsid w:val="008B1F52"/>
    <w:rsid w:val="008B1FCB"/>
    <w:rsid w:val="008B2074"/>
    <w:rsid w:val="008B2091"/>
    <w:rsid w:val="008B20DC"/>
    <w:rsid w:val="008B20ED"/>
    <w:rsid w:val="008B216A"/>
    <w:rsid w:val="008B217A"/>
    <w:rsid w:val="008B21C9"/>
    <w:rsid w:val="008B224B"/>
    <w:rsid w:val="008B22CD"/>
    <w:rsid w:val="008B232E"/>
    <w:rsid w:val="008B2405"/>
    <w:rsid w:val="008B271B"/>
    <w:rsid w:val="008B2761"/>
    <w:rsid w:val="008B278D"/>
    <w:rsid w:val="008B29CA"/>
    <w:rsid w:val="008B2A13"/>
    <w:rsid w:val="008B2ADF"/>
    <w:rsid w:val="008B2AE4"/>
    <w:rsid w:val="008B2C5B"/>
    <w:rsid w:val="008B2CEC"/>
    <w:rsid w:val="008B2D05"/>
    <w:rsid w:val="008B2DBB"/>
    <w:rsid w:val="008B2F78"/>
    <w:rsid w:val="008B311D"/>
    <w:rsid w:val="008B33D5"/>
    <w:rsid w:val="008B3501"/>
    <w:rsid w:val="008B3575"/>
    <w:rsid w:val="008B35BC"/>
    <w:rsid w:val="008B3783"/>
    <w:rsid w:val="008B3A2F"/>
    <w:rsid w:val="008B3A76"/>
    <w:rsid w:val="008B3D6C"/>
    <w:rsid w:val="008B3DE2"/>
    <w:rsid w:val="008B3DE6"/>
    <w:rsid w:val="008B4065"/>
    <w:rsid w:val="008B40C3"/>
    <w:rsid w:val="008B4437"/>
    <w:rsid w:val="008B447C"/>
    <w:rsid w:val="008B4645"/>
    <w:rsid w:val="008B46FB"/>
    <w:rsid w:val="008B470E"/>
    <w:rsid w:val="008B4825"/>
    <w:rsid w:val="008B4940"/>
    <w:rsid w:val="008B4950"/>
    <w:rsid w:val="008B4951"/>
    <w:rsid w:val="008B4A1E"/>
    <w:rsid w:val="008B4B6F"/>
    <w:rsid w:val="008B4C8E"/>
    <w:rsid w:val="008B4D7D"/>
    <w:rsid w:val="008B4FDB"/>
    <w:rsid w:val="008B50B9"/>
    <w:rsid w:val="008B51B8"/>
    <w:rsid w:val="008B51C1"/>
    <w:rsid w:val="008B5457"/>
    <w:rsid w:val="008B571C"/>
    <w:rsid w:val="008B577E"/>
    <w:rsid w:val="008B58A6"/>
    <w:rsid w:val="008B5924"/>
    <w:rsid w:val="008B5B30"/>
    <w:rsid w:val="008B5C5A"/>
    <w:rsid w:val="008B5D21"/>
    <w:rsid w:val="008B612D"/>
    <w:rsid w:val="008B64AE"/>
    <w:rsid w:val="008B66D4"/>
    <w:rsid w:val="008B676E"/>
    <w:rsid w:val="008B67E9"/>
    <w:rsid w:val="008B6814"/>
    <w:rsid w:val="008B6876"/>
    <w:rsid w:val="008B6A09"/>
    <w:rsid w:val="008B6AAC"/>
    <w:rsid w:val="008B6B23"/>
    <w:rsid w:val="008B6DAD"/>
    <w:rsid w:val="008B6EF4"/>
    <w:rsid w:val="008B6F02"/>
    <w:rsid w:val="008B7074"/>
    <w:rsid w:val="008B70CE"/>
    <w:rsid w:val="008B7386"/>
    <w:rsid w:val="008B7460"/>
    <w:rsid w:val="008B7586"/>
    <w:rsid w:val="008B7685"/>
    <w:rsid w:val="008B7725"/>
    <w:rsid w:val="008B7784"/>
    <w:rsid w:val="008B79FE"/>
    <w:rsid w:val="008B7B6E"/>
    <w:rsid w:val="008B7E4C"/>
    <w:rsid w:val="008C001F"/>
    <w:rsid w:val="008C0378"/>
    <w:rsid w:val="008C050E"/>
    <w:rsid w:val="008C0514"/>
    <w:rsid w:val="008C0525"/>
    <w:rsid w:val="008C055B"/>
    <w:rsid w:val="008C078E"/>
    <w:rsid w:val="008C08E9"/>
    <w:rsid w:val="008C0A8E"/>
    <w:rsid w:val="008C0ADA"/>
    <w:rsid w:val="008C0B2A"/>
    <w:rsid w:val="008C0C03"/>
    <w:rsid w:val="008C0DA3"/>
    <w:rsid w:val="008C0E47"/>
    <w:rsid w:val="008C0E72"/>
    <w:rsid w:val="008C0E9F"/>
    <w:rsid w:val="008C0EF0"/>
    <w:rsid w:val="008C10AA"/>
    <w:rsid w:val="008C1134"/>
    <w:rsid w:val="008C127F"/>
    <w:rsid w:val="008C13D1"/>
    <w:rsid w:val="008C14E8"/>
    <w:rsid w:val="008C164A"/>
    <w:rsid w:val="008C16DB"/>
    <w:rsid w:val="008C1A1D"/>
    <w:rsid w:val="008C1CC9"/>
    <w:rsid w:val="008C1D5E"/>
    <w:rsid w:val="008C1FEA"/>
    <w:rsid w:val="008C212A"/>
    <w:rsid w:val="008C214C"/>
    <w:rsid w:val="008C252D"/>
    <w:rsid w:val="008C2620"/>
    <w:rsid w:val="008C2696"/>
    <w:rsid w:val="008C27DC"/>
    <w:rsid w:val="008C2A8B"/>
    <w:rsid w:val="008C2B9F"/>
    <w:rsid w:val="008C2CA0"/>
    <w:rsid w:val="008C2E1E"/>
    <w:rsid w:val="008C2F5E"/>
    <w:rsid w:val="008C3009"/>
    <w:rsid w:val="008C307F"/>
    <w:rsid w:val="008C30C4"/>
    <w:rsid w:val="008C3174"/>
    <w:rsid w:val="008C3216"/>
    <w:rsid w:val="008C3382"/>
    <w:rsid w:val="008C35EC"/>
    <w:rsid w:val="008C3B5C"/>
    <w:rsid w:val="008C3B9D"/>
    <w:rsid w:val="008C3BD2"/>
    <w:rsid w:val="008C3BEF"/>
    <w:rsid w:val="008C3CB2"/>
    <w:rsid w:val="008C3D16"/>
    <w:rsid w:val="008C3D1D"/>
    <w:rsid w:val="008C3D4F"/>
    <w:rsid w:val="008C3D6E"/>
    <w:rsid w:val="008C3E13"/>
    <w:rsid w:val="008C3FD4"/>
    <w:rsid w:val="008C425B"/>
    <w:rsid w:val="008C4310"/>
    <w:rsid w:val="008C441A"/>
    <w:rsid w:val="008C45DA"/>
    <w:rsid w:val="008C4871"/>
    <w:rsid w:val="008C4AED"/>
    <w:rsid w:val="008C4E67"/>
    <w:rsid w:val="008C4E8D"/>
    <w:rsid w:val="008C4EEA"/>
    <w:rsid w:val="008C4FC4"/>
    <w:rsid w:val="008C5178"/>
    <w:rsid w:val="008C51CE"/>
    <w:rsid w:val="008C5311"/>
    <w:rsid w:val="008C53AE"/>
    <w:rsid w:val="008C5895"/>
    <w:rsid w:val="008C58D1"/>
    <w:rsid w:val="008C596E"/>
    <w:rsid w:val="008C5A3C"/>
    <w:rsid w:val="008C5B0F"/>
    <w:rsid w:val="008C5C77"/>
    <w:rsid w:val="008C5D79"/>
    <w:rsid w:val="008C602F"/>
    <w:rsid w:val="008C622A"/>
    <w:rsid w:val="008C628C"/>
    <w:rsid w:val="008C62CE"/>
    <w:rsid w:val="008C6322"/>
    <w:rsid w:val="008C6379"/>
    <w:rsid w:val="008C6387"/>
    <w:rsid w:val="008C6430"/>
    <w:rsid w:val="008C64DF"/>
    <w:rsid w:val="008C6694"/>
    <w:rsid w:val="008C66D1"/>
    <w:rsid w:val="008C68D6"/>
    <w:rsid w:val="008C6BF1"/>
    <w:rsid w:val="008C6D13"/>
    <w:rsid w:val="008C6D1A"/>
    <w:rsid w:val="008C6F66"/>
    <w:rsid w:val="008C70CD"/>
    <w:rsid w:val="008C7385"/>
    <w:rsid w:val="008C73AC"/>
    <w:rsid w:val="008C767C"/>
    <w:rsid w:val="008C7870"/>
    <w:rsid w:val="008C79D4"/>
    <w:rsid w:val="008C7A0A"/>
    <w:rsid w:val="008C7AE7"/>
    <w:rsid w:val="008C7B14"/>
    <w:rsid w:val="008C7C56"/>
    <w:rsid w:val="008C7E2B"/>
    <w:rsid w:val="008C7E4D"/>
    <w:rsid w:val="008C7EFD"/>
    <w:rsid w:val="008C7F30"/>
    <w:rsid w:val="008D00D9"/>
    <w:rsid w:val="008D01AD"/>
    <w:rsid w:val="008D03B3"/>
    <w:rsid w:val="008D0519"/>
    <w:rsid w:val="008D05B1"/>
    <w:rsid w:val="008D061D"/>
    <w:rsid w:val="008D07A0"/>
    <w:rsid w:val="008D07F6"/>
    <w:rsid w:val="008D08B5"/>
    <w:rsid w:val="008D0945"/>
    <w:rsid w:val="008D09DB"/>
    <w:rsid w:val="008D0A87"/>
    <w:rsid w:val="008D0AC6"/>
    <w:rsid w:val="008D0D90"/>
    <w:rsid w:val="008D0ED3"/>
    <w:rsid w:val="008D0F82"/>
    <w:rsid w:val="008D1015"/>
    <w:rsid w:val="008D1559"/>
    <w:rsid w:val="008D1588"/>
    <w:rsid w:val="008D17C9"/>
    <w:rsid w:val="008D1804"/>
    <w:rsid w:val="008D1999"/>
    <w:rsid w:val="008D1A11"/>
    <w:rsid w:val="008D1A16"/>
    <w:rsid w:val="008D1B09"/>
    <w:rsid w:val="008D1C2F"/>
    <w:rsid w:val="008D1C32"/>
    <w:rsid w:val="008D1C40"/>
    <w:rsid w:val="008D20CB"/>
    <w:rsid w:val="008D2131"/>
    <w:rsid w:val="008D21EF"/>
    <w:rsid w:val="008D2300"/>
    <w:rsid w:val="008D2640"/>
    <w:rsid w:val="008D283B"/>
    <w:rsid w:val="008D28E4"/>
    <w:rsid w:val="008D2979"/>
    <w:rsid w:val="008D2A0C"/>
    <w:rsid w:val="008D2A1A"/>
    <w:rsid w:val="008D2C85"/>
    <w:rsid w:val="008D2D7B"/>
    <w:rsid w:val="008D2DEE"/>
    <w:rsid w:val="008D2E0A"/>
    <w:rsid w:val="008D2E21"/>
    <w:rsid w:val="008D2EC4"/>
    <w:rsid w:val="008D2F1C"/>
    <w:rsid w:val="008D3076"/>
    <w:rsid w:val="008D30BC"/>
    <w:rsid w:val="008D30C7"/>
    <w:rsid w:val="008D30D7"/>
    <w:rsid w:val="008D318E"/>
    <w:rsid w:val="008D3311"/>
    <w:rsid w:val="008D34E9"/>
    <w:rsid w:val="008D372B"/>
    <w:rsid w:val="008D3755"/>
    <w:rsid w:val="008D383F"/>
    <w:rsid w:val="008D3843"/>
    <w:rsid w:val="008D388F"/>
    <w:rsid w:val="008D394B"/>
    <w:rsid w:val="008D3A64"/>
    <w:rsid w:val="008D3AF9"/>
    <w:rsid w:val="008D3C5F"/>
    <w:rsid w:val="008D3CFD"/>
    <w:rsid w:val="008D3EE1"/>
    <w:rsid w:val="008D40E5"/>
    <w:rsid w:val="008D4233"/>
    <w:rsid w:val="008D426A"/>
    <w:rsid w:val="008D44DC"/>
    <w:rsid w:val="008D44FE"/>
    <w:rsid w:val="008D4647"/>
    <w:rsid w:val="008D496B"/>
    <w:rsid w:val="008D498A"/>
    <w:rsid w:val="008D4BD8"/>
    <w:rsid w:val="008D4CB3"/>
    <w:rsid w:val="008D4D3F"/>
    <w:rsid w:val="008D4D80"/>
    <w:rsid w:val="008D4ED5"/>
    <w:rsid w:val="008D50CE"/>
    <w:rsid w:val="008D5460"/>
    <w:rsid w:val="008D5976"/>
    <w:rsid w:val="008D5A18"/>
    <w:rsid w:val="008D5AF3"/>
    <w:rsid w:val="008D6286"/>
    <w:rsid w:val="008D630A"/>
    <w:rsid w:val="008D6340"/>
    <w:rsid w:val="008D664D"/>
    <w:rsid w:val="008D66DE"/>
    <w:rsid w:val="008D66EE"/>
    <w:rsid w:val="008D676E"/>
    <w:rsid w:val="008D6AB4"/>
    <w:rsid w:val="008D6CF6"/>
    <w:rsid w:val="008D6D06"/>
    <w:rsid w:val="008D6E1B"/>
    <w:rsid w:val="008D6FE7"/>
    <w:rsid w:val="008D7164"/>
    <w:rsid w:val="008D71FB"/>
    <w:rsid w:val="008D7640"/>
    <w:rsid w:val="008D7653"/>
    <w:rsid w:val="008D76E9"/>
    <w:rsid w:val="008D7759"/>
    <w:rsid w:val="008D7A27"/>
    <w:rsid w:val="008D7B94"/>
    <w:rsid w:val="008D7CEA"/>
    <w:rsid w:val="008D7CFF"/>
    <w:rsid w:val="008D7D41"/>
    <w:rsid w:val="008D7E1F"/>
    <w:rsid w:val="008D7ED3"/>
    <w:rsid w:val="008D7F07"/>
    <w:rsid w:val="008D7F4B"/>
    <w:rsid w:val="008D7F6A"/>
    <w:rsid w:val="008D7FD8"/>
    <w:rsid w:val="008E018F"/>
    <w:rsid w:val="008E01C4"/>
    <w:rsid w:val="008E045A"/>
    <w:rsid w:val="008E0533"/>
    <w:rsid w:val="008E05DD"/>
    <w:rsid w:val="008E05F6"/>
    <w:rsid w:val="008E05FA"/>
    <w:rsid w:val="008E07E1"/>
    <w:rsid w:val="008E0806"/>
    <w:rsid w:val="008E0A28"/>
    <w:rsid w:val="008E0BC0"/>
    <w:rsid w:val="008E0C4E"/>
    <w:rsid w:val="008E0E81"/>
    <w:rsid w:val="008E0E9E"/>
    <w:rsid w:val="008E0F75"/>
    <w:rsid w:val="008E10C7"/>
    <w:rsid w:val="008E12EB"/>
    <w:rsid w:val="008E1653"/>
    <w:rsid w:val="008E1792"/>
    <w:rsid w:val="008E1806"/>
    <w:rsid w:val="008E1835"/>
    <w:rsid w:val="008E186A"/>
    <w:rsid w:val="008E190D"/>
    <w:rsid w:val="008E1A92"/>
    <w:rsid w:val="008E1A9B"/>
    <w:rsid w:val="008E1B67"/>
    <w:rsid w:val="008E1BEC"/>
    <w:rsid w:val="008E1C7C"/>
    <w:rsid w:val="008E1D33"/>
    <w:rsid w:val="008E1D70"/>
    <w:rsid w:val="008E1E97"/>
    <w:rsid w:val="008E1EA7"/>
    <w:rsid w:val="008E21E1"/>
    <w:rsid w:val="008E225B"/>
    <w:rsid w:val="008E2537"/>
    <w:rsid w:val="008E2853"/>
    <w:rsid w:val="008E28B1"/>
    <w:rsid w:val="008E2985"/>
    <w:rsid w:val="008E29AC"/>
    <w:rsid w:val="008E2A4B"/>
    <w:rsid w:val="008E2AAB"/>
    <w:rsid w:val="008E2ADB"/>
    <w:rsid w:val="008E2AE0"/>
    <w:rsid w:val="008E2BD6"/>
    <w:rsid w:val="008E2CD9"/>
    <w:rsid w:val="008E2DBF"/>
    <w:rsid w:val="008E2EE8"/>
    <w:rsid w:val="008E2F1E"/>
    <w:rsid w:val="008E30E8"/>
    <w:rsid w:val="008E31B2"/>
    <w:rsid w:val="008E3219"/>
    <w:rsid w:val="008E34A1"/>
    <w:rsid w:val="008E34A7"/>
    <w:rsid w:val="008E3586"/>
    <w:rsid w:val="008E35B3"/>
    <w:rsid w:val="008E3786"/>
    <w:rsid w:val="008E3872"/>
    <w:rsid w:val="008E3A4E"/>
    <w:rsid w:val="008E3A91"/>
    <w:rsid w:val="008E3DCC"/>
    <w:rsid w:val="008E41C8"/>
    <w:rsid w:val="008E4276"/>
    <w:rsid w:val="008E43B8"/>
    <w:rsid w:val="008E4487"/>
    <w:rsid w:val="008E4573"/>
    <w:rsid w:val="008E4637"/>
    <w:rsid w:val="008E48DE"/>
    <w:rsid w:val="008E4B38"/>
    <w:rsid w:val="008E4C37"/>
    <w:rsid w:val="008E4DF2"/>
    <w:rsid w:val="008E4E31"/>
    <w:rsid w:val="008E51D3"/>
    <w:rsid w:val="008E5205"/>
    <w:rsid w:val="008E5532"/>
    <w:rsid w:val="008E55A1"/>
    <w:rsid w:val="008E565F"/>
    <w:rsid w:val="008E5748"/>
    <w:rsid w:val="008E580F"/>
    <w:rsid w:val="008E5978"/>
    <w:rsid w:val="008E599A"/>
    <w:rsid w:val="008E59C7"/>
    <w:rsid w:val="008E5A58"/>
    <w:rsid w:val="008E5ABA"/>
    <w:rsid w:val="008E5AFA"/>
    <w:rsid w:val="008E5B0D"/>
    <w:rsid w:val="008E5B96"/>
    <w:rsid w:val="008E5C7F"/>
    <w:rsid w:val="008E5E83"/>
    <w:rsid w:val="008E60ED"/>
    <w:rsid w:val="008E6168"/>
    <w:rsid w:val="008E6190"/>
    <w:rsid w:val="008E64A0"/>
    <w:rsid w:val="008E64FB"/>
    <w:rsid w:val="008E680A"/>
    <w:rsid w:val="008E683B"/>
    <w:rsid w:val="008E6897"/>
    <w:rsid w:val="008E6941"/>
    <w:rsid w:val="008E697C"/>
    <w:rsid w:val="008E6BB6"/>
    <w:rsid w:val="008E6C42"/>
    <w:rsid w:val="008E6CA8"/>
    <w:rsid w:val="008E6D5E"/>
    <w:rsid w:val="008E6D64"/>
    <w:rsid w:val="008E6EA0"/>
    <w:rsid w:val="008E72D1"/>
    <w:rsid w:val="008E7379"/>
    <w:rsid w:val="008E73B4"/>
    <w:rsid w:val="008E7434"/>
    <w:rsid w:val="008E743A"/>
    <w:rsid w:val="008E7504"/>
    <w:rsid w:val="008E7837"/>
    <w:rsid w:val="008E790A"/>
    <w:rsid w:val="008E7924"/>
    <w:rsid w:val="008E79AC"/>
    <w:rsid w:val="008E7B72"/>
    <w:rsid w:val="008E7C09"/>
    <w:rsid w:val="008E7C62"/>
    <w:rsid w:val="008E7D5C"/>
    <w:rsid w:val="008E7E1D"/>
    <w:rsid w:val="008E7E48"/>
    <w:rsid w:val="008E7EB0"/>
    <w:rsid w:val="008EDC24"/>
    <w:rsid w:val="008F0258"/>
    <w:rsid w:val="008F029D"/>
    <w:rsid w:val="008F0321"/>
    <w:rsid w:val="008F045C"/>
    <w:rsid w:val="008F0677"/>
    <w:rsid w:val="008F0724"/>
    <w:rsid w:val="008F07B2"/>
    <w:rsid w:val="008F0E5F"/>
    <w:rsid w:val="008F0FDB"/>
    <w:rsid w:val="008F116A"/>
    <w:rsid w:val="008F12EF"/>
    <w:rsid w:val="008F13B1"/>
    <w:rsid w:val="008F158D"/>
    <w:rsid w:val="008F162B"/>
    <w:rsid w:val="008F166A"/>
    <w:rsid w:val="008F1694"/>
    <w:rsid w:val="008F16CB"/>
    <w:rsid w:val="008F18B9"/>
    <w:rsid w:val="008F19AC"/>
    <w:rsid w:val="008F1B2B"/>
    <w:rsid w:val="008F1B57"/>
    <w:rsid w:val="008F1BF7"/>
    <w:rsid w:val="008F1E92"/>
    <w:rsid w:val="008F1EE0"/>
    <w:rsid w:val="008F1F87"/>
    <w:rsid w:val="008F1F96"/>
    <w:rsid w:val="008F1FC7"/>
    <w:rsid w:val="008F209B"/>
    <w:rsid w:val="008F20E6"/>
    <w:rsid w:val="008F213F"/>
    <w:rsid w:val="008F2328"/>
    <w:rsid w:val="008F238F"/>
    <w:rsid w:val="008F23C5"/>
    <w:rsid w:val="008F2638"/>
    <w:rsid w:val="008F2780"/>
    <w:rsid w:val="008F2848"/>
    <w:rsid w:val="008F29A4"/>
    <w:rsid w:val="008F2B38"/>
    <w:rsid w:val="008F2B7F"/>
    <w:rsid w:val="008F2BED"/>
    <w:rsid w:val="008F2CD7"/>
    <w:rsid w:val="008F2D3A"/>
    <w:rsid w:val="008F2D3D"/>
    <w:rsid w:val="008F2E06"/>
    <w:rsid w:val="008F2E15"/>
    <w:rsid w:val="008F2E26"/>
    <w:rsid w:val="008F31D5"/>
    <w:rsid w:val="008F3273"/>
    <w:rsid w:val="008F32D7"/>
    <w:rsid w:val="008F34B2"/>
    <w:rsid w:val="008F350F"/>
    <w:rsid w:val="008F362B"/>
    <w:rsid w:val="008F39B0"/>
    <w:rsid w:val="008F3CC7"/>
    <w:rsid w:val="008F3D30"/>
    <w:rsid w:val="008F3E86"/>
    <w:rsid w:val="008F3F8C"/>
    <w:rsid w:val="008F40DC"/>
    <w:rsid w:val="008F410B"/>
    <w:rsid w:val="008F42C0"/>
    <w:rsid w:val="008F432A"/>
    <w:rsid w:val="008F4494"/>
    <w:rsid w:val="008F451D"/>
    <w:rsid w:val="008F45E0"/>
    <w:rsid w:val="008F4721"/>
    <w:rsid w:val="008F4B05"/>
    <w:rsid w:val="008F4E16"/>
    <w:rsid w:val="008F4E22"/>
    <w:rsid w:val="008F4FAF"/>
    <w:rsid w:val="008F4FB2"/>
    <w:rsid w:val="008F50A1"/>
    <w:rsid w:val="008F510E"/>
    <w:rsid w:val="008F5150"/>
    <w:rsid w:val="008F5240"/>
    <w:rsid w:val="008F5311"/>
    <w:rsid w:val="008F544B"/>
    <w:rsid w:val="008F5590"/>
    <w:rsid w:val="008F565E"/>
    <w:rsid w:val="008F5661"/>
    <w:rsid w:val="008F5674"/>
    <w:rsid w:val="008F576B"/>
    <w:rsid w:val="008F5AC1"/>
    <w:rsid w:val="008F5AFF"/>
    <w:rsid w:val="008F5B3E"/>
    <w:rsid w:val="008F5B9C"/>
    <w:rsid w:val="008F5D7B"/>
    <w:rsid w:val="008F5E31"/>
    <w:rsid w:val="008F5E7C"/>
    <w:rsid w:val="008F6086"/>
    <w:rsid w:val="008F616F"/>
    <w:rsid w:val="008F639D"/>
    <w:rsid w:val="008F646E"/>
    <w:rsid w:val="008F64E4"/>
    <w:rsid w:val="008F655E"/>
    <w:rsid w:val="008F66DD"/>
    <w:rsid w:val="008F66F3"/>
    <w:rsid w:val="008F6747"/>
    <w:rsid w:val="008F67AF"/>
    <w:rsid w:val="008F681F"/>
    <w:rsid w:val="008F6918"/>
    <w:rsid w:val="008F6A8A"/>
    <w:rsid w:val="008F6CE6"/>
    <w:rsid w:val="008F6EC7"/>
    <w:rsid w:val="008F70A4"/>
    <w:rsid w:val="008F7109"/>
    <w:rsid w:val="008F717A"/>
    <w:rsid w:val="008F7333"/>
    <w:rsid w:val="008F738F"/>
    <w:rsid w:val="008F73A6"/>
    <w:rsid w:val="008F74E5"/>
    <w:rsid w:val="008F7670"/>
    <w:rsid w:val="008F7683"/>
    <w:rsid w:val="008F77FC"/>
    <w:rsid w:val="008F7915"/>
    <w:rsid w:val="008F7A0F"/>
    <w:rsid w:val="008F7A5F"/>
    <w:rsid w:val="008F7B5D"/>
    <w:rsid w:val="008F7B69"/>
    <w:rsid w:val="008F7BD7"/>
    <w:rsid w:val="008F7DEE"/>
    <w:rsid w:val="008F7F5D"/>
    <w:rsid w:val="0090013C"/>
    <w:rsid w:val="0090013D"/>
    <w:rsid w:val="009001A2"/>
    <w:rsid w:val="0090044B"/>
    <w:rsid w:val="009005A9"/>
    <w:rsid w:val="00900717"/>
    <w:rsid w:val="009008A1"/>
    <w:rsid w:val="00900985"/>
    <w:rsid w:val="00900A20"/>
    <w:rsid w:val="00900A2E"/>
    <w:rsid w:val="00900A30"/>
    <w:rsid w:val="00900A5E"/>
    <w:rsid w:val="00900B95"/>
    <w:rsid w:val="00900BF7"/>
    <w:rsid w:val="00900C99"/>
    <w:rsid w:val="00900F3B"/>
    <w:rsid w:val="00901095"/>
    <w:rsid w:val="009010BD"/>
    <w:rsid w:val="00901103"/>
    <w:rsid w:val="0090124A"/>
    <w:rsid w:val="00901487"/>
    <w:rsid w:val="00901686"/>
    <w:rsid w:val="009016E9"/>
    <w:rsid w:val="009017DE"/>
    <w:rsid w:val="0090188E"/>
    <w:rsid w:val="00901945"/>
    <w:rsid w:val="00901A97"/>
    <w:rsid w:val="00901B74"/>
    <w:rsid w:val="00901C7B"/>
    <w:rsid w:val="00901D65"/>
    <w:rsid w:val="00901EAB"/>
    <w:rsid w:val="00901F0A"/>
    <w:rsid w:val="00901F2A"/>
    <w:rsid w:val="00901F91"/>
    <w:rsid w:val="00901FB9"/>
    <w:rsid w:val="00901FC7"/>
    <w:rsid w:val="009020F0"/>
    <w:rsid w:val="0090225F"/>
    <w:rsid w:val="00902321"/>
    <w:rsid w:val="0090232C"/>
    <w:rsid w:val="00902373"/>
    <w:rsid w:val="009024BC"/>
    <w:rsid w:val="009024F7"/>
    <w:rsid w:val="009024FD"/>
    <w:rsid w:val="0090265E"/>
    <w:rsid w:val="0090268B"/>
    <w:rsid w:val="009029D9"/>
    <w:rsid w:val="00902A86"/>
    <w:rsid w:val="00902C79"/>
    <w:rsid w:val="009030A8"/>
    <w:rsid w:val="009031B6"/>
    <w:rsid w:val="00903207"/>
    <w:rsid w:val="00903239"/>
    <w:rsid w:val="00903249"/>
    <w:rsid w:val="00903286"/>
    <w:rsid w:val="009032D0"/>
    <w:rsid w:val="0090334C"/>
    <w:rsid w:val="0090347B"/>
    <w:rsid w:val="0090363D"/>
    <w:rsid w:val="0090399D"/>
    <w:rsid w:val="00903B36"/>
    <w:rsid w:val="00903BCC"/>
    <w:rsid w:val="00903D0E"/>
    <w:rsid w:val="00903DC1"/>
    <w:rsid w:val="00903DDB"/>
    <w:rsid w:val="00903E85"/>
    <w:rsid w:val="00903EFB"/>
    <w:rsid w:val="00904063"/>
    <w:rsid w:val="00904293"/>
    <w:rsid w:val="009046FF"/>
    <w:rsid w:val="009047F1"/>
    <w:rsid w:val="0090484C"/>
    <w:rsid w:val="00904858"/>
    <w:rsid w:val="00904966"/>
    <w:rsid w:val="00904A0E"/>
    <w:rsid w:val="00904B2B"/>
    <w:rsid w:val="00904BDB"/>
    <w:rsid w:val="00904EAD"/>
    <w:rsid w:val="00904F1A"/>
    <w:rsid w:val="00904FC7"/>
    <w:rsid w:val="009050D7"/>
    <w:rsid w:val="0090512E"/>
    <w:rsid w:val="009051E6"/>
    <w:rsid w:val="009052BE"/>
    <w:rsid w:val="0090548C"/>
    <w:rsid w:val="009055C7"/>
    <w:rsid w:val="009056B0"/>
    <w:rsid w:val="009057FF"/>
    <w:rsid w:val="009059E4"/>
    <w:rsid w:val="009059EF"/>
    <w:rsid w:val="00905A80"/>
    <w:rsid w:val="00905B0B"/>
    <w:rsid w:val="00905B54"/>
    <w:rsid w:val="00905E19"/>
    <w:rsid w:val="00906010"/>
    <w:rsid w:val="0090604E"/>
    <w:rsid w:val="009060DD"/>
    <w:rsid w:val="00906146"/>
    <w:rsid w:val="00906366"/>
    <w:rsid w:val="009063C0"/>
    <w:rsid w:val="009064C4"/>
    <w:rsid w:val="00906561"/>
    <w:rsid w:val="0090667D"/>
    <w:rsid w:val="00906752"/>
    <w:rsid w:val="0090675D"/>
    <w:rsid w:val="00906A02"/>
    <w:rsid w:val="00906C08"/>
    <w:rsid w:val="00906E95"/>
    <w:rsid w:val="00906FCB"/>
    <w:rsid w:val="0090700F"/>
    <w:rsid w:val="0090702F"/>
    <w:rsid w:val="00907046"/>
    <w:rsid w:val="00907082"/>
    <w:rsid w:val="0090711A"/>
    <w:rsid w:val="009071A8"/>
    <w:rsid w:val="009071C3"/>
    <w:rsid w:val="009071E4"/>
    <w:rsid w:val="0090755B"/>
    <w:rsid w:val="009075C7"/>
    <w:rsid w:val="0090764F"/>
    <w:rsid w:val="00907876"/>
    <w:rsid w:val="00907A1A"/>
    <w:rsid w:val="00907B82"/>
    <w:rsid w:val="00907D8A"/>
    <w:rsid w:val="00907E2C"/>
    <w:rsid w:val="00907ECC"/>
    <w:rsid w:val="009100A0"/>
    <w:rsid w:val="009100E0"/>
    <w:rsid w:val="009101DB"/>
    <w:rsid w:val="009101F9"/>
    <w:rsid w:val="00910302"/>
    <w:rsid w:val="009103E8"/>
    <w:rsid w:val="0091041B"/>
    <w:rsid w:val="00910552"/>
    <w:rsid w:val="009105D9"/>
    <w:rsid w:val="00910614"/>
    <w:rsid w:val="0091070A"/>
    <w:rsid w:val="0091098A"/>
    <w:rsid w:val="00910A68"/>
    <w:rsid w:val="00910BF4"/>
    <w:rsid w:val="00910C38"/>
    <w:rsid w:val="009110EE"/>
    <w:rsid w:val="0091128A"/>
    <w:rsid w:val="0091145A"/>
    <w:rsid w:val="00911556"/>
    <w:rsid w:val="00911724"/>
    <w:rsid w:val="00911737"/>
    <w:rsid w:val="009117CF"/>
    <w:rsid w:val="009119A5"/>
    <w:rsid w:val="00911A1B"/>
    <w:rsid w:val="00911B5D"/>
    <w:rsid w:val="00911CA8"/>
    <w:rsid w:val="00911E5C"/>
    <w:rsid w:val="00911EF1"/>
    <w:rsid w:val="00912275"/>
    <w:rsid w:val="009123C7"/>
    <w:rsid w:val="00912810"/>
    <w:rsid w:val="0091288D"/>
    <w:rsid w:val="009129B1"/>
    <w:rsid w:val="00912AF3"/>
    <w:rsid w:val="00912B80"/>
    <w:rsid w:val="00912C54"/>
    <w:rsid w:val="00912D54"/>
    <w:rsid w:val="00912E9E"/>
    <w:rsid w:val="00912FA3"/>
    <w:rsid w:val="0091305B"/>
    <w:rsid w:val="009131E4"/>
    <w:rsid w:val="00913255"/>
    <w:rsid w:val="009132C9"/>
    <w:rsid w:val="009134A4"/>
    <w:rsid w:val="009137A4"/>
    <w:rsid w:val="009138DA"/>
    <w:rsid w:val="0091395C"/>
    <w:rsid w:val="00913A23"/>
    <w:rsid w:val="00913A4E"/>
    <w:rsid w:val="00913AEC"/>
    <w:rsid w:val="00913B2C"/>
    <w:rsid w:val="00913B9A"/>
    <w:rsid w:val="00913BE3"/>
    <w:rsid w:val="00913D3F"/>
    <w:rsid w:val="00913DAE"/>
    <w:rsid w:val="00913DB2"/>
    <w:rsid w:val="00913DDF"/>
    <w:rsid w:val="00913FDE"/>
    <w:rsid w:val="00914219"/>
    <w:rsid w:val="00914295"/>
    <w:rsid w:val="009142AF"/>
    <w:rsid w:val="00914513"/>
    <w:rsid w:val="0091464A"/>
    <w:rsid w:val="009146F8"/>
    <w:rsid w:val="00914B6E"/>
    <w:rsid w:val="00914D4D"/>
    <w:rsid w:val="00914D7F"/>
    <w:rsid w:val="00914EA2"/>
    <w:rsid w:val="0091519C"/>
    <w:rsid w:val="009153C2"/>
    <w:rsid w:val="009155EF"/>
    <w:rsid w:val="009156F8"/>
    <w:rsid w:val="00915B98"/>
    <w:rsid w:val="00915C09"/>
    <w:rsid w:val="00915D21"/>
    <w:rsid w:val="00915D9C"/>
    <w:rsid w:val="00915E6C"/>
    <w:rsid w:val="00915FBB"/>
    <w:rsid w:val="009160A3"/>
    <w:rsid w:val="00916142"/>
    <w:rsid w:val="009166A3"/>
    <w:rsid w:val="00916778"/>
    <w:rsid w:val="00916780"/>
    <w:rsid w:val="009169A8"/>
    <w:rsid w:val="00916B60"/>
    <w:rsid w:val="00916CD1"/>
    <w:rsid w:val="00916ED1"/>
    <w:rsid w:val="00916F78"/>
    <w:rsid w:val="009172CC"/>
    <w:rsid w:val="0091741D"/>
    <w:rsid w:val="00917846"/>
    <w:rsid w:val="00917872"/>
    <w:rsid w:val="0091794F"/>
    <w:rsid w:val="00917985"/>
    <w:rsid w:val="009179CB"/>
    <w:rsid w:val="00917AB6"/>
    <w:rsid w:val="00917C1E"/>
    <w:rsid w:val="00917F54"/>
    <w:rsid w:val="00920017"/>
    <w:rsid w:val="0092031B"/>
    <w:rsid w:val="009206A9"/>
    <w:rsid w:val="009208E6"/>
    <w:rsid w:val="00920937"/>
    <w:rsid w:val="00920A27"/>
    <w:rsid w:val="00920B5B"/>
    <w:rsid w:val="00920BE3"/>
    <w:rsid w:val="00920C1E"/>
    <w:rsid w:val="00920D3D"/>
    <w:rsid w:val="00920D94"/>
    <w:rsid w:val="00921014"/>
    <w:rsid w:val="00921257"/>
    <w:rsid w:val="0092137C"/>
    <w:rsid w:val="00921677"/>
    <w:rsid w:val="00921931"/>
    <w:rsid w:val="00921A32"/>
    <w:rsid w:val="00921C0B"/>
    <w:rsid w:val="00921C20"/>
    <w:rsid w:val="00921DAE"/>
    <w:rsid w:val="00921F7F"/>
    <w:rsid w:val="0092204B"/>
    <w:rsid w:val="0092209F"/>
    <w:rsid w:val="00922119"/>
    <w:rsid w:val="00922139"/>
    <w:rsid w:val="009221E2"/>
    <w:rsid w:val="00922217"/>
    <w:rsid w:val="00922400"/>
    <w:rsid w:val="00922563"/>
    <w:rsid w:val="00922591"/>
    <w:rsid w:val="009225E2"/>
    <w:rsid w:val="0092284B"/>
    <w:rsid w:val="00922A3C"/>
    <w:rsid w:val="00922A66"/>
    <w:rsid w:val="00922B22"/>
    <w:rsid w:val="00922C0C"/>
    <w:rsid w:val="00922CB4"/>
    <w:rsid w:val="00922ED1"/>
    <w:rsid w:val="0092338F"/>
    <w:rsid w:val="00923771"/>
    <w:rsid w:val="009237BA"/>
    <w:rsid w:val="00923B16"/>
    <w:rsid w:val="00923B69"/>
    <w:rsid w:val="00923BB8"/>
    <w:rsid w:val="00923BE7"/>
    <w:rsid w:val="00923CAA"/>
    <w:rsid w:val="00923FC1"/>
    <w:rsid w:val="00923FFA"/>
    <w:rsid w:val="009241C0"/>
    <w:rsid w:val="00924577"/>
    <w:rsid w:val="0092475A"/>
    <w:rsid w:val="009247DF"/>
    <w:rsid w:val="0092496C"/>
    <w:rsid w:val="00924B5A"/>
    <w:rsid w:val="00924BCD"/>
    <w:rsid w:val="00924E7D"/>
    <w:rsid w:val="00925001"/>
    <w:rsid w:val="00925047"/>
    <w:rsid w:val="00925069"/>
    <w:rsid w:val="009250A5"/>
    <w:rsid w:val="00925416"/>
    <w:rsid w:val="00925494"/>
    <w:rsid w:val="00925495"/>
    <w:rsid w:val="0092549D"/>
    <w:rsid w:val="0092551F"/>
    <w:rsid w:val="0092553E"/>
    <w:rsid w:val="009255B5"/>
    <w:rsid w:val="00925606"/>
    <w:rsid w:val="00925623"/>
    <w:rsid w:val="009256DE"/>
    <w:rsid w:val="00925CB7"/>
    <w:rsid w:val="00925CFD"/>
    <w:rsid w:val="00925E85"/>
    <w:rsid w:val="00925ED3"/>
    <w:rsid w:val="00925F36"/>
    <w:rsid w:val="0092617B"/>
    <w:rsid w:val="009261F2"/>
    <w:rsid w:val="00926691"/>
    <w:rsid w:val="009267CB"/>
    <w:rsid w:val="00926867"/>
    <w:rsid w:val="009268E5"/>
    <w:rsid w:val="00926930"/>
    <w:rsid w:val="00926B32"/>
    <w:rsid w:val="00926B6A"/>
    <w:rsid w:val="00926DA1"/>
    <w:rsid w:val="00926E3D"/>
    <w:rsid w:val="00926E90"/>
    <w:rsid w:val="00926E9E"/>
    <w:rsid w:val="00926F80"/>
    <w:rsid w:val="00927102"/>
    <w:rsid w:val="0092734F"/>
    <w:rsid w:val="0092757B"/>
    <w:rsid w:val="0092757C"/>
    <w:rsid w:val="009276DC"/>
    <w:rsid w:val="00927980"/>
    <w:rsid w:val="00927A18"/>
    <w:rsid w:val="00927B82"/>
    <w:rsid w:val="00927CB9"/>
    <w:rsid w:val="00927F3C"/>
    <w:rsid w:val="0093006C"/>
    <w:rsid w:val="0093024F"/>
    <w:rsid w:val="009302A5"/>
    <w:rsid w:val="00930323"/>
    <w:rsid w:val="00930344"/>
    <w:rsid w:val="009306AC"/>
    <w:rsid w:val="0093084A"/>
    <w:rsid w:val="00930984"/>
    <w:rsid w:val="009309F4"/>
    <w:rsid w:val="009309F6"/>
    <w:rsid w:val="00930AD6"/>
    <w:rsid w:val="00930C73"/>
    <w:rsid w:val="00930D47"/>
    <w:rsid w:val="00930E04"/>
    <w:rsid w:val="00930E9F"/>
    <w:rsid w:val="00930FE2"/>
    <w:rsid w:val="009310DC"/>
    <w:rsid w:val="00931593"/>
    <w:rsid w:val="009315EE"/>
    <w:rsid w:val="009316D5"/>
    <w:rsid w:val="00931926"/>
    <w:rsid w:val="00931A01"/>
    <w:rsid w:val="00931B47"/>
    <w:rsid w:val="00931B79"/>
    <w:rsid w:val="00931CDB"/>
    <w:rsid w:val="00931D09"/>
    <w:rsid w:val="00931D2C"/>
    <w:rsid w:val="00931E9F"/>
    <w:rsid w:val="00931FC1"/>
    <w:rsid w:val="00932076"/>
    <w:rsid w:val="009320E0"/>
    <w:rsid w:val="009323AD"/>
    <w:rsid w:val="009323D7"/>
    <w:rsid w:val="00932408"/>
    <w:rsid w:val="00932459"/>
    <w:rsid w:val="009324F7"/>
    <w:rsid w:val="009325D4"/>
    <w:rsid w:val="00932713"/>
    <w:rsid w:val="009329C4"/>
    <w:rsid w:val="00932AB5"/>
    <w:rsid w:val="00932CB8"/>
    <w:rsid w:val="00932CC0"/>
    <w:rsid w:val="00932F00"/>
    <w:rsid w:val="0093300B"/>
    <w:rsid w:val="0093330C"/>
    <w:rsid w:val="0093331D"/>
    <w:rsid w:val="0093336F"/>
    <w:rsid w:val="0093348B"/>
    <w:rsid w:val="009334FA"/>
    <w:rsid w:val="00933578"/>
    <w:rsid w:val="009335C3"/>
    <w:rsid w:val="00933644"/>
    <w:rsid w:val="00933741"/>
    <w:rsid w:val="0093376C"/>
    <w:rsid w:val="009338CF"/>
    <w:rsid w:val="009339D6"/>
    <w:rsid w:val="00933A0A"/>
    <w:rsid w:val="00933A37"/>
    <w:rsid w:val="00933D7D"/>
    <w:rsid w:val="00933D81"/>
    <w:rsid w:val="00933D9B"/>
    <w:rsid w:val="00933F3C"/>
    <w:rsid w:val="009341CA"/>
    <w:rsid w:val="009341E7"/>
    <w:rsid w:val="0093422C"/>
    <w:rsid w:val="00934249"/>
    <w:rsid w:val="0093435F"/>
    <w:rsid w:val="009343F5"/>
    <w:rsid w:val="009343F8"/>
    <w:rsid w:val="00934622"/>
    <w:rsid w:val="00934642"/>
    <w:rsid w:val="00934773"/>
    <w:rsid w:val="0093480D"/>
    <w:rsid w:val="0093481D"/>
    <w:rsid w:val="009348B8"/>
    <w:rsid w:val="0093494A"/>
    <w:rsid w:val="00934997"/>
    <w:rsid w:val="009349E8"/>
    <w:rsid w:val="00934A13"/>
    <w:rsid w:val="00934C2C"/>
    <w:rsid w:val="00934D0B"/>
    <w:rsid w:val="00934ED4"/>
    <w:rsid w:val="00934FC4"/>
    <w:rsid w:val="00934FD9"/>
    <w:rsid w:val="00935071"/>
    <w:rsid w:val="00935093"/>
    <w:rsid w:val="0093551C"/>
    <w:rsid w:val="0093569A"/>
    <w:rsid w:val="00935817"/>
    <w:rsid w:val="009358D5"/>
    <w:rsid w:val="00935A15"/>
    <w:rsid w:val="00935A35"/>
    <w:rsid w:val="00935B2B"/>
    <w:rsid w:val="00935BC1"/>
    <w:rsid w:val="00935C32"/>
    <w:rsid w:val="00935C9B"/>
    <w:rsid w:val="00935CB2"/>
    <w:rsid w:val="00935DE2"/>
    <w:rsid w:val="00935ED1"/>
    <w:rsid w:val="00935F1A"/>
    <w:rsid w:val="00935F81"/>
    <w:rsid w:val="00935FC4"/>
    <w:rsid w:val="00936347"/>
    <w:rsid w:val="009363F6"/>
    <w:rsid w:val="00936904"/>
    <w:rsid w:val="0093694B"/>
    <w:rsid w:val="00936961"/>
    <w:rsid w:val="00936A2F"/>
    <w:rsid w:val="00936C89"/>
    <w:rsid w:val="00936C94"/>
    <w:rsid w:val="00936CCB"/>
    <w:rsid w:val="00936CF4"/>
    <w:rsid w:val="00936E72"/>
    <w:rsid w:val="00936EA8"/>
    <w:rsid w:val="00936FBA"/>
    <w:rsid w:val="0093738B"/>
    <w:rsid w:val="00937394"/>
    <w:rsid w:val="009373A4"/>
    <w:rsid w:val="0093744B"/>
    <w:rsid w:val="0093765E"/>
    <w:rsid w:val="009376DD"/>
    <w:rsid w:val="0093774A"/>
    <w:rsid w:val="009377CD"/>
    <w:rsid w:val="00937983"/>
    <w:rsid w:val="00937A91"/>
    <w:rsid w:val="00937DA2"/>
    <w:rsid w:val="00937FC2"/>
    <w:rsid w:val="009400BA"/>
    <w:rsid w:val="009400C4"/>
    <w:rsid w:val="009402D5"/>
    <w:rsid w:val="00940388"/>
    <w:rsid w:val="0094046A"/>
    <w:rsid w:val="0094049B"/>
    <w:rsid w:val="0094051F"/>
    <w:rsid w:val="0094052D"/>
    <w:rsid w:val="0094069C"/>
    <w:rsid w:val="009407C6"/>
    <w:rsid w:val="0094098D"/>
    <w:rsid w:val="00940E80"/>
    <w:rsid w:val="0094111C"/>
    <w:rsid w:val="0094113E"/>
    <w:rsid w:val="0094128D"/>
    <w:rsid w:val="00941336"/>
    <w:rsid w:val="0094147C"/>
    <w:rsid w:val="0094154F"/>
    <w:rsid w:val="0094184C"/>
    <w:rsid w:val="00941867"/>
    <w:rsid w:val="0094191A"/>
    <w:rsid w:val="00941B5E"/>
    <w:rsid w:val="00941DC3"/>
    <w:rsid w:val="00941EE4"/>
    <w:rsid w:val="00941F45"/>
    <w:rsid w:val="00942078"/>
    <w:rsid w:val="009420B7"/>
    <w:rsid w:val="00942236"/>
    <w:rsid w:val="00942386"/>
    <w:rsid w:val="00942462"/>
    <w:rsid w:val="009425F5"/>
    <w:rsid w:val="0094264F"/>
    <w:rsid w:val="009429AB"/>
    <w:rsid w:val="009429BE"/>
    <w:rsid w:val="00942C31"/>
    <w:rsid w:val="00942C6F"/>
    <w:rsid w:val="009433C8"/>
    <w:rsid w:val="0094342A"/>
    <w:rsid w:val="00943557"/>
    <w:rsid w:val="009436AE"/>
    <w:rsid w:val="00943DAB"/>
    <w:rsid w:val="00943DCB"/>
    <w:rsid w:val="00943F85"/>
    <w:rsid w:val="00943FA7"/>
    <w:rsid w:val="00944029"/>
    <w:rsid w:val="0094407D"/>
    <w:rsid w:val="00944082"/>
    <w:rsid w:val="0094413D"/>
    <w:rsid w:val="0094417B"/>
    <w:rsid w:val="00944208"/>
    <w:rsid w:val="009443D7"/>
    <w:rsid w:val="0094447E"/>
    <w:rsid w:val="009444D8"/>
    <w:rsid w:val="009445C4"/>
    <w:rsid w:val="009446B8"/>
    <w:rsid w:val="009446E6"/>
    <w:rsid w:val="00944712"/>
    <w:rsid w:val="009448AA"/>
    <w:rsid w:val="00944B96"/>
    <w:rsid w:val="00944CAB"/>
    <w:rsid w:val="00944CC8"/>
    <w:rsid w:val="00944CD8"/>
    <w:rsid w:val="0094504D"/>
    <w:rsid w:val="00945273"/>
    <w:rsid w:val="009453F4"/>
    <w:rsid w:val="009455D7"/>
    <w:rsid w:val="0094570C"/>
    <w:rsid w:val="00945721"/>
    <w:rsid w:val="0094580D"/>
    <w:rsid w:val="00945935"/>
    <w:rsid w:val="00945A15"/>
    <w:rsid w:val="00945AC2"/>
    <w:rsid w:val="00945B0A"/>
    <w:rsid w:val="00945FF8"/>
    <w:rsid w:val="00946309"/>
    <w:rsid w:val="00946405"/>
    <w:rsid w:val="009466FD"/>
    <w:rsid w:val="00946A8F"/>
    <w:rsid w:val="00946CF9"/>
    <w:rsid w:val="00946DC1"/>
    <w:rsid w:val="00946F60"/>
    <w:rsid w:val="00947058"/>
    <w:rsid w:val="009471A1"/>
    <w:rsid w:val="00947226"/>
    <w:rsid w:val="009472AB"/>
    <w:rsid w:val="00947598"/>
    <w:rsid w:val="009475AD"/>
    <w:rsid w:val="009475B2"/>
    <w:rsid w:val="00947735"/>
    <w:rsid w:val="009477C8"/>
    <w:rsid w:val="00947A65"/>
    <w:rsid w:val="00947A91"/>
    <w:rsid w:val="00947A9D"/>
    <w:rsid w:val="00947B1A"/>
    <w:rsid w:val="00947DCD"/>
    <w:rsid w:val="00947EB1"/>
    <w:rsid w:val="00947EEC"/>
    <w:rsid w:val="0095004C"/>
    <w:rsid w:val="0095007B"/>
    <w:rsid w:val="0095009C"/>
    <w:rsid w:val="0095038E"/>
    <w:rsid w:val="0095045C"/>
    <w:rsid w:val="009505A1"/>
    <w:rsid w:val="00950602"/>
    <w:rsid w:val="0095070F"/>
    <w:rsid w:val="0095075B"/>
    <w:rsid w:val="0095082B"/>
    <w:rsid w:val="00950B5C"/>
    <w:rsid w:val="00950D12"/>
    <w:rsid w:val="00950E44"/>
    <w:rsid w:val="00950EDF"/>
    <w:rsid w:val="00950F08"/>
    <w:rsid w:val="00950F37"/>
    <w:rsid w:val="00951057"/>
    <w:rsid w:val="00951364"/>
    <w:rsid w:val="009514F9"/>
    <w:rsid w:val="0095150A"/>
    <w:rsid w:val="00951521"/>
    <w:rsid w:val="00951703"/>
    <w:rsid w:val="009517D7"/>
    <w:rsid w:val="00951804"/>
    <w:rsid w:val="0095199F"/>
    <w:rsid w:val="00951B96"/>
    <w:rsid w:val="00951BCC"/>
    <w:rsid w:val="00951DF2"/>
    <w:rsid w:val="00951F29"/>
    <w:rsid w:val="0095203C"/>
    <w:rsid w:val="009520AA"/>
    <w:rsid w:val="009521CD"/>
    <w:rsid w:val="00952306"/>
    <w:rsid w:val="00952426"/>
    <w:rsid w:val="00952562"/>
    <w:rsid w:val="00952574"/>
    <w:rsid w:val="0095260F"/>
    <w:rsid w:val="009528B8"/>
    <w:rsid w:val="00952B6A"/>
    <w:rsid w:val="00952BB4"/>
    <w:rsid w:val="00952C3E"/>
    <w:rsid w:val="00952D6E"/>
    <w:rsid w:val="00952E0E"/>
    <w:rsid w:val="00952F8A"/>
    <w:rsid w:val="0095313C"/>
    <w:rsid w:val="009535CA"/>
    <w:rsid w:val="00953B9A"/>
    <w:rsid w:val="00953BB1"/>
    <w:rsid w:val="00953BD3"/>
    <w:rsid w:val="00953F85"/>
    <w:rsid w:val="00954013"/>
    <w:rsid w:val="00954015"/>
    <w:rsid w:val="00954092"/>
    <w:rsid w:val="00954137"/>
    <w:rsid w:val="009542B3"/>
    <w:rsid w:val="0095436D"/>
    <w:rsid w:val="009544A8"/>
    <w:rsid w:val="009544E7"/>
    <w:rsid w:val="00954516"/>
    <w:rsid w:val="0095469A"/>
    <w:rsid w:val="009546C7"/>
    <w:rsid w:val="00954794"/>
    <w:rsid w:val="00954904"/>
    <w:rsid w:val="00954D89"/>
    <w:rsid w:val="00954EB0"/>
    <w:rsid w:val="009550DD"/>
    <w:rsid w:val="009552BF"/>
    <w:rsid w:val="00955316"/>
    <w:rsid w:val="00955380"/>
    <w:rsid w:val="009553D1"/>
    <w:rsid w:val="0095565B"/>
    <w:rsid w:val="009556D6"/>
    <w:rsid w:val="00955864"/>
    <w:rsid w:val="00955867"/>
    <w:rsid w:val="00955870"/>
    <w:rsid w:val="00955896"/>
    <w:rsid w:val="009558E5"/>
    <w:rsid w:val="00955B7C"/>
    <w:rsid w:val="00955BB1"/>
    <w:rsid w:val="00955C5F"/>
    <w:rsid w:val="00955C77"/>
    <w:rsid w:val="00955D9E"/>
    <w:rsid w:val="00955ED4"/>
    <w:rsid w:val="00956038"/>
    <w:rsid w:val="00956084"/>
    <w:rsid w:val="009560C3"/>
    <w:rsid w:val="00956134"/>
    <w:rsid w:val="00956209"/>
    <w:rsid w:val="009562D5"/>
    <w:rsid w:val="0095632F"/>
    <w:rsid w:val="00956412"/>
    <w:rsid w:val="00956489"/>
    <w:rsid w:val="00956640"/>
    <w:rsid w:val="0095686B"/>
    <w:rsid w:val="00956870"/>
    <w:rsid w:val="00956CF7"/>
    <w:rsid w:val="00956E22"/>
    <w:rsid w:val="00956E36"/>
    <w:rsid w:val="00956E59"/>
    <w:rsid w:val="00956EB3"/>
    <w:rsid w:val="009572C3"/>
    <w:rsid w:val="0095730C"/>
    <w:rsid w:val="0095735C"/>
    <w:rsid w:val="009573D0"/>
    <w:rsid w:val="00957652"/>
    <w:rsid w:val="00957788"/>
    <w:rsid w:val="00957793"/>
    <w:rsid w:val="00957830"/>
    <w:rsid w:val="00957833"/>
    <w:rsid w:val="0095786C"/>
    <w:rsid w:val="0095789C"/>
    <w:rsid w:val="0095790E"/>
    <w:rsid w:val="00957992"/>
    <w:rsid w:val="009579DB"/>
    <w:rsid w:val="00957BEC"/>
    <w:rsid w:val="00960148"/>
    <w:rsid w:val="009601C3"/>
    <w:rsid w:val="00960577"/>
    <w:rsid w:val="009606D1"/>
    <w:rsid w:val="00960719"/>
    <w:rsid w:val="00960965"/>
    <w:rsid w:val="00960D2E"/>
    <w:rsid w:val="00960E75"/>
    <w:rsid w:val="00960EF5"/>
    <w:rsid w:val="0096100F"/>
    <w:rsid w:val="009611EB"/>
    <w:rsid w:val="009613D8"/>
    <w:rsid w:val="00961458"/>
    <w:rsid w:val="009614A8"/>
    <w:rsid w:val="00961551"/>
    <w:rsid w:val="00961773"/>
    <w:rsid w:val="0096181B"/>
    <w:rsid w:val="009618BB"/>
    <w:rsid w:val="009618E1"/>
    <w:rsid w:val="009618E4"/>
    <w:rsid w:val="0096192F"/>
    <w:rsid w:val="00961A91"/>
    <w:rsid w:val="00961C49"/>
    <w:rsid w:val="00961CB1"/>
    <w:rsid w:val="00961CDC"/>
    <w:rsid w:val="00961D8C"/>
    <w:rsid w:val="00961E40"/>
    <w:rsid w:val="00961FEA"/>
    <w:rsid w:val="0096203E"/>
    <w:rsid w:val="009621B4"/>
    <w:rsid w:val="00962208"/>
    <w:rsid w:val="009623BE"/>
    <w:rsid w:val="009623F0"/>
    <w:rsid w:val="00962466"/>
    <w:rsid w:val="0096256C"/>
    <w:rsid w:val="009626A3"/>
    <w:rsid w:val="009626B3"/>
    <w:rsid w:val="009627D4"/>
    <w:rsid w:val="00962AA8"/>
    <w:rsid w:val="00962BA8"/>
    <w:rsid w:val="00962BD4"/>
    <w:rsid w:val="00962C21"/>
    <w:rsid w:val="00962F99"/>
    <w:rsid w:val="009631C8"/>
    <w:rsid w:val="0096338A"/>
    <w:rsid w:val="00963442"/>
    <w:rsid w:val="00963450"/>
    <w:rsid w:val="00963478"/>
    <w:rsid w:val="009635D1"/>
    <w:rsid w:val="00963783"/>
    <w:rsid w:val="009637FB"/>
    <w:rsid w:val="009638F6"/>
    <w:rsid w:val="00963A42"/>
    <w:rsid w:val="00963B0F"/>
    <w:rsid w:val="00963B5D"/>
    <w:rsid w:val="00963CFC"/>
    <w:rsid w:val="00963CFF"/>
    <w:rsid w:val="00963DE5"/>
    <w:rsid w:val="00963E35"/>
    <w:rsid w:val="00963E55"/>
    <w:rsid w:val="0096408A"/>
    <w:rsid w:val="009640E9"/>
    <w:rsid w:val="00964381"/>
    <w:rsid w:val="009644EF"/>
    <w:rsid w:val="009649DB"/>
    <w:rsid w:val="00964A43"/>
    <w:rsid w:val="00964D7F"/>
    <w:rsid w:val="00964D80"/>
    <w:rsid w:val="0096509F"/>
    <w:rsid w:val="009650E6"/>
    <w:rsid w:val="009650F3"/>
    <w:rsid w:val="00965139"/>
    <w:rsid w:val="009651B8"/>
    <w:rsid w:val="009651CB"/>
    <w:rsid w:val="00965321"/>
    <w:rsid w:val="009654F1"/>
    <w:rsid w:val="009654F9"/>
    <w:rsid w:val="009654FF"/>
    <w:rsid w:val="00965546"/>
    <w:rsid w:val="00965551"/>
    <w:rsid w:val="009655B0"/>
    <w:rsid w:val="0096588D"/>
    <w:rsid w:val="009658C4"/>
    <w:rsid w:val="00965910"/>
    <w:rsid w:val="0096598C"/>
    <w:rsid w:val="009659A1"/>
    <w:rsid w:val="00965A79"/>
    <w:rsid w:val="00965C81"/>
    <w:rsid w:val="00965CEB"/>
    <w:rsid w:val="00965DF5"/>
    <w:rsid w:val="00965DF6"/>
    <w:rsid w:val="00965EC0"/>
    <w:rsid w:val="0096621A"/>
    <w:rsid w:val="00966222"/>
    <w:rsid w:val="00966361"/>
    <w:rsid w:val="009663E8"/>
    <w:rsid w:val="009664B3"/>
    <w:rsid w:val="0096650C"/>
    <w:rsid w:val="00966607"/>
    <w:rsid w:val="0096661A"/>
    <w:rsid w:val="0096681A"/>
    <w:rsid w:val="009669EF"/>
    <w:rsid w:val="00966E54"/>
    <w:rsid w:val="0096715B"/>
    <w:rsid w:val="00967207"/>
    <w:rsid w:val="00967230"/>
    <w:rsid w:val="00967370"/>
    <w:rsid w:val="0096778A"/>
    <w:rsid w:val="009678F7"/>
    <w:rsid w:val="0096793A"/>
    <w:rsid w:val="00967995"/>
    <w:rsid w:val="00967F33"/>
    <w:rsid w:val="00970029"/>
    <w:rsid w:val="009705E6"/>
    <w:rsid w:val="009708CD"/>
    <w:rsid w:val="00970C83"/>
    <w:rsid w:val="00970CD1"/>
    <w:rsid w:val="00970DAD"/>
    <w:rsid w:val="00970DBD"/>
    <w:rsid w:val="00971129"/>
    <w:rsid w:val="009711B7"/>
    <w:rsid w:val="009715F5"/>
    <w:rsid w:val="009718F3"/>
    <w:rsid w:val="0097191A"/>
    <w:rsid w:val="009719F2"/>
    <w:rsid w:val="00971B7F"/>
    <w:rsid w:val="00971C6B"/>
    <w:rsid w:val="00971CDD"/>
    <w:rsid w:val="00971E43"/>
    <w:rsid w:val="00971ED7"/>
    <w:rsid w:val="00971F07"/>
    <w:rsid w:val="00972172"/>
    <w:rsid w:val="00972223"/>
    <w:rsid w:val="0097238E"/>
    <w:rsid w:val="00972579"/>
    <w:rsid w:val="009726AC"/>
    <w:rsid w:val="00972803"/>
    <w:rsid w:val="00972865"/>
    <w:rsid w:val="0097292B"/>
    <w:rsid w:val="009729CC"/>
    <w:rsid w:val="00972A08"/>
    <w:rsid w:val="00972CE7"/>
    <w:rsid w:val="00972F0E"/>
    <w:rsid w:val="00972F2D"/>
    <w:rsid w:val="00972FF8"/>
    <w:rsid w:val="009730A3"/>
    <w:rsid w:val="009733EC"/>
    <w:rsid w:val="009734C1"/>
    <w:rsid w:val="009735CC"/>
    <w:rsid w:val="009738DF"/>
    <w:rsid w:val="00973987"/>
    <w:rsid w:val="009739DA"/>
    <w:rsid w:val="00973AB3"/>
    <w:rsid w:val="00973AC3"/>
    <w:rsid w:val="00973B37"/>
    <w:rsid w:val="00973C88"/>
    <w:rsid w:val="00973D1A"/>
    <w:rsid w:val="00973F6E"/>
    <w:rsid w:val="009740A9"/>
    <w:rsid w:val="00974247"/>
    <w:rsid w:val="009742B4"/>
    <w:rsid w:val="0097433B"/>
    <w:rsid w:val="00974590"/>
    <w:rsid w:val="00974741"/>
    <w:rsid w:val="00974749"/>
    <w:rsid w:val="0097488C"/>
    <w:rsid w:val="009748FB"/>
    <w:rsid w:val="00974955"/>
    <w:rsid w:val="00974AB9"/>
    <w:rsid w:val="00974CF7"/>
    <w:rsid w:val="00974DE8"/>
    <w:rsid w:val="00974E02"/>
    <w:rsid w:val="00974E1D"/>
    <w:rsid w:val="00974E2D"/>
    <w:rsid w:val="00974F96"/>
    <w:rsid w:val="00975176"/>
    <w:rsid w:val="009751DB"/>
    <w:rsid w:val="009751FB"/>
    <w:rsid w:val="009753D1"/>
    <w:rsid w:val="0097547D"/>
    <w:rsid w:val="009754CF"/>
    <w:rsid w:val="00975518"/>
    <w:rsid w:val="009755A0"/>
    <w:rsid w:val="00975631"/>
    <w:rsid w:val="0097564F"/>
    <w:rsid w:val="00975726"/>
    <w:rsid w:val="00975823"/>
    <w:rsid w:val="00975C88"/>
    <w:rsid w:val="00975E4D"/>
    <w:rsid w:val="00975E50"/>
    <w:rsid w:val="00975F10"/>
    <w:rsid w:val="00975F62"/>
    <w:rsid w:val="00975F8C"/>
    <w:rsid w:val="00976034"/>
    <w:rsid w:val="0097628B"/>
    <w:rsid w:val="0097643F"/>
    <w:rsid w:val="009765F5"/>
    <w:rsid w:val="0097673B"/>
    <w:rsid w:val="009767D0"/>
    <w:rsid w:val="00976905"/>
    <w:rsid w:val="00976978"/>
    <w:rsid w:val="00976B6B"/>
    <w:rsid w:val="00976C29"/>
    <w:rsid w:val="00976CB2"/>
    <w:rsid w:val="00976CE0"/>
    <w:rsid w:val="00976D09"/>
    <w:rsid w:val="00976D5D"/>
    <w:rsid w:val="00976D6F"/>
    <w:rsid w:val="00976EAD"/>
    <w:rsid w:val="00976F2D"/>
    <w:rsid w:val="00977269"/>
    <w:rsid w:val="0097733F"/>
    <w:rsid w:val="00977547"/>
    <w:rsid w:val="0097760A"/>
    <w:rsid w:val="009776AF"/>
    <w:rsid w:val="00977ACD"/>
    <w:rsid w:val="00977AD5"/>
    <w:rsid w:val="00977B4E"/>
    <w:rsid w:val="00977D2D"/>
    <w:rsid w:val="00977E23"/>
    <w:rsid w:val="00980111"/>
    <w:rsid w:val="00980125"/>
    <w:rsid w:val="00980369"/>
    <w:rsid w:val="009805D8"/>
    <w:rsid w:val="0098075F"/>
    <w:rsid w:val="00980798"/>
    <w:rsid w:val="009808BB"/>
    <w:rsid w:val="00980997"/>
    <w:rsid w:val="00980A1E"/>
    <w:rsid w:val="00980ABD"/>
    <w:rsid w:val="00980EA7"/>
    <w:rsid w:val="00980EE9"/>
    <w:rsid w:val="00981061"/>
    <w:rsid w:val="009810FE"/>
    <w:rsid w:val="0098119F"/>
    <w:rsid w:val="009812DF"/>
    <w:rsid w:val="009812F2"/>
    <w:rsid w:val="00981349"/>
    <w:rsid w:val="0098164F"/>
    <w:rsid w:val="009817B3"/>
    <w:rsid w:val="009818DF"/>
    <w:rsid w:val="009818EA"/>
    <w:rsid w:val="00981905"/>
    <w:rsid w:val="0098190A"/>
    <w:rsid w:val="00981959"/>
    <w:rsid w:val="00981C09"/>
    <w:rsid w:val="00981C31"/>
    <w:rsid w:val="00981CE6"/>
    <w:rsid w:val="00981CF5"/>
    <w:rsid w:val="00981D20"/>
    <w:rsid w:val="00981ECA"/>
    <w:rsid w:val="009820BE"/>
    <w:rsid w:val="00982102"/>
    <w:rsid w:val="00982106"/>
    <w:rsid w:val="00982123"/>
    <w:rsid w:val="00982354"/>
    <w:rsid w:val="00982385"/>
    <w:rsid w:val="009823AF"/>
    <w:rsid w:val="009823E8"/>
    <w:rsid w:val="0098242E"/>
    <w:rsid w:val="00982636"/>
    <w:rsid w:val="00982B6D"/>
    <w:rsid w:val="00982C39"/>
    <w:rsid w:val="00982DB0"/>
    <w:rsid w:val="00982DD3"/>
    <w:rsid w:val="0098301D"/>
    <w:rsid w:val="00983080"/>
    <w:rsid w:val="00983084"/>
    <w:rsid w:val="00983096"/>
    <w:rsid w:val="009832C9"/>
    <w:rsid w:val="009833A1"/>
    <w:rsid w:val="0098353F"/>
    <w:rsid w:val="00983558"/>
    <w:rsid w:val="009836DF"/>
    <w:rsid w:val="00983963"/>
    <w:rsid w:val="00983A69"/>
    <w:rsid w:val="00983B94"/>
    <w:rsid w:val="00983B98"/>
    <w:rsid w:val="00983BFC"/>
    <w:rsid w:val="00983CA8"/>
    <w:rsid w:val="00983CC0"/>
    <w:rsid w:val="00983D1A"/>
    <w:rsid w:val="00983F2E"/>
    <w:rsid w:val="00984028"/>
    <w:rsid w:val="00984091"/>
    <w:rsid w:val="009840E4"/>
    <w:rsid w:val="009845A9"/>
    <w:rsid w:val="009845BA"/>
    <w:rsid w:val="00984737"/>
    <w:rsid w:val="00984A26"/>
    <w:rsid w:val="00984B42"/>
    <w:rsid w:val="00984BD8"/>
    <w:rsid w:val="00984C33"/>
    <w:rsid w:val="00984EF6"/>
    <w:rsid w:val="009853B5"/>
    <w:rsid w:val="00985681"/>
    <w:rsid w:val="009856FF"/>
    <w:rsid w:val="00985826"/>
    <w:rsid w:val="00985894"/>
    <w:rsid w:val="0098598A"/>
    <w:rsid w:val="00985B5E"/>
    <w:rsid w:val="00985BB3"/>
    <w:rsid w:val="00985C35"/>
    <w:rsid w:val="00985DC4"/>
    <w:rsid w:val="00985E0E"/>
    <w:rsid w:val="00985EE0"/>
    <w:rsid w:val="00986220"/>
    <w:rsid w:val="00986393"/>
    <w:rsid w:val="009864CD"/>
    <w:rsid w:val="00986564"/>
    <w:rsid w:val="009865D3"/>
    <w:rsid w:val="009866EE"/>
    <w:rsid w:val="0098678B"/>
    <w:rsid w:val="0098686C"/>
    <w:rsid w:val="00986A06"/>
    <w:rsid w:val="00986A3E"/>
    <w:rsid w:val="00986A7F"/>
    <w:rsid w:val="00986AA0"/>
    <w:rsid w:val="00986B20"/>
    <w:rsid w:val="00986CA0"/>
    <w:rsid w:val="00986D2E"/>
    <w:rsid w:val="00986E50"/>
    <w:rsid w:val="00986E93"/>
    <w:rsid w:val="00987108"/>
    <w:rsid w:val="009871BC"/>
    <w:rsid w:val="009871D2"/>
    <w:rsid w:val="00987325"/>
    <w:rsid w:val="0098748F"/>
    <w:rsid w:val="009875D9"/>
    <w:rsid w:val="009875F7"/>
    <w:rsid w:val="0098766D"/>
    <w:rsid w:val="009876E1"/>
    <w:rsid w:val="009877A4"/>
    <w:rsid w:val="0098790C"/>
    <w:rsid w:val="0098790F"/>
    <w:rsid w:val="009879C9"/>
    <w:rsid w:val="00987A4C"/>
    <w:rsid w:val="00987C62"/>
    <w:rsid w:val="00987C92"/>
    <w:rsid w:val="00990128"/>
    <w:rsid w:val="00990253"/>
    <w:rsid w:val="00990293"/>
    <w:rsid w:val="009902B8"/>
    <w:rsid w:val="0099033F"/>
    <w:rsid w:val="00990691"/>
    <w:rsid w:val="009907E5"/>
    <w:rsid w:val="0099081A"/>
    <w:rsid w:val="009908BB"/>
    <w:rsid w:val="00990A49"/>
    <w:rsid w:val="00990C31"/>
    <w:rsid w:val="00990C81"/>
    <w:rsid w:val="00990D13"/>
    <w:rsid w:val="00990DCE"/>
    <w:rsid w:val="00990EA7"/>
    <w:rsid w:val="00990FFF"/>
    <w:rsid w:val="009910C5"/>
    <w:rsid w:val="00991135"/>
    <w:rsid w:val="0099126A"/>
    <w:rsid w:val="00991394"/>
    <w:rsid w:val="009914CF"/>
    <w:rsid w:val="0099153F"/>
    <w:rsid w:val="009916C5"/>
    <w:rsid w:val="00991794"/>
    <w:rsid w:val="009917BD"/>
    <w:rsid w:val="009918B1"/>
    <w:rsid w:val="009919C9"/>
    <w:rsid w:val="00991A60"/>
    <w:rsid w:val="00991C92"/>
    <w:rsid w:val="00991CC1"/>
    <w:rsid w:val="00991D30"/>
    <w:rsid w:val="00991E60"/>
    <w:rsid w:val="00991E9D"/>
    <w:rsid w:val="00991EAB"/>
    <w:rsid w:val="00991F4D"/>
    <w:rsid w:val="0099240C"/>
    <w:rsid w:val="00992479"/>
    <w:rsid w:val="00992628"/>
    <w:rsid w:val="0099287E"/>
    <w:rsid w:val="009929A6"/>
    <w:rsid w:val="00992A90"/>
    <w:rsid w:val="00992D28"/>
    <w:rsid w:val="00992D88"/>
    <w:rsid w:val="00992E11"/>
    <w:rsid w:val="00992F28"/>
    <w:rsid w:val="00992F2A"/>
    <w:rsid w:val="0099315D"/>
    <w:rsid w:val="0099333C"/>
    <w:rsid w:val="00993422"/>
    <w:rsid w:val="00993448"/>
    <w:rsid w:val="00993520"/>
    <w:rsid w:val="00993558"/>
    <w:rsid w:val="00993624"/>
    <w:rsid w:val="0099362A"/>
    <w:rsid w:val="0099380F"/>
    <w:rsid w:val="009938AD"/>
    <w:rsid w:val="00993AFC"/>
    <w:rsid w:val="00993BBC"/>
    <w:rsid w:val="00993C22"/>
    <w:rsid w:val="00993DB3"/>
    <w:rsid w:val="00993E4C"/>
    <w:rsid w:val="00993EA2"/>
    <w:rsid w:val="00994365"/>
    <w:rsid w:val="0099436D"/>
    <w:rsid w:val="009943CA"/>
    <w:rsid w:val="0099443C"/>
    <w:rsid w:val="0099446D"/>
    <w:rsid w:val="00994495"/>
    <w:rsid w:val="009944D7"/>
    <w:rsid w:val="009944E6"/>
    <w:rsid w:val="00994661"/>
    <w:rsid w:val="0099482F"/>
    <w:rsid w:val="0099487F"/>
    <w:rsid w:val="009948B3"/>
    <w:rsid w:val="009948E7"/>
    <w:rsid w:val="00994A03"/>
    <w:rsid w:val="00994A86"/>
    <w:rsid w:val="00994B6C"/>
    <w:rsid w:val="00994B7D"/>
    <w:rsid w:val="00994BAF"/>
    <w:rsid w:val="00994E7F"/>
    <w:rsid w:val="0099512E"/>
    <w:rsid w:val="00995169"/>
    <w:rsid w:val="00995178"/>
    <w:rsid w:val="00995378"/>
    <w:rsid w:val="009954CC"/>
    <w:rsid w:val="0099562F"/>
    <w:rsid w:val="00995633"/>
    <w:rsid w:val="009957B4"/>
    <w:rsid w:val="0099582B"/>
    <w:rsid w:val="009958B7"/>
    <w:rsid w:val="00995978"/>
    <w:rsid w:val="00995B4A"/>
    <w:rsid w:val="00995B98"/>
    <w:rsid w:val="00995BB4"/>
    <w:rsid w:val="00995CAF"/>
    <w:rsid w:val="00995CB0"/>
    <w:rsid w:val="00995DCC"/>
    <w:rsid w:val="00995F15"/>
    <w:rsid w:val="00995F1C"/>
    <w:rsid w:val="00995FA8"/>
    <w:rsid w:val="00996121"/>
    <w:rsid w:val="00996239"/>
    <w:rsid w:val="00996244"/>
    <w:rsid w:val="0099636C"/>
    <w:rsid w:val="00996370"/>
    <w:rsid w:val="009963C2"/>
    <w:rsid w:val="0099660B"/>
    <w:rsid w:val="00996656"/>
    <w:rsid w:val="009967D5"/>
    <w:rsid w:val="00996898"/>
    <w:rsid w:val="00996A05"/>
    <w:rsid w:val="00996D81"/>
    <w:rsid w:val="00996FA9"/>
    <w:rsid w:val="0099703E"/>
    <w:rsid w:val="00997100"/>
    <w:rsid w:val="009971D7"/>
    <w:rsid w:val="009971F7"/>
    <w:rsid w:val="0099723E"/>
    <w:rsid w:val="009972A8"/>
    <w:rsid w:val="009973F3"/>
    <w:rsid w:val="00997416"/>
    <w:rsid w:val="009975EF"/>
    <w:rsid w:val="00997620"/>
    <w:rsid w:val="0099763C"/>
    <w:rsid w:val="00997774"/>
    <w:rsid w:val="00997783"/>
    <w:rsid w:val="00997A9A"/>
    <w:rsid w:val="00997BB1"/>
    <w:rsid w:val="00997CBA"/>
    <w:rsid w:val="00997D04"/>
    <w:rsid w:val="00997DE0"/>
    <w:rsid w:val="00997E21"/>
    <w:rsid w:val="00997EFB"/>
    <w:rsid w:val="00997F42"/>
    <w:rsid w:val="00997FC4"/>
    <w:rsid w:val="009A0179"/>
    <w:rsid w:val="009A02F0"/>
    <w:rsid w:val="009A03E0"/>
    <w:rsid w:val="009A03E2"/>
    <w:rsid w:val="009A03E4"/>
    <w:rsid w:val="009A0475"/>
    <w:rsid w:val="009A049B"/>
    <w:rsid w:val="009A049D"/>
    <w:rsid w:val="009A0553"/>
    <w:rsid w:val="009A05CF"/>
    <w:rsid w:val="009A0767"/>
    <w:rsid w:val="009A089E"/>
    <w:rsid w:val="009A095B"/>
    <w:rsid w:val="009A0A07"/>
    <w:rsid w:val="009A0A6B"/>
    <w:rsid w:val="009A0B18"/>
    <w:rsid w:val="009A0B55"/>
    <w:rsid w:val="009A0C02"/>
    <w:rsid w:val="009A0D1B"/>
    <w:rsid w:val="009A0D77"/>
    <w:rsid w:val="009A0E47"/>
    <w:rsid w:val="009A0E93"/>
    <w:rsid w:val="009A0EC8"/>
    <w:rsid w:val="009A1046"/>
    <w:rsid w:val="009A1665"/>
    <w:rsid w:val="009A1694"/>
    <w:rsid w:val="009A1838"/>
    <w:rsid w:val="009A18BE"/>
    <w:rsid w:val="009A1917"/>
    <w:rsid w:val="009A1980"/>
    <w:rsid w:val="009A1A41"/>
    <w:rsid w:val="009A1D6D"/>
    <w:rsid w:val="009A1DAD"/>
    <w:rsid w:val="009A1E2A"/>
    <w:rsid w:val="009A1E93"/>
    <w:rsid w:val="009A1F67"/>
    <w:rsid w:val="009A20B6"/>
    <w:rsid w:val="009A212D"/>
    <w:rsid w:val="009A2268"/>
    <w:rsid w:val="009A22F9"/>
    <w:rsid w:val="009A274C"/>
    <w:rsid w:val="009A2980"/>
    <w:rsid w:val="009A2AAD"/>
    <w:rsid w:val="009A2B41"/>
    <w:rsid w:val="009A2C59"/>
    <w:rsid w:val="009A2C88"/>
    <w:rsid w:val="009A2DAC"/>
    <w:rsid w:val="009A2DF5"/>
    <w:rsid w:val="009A2E5B"/>
    <w:rsid w:val="009A2EFA"/>
    <w:rsid w:val="009A2F34"/>
    <w:rsid w:val="009A2FD8"/>
    <w:rsid w:val="009A30CE"/>
    <w:rsid w:val="009A345A"/>
    <w:rsid w:val="009A3548"/>
    <w:rsid w:val="009A36DE"/>
    <w:rsid w:val="009A36ED"/>
    <w:rsid w:val="009A3939"/>
    <w:rsid w:val="009A3A09"/>
    <w:rsid w:val="009A3A51"/>
    <w:rsid w:val="009A3ABA"/>
    <w:rsid w:val="009A3CB6"/>
    <w:rsid w:val="009A3F8B"/>
    <w:rsid w:val="009A4031"/>
    <w:rsid w:val="009A406C"/>
    <w:rsid w:val="009A4110"/>
    <w:rsid w:val="009A4190"/>
    <w:rsid w:val="009A41CE"/>
    <w:rsid w:val="009A492A"/>
    <w:rsid w:val="009A4A47"/>
    <w:rsid w:val="009A4C1B"/>
    <w:rsid w:val="009A4F17"/>
    <w:rsid w:val="009A4F9E"/>
    <w:rsid w:val="009A5037"/>
    <w:rsid w:val="009A5168"/>
    <w:rsid w:val="009A525D"/>
    <w:rsid w:val="009A54F8"/>
    <w:rsid w:val="009A585A"/>
    <w:rsid w:val="009A58CD"/>
    <w:rsid w:val="009A5906"/>
    <w:rsid w:val="009A591D"/>
    <w:rsid w:val="009A5AFA"/>
    <w:rsid w:val="009A5B18"/>
    <w:rsid w:val="009A5C14"/>
    <w:rsid w:val="009A5E05"/>
    <w:rsid w:val="009A6629"/>
    <w:rsid w:val="009A6632"/>
    <w:rsid w:val="009A672D"/>
    <w:rsid w:val="009A674E"/>
    <w:rsid w:val="009A6867"/>
    <w:rsid w:val="009A688F"/>
    <w:rsid w:val="009A6A79"/>
    <w:rsid w:val="009A6CAE"/>
    <w:rsid w:val="009A6D0D"/>
    <w:rsid w:val="009A6D2F"/>
    <w:rsid w:val="009A6DB1"/>
    <w:rsid w:val="009A6DD9"/>
    <w:rsid w:val="009A6DFA"/>
    <w:rsid w:val="009A6DFC"/>
    <w:rsid w:val="009A6EF4"/>
    <w:rsid w:val="009A6F1F"/>
    <w:rsid w:val="009A706D"/>
    <w:rsid w:val="009A71BA"/>
    <w:rsid w:val="009A7528"/>
    <w:rsid w:val="009A7593"/>
    <w:rsid w:val="009A75E8"/>
    <w:rsid w:val="009A7755"/>
    <w:rsid w:val="009A7959"/>
    <w:rsid w:val="009A799D"/>
    <w:rsid w:val="009A79B8"/>
    <w:rsid w:val="009A7A5B"/>
    <w:rsid w:val="009A7B32"/>
    <w:rsid w:val="009A7CBB"/>
    <w:rsid w:val="009A7CD7"/>
    <w:rsid w:val="009A7CDB"/>
    <w:rsid w:val="009A7CF8"/>
    <w:rsid w:val="009A7D7A"/>
    <w:rsid w:val="009A7E9D"/>
    <w:rsid w:val="009B0011"/>
    <w:rsid w:val="009B017D"/>
    <w:rsid w:val="009B02B8"/>
    <w:rsid w:val="009B039A"/>
    <w:rsid w:val="009B07AC"/>
    <w:rsid w:val="009B082A"/>
    <w:rsid w:val="009B0A90"/>
    <w:rsid w:val="009B0AA8"/>
    <w:rsid w:val="009B0D95"/>
    <w:rsid w:val="009B0EB8"/>
    <w:rsid w:val="009B0F39"/>
    <w:rsid w:val="009B1009"/>
    <w:rsid w:val="009B11D0"/>
    <w:rsid w:val="009B1301"/>
    <w:rsid w:val="009B140B"/>
    <w:rsid w:val="009B141B"/>
    <w:rsid w:val="009B15AA"/>
    <w:rsid w:val="009B16A6"/>
    <w:rsid w:val="009B16BF"/>
    <w:rsid w:val="009B186A"/>
    <w:rsid w:val="009B1B30"/>
    <w:rsid w:val="009B1D27"/>
    <w:rsid w:val="009B1E02"/>
    <w:rsid w:val="009B1EC0"/>
    <w:rsid w:val="009B2190"/>
    <w:rsid w:val="009B228F"/>
    <w:rsid w:val="009B24D8"/>
    <w:rsid w:val="009B26F5"/>
    <w:rsid w:val="009B2973"/>
    <w:rsid w:val="009B2A24"/>
    <w:rsid w:val="009B2A43"/>
    <w:rsid w:val="009B2C6C"/>
    <w:rsid w:val="009B2F33"/>
    <w:rsid w:val="009B2FF4"/>
    <w:rsid w:val="009B30F8"/>
    <w:rsid w:val="009B326F"/>
    <w:rsid w:val="009B329B"/>
    <w:rsid w:val="009B32C2"/>
    <w:rsid w:val="009B32E8"/>
    <w:rsid w:val="009B32ED"/>
    <w:rsid w:val="009B32FE"/>
    <w:rsid w:val="009B3398"/>
    <w:rsid w:val="009B3519"/>
    <w:rsid w:val="009B358C"/>
    <w:rsid w:val="009B3630"/>
    <w:rsid w:val="009B376A"/>
    <w:rsid w:val="009B3AF5"/>
    <w:rsid w:val="009B3F12"/>
    <w:rsid w:val="009B3FED"/>
    <w:rsid w:val="009B4278"/>
    <w:rsid w:val="009B4584"/>
    <w:rsid w:val="009B45CA"/>
    <w:rsid w:val="009B462B"/>
    <w:rsid w:val="009B4877"/>
    <w:rsid w:val="009B4C7C"/>
    <w:rsid w:val="009B4E35"/>
    <w:rsid w:val="009B501C"/>
    <w:rsid w:val="009B501F"/>
    <w:rsid w:val="009B5092"/>
    <w:rsid w:val="009B50EE"/>
    <w:rsid w:val="009B51C9"/>
    <w:rsid w:val="009B5228"/>
    <w:rsid w:val="009B524F"/>
    <w:rsid w:val="009B530C"/>
    <w:rsid w:val="009B53DE"/>
    <w:rsid w:val="009B5484"/>
    <w:rsid w:val="009B5511"/>
    <w:rsid w:val="009B555D"/>
    <w:rsid w:val="009B558D"/>
    <w:rsid w:val="009B55AC"/>
    <w:rsid w:val="009B55F9"/>
    <w:rsid w:val="009B5682"/>
    <w:rsid w:val="009B569F"/>
    <w:rsid w:val="009B57AC"/>
    <w:rsid w:val="009B588B"/>
    <w:rsid w:val="009B5A73"/>
    <w:rsid w:val="009B5B9F"/>
    <w:rsid w:val="009B5BD0"/>
    <w:rsid w:val="009B5D27"/>
    <w:rsid w:val="009B5E84"/>
    <w:rsid w:val="009B5F5E"/>
    <w:rsid w:val="009B6154"/>
    <w:rsid w:val="009B61E6"/>
    <w:rsid w:val="009B63EE"/>
    <w:rsid w:val="009B64EB"/>
    <w:rsid w:val="009B657E"/>
    <w:rsid w:val="009B6754"/>
    <w:rsid w:val="009B67EB"/>
    <w:rsid w:val="009B6917"/>
    <w:rsid w:val="009B6A3F"/>
    <w:rsid w:val="009B6B44"/>
    <w:rsid w:val="009B6B54"/>
    <w:rsid w:val="009B6BEB"/>
    <w:rsid w:val="009B6C5E"/>
    <w:rsid w:val="009B6D33"/>
    <w:rsid w:val="009B6DB2"/>
    <w:rsid w:val="009B73F2"/>
    <w:rsid w:val="009B740D"/>
    <w:rsid w:val="009B74FB"/>
    <w:rsid w:val="009B7557"/>
    <w:rsid w:val="009B757A"/>
    <w:rsid w:val="009B757E"/>
    <w:rsid w:val="009B77DC"/>
    <w:rsid w:val="009B78AD"/>
    <w:rsid w:val="009B79AC"/>
    <w:rsid w:val="009B7AAF"/>
    <w:rsid w:val="009B7B83"/>
    <w:rsid w:val="009B7C59"/>
    <w:rsid w:val="009B7DE9"/>
    <w:rsid w:val="009B7F66"/>
    <w:rsid w:val="009C0027"/>
    <w:rsid w:val="009C0189"/>
    <w:rsid w:val="009C0461"/>
    <w:rsid w:val="009C067B"/>
    <w:rsid w:val="009C0776"/>
    <w:rsid w:val="009C0860"/>
    <w:rsid w:val="009C08C9"/>
    <w:rsid w:val="009C092B"/>
    <w:rsid w:val="009C09CC"/>
    <w:rsid w:val="009C0A35"/>
    <w:rsid w:val="009C0C4F"/>
    <w:rsid w:val="009C0D12"/>
    <w:rsid w:val="009C0D40"/>
    <w:rsid w:val="009C0E79"/>
    <w:rsid w:val="009C0EDA"/>
    <w:rsid w:val="009C0F4A"/>
    <w:rsid w:val="009C0F67"/>
    <w:rsid w:val="009C1021"/>
    <w:rsid w:val="009C1085"/>
    <w:rsid w:val="009C1525"/>
    <w:rsid w:val="009C156A"/>
    <w:rsid w:val="009C1768"/>
    <w:rsid w:val="009C1AC4"/>
    <w:rsid w:val="009C1B59"/>
    <w:rsid w:val="009C1B90"/>
    <w:rsid w:val="009C1BB9"/>
    <w:rsid w:val="009C1D55"/>
    <w:rsid w:val="009C1DA1"/>
    <w:rsid w:val="009C1EC3"/>
    <w:rsid w:val="009C1F3E"/>
    <w:rsid w:val="009C1F64"/>
    <w:rsid w:val="009C2071"/>
    <w:rsid w:val="009C21FF"/>
    <w:rsid w:val="009C2387"/>
    <w:rsid w:val="009C24FB"/>
    <w:rsid w:val="009C2537"/>
    <w:rsid w:val="009C25E5"/>
    <w:rsid w:val="009C25EE"/>
    <w:rsid w:val="009C2652"/>
    <w:rsid w:val="009C26FF"/>
    <w:rsid w:val="009C289B"/>
    <w:rsid w:val="009C2A63"/>
    <w:rsid w:val="009C2BF0"/>
    <w:rsid w:val="009C2D27"/>
    <w:rsid w:val="009C2D73"/>
    <w:rsid w:val="009C2DA5"/>
    <w:rsid w:val="009C2E41"/>
    <w:rsid w:val="009C30BC"/>
    <w:rsid w:val="009C317E"/>
    <w:rsid w:val="009C31D2"/>
    <w:rsid w:val="009C320C"/>
    <w:rsid w:val="009C33A0"/>
    <w:rsid w:val="009C33F1"/>
    <w:rsid w:val="009C3406"/>
    <w:rsid w:val="009C350A"/>
    <w:rsid w:val="009C3588"/>
    <w:rsid w:val="009C369B"/>
    <w:rsid w:val="009C3A8B"/>
    <w:rsid w:val="009C3B3C"/>
    <w:rsid w:val="009C3CBC"/>
    <w:rsid w:val="009C3D5B"/>
    <w:rsid w:val="009C40BA"/>
    <w:rsid w:val="009C40D4"/>
    <w:rsid w:val="009C411C"/>
    <w:rsid w:val="009C43F7"/>
    <w:rsid w:val="009C4643"/>
    <w:rsid w:val="009C4675"/>
    <w:rsid w:val="009C472B"/>
    <w:rsid w:val="009C4755"/>
    <w:rsid w:val="009C47C4"/>
    <w:rsid w:val="009C489C"/>
    <w:rsid w:val="009C48C2"/>
    <w:rsid w:val="009C48D9"/>
    <w:rsid w:val="009C494B"/>
    <w:rsid w:val="009C4955"/>
    <w:rsid w:val="009C49D9"/>
    <w:rsid w:val="009C4A66"/>
    <w:rsid w:val="009C4B64"/>
    <w:rsid w:val="009C4BF0"/>
    <w:rsid w:val="009C4BF1"/>
    <w:rsid w:val="009C4D30"/>
    <w:rsid w:val="009C5075"/>
    <w:rsid w:val="009C509D"/>
    <w:rsid w:val="009C516F"/>
    <w:rsid w:val="009C526D"/>
    <w:rsid w:val="009C5276"/>
    <w:rsid w:val="009C531B"/>
    <w:rsid w:val="009C53EB"/>
    <w:rsid w:val="009C5427"/>
    <w:rsid w:val="009C5429"/>
    <w:rsid w:val="009C54C7"/>
    <w:rsid w:val="009C553D"/>
    <w:rsid w:val="009C55DF"/>
    <w:rsid w:val="009C5615"/>
    <w:rsid w:val="009C56A9"/>
    <w:rsid w:val="009C579C"/>
    <w:rsid w:val="009C57AE"/>
    <w:rsid w:val="009C589D"/>
    <w:rsid w:val="009C5987"/>
    <w:rsid w:val="009C5BEA"/>
    <w:rsid w:val="009C5C83"/>
    <w:rsid w:val="009C5DD7"/>
    <w:rsid w:val="009C5EE7"/>
    <w:rsid w:val="009C5F19"/>
    <w:rsid w:val="009C5F59"/>
    <w:rsid w:val="009C5FED"/>
    <w:rsid w:val="009C6761"/>
    <w:rsid w:val="009C67BA"/>
    <w:rsid w:val="009C6823"/>
    <w:rsid w:val="009C68D0"/>
    <w:rsid w:val="009C6A02"/>
    <w:rsid w:val="009C6ACD"/>
    <w:rsid w:val="009C6B39"/>
    <w:rsid w:val="009C6BF6"/>
    <w:rsid w:val="009C6CC6"/>
    <w:rsid w:val="009C6F33"/>
    <w:rsid w:val="009C7332"/>
    <w:rsid w:val="009C73B7"/>
    <w:rsid w:val="009C73E8"/>
    <w:rsid w:val="009C75B9"/>
    <w:rsid w:val="009C76FA"/>
    <w:rsid w:val="009C78D0"/>
    <w:rsid w:val="009C7A44"/>
    <w:rsid w:val="009C7A5D"/>
    <w:rsid w:val="009C7AA5"/>
    <w:rsid w:val="009C7ACE"/>
    <w:rsid w:val="009C7DB9"/>
    <w:rsid w:val="009C7E89"/>
    <w:rsid w:val="009C7E8B"/>
    <w:rsid w:val="009D0008"/>
    <w:rsid w:val="009D0022"/>
    <w:rsid w:val="009D0198"/>
    <w:rsid w:val="009D01A2"/>
    <w:rsid w:val="009D0206"/>
    <w:rsid w:val="009D0217"/>
    <w:rsid w:val="009D0388"/>
    <w:rsid w:val="009D04AD"/>
    <w:rsid w:val="009D050A"/>
    <w:rsid w:val="009D060B"/>
    <w:rsid w:val="009D0646"/>
    <w:rsid w:val="009D066F"/>
    <w:rsid w:val="009D09EB"/>
    <w:rsid w:val="009D0C15"/>
    <w:rsid w:val="009D0C44"/>
    <w:rsid w:val="009D0DD4"/>
    <w:rsid w:val="009D0E2A"/>
    <w:rsid w:val="009D0F6E"/>
    <w:rsid w:val="009D0FA0"/>
    <w:rsid w:val="009D117E"/>
    <w:rsid w:val="009D120E"/>
    <w:rsid w:val="009D1233"/>
    <w:rsid w:val="009D1328"/>
    <w:rsid w:val="009D13BD"/>
    <w:rsid w:val="009D13EB"/>
    <w:rsid w:val="009D1772"/>
    <w:rsid w:val="009D1A14"/>
    <w:rsid w:val="009D1A4E"/>
    <w:rsid w:val="009D1A83"/>
    <w:rsid w:val="009D1B8A"/>
    <w:rsid w:val="009D1D48"/>
    <w:rsid w:val="009D1DAC"/>
    <w:rsid w:val="009D1E50"/>
    <w:rsid w:val="009D1F9B"/>
    <w:rsid w:val="009D2023"/>
    <w:rsid w:val="009D20AE"/>
    <w:rsid w:val="009D2190"/>
    <w:rsid w:val="009D21CE"/>
    <w:rsid w:val="009D23CB"/>
    <w:rsid w:val="009D24A4"/>
    <w:rsid w:val="009D25AB"/>
    <w:rsid w:val="009D2830"/>
    <w:rsid w:val="009D2B09"/>
    <w:rsid w:val="009D2B11"/>
    <w:rsid w:val="009D2B3E"/>
    <w:rsid w:val="009D2D7F"/>
    <w:rsid w:val="009D2E84"/>
    <w:rsid w:val="009D2EC6"/>
    <w:rsid w:val="009D2F2A"/>
    <w:rsid w:val="009D2FD7"/>
    <w:rsid w:val="009D3189"/>
    <w:rsid w:val="009D31AC"/>
    <w:rsid w:val="009D31CA"/>
    <w:rsid w:val="009D3205"/>
    <w:rsid w:val="009D32CA"/>
    <w:rsid w:val="009D32EB"/>
    <w:rsid w:val="009D3348"/>
    <w:rsid w:val="009D3403"/>
    <w:rsid w:val="009D3419"/>
    <w:rsid w:val="009D3470"/>
    <w:rsid w:val="009D34AB"/>
    <w:rsid w:val="009D359B"/>
    <w:rsid w:val="009D35E3"/>
    <w:rsid w:val="009D3613"/>
    <w:rsid w:val="009D374D"/>
    <w:rsid w:val="009D3764"/>
    <w:rsid w:val="009D378D"/>
    <w:rsid w:val="009D38CB"/>
    <w:rsid w:val="009D3A1E"/>
    <w:rsid w:val="009D3B9F"/>
    <w:rsid w:val="009D3C4E"/>
    <w:rsid w:val="009D3C8A"/>
    <w:rsid w:val="009D3CB7"/>
    <w:rsid w:val="009D3F55"/>
    <w:rsid w:val="009D400D"/>
    <w:rsid w:val="009D41B6"/>
    <w:rsid w:val="009D42D3"/>
    <w:rsid w:val="009D4306"/>
    <w:rsid w:val="009D430F"/>
    <w:rsid w:val="009D4652"/>
    <w:rsid w:val="009D469D"/>
    <w:rsid w:val="009D46AE"/>
    <w:rsid w:val="009D46C7"/>
    <w:rsid w:val="009D47C9"/>
    <w:rsid w:val="009D4850"/>
    <w:rsid w:val="009D48DE"/>
    <w:rsid w:val="009D495C"/>
    <w:rsid w:val="009D4997"/>
    <w:rsid w:val="009D4A68"/>
    <w:rsid w:val="009D4BD6"/>
    <w:rsid w:val="009D4F81"/>
    <w:rsid w:val="009D4FAC"/>
    <w:rsid w:val="009D5020"/>
    <w:rsid w:val="009D5108"/>
    <w:rsid w:val="009D5112"/>
    <w:rsid w:val="009D5371"/>
    <w:rsid w:val="009D53C0"/>
    <w:rsid w:val="009D5450"/>
    <w:rsid w:val="009D5597"/>
    <w:rsid w:val="009D56B7"/>
    <w:rsid w:val="009D56F6"/>
    <w:rsid w:val="009D5A5D"/>
    <w:rsid w:val="009D5A75"/>
    <w:rsid w:val="009D5C41"/>
    <w:rsid w:val="009D5C81"/>
    <w:rsid w:val="009D5C9F"/>
    <w:rsid w:val="009D5CAB"/>
    <w:rsid w:val="009D5CE1"/>
    <w:rsid w:val="009D5D06"/>
    <w:rsid w:val="009D5DBC"/>
    <w:rsid w:val="009D5ED9"/>
    <w:rsid w:val="009D5F04"/>
    <w:rsid w:val="009D5F7D"/>
    <w:rsid w:val="009D6189"/>
    <w:rsid w:val="009D6327"/>
    <w:rsid w:val="009D637B"/>
    <w:rsid w:val="009D63E5"/>
    <w:rsid w:val="009D63F8"/>
    <w:rsid w:val="009D644F"/>
    <w:rsid w:val="009D6542"/>
    <w:rsid w:val="009D6544"/>
    <w:rsid w:val="009D6551"/>
    <w:rsid w:val="009D657A"/>
    <w:rsid w:val="009D65FF"/>
    <w:rsid w:val="009D6614"/>
    <w:rsid w:val="009D67B1"/>
    <w:rsid w:val="009D67E7"/>
    <w:rsid w:val="009D682C"/>
    <w:rsid w:val="009D68E4"/>
    <w:rsid w:val="009D6A2D"/>
    <w:rsid w:val="009D6B6C"/>
    <w:rsid w:val="009D6CE0"/>
    <w:rsid w:val="009D6CFF"/>
    <w:rsid w:val="009D6DCF"/>
    <w:rsid w:val="009D6FE6"/>
    <w:rsid w:val="009D7449"/>
    <w:rsid w:val="009D7575"/>
    <w:rsid w:val="009D764D"/>
    <w:rsid w:val="009D77DC"/>
    <w:rsid w:val="009D78E5"/>
    <w:rsid w:val="009D7919"/>
    <w:rsid w:val="009D79E4"/>
    <w:rsid w:val="009D7B45"/>
    <w:rsid w:val="009D7BA4"/>
    <w:rsid w:val="009D7E95"/>
    <w:rsid w:val="009E0154"/>
    <w:rsid w:val="009E0394"/>
    <w:rsid w:val="009E0447"/>
    <w:rsid w:val="009E0487"/>
    <w:rsid w:val="009E059D"/>
    <w:rsid w:val="009E06E5"/>
    <w:rsid w:val="009E09BE"/>
    <w:rsid w:val="009E0A42"/>
    <w:rsid w:val="009E0A5C"/>
    <w:rsid w:val="009E0C5C"/>
    <w:rsid w:val="009E0D21"/>
    <w:rsid w:val="009E0D27"/>
    <w:rsid w:val="009E0E3B"/>
    <w:rsid w:val="009E0F15"/>
    <w:rsid w:val="009E1032"/>
    <w:rsid w:val="009E1142"/>
    <w:rsid w:val="009E1200"/>
    <w:rsid w:val="009E12D8"/>
    <w:rsid w:val="009E12EF"/>
    <w:rsid w:val="009E13DC"/>
    <w:rsid w:val="009E13F3"/>
    <w:rsid w:val="009E1444"/>
    <w:rsid w:val="009E1614"/>
    <w:rsid w:val="009E16AB"/>
    <w:rsid w:val="009E1722"/>
    <w:rsid w:val="009E178C"/>
    <w:rsid w:val="009E17F6"/>
    <w:rsid w:val="009E1B9F"/>
    <w:rsid w:val="009E1C24"/>
    <w:rsid w:val="009E1CDD"/>
    <w:rsid w:val="009E1D45"/>
    <w:rsid w:val="009E1E64"/>
    <w:rsid w:val="009E1E72"/>
    <w:rsid w:val="009E1F27"/>
    <w:rsid w:val="009E2270"/>
    <w:rsid w:val="009E22BB"/>
    <w:rsid w:val="009E24AD"/>
    <w:rsid w:val="009E2532"/>
    <w:rsid w:val="009E2564"/>
    <w:rsid w:val="009E2878"/>
    <w:rsid w:val="009E29F7"/>
    <w:rsid w:val="009E2AC9"/>
    <w:rsid w:val="009E2B00"/>
    <w:rsid w:val="009E2B54"/>
    <w:rsid w:val="009E2BC0"/>
    <w:rsid w:val="009E2F56"/>
    <w:rsid w:val="009E2FFB"/>
    <w:rsid w:val="009E304C"/>
    <w:rsid w:val="009E327F"/>
    <w:rsid w:val="009E33F3"/>
    <w:rsid w:val="009E348B"/>
    <w:rsid w:val="009E3551"/>
    <w:rsid w:val="009E3A00"/>
    <w:rsid w:val="009E3A19"/>
    <w:rsid w:val="009E3B82"/>
    <w:rsid w:val="009E3C0C"/>
    <w:rsid w:val="009E3C7E"/>
    <w:rsid w:val="009E3EB5"/>
    <w:rsid w:val="009E3F6E"/>
    <w:rsid w:val="009E3F8A"/>
    <w:rsid w:val="009E3FCD"/>
    <w:rsid w:val="009E40A2"/>
    <w:rsid w:val="009E41DE"/>
    <w:rsid w:val="009E426D"/>
    <w:rsid w:val="009E4368"/>
    <w:rsid w:val="009E443D"/>
    <w:rsid w:val="009E45D0"/>
    <w:rsid w:val="009E4716"/>
    <w:rsid w:val="009E4882"/>
    <w:rsid w:val="009E48CA"/>
    <w:rsid w:val="009E4910"/>
    <w:rsid w:val="009E495C"/>
    <w:rsid w:val="009E4AD1"/>
    <w:rsid w:val="009E4B18"/>
    <w:rsid w:val="009E4B31"/>
    <w:rsid w:val="009E4C28"/>
    <w:rsid w:val="009E4D3F"/>
    <w:rsid w:val="009E4EFE"/>
    <w:rsid w:val="009E4F04"/>
    <w:rsid w:val="009E4F15"/>
    <w:rsid w:val="009E4FCA"/>
    <w:rsid w:val="009E5091"/>
    <w:rsid w:val="009E5252"/>
    <w:rsid w:val="009E52AC"/>
    <w:rsid w:val="009E53AF"/>
    <w:rsid w:val="009E5414"/>
    <w:rsid w:val="009E558A"/>
    <w:rsid w:val="009E5A68"/>
    <w:rsid w:val="009E5A8B"/>
    <w:rsid w:val="009E5AFC"/>
    <w:rsid w:val="009E5BDC"/>
    <w:rsid w:val="009E5CDA"/>
    <w:rsid w:val="009E5DA8"/>
    <w:rsid w:val="009E5E5B"/>
    <w:rsid w:val="009E5EA7"/>
    <w:rsid w:val="009E6152"/>
    <w:rsid w:val="009E627E"/>
    <w:rsid w:val="009E62A1"/>
    <w:rsid w:val="009E6301"/>
    <w:rsid w:val="009E63F0"/>
    <w:rsid w:val="009E63F6"/>
    <w:rsid w:val="009E64CC"/>
    <w:rsid w:val="009E6643"/>
    <w:rsid w:val="009E670E"/>
    <w:rsid w:val="009E675A"/>
    <w:rsid w:val="009E686D"/>
    <w:rsid w:val="009E68D4"/>
    <w:rsid w:val="009E69B9"/>
    <w:rsid w:val="009E69D6"/>
    <w:rsid w:val="009E6A62"/>
    <w:rsid w:val="009E6B46"/>
    <w:rsid w:val="009E6D2F"/>
    <w:rsid w:val="009E6D96"/>
    <w:rsid w:val="009E6E52"/>
    <w:rsid w:val="009E6EF0"/>
    <w:rsid w:val="009E6F71"/>
    <w:rsid w:val="009E6FA8"/>
    <w:rsid w:val="009E6FF1"/>
    <w:rsid w:val="009E7003"/>
    <w:rsid w:val="009E7365"/>
    <w:rsid w:val="009E757F"/>
    <w:rsid w:val="009E765A"/>
    <w:rsid w:val="009E7715"/>
    <w:rsid w:val="009E7816"/>
    <w:rsid w:val="009E785D"/>
    <w:rsid w:val="009E78BC"/>
    <w:rsid w:val="009E78F1"/>
    <w:rsid w:val="009E79D6"/>
    <w:rsid w:val="009E7A2F"/>
    <w:rsid w:val="009E7AC3"/>
    <w:rsid w:val="009E7AC5"/>
    <w:rsid w:val="009E7DF6"/>
    <w:rsid w:val="009E7E2A"/>
    <w:rsid w:val="009E7E60"/>
    <w:rsid w:val="009E7ED3"/>
    <w:rsid w:val="009F00F1"/>
    <w:rsid w:val="009F020D"/>
    <w:rsid w:val="009F0461"/>
    <w:rsid w:val="009F0516"/>
    <w:rsid w:val="009F0563"/>
    <w:rsid w:val="009F0691"/>
    <w:rsid w:val="009F0793"/>
    <w:rsid w:val="009F090E"/>
    <w:rsid w:val="009F0A4D"/>
    <w:rsid w:val="009F0B50"/>
    <w:rsid w:val="009F0BA6"/>
    <w:rsid w:val="009F0BB2"/>
    <w:rsid w:val="009F0C3C"/>
    <w:rsid w:val="009F0E5F"/>
    <w:rsid w:val="009F0F36"/>
    <w:rsid w:val="009F1147"/>
    <w:rsid w:val="009F13AB"/>
    <w:rsid w:val="009F13F3"/>
    <w:rsid w:val="009F148A"/>
    <w:rsid w:val="009F1583"/>
    <w:rsid w:val="009F1608"/>
    <w:rsid w:val="009F16B4"/>
    <w:rsid w:val="009F174E"/>
    <w:rsid w:val="009F1800"/>
    <w:rsid w:val="009F1821"/>
    <w:rsid w:val="009F1A23"/>
    <w:rsid w:val="009F1B8C"/>
    <w:rsid w:val="009F1E9E"/>
    <w:rsid w:val="009F23A0"/>
    <w:rsid w:val="009F24E5"/>
    <w:rsid w:val="009F25AC"/>
    <w:rsid w:val="009F25B9"/>
    <w:rsid w:val="009F28DA"/>
    <w:rsid w:val="009F2943"/>
    <w:rsid w:val="009F2AD0"/>
    <w:rsid w:val="009F2D23"/>
    <w:rsid w:val="009F2FEA"/>
    <w:rsid w:val="009F31B4"/>
    <w:rsid w:val="009F3903"/>
    <w:rsid w:val="009F394A"/>
    <w:rsid w:val="009F3960"/>
    <w:rsid w:val="009F39F8"/>
    <w:rsid w:val="009F3A7A"/>
    <w:rsid w:val="009F3BC4"/>
    <w:rsid w:val="009F3BE6"/>
    <w:rsid w:val="009F3BF3"/>
    <w:rsid w:val="009F3F8C"/>
    <w:rsid w:val="009F3FD9"/>
    <w:rsid w:val="009F4081"/>
    <w:rsid w:val="009F4123"/>
    <w:rsid w:val="009F421B"/>
    <w:rsid w:val="009F424D"/>
    <w:rsid w:val="009F432A"/>
    <w:rsid w:val="009F43BB"/>
    <w:rsid w:val="009F43E5"/>
    <w:rsid w:val="009F45A4"/>
    <w:rsid w:val="009F4721"/>
    <w:rsid w:val="009F4915"/>
    <w:rsid w:val="009F4B77"/>
    <w:rsid w:val="009F4C36"/>
    <w:rsid w:val="009F4D79"/>
    <w:rsid w:val="009F4F30"/>
    <w:rsid w:val="009F4FE8"/>
    <w:rsid w:val="009F529A"/>
    <w:rsid w:val="009F54F8"/>
    <w:rsid w:val="009F558E"/>
    <w:rsid w:val="009F57F0"/>
    <w:rsid w:val="009F5905"/>
    <w:rsid w:val="009F59CC"/>
    <w:rsid w:val="009F5A4E"/>
    <w:rsid w:val="009F5B05"/>
    <w:rsid w:val="009F5B54"/>
    <w:rsid w:val="009F5F7F"/>
    <w:rsid w:val="009F6244"/>
    <w:rsid w:val="009F6281"/>
    <w:rsid w:val="009F63DA"/>
    <w:rsid w:val="009F66FE"/>
    <w:rsid w:val="009F69E7"/>
    <w:rsid w:val="009F6DB9"/>
    <w:rsid w:val="009F6EAB"/>
    <w:rsid w:val="009F6F0B"/>
    <w:rsid w:val="009F6FF2"/>
    <w:rsid w:val="009F709B"/>
    <w:rsid w:val="009F710F"/>
    <w:rsid w:val="009F71D8"/>
    <w:rsid w:val="009F7476"/>
    <w:rsid w:val="009F74CE"/>
    <w:rsid w:val="009F7568"/>
    <w:rsid w:val="009F7621"/>
    <w:rsid w:val="009F772C"/>
    <w:rsid w:val="009F7B43"/>
    <w:rsid w:val="009F7B51"/>
    <w:rsid w:val="009F7BF0"/>
    <w:rsid w:val="009F7D18"/>
    <w:rsid w:val="00A00008"/>
    <w:rsid w:val="00A00066"/>
    <w:rsid w:val="00A0014F"/>
    <w:rsid w:val="00A00172"/>
    <w:rsid w:val="00A00176"/>
    <w:rsid w:val="00A00216"/>
    <w:rsid w:val="00A002DF"/>
    <w:rsid w:val="00A00336"/>
    <w:rsid w:val="00A00496"/>
    <w:rsid w:val="00A00A1E"/>
    <w:rsid w:val="00A00A43"/>
    <w:rsid w:val="00A00A71"/>
    <w:rsid w:val="00A00C41"/>
    <w:rsid w:val="00A00D3C"/>
    <w:rsid w:val="00A00D70"/>
    <w:rsid w:val="00A00E3A"/>
    <w:rsid w:val="00A00F18"/>
    <w:rsid w:val="00A00F29"/>
    <w:rsid w:val="00A0101D"/>
    <w:rsid w:val="00A013F1"/>
    <w:rsid w:val="00A01692"/>
    <w:rsid w:val="00A01811"/>
    <w:rsid w:val="00A01927"/>
    <w:rsid w:val="00A01AD2"/>
    <w:rsid w:val="00A01B40"/>
    <w:rsid w:val="00A01C91"/>
    <w:rsid w:val="00A01CA0"/>
    <w:rsid w:val="00A01CEA"/>
    <w:rsid w:val="00A01DFD"/>
    <w:rsid w:val="00A01F29"/>
    <w:rsid w:val="00A02231"/>
    <w:rsid w:val="00A02276"/>
    <w:rsid w:val="00A0245F"/>
    <w:rsid w:val="00A028DF"/>
    <w:rsid w:val="00A02A75"/>
    <w:rsid w:val="00A02A7C"/>
    <w:rsid w:val="00A02AA7"/>
    <w:rsid w:val="00A02B1F"/>
    <w:rsid w:val="00A02B66"/>
    <w:rsid w:val="00A02F1F"/>
    <w:rsid w:val="00A02F59"/>
    <w:rsid w:val="00A0302D"/>
    <w:rsid w:val="00A03159"/>
    <w:rsid w:val="00A0322A"/>
    <w:rsid w:val="00A0333A"/>
    <w:rsid w:val="00A03488"/>
    <w:rsid w:val="00A0394D"/>
    <w:rsid w:val="00A03A42"/>
    <w:rsid w:val="00A03A99"/>
    <w:rsid w:val="00A03ACB"/>
    <w:rsid w:val="00A03D14"/>
    <w:rsid w:val="00A040B0"/>
    <w:rsid w:val="00A040F1"/>
    <w:rsid w:val="00A04130"/>
    <w:rsid w:val="00A04233"/>
    <w:rsid w:val="00A04256"/>
    <w:rsid w:val="00A043A2"/>
    <w:rsid w:val="00A043E3"/>
    <w:rsid w:val="00A04483"/>
    <w:rsid w:val="00A0448A"/>
    <w:rsid w:val="00A0457E"/>
    <w:rsid w:val="00A0490B"/>
    <w:rsid w:val="00A049EB"/>
    <w:rsid w:val="00A04A65"/>
    <w:rsid w:val="00A04C71"/>
    <w:rsid w:val="00A04E97"/>
    <w:rsid w:val="00A05002"/>
    <w:rsid w:val="00A0500B"/>
    <w:rsid w:val="00A0506D"/>
    <w:rsid w:val="00A050A2"/>
    <w:rsid w:val="00A05294"/>
    <w:rsid w:val="00A0532D"/>
    <w:rsid w:val="00A0560D"/>
    <w:rsid w:val="00A057FB"/>
    <w:rsid w:val="00A05934"/>
    <w:rsid w:val="00A05A7E"/>
    <w:rsid w:val="00A05AA4"/>
    <w:rsid w:val="00A05B7D"/>
    <w:rsid w:val="00A05D6B"/>
    <w:rsid w:val="00A05E25"/>
    <w:rsid w:val="00A05E2D"/>
    <w:rsid w:val="00A05FC4"/>
    <w:rsid w:val="00A060F7"/>
    <w:rsid w:val="00A06205"/>
    <w:rsid w:val="00A0630C"/>
    <w:rsid w:val="00A063F9"/>
    <w:rsid w:val="00A064AD"/>
    <w:rsid w:val="00A0655F"/>
    <w:rsid w:val="00A0656C"/>
    <w:rsid w:val="00A0682C"/>
    <w:rsid w:val="00A06964"/>
    <w:rsid w:val="00A06E80"/>
    <w:rsid w:val="00A06E97"/>
    <w:rsid w:val="00A07065"/>
    <w:rsid w:val="00A07086"/>
    <w:rsid w:val="00A071E5"/>
    <w:rsid w:val="00A07277"/>
    <w:rsid w:val="00A07285"/>
    <w:rsid w:val="00A072A7"/>
    <w:rsid w:val="00A072F5"/>
    <w:rsid w:val="00A07419"/>
    <w:rsid w:val="00A0748E"/>
    <w:rsid w:val="00A07637"/>
    <w:rsid w:val="00A0772F"/>
    <w:rsid w:val="00A0781F"/>
    <w:rsid w:val="00A079CE"/>
    <w:rsid w:val="00A07A4B"/>
    <w:rsid w:val="00A07B74"/>
    <w:rsid w:val="00A07E6A"/>
    <w:rsid w:val="00A07E74"/>
    <w:rsid w:val="00A07ED9"/>
    <w:rsid w:val="00A07EE8"/>
    <w:rsid w:val="00A07FD9"/>
    <w:rsid w:val="00A101B0"/>
    <w:rsid w:val="00A1026C"/>
    <w:rsid w:val="00A102EA"/>
    <w:rsid w:val="00A10554"/>
    <w:rsid w:val="00A1074C"/>
    <w:rsid w:val="00A1081E"/>
    <w:rsid w:val="00A10DF6"/>
    <w:rsid w:val="00A10DFF"/>
    <w:rsid w:val="00A10ED8"/>
    <w:rsid w:val="00A10F87"/>
    <w:rsid w:val="00A1116B"/>
    <w:rsid w:val="00A11217"/>
    <w:rsid w:val="00A1123B"/>
    <w:rsid w:val="00A11248"/>
    <w:rsid w:val="00A1137F"/>
    <w:rsid w:val="00A11420"/>
    <w:rsid w:val="00A116A6"/>
    <w:rsid w:val="00A117DD"/>
    <w:rsid w:val="00A119C5"/>
    <w:rsid w:val="00A11B72"/>
    <w:rsid w:val="00A11BE6"/>
    <w:rsid w:val="00A11D12"/>
    <w:rsid w:val="00A11D24"/>
    <w:rsid w:val="00A11D95"/>
    <w:rsid w:val="00A12043"/>
    <w:rsid w:val="00A120DA"/>
    <w:rsid w:val="00A12155"/>
    <w:rsid w:val="00A121BD"/>
    <w:rsid w:val="00A12361"/>
    <w:rsid w:val="00A124F6"/>
    <w:rsid w:val="00A1274C"/>
    <w:rsid w:val="00A1275A"/>
    <w:rsid w:val="00A128A9"/>
    <w:rsid w:val="00A128D7"/>
    <w:rsid w:val="00A128E8"/>
    <w:rsid w:val="00A12920"/>
    <w:rsid w:val="00A12B8F"/>
    <w:rsid w:val="00A12CF8"/>
    <w:rsid w:val="00A12D64"/>
    <w:rsid w:val="00A12D6C"/>
    <w:rsid w:val="00A1305F"/>
    <w:rsid w:val="00A1308F"/>
    <w:rsid w:val="00A1312D"/>
    <w:rsid w:val="00A13634"/>
    <w:rsid w:val="00A136A0"/>
    <w:rsid w:val="00A1380C"/>
    <w:rsid w:val="00A1382A"/>
    <w:rsid w:val="00A1388B"/>
    <w:rsid w:val="00A13B30"/>
    <w:rsid w:val="00A13BE6"/>
    <w:rsid w:val="00A13BE9"/>
    <w:rsid w:val="00A13CD9"/>
    <w:rsid w:val="00A13D38"/>
    <w:rsid w:val="00A13E21"/>
    <w:rsid w:val="00A13E54"/>
    <w:rsid w:val="00A13EC4"/>
    <w:rsid w:val="00A13EEC"/>
    <w:rsid w:val="00A140A2"/>
    <w:rsid w:val="00A14279"/>
    <w:rsid w:val="00A142C9"/>
    <w:rsid w:val="00A14343"/>
    <w:rsid w:val="00A1435E"/>
    <w:rsid w:val="00A14452"/>
    <w:rsid w:val="00A1470C"/>
    <w:rsid w:val="00A1489C"/>
    <w:rsid w:val="00A1490F"/>
    <w:rsid w:val="00A1494F"/>
    <w:rsid w:val="00A14992"/>
    <w:rsid w:val="00A14A30"/>
    <w:rsid w:val="00A14ADC"/>
    <w:rsid w:val="00A14AE1"/>
    <w:rsid w:val="00A14B09"/>
    <w:rsid w:val="00A14BF0"/>
    <w:rsid w:val="00A14C84"/>
    <w:rsid w:val="00A14E9C"/>
    <w:rsid w:val="00A14EAF"/>
    <w:rsid w:val="00A14F12"/>
    <w:rsid w:val="00A14F52"/>
    <w:rsid w:val="00A14FD1"/>
    <w:rsid w:val="00A14FEA"/>
    <w:rsid w:val="00A1505C"/>
    <w:rsid w:val="00A15470"/>
    <w:rsid w:val="00A1553E"/>
    <w:rsid w:val="00A156AA"/>
    <w:rsid w:val="00A1575D"/>
    <w:rsid w:val="00A157BC"/>
    <w:rsid w:val="00A15B28"/>
    <w:rsid w:val="00A15C03"/>
    <w:rsid w:val="00A15C11"/>
    <w:rsid w:val="00A15C14"/>
    <w:rsid w:val="00A15C51"/>
    <w:rsid w:val="00A15DF4"/>
    <w:rsid w:val="00A15E60"/>
    <w:rsid w:val="00A15E76"/>
    <w:rsid w:val="00A160B4"/>
    <w:rsid w:val="00A16135"/>
    <w:rsid w:val="00A161C7"/>
    <w:rsid w:val="00A16231"/>
    <w:rsid w:val="00A16341"/>
    <w:rsid w:val="00A163E9"/>
    <w:rsid w:val="00A1643F"/>
    <w:rsid w:val="00A16496"/>
    <w:rsid w:val="00A16618"/>
    <w:rsid w:val="00A16656"/>
    <w:rsid w:val="00A16805"/>
    <w:rsid w:val="00A16BF7"/>
    <w:rsid w:val="00A16C08"/>
    <w:rsid w:val="00A16C86"/>
    <w:rsid w:val="00A16D61"/>
    <w:rsid w:val="00A16DE4"/>
    <w:rsid w:val="00A16F5B"/>
    <w:rsid w:val="00A16F66"/>
    <w:rsid w:val="00A16FA1"/>
    <w:rsid w:val="00A17000"/>
    <w:rsid w:val="00A17013"/>
    <w:rsid w:val="00A1701F"/>
    <w:rsid w:val="00A1710F"/>
    <w:rsid w:val="00A1718F"/>
    <w:rsid w:val="00A1744F"/>
    <w:rsid w:val="00A174A1"/>
    <w:rsid w:val="00A175C6"/>
    <w:rsid w:val="00A17690"/>
    <w:rsid w:val="00A17725"/>
    <w:rsid w:val="00A17A6A"/>
    <w:rsid w:val="00A17B6E"/>
    <w:rsid w:val="00A17BD3"/>
    <w:rsid w:val="00A17D91"/>
    <w:rsid w:val="00A17F4A"/>
    <w:rsid w:val="00A17F55"/>
    <w:rsid w:val="00A17FD3"/>
    <w:rsid w:val="00A2000E"/>
    <w:rsid w:val="00A20022"/>
    <w:rsid w:val="00A200FD"/>
    <w:rsid w:val="00A203AB"/>
    <w:rsid w:val="00A2054B"/>
    <w:rsid w:val="00A205BA"/>
    <w:rsid w:val="00A206A3"/>
    <w:rsid w:val="00A206B5"/>
    <w:rsid w:val="00A20718"/>
    <w:rsid w:val="00A207C9"/>
    <w:rsid w:val="00A20879"/>
    <w:rsid w:val="00A20881"/>
    <w:rsid w:val="00A20A9C"/>
    <w:rsid w:val="00A20B57"/>
    <w:rsid w:val="00A20C65"/>
    <w:rsid w:val="00A20F9F"/>
    <w:rsid w:val="00A21092"/>
    <w:rsid w:val="00A213D6"/>
    <w:rsid w:val="00A215AF"/>
    <w:rsid w:val="00A215CE"/>
    <w:rsid w:val="00A21629"/>
    <w:rsid w:val="00A21DAF"/>
    <w:rsid w:val="00A21DC4"/>
    <w:rsid w:val="00A21EA2"/>
    <w:rsid w:val="00A22181"/>
    <w:rsid w:val="00A22237"/>
    <w:rsid w:val="00A22296"/>
    <w:rsid w:val="00A222DF"/>
    <w:rsid w:val="00A222F9"/>
    <w:rsid w:val="00A22346"/>
    <w:rsid w:val="00A22442"/>
    <w:rsid w:val="00A2266D"/>
    <w:rsid w:val="00A226D8"/>
    <w:rsid w:val="00A227E2"/>
    <w:rsid w:val="00A22835"/>
    <w:rsid w:val="00A228F6"/>
    <w:rsid w:val="00A22A77"/>
    <w:rsid w:val="00A22B42"/>
    <w:rsid w:val="00A22B99"/>
    <w:rsid w:val="00A22C69"/>
    <w:rsid w:val="00A22CED"/>
    <w:rsid w:val="00A22DB2"/>
    <w:rsid w:val="00A22E6F"/>
    <w:rsid w:val="00A2313B"/>
    <w:rsid w:val="00A231B8"/>
    <w:rsid w:val="00A2324A"/>
    <w:rsid w:val="00A23602"/>
    <w:rsid w:val="00A23626"/>
    <w:rsid w:val="00A2368F"/>
    <w:rsid w:val="00A23815"/>
    <w:rsid w:val="00A2390A"/>
    <w:rsid w:val="00A2390E"/>
    <w:rsid w:val="00A23A79"/>
    <w:rsid w:val="00A23ABA"/>
    <w:rsid w:val="00A23B46"/>
    <w:rsid w:val="00A23E57"/>
    <w:rsid w:val="00A2403B"/>
    <w:rsid w:val="00A240A0"/>
    <w:rsid w:val="00A245C5"/>
    <w:rsid w:val="00A2474A"/>
    <w:rsid w:val="00A24804"/>
    <w:rsid w:val="00A2499C"/>
    <w:rsid w:val="00A24AF7"/>
    <w:rsid w:val="00A24C24"/>
    <w:rsid w:val="00A24D4F"/>
    <w:rsid w:val="00A24DE0"/>
    <w:rsid w:val="00A24E12"/>
    <w:rsid w:val="00A24EF8"/>
    <w:rsid w:val="00A25088"/>
    <w:rsid w:val="00A25147"/>
    <w:rsid w:val="00A25306"/>
    <w:rsid w:val="00A253D0"/>
    <w:rsid w:val="00A2541B"/>
    <w:rsid w:val="00A25609"/>
    <w:rsid w:val="00A256D6"/>
    <w:rsid w:val="00A2570E"/>
    <w:rsid w:val="00A25A28"/>
    <w:rsid w:val="00A25B01"/>
    <w:rsid w:val="00A25D9B"/>
    <w:rsid w:val="00A2601A"/>
    <w:rsid w:val="00A2605F"/>
    <w:rsid w:val="00A260E8"/>
    <w:rsid w:val="00A263D2"/>
    <w:rsid w:val="00A264E4"/>
    <w:rsid w:val="00A26569"/>
    <w:rsid w:val="00A26786"/>
    <w:rsid w:val="00A2685B"/>
    <w:rsid w:val="00A26A8D"/>
    <w:rsid w:val="00A26C8A"/>
    <w:rsid w:val="00A26D1B"/>
    <w:rsid w:val="00A26D2A"/>
    <w:rsid w:val="00A26D9A"/>
    <w:rsid w:val="00A26E44"/>
    <w:rsid w:val="00A26E4E"/>
    <w:rsid w:val="00A26F0E"/>
    <w:rsid w:val="00A27116"/>
    <w:rsid w:val="00A27316"/>
    <w:rsid w:val="00A27473"/>
    <w:rsid w:val="00A27555"/>
    <w:rsid w:val="00A277F6"/>
    <w:rsid w:val="00A2794F"/>
    <w:rsid w:val="00A279BB"/>
    <w:rsid w:val="00A27AB4"/>
    <w:rsid w:val="00A27CAC"/>
    <w:rsid w:val="00A27CD6"/>
    <w:rsid w:val="00A27DCA"/>
    <w:rsid w:val="00A27EBF"/>
    <w:rsid w:val="00A3019D"/>
    <w:rsid w:val="00A30201"/>
    <w:rsid w:val="00A302C8"/>
    <w:rsid w:val="00A30380"/>
    <w:rsid w:val="00A30509"/>
    <w:rsid w:val="00A306FE"/>
    <w:rsid w:val="00A30832"/>
    <w:rsid w:val="00A30891"/>
    <w:rsid w:val="00A30A08"/>
    <w:rsid w:val="00A30A61"/>
    <w:rsid w:val="00A30B14"/>
    <w:rsid w:val="00A30BC2"/>
    <w:rsid w:val="00A30C14"/>
    <w:rsid w:val="00A30C24"/>
    <w:rsid w:val="00A30C4E"/>
    <w:rsid w:val="00A30CB5"/>
    <w:rsid w:val="00A30CED"/>
    <w:rsid w:val="00A30E9C"/>
    <w:rsid w:val="00A30F7E"/>
    <w:rsid w:val="00A30FA1"/>
    <w:rsid w:val="00A30FAA"/>
    <w:rsid w:val="00A31092"/>
    <w:rsid w:val="00A315BC"/>
    <w:rsid w:val="00A316F2"/>
    <w:rsid w:val="00A3184D"/>
    <w:rsid w:val="00A318D8"/>
    <w:rsid w:val="00A31A23"/>
    <w:rsid w:val="00A31CAE"/>
    <w:rsid w:val="00A31D4C"/>
    <w:rsid w:val="00A31DB4"/>
    <w:rsid w:val="00A31EEA"/>
    <w:rsid w:val="00A31F18"/>
    <w:rsid w:val="00A31FA3"/>
    <w:rsid w:val="00A3200D"/>
    <w:rsid w:val="00A3206E"/>
    <w:rsid w:val="00A321AE"/>
    <w:rsid w:val="00A32259"/>
    <w:rsid w:val="00A32348"/>
    <w:rsid w:val="00A3245B"/>
    <w:rsid w:val="00A32632"/>
    <w:rsid w:val="00A326B2"/>
    <w:rsid w:val="00A32771"/>
    <w:rsid w:val="00A3288D"/>
    <w:rsid w:val="00A32A7D"/>
    <w:rsid w:val="00A32ABF"/>
    <w:rsid w:val="00A32BBC"/>
    <w:rsid w:val="00A32C6D"/>
    <w:rsid w:val="00A32DEE"/>
    <w:rsid w:val="00A32DF5"/>
    <w:rsid w:val="00A33492"/>
    <w:rsid w:val="00A33810"/>
    <w:rsid w:val="00A33891"/>
    <w:rsid w:val="00A338FB"/>
    <w:rsid w:val="00A33902"/>
    <w:rsid w:val="00A33AD4"/>
    <w:rsid w:val="00A33C10"/>
    <w:rsid w:val="00A33E4C"/>
    <w:rsid w:val="00A33E66"/>
    <w:rsid w:val="00A33E79"/>
    <w:rsid w:val="00A33E95"/>
    <w:rsid w:val="00A33FD8"/>
    <w:rsid w:val="00A34022"/>
    <w:rsid w:val="00A3415E"/>
    <w:rsid w:val="00A3437D"/>
    <w:rsid w:val="00A343BD"/>
    <w:rsid w:val="00A344CC"/>
    <w:rsid w:val="00A34517"/>
    <w:rsid w:val="00A346A7"/>
    <w:rsid w:val="00A34757"/>
    <w:rsid w:val="00A34927"/>
    <w:rsid w:val="00A34966"/>
    <w:rsid w:val="00A349BA"/>
    <w:rsid w:val="00A349BE"/>
    <w:rsid w:val="00A34A8E"/>
    <w:rsid w:val="00A34AAB"/>
    <w:rsid w:val="00A34B36"/>
    <w:rsid w:val="00A34C77"/>
    <w:rsid w:val="00A34D05"/>
    <w:rsid w:val="00A34D0F"/>
    <w:rsid w:val="00A34DD3"/>
    <w:rsid w:val="00A3509A"/>
    <w:rsid w:val="00A350A8"/>
    <w:rsid w:val="00A352AE"/>
    <w:rsid w:val="00A353D0"/>
    <w:rsid w:val="00A357BC"/>
    <w:rsid w:val="00A359C3"/>
    <w:rsid w:val="00A35AB9"/>
    <w:rsid w:val="00A35ADE"/>
    <w:rsid w:val="00A35C11"/>
    <w:rsid w:val="00A35C72"/>
    <w:rsid w:val="00A35D03"/>
    <w:rsid w:val="00A35EF7"/>
    <w:rsid w:val="00A3604C"/>
    <w:rsid w:val="00A360FC"/>
    <w:rsid w:val="00A361FB"/>
    <w:rsid w:val="00A36353"/>
    <w:rsid w:val="00A36354"/>
    <w:rsid w:val="00A365D0"/>
    <w:rsid w:val="00A368C9"/>
    <w:rsid w:val="00A36A65"/>
    <w:rsid w:val="00A36A74"/>
    <w:rsid w:val="00A36C3F"/>
    <w:rsid w:val="00A36E7E"/>
    <w:rsid w:val="00A36EF6"/>
    <w:rsid w:val="00A36FAE"/>
    <w:rsid w:val="00A3702D"/>
    <w:rsid w:val="00A3714D"/>
    <w:rsid w:val="00A3726D"/>
    <w:rsid w:val="00A37349"/>
    <w:rsid w:val="00A37389"/>
    <w:rsid w:val="00A3760D"/>
    <w:rsid w:val="00A3764B"/>
    <w:rsid w:val="00A376D6"/>
    <w:rsid w:val="00A3784A"/>
    <w:rsid w:val="00A378FF"/>
    <w:rsid w:val="00A379D1"/>
    <w:rsid w:val="00A37B06"/>
    <w:rsid w:val="00A37B17"/>
    <w:rsid w:val="00A37E61"/>
    <w:rsid w:val="00A40225"/>
    <w:rsid w:val="00A40231"/>
    <w:rsid w:val="00A403B5"/>
    <w:rsid w:val="00A405A5"/>
    <w:rsid w:val="00A405ED"/>
    <w:rsid w:val="00A40832"/>
    <w:rsid w:val="00A40842"/>
    <w:rsid w:val="00A408B4"/>
    <w:rsid w:val="00A40957"/>
    <w:rsid w:val="00A40B01"/>
    <w:rsid w:val="00A40DFF"/>
    <w:rsid w:val="00A40E60"/>
    <w:rsid w:val="00A40FDD"/>
    <w:rsid w:val="00A41112"/>
    <w:rsid w:val="00A411F5"/>
    <w:rsid w:val="00A41379"/>
    <w:rsid w:val="00A41499"/>
    <w:rsid w:val="00A4160D"/>
    <w:rsid w:val="00A4174D"/>
    <w:rsid w:val="00A41750"/>
    <w:rsid w:val="00A41805"/>
    <w:rsid w:val="00A418C4"/>
    <w:rsid w:val="00A419E4"/>
    <w:rsid w:val="00A41BB9"/>
    <w:rsid w:val="00A41BD3"/>
    <w:rsid w:val="00A41C6A"/>
    <w:rsid w:val="00A41F9D"/>
    <w:rsid w:val="00A42026"/>
    <w:rsid w:val="00A4207A"/>
    <w:rsid w:val="00A421E6"/>
    <w:rsid w:val="00A422AE"/>
    <w:rsid w:val="00A422C3"/>
    <w:rsid w:val="00A424A8"/>
    <w:rsid w:val="00A424C6"/>
    <w:rsid w:val="00A424DA"/>
    <w:rsid w:val="00A42780"/>
    <w:rsid w:val="00A42944"/>
    <w:rsid w:val="00A429C2"/>
    <w:rsid w:val="00A42AC3"/>
    <w:rsid w:val="00A42ADE"/>
    <w:rsid w:val="00A42AE0"/>
    <w:rsid w:val="00A42CD8"/>
    <w:rsid w:val="00A42D5C"/>
    <w:rsid w:val="00A42DAE"/>
    <w:rsid w:val="00A42DF4"/>
    <w:rsid w:val="00A42E3E"/>
    <w:rsid w:val="00A42F74"/>
    <w:rsid w:val="00A4323F"/>
    <w:rsid w:val="00A432CB"/>
    <w:rsid w:val="00A4352F"/>
    <w:rsid w:val="00A438B0"/>
    <w:rsid w:val="00A438BE"/>
    <w:rsid w:val="00A438DA"/>
    <w:rsid w:val="00A43A5F"/>
    <w:rsid w:val="00A43A87"/>
    <w:rsid w:val="00A43B09"/>
    <w:rsid w:val="00A43C4A"/>
    <w:rsid w:val="00A43CD6"/>
    <w:rsid w:val="00A43EDB"/>
    <w:rsid w:val="00A43FB7"/>
    <w:rsid w:val="00A44411"/>
    <w:rsid w:val="00A44619"/>
    <w:rsid w:val="00A446EA"/>
    <w:rsid w:val="00A448DF"/>
    <w:rsid w:val="00A449CD"/>
    <w:rsid w:val="00A449DF"/>
    <w:rsid w:val="00A44A24"/>
    <w:rsid w:val="00A44B85"/>
    <w:rsid w:val="00A44D18"/>
    <w:rsid w:val="00A44E8B"/>
    <w:rsid w:val="00A44F40"/>
    <w:rsid w:val="00A4509A"/>
    <w:rsid w:val="00A45127"/>
    <w:rsid w:val="00A452BE"/>
    <w:rsid w:val="00A452E7"/>
    <w:rsid w:val="00A4533A"/>
    <w:rsid w:val="00A4534F"/>
    <w:rsid w:val="00A4541B"/>
    <w:rsid w:val="00A4548D"/>
    <w:rsid w:val="00A45512"/>
    <w:rsid w:val="00A455AC"/>
    <w:rsid w:val="00A45608"/>
    <w:rsid w:val="00A45677"/>
    <w:rsid w:val="00A457A1"/>
    <w:rsid w:val="00A4581A"/>
    <w:rsid w:val="00A45DF6"/>
    <w:rsid w:val="00A45F18"/>
    <w:rsid w:val="00A45FDD"/>
    <w:rsid w:val="00A4613D"/>
    <w:rsid w:val="00A4616F"/>
    <w:rsid w:val="00A469F3"/>
    <w:rsid w:val="00A46BA1"/>
    <w:rsid w:val="00A46CA6"/>
    <w:rsid w:val="00A46DD5"/>
    <w:rsid w:val="00A46E47"/>
    <w:rsid w:val="00A46E54"/>
    <w:rsid w:val="00A46ED7"/>
    <w:rsid w:val="00A47255"/>
    <w:rsid w:val="00A473B6"/>
    <w:rsid w:val="00A473D7"/>
    <w:rsid w:val="00A47409"/>
    <w:rsid w:val="00A4740C"/>
    <w:rsid w:val="00A4745E"/>
    <w:rsid w:val="00A4757E"/>
    <w:rsid w:val="00A4770E"/>
    <w:rsid w:val="00A47936"/>
    <w:rsid w:val="00A479EF"/>
    <w:rsid w:val="00A47C68"/>
    <w:rsid w:val="00A47C8A"/>
    <w:rsid w:val="00A47EB0"/>
    <w:rsid w:val="00A47F88"/>
    <w:rsid w:val="00A50122"/>
    <w:rsid w:val="00A50252"/>
    <w:rsid w:val="00A505A8"/>
    <w:rsid w:val="00A50B39"/>
    <w:rsid w:val="00A50DD4"/>
    <w:rsid w:val="00A5108F"/>
    <w:rsid w:val="00A51165"/>
    <w:rsid w:val="00A511AA"/>
    <w:rsid w:val="00A5122F"/>
    <w:rsid w:val="00A5131A"/>
    <w:rsid w:val="00A5143A"/>
    <w:rsid w:val="00A5158C"/>
    <w:rsid w:val="00A515E1"/>
    <w:rsid w:val="00A516C6"/>
    <w:rsid w:val="00A517A7"/>
    <w:rsid w:val="00A517FF"/>
    <w:rsid w:val="00A519D2"/>
    <w:rsid w:val="00A519D4"/>
    <w:rsid w:val="00A51B1D"/>
    <w:rsid w:val="00A51B55"/>
    <w:rsid w:val="00A51B7B"/>
    <w:rsid w:val="00A51BBC"/>
    <w:rsid w:val="00A51C20"/>
    <w:rsid w:val="00A51CA6"/>
    <w:rsid w:val="00A521AD"/>
    <w:rsid w:val="00A524BB"/>
    <w:rsid w:val="00A52505"/>
    <w:rsid w:val="00A52787"/>
    <w:rsid w:val="00A52794"/>
    <w:rsid w:val="00A527BE"/>
    <w:rsid w:val="00A52828"/>
    <w:rsid w:val="00A528E6"/>
    <w:rsid w:val="00A52902"/>
    <w:rsid w:val="00A5291E"/>
    <w:rsid w:val="00A52A27"/>
    <w:rsid w:val="00A52B9E"/>
    <w:rsid w:val="00A52D01"/>
    <w:rsid w:val="00A52DD3"/>
    <w:rsid w:val="00A5301A"/>
    <w:rsid w:val="00A530CB"/>
    <w:rsid w:val="00A53108"/>
    <w:rsid w:val="00A53157"/>
    <w:rsid w:val="00A531CF"/>
    <w:rsid w:val="00A53222"/>
    <w:rsid w:val="00A53235"/>
    <w:rsid w:val="00A5326B"/>
    <w:rsid w:val="00A53329"/>
    <w:rsid w:val="00A53364"/>
    <w:rsid w:val="00A534FE"/>
    <w:rsid w:val="00A53526"/>
    <w:rsid w:val="00A535E1"/>
    <w:rsid w:val="00A539B3"/>
    <w:rsid w:val="00A53A05"/>
    <w:rsid w:val="00A53A8E"/>
    <w:rsid w:val="00A53CEE"/>
    <w:rsid w:val="00A53E14"/>
    <w:rsid w:val="00A53E4D"/>
    <w:rsid w:val="00A53E98"/>
    <w:rsid w:val="00A54013"/>
    <w:rsid w:val="00A54015"/>
    <w:rsid w:val="00A540CD"/>
    <w:rsid w:val="00A5424C"/>
    <w:rsid w:val="00A542E0"/>
    <w:rsid w:val="00A545D4"/>
    <w:rsid w:val="00A54799"/>
    <w:rsid w:val="00A5489C"/>
    <w:rsid w:val="00A54987"/>
    <w:rsid w:val="00A54A18"/>
    <w:rsid w:val="00A54B2A"/>
    <w:rsid w:val="00A54C3B"/>
    <w:rsid w:val="00A54D93"/>
    <w:rsid w:val="00A54F54"/>
    <w:rsid w:val="00A550D1"/>
    <w:rsid w:val="00A553E7"/>
    <w:rsid w:val="00A554FE"/>
    <w:rsid w:val="00A557AC"/>
    <w:rsid w:val="00A558B2"/>
    <w:rsid w:val="00A558D8"/>
    <w:rsid w:val="00A559C5"/>
    <w:rsid w:val="00A55A95"/>
    <w:rsid w:val="00A55AEC"/>
    <w:rsid w:val="00A55C19"/>
    <w:rsid w:val="00A55C3A"/>
    <w:rsid w:val="00A55CE5"/>
    <w:rsid w:val="00A55D8D"/>
    <w:rsid w:val="00A561DE"/>
    <w:rsid w:val="00A563C4"/>
    <w:rsid w:val="00A565D7"/>
    <w:rsid w:val="00A566F4"/>
    <w:rsid w:val="00A56843"/>
    <w:rsid w:val="00A568FF"/>
    <w:rsid w:val="00A56A16"/>
    <w:rsid w:val="00A56A7C"/>
    <w:rsid w:val="00A56C43"/>
    <w:rsid w:val="00A56CB5"/>
    <w:rsid w:val="00A56CE2"/>
    <w:rsid w:val="00A56D2A"/>
    <w:rsid w:val="00A56D8F"/>
    <w:rsid w:val="00A56E1F"/>
    <w:rsid w:val="00A56F76"/>
    <w:rsid w:val="00A573C0"/>
    <w:rsid w:val="00A573C2"/>
    <w:rsid w:val="00A5752F"/>
    <w:rsid w:val="00A57ACD"/>
    <w:rsid w:val="00A57C77"/>
    <w:rsid w:val="00A57D83"/>
    <w:rsid w:val="00A57E11"/>
    <w:rsid w:val="00A57E5A"/>
    <w:rsid w:val="00A600E3"/>
    <w:rsid w:val="00A60216"/>
    <w:rsid w:val="00A6044D"/>
    <w:rsid w:val="00A6071B"/>
    <w:rsid w:val="00A607B2"/>
    <w:rsid w:val="00A608F7"/>
    <w:rsid w:val="00A60BFA"/>
    <w:rsid w:val="00A60C23"/>
    <w:rsid w:val="00A60CE6"/>
    <w:rsid w:val="00A60CED"/>
    <w:rsid w:val="00A60E42"/>
    <w:rsid w:val="00A60E5A"/>
    <w:rsid w:val="00A60F85"/>
    <w:rsid w:val="00A61070"/>
    <w:rsid w:val="00A610F7"/>
    <w:rsid w:val="00A611B7"/>
    <w:rsid w:val="00A612E3"/>
    <w:rsid w:val="00A61399"/>
    <w:rsid w:val="00A614EA"/>
    <w:rsid w:val="00A61970"/>
    <w:rsid w:val="00A6199E"/>
    <w:rsid w:val="00A619B9"/>
    <w:rsid w:val="00A61B6F"/>
    <w:rsid w:val="00A61B89"/>
    <w:rsid w:val="00A61E4D"/>
    <w:rsid w:val="00A61EAF"/>
    <w:rsid w:val="00A621E3"/>
    <w:rsid w:val="00A62250"/>
    <w:rsid w:val="00A62286"/>
    <w:rsid w:val="00A6229B"/>
    <w:rsid w:val="00A62686"/>
    <w:rsid w:val="00A62895"/>
    <w:rsid w:val="00A628EB"/>
    <w:rsid w:val="00A6297A"/>
    <w:rsid w:val="00A62A6B"/>
    <w:rsid w:val="00A62AF8"/>
    <w:rsid w:val="00A62B9E"/>
    <w:rsid w:val="00A62BCE"/>
    <w:rsid w:val="00A62C47"/>
    <w:rsid w:val="00A62FE4"/>
    <w:rsid w:val="00A63011"/>
    <w:rsid w:val="00A632A0"/>
    <w:rsid w:val="00A6332E"/>
    <w:rsid w:val="00A633AC"/>
    <w:rsid w:val="00A6359A"/>
    <w:rsid w:val="00A63752"/>
    <w:rsid w:val="00A6388E"/>
    <w:rsid w:val="00A6399A"/>
    <w:rsid w:val="00A63A23"/>
    <w:rsid w:val="00A63A5B"/>
    <w:rsid w:val="00A63C60"/>
    <w:rsid w:val="00A6426C"/>
    <w:rsid w:val="00A6427D"/>
    <w:rsid w:val="00A643D1"/>
    <w:rsid w:val="00A6450D"/>
    <w:rsid w:val="00A645C0"/>
    <w:rsid w:val="00A64765"/>
    <w:rsid w:val="00A6482B"/>
    <w:rsid w:val="00A6484C"/>
    <w:rsid w:val="00A649BC"/>
    <w:rsid w:val="00A64F5E"/>
    <w:rsid w:val="00A650DA"/>
    <w:rsid w:val="00A65186"/>
    <w:rsid w:val="00A65197"/>
    <w:rsid w:val="00A6528F"/>
    <w:rsid w:val="00A652A8"/>
    <w:rsid w:val="00A65553"/>
    <w:rsid w:val="00A656C6"/>
    <w:rsid w:val="00A65744"/>
    <w:rsid w:val="00A65748"/>
    <w:rsid w:val="00A65772"/>
    <w:rsid w:val="00A65E5B"/>
    <w:rsid w:val="00A66099"/>
    <w:rsid w:val="00A661A7"/>
    <w:rsid w:val="00A66232"/>
    <w:rsid w:val="00A6632F"/>
    <w:rsid w:val="00A6659A"/>
    <w:rsid w:val="00A66665"/>
    <w:rsid w:val="00A6668D"/>
    <w:rsid w:val="00A666F4"/>
    <w:rsid w:val="00A667A9"/>
    <w:rsid w:val="00A66A56"/>
    <w:rsid w:val="00A66C1B"/>
    <w:rsid w:val="00A66CBB"/>
    <w:rsid w:val="00A66D81"/>
    <w:rsid w:val="00A66E92"/>
    <w:rsid w:val="00A66F6B"/>
    <w:rsid w:val="00A66FA2"/>
    <w:rsid w:val="00A67042"/>
    <w:rsid w:val="00A670E3"/>
    <w:rsid w:val="00A67261"/>
    <w:rsid w:val="00A67581"/>
    <w:rsid w:val="00A67681"/>
    <w:rsid w:val="00A676A5"/>
    <w:rsid w:val="00A678DF"/>
    <w:rsid w:val="00A679AE"/>
    <w:rsid w:val="00A67E14"/>
    <w:rsid w:val="00A67E32"/>
    <w:rsid w:val="00A67F11"/>
    <w:rsid w:val="00A67F1C"/>
    <w:rsid w:val="00A67F27"/>
    <w:rsid w:val="00A70041"/>
    <w:rsid w:val="00A70150"/>
    <w:rsid w:val="00A701C1"/>
    <w:rsid w:val="00A702B9"/>
    <w:rsid w:val="00A706A0"/>
    <w:rsid w:val="00A70763"/>
    <w:rsid w:val="00A7090B"/>
    <w:rsid w:val="00A70A1C"/>
    <w:rsid w:val="00A70BCF"/>
    <w:rsid w:val="00A70C98"/>
    <w:rsid w:val="00A70CF2"/>
    <w:rsid w:val="00A70EBB"/>
    <w:rsid w:val="00A70EED"/>
    <w:rsid w:val="00A70FA0"/>
    <w:rsid w:val="00A71044"/>
    <w:rsid w:val="00A71285"/>
    <w:rsid w:val="00A713BC"/>
    <w:rsid w:val="00A714DD"/>
    <w:rsid w:val="00A7150E"/>
    <w:rsid w:val="00A7194F"/>
    <w:rsid w:val="00A719DF"/>
    <w:rsid w:val="00A71B57"/>
    <w:rsid w:val="00A71B86"/>
    <w:rsid w:val="00A71C28"/>
    <w:rsid w:val="00A71D26"/>
    <w:rsid w:val="00A72080"/>
    <w:rsid w:val="00A722B0"/>
    <w:rsid w:val="00A72303"/>
    <w:rsid w:val="00A72362"/>
    <w:rsid w:val="00A7240C"/>
    <w:rsid w:val="00A72431"/>
    <w:rsid w:val="00A7248E"/>
    <w:rsid w:val="00A7253E"/>
    <w:rsid w:val="00A726F7"/>
    <w:rsid w:val="00A72861"/>
    <w:rsid w:val="00A72A69"/>
    <w:rsid w:val="00A72AA9"/>
    <w:rsid w:val="00A72AF5"/>
    <w:rsid w:val="00A72CCF"/>
    <w:rsid w:val="00A72DDB"/>
    <w:rsid w:val="00A72DFD"/>
    <w:rsid w:val="00A72F2B"/>
    <w:rsid w:val="00A72F86"/>
    <w:rsid w:val="00A73636"/>
    <w:rsid w:val="00A73680"/>
    <w:rsid w:val="00A736BF"/>
    <w:rsid w:val="00A73888"/>
    <w:rsid w:val="00A738A0"/>
    <w:rsid w:val="00A738BD"/>
    <w:rsid w:val="00A73A98"/>
    <w:rsid w:val="00A73B06"/>
    <w:rsid w:val="00A73B5E"/>
    <w:rsid w:val="00A73C1D"/>
    <w:rsid w:val="00A73D50"/>
    <w:rsid w:val="00A73DA2"/>
    <w:rsid w:val="00A73DBC"/>
    <w:rsid w:val="00A73E0E"/>
    <w:rsid w:val="00A73E15"/>
    <w:rsid w:val="00A73E9D"/>
    <w:rsid w:val="00A73FAC"/>
    <w:rsid w:val="00A74050"/>
    <w:rsid w:val="00A7409F"/>
    <w:rsid w:val="00A7412F"/>
    <w:rsid w:val="00A74279"/>
    <w:rsid w:val="00A74364"/>
    <w:rsid w:val="00A74378"/>
    <w:rsid w:val="00A74537"/>
    <w:rsid w:val="00A74573"/>
    <w:rsid w:val="00A747B4"/>
    <w:rsid w:val="00A748DE"/>
    <w:rsid w:val="00A74907"/>
    <w:rsid w:val="00A74985"/>
    <w:rsid w:val="00A74A29"/>
    <w:rsid w:val="00A74B8B"/>
    <w:rsid w:val="00A74C87"/>
    <w:rsid w:val="00A74DC0"/>
    <w:rsid w:val="00A74DDD"/>
    <w:rsid w:val="00A74E65"/>
    <w:rsid w:val="00A74F13"/>
    <w:rsid w:val="00A752B6"/>
    <w:rsid w:val="00A753F9"/>
    <w:rsid w:val="00A75557"/>
    <w:rsid w:val="00A7577B"/>
    <w:rsid w:val="00A75826"/>
    <w:rsid w:val="00A75860"/>
    <w:rsid w:val="00A75AF2"/>
    <w:rsid w:val="00A75B00"/>
    <w:rsid w:val="00A75BFF"/>
    <w:rsid w:val="00A75E93"/>
    <w:rsid w:val="00A75F77"/>
    <w:rsid w:val="00A760BE"/>
    <w:rsid w:val="00A76249"/>
    <w:rsid w:val="00A763EB"/>
    <w:rsid w:val="00A763FC"/>
    <w:rsid w:val="00A76530"/>
    <w:rsid w:val="00A7659D"/>
    <w:rsid w:val="00A76867"/>
    <w:rsid w:val="00A7686D"/>
    <w:rsid w:val="00A768DC"/>
    <w:rsid w:val="00A7691D"/>
    <w:rsid w:val="00A7694C"/>
    <w:rsid w:val="00A76972"/>
    <w:rsid w:val="00A76A79"/>
    <w:rsid w:val="00A76A85"/>
    <w:rsid w:val="00A76D45"/>
    <w:rsid w:val="00A76E56"/>
    <w:rsid w:val="00A76E84"/>
    <w:rsid w:val="00A76F3D"/>
    <w:rsid w:val="00A770C4"/>
    <w:rsid w:val="00A77190"/>
    <w:rsid w:val="00A7722C"/>
    <w:rsid w:val="00A77246"/>
    <w:rsid w:val="00A772E6"/>
    <w:rsid w:val="00A773D3"/>
    <w:rsid w:val="00A77423"/>
    <w:rsid w:val="00A77494"/>
    <w:rsid w:val="00A774FF"/>
    <w:rsid w:val="00A775E4"/>
    <w:rsid w:val="00A77646"/>
    <w:rsid w:val="00A7767E"/>
    <w:rsid w:val="00A776A4"/>
    <w:rsid w:val="00A776E1"/>
    <w:rsid w:val="00A776F5"/>
    <w:rsid w:val="00A77805"/>
    <w:rsid w:val="00A77838"/>
    <w:rsid w:val="00A77936"/>
    <w:rsid w:val="00A77987"/>
    <w:rsid w:val="00A77A6E"/>
    <w:rsid w:val="00A77C7D"/>
    <w:rsid w:val="00A77DC0"/>
    <w:rsid w:val="00A800B2"/>
    <w:rsid w:val="00A800E4"/>
    <w:rsid w:val="00A802A9"/>
    <w:rsid w:val="00A802AF"/>
    <w:rsid w:val="00A80394"/>
    <w:rsid w:val="00A80512"/>
    <w:rsid w:val="00A8051C"/>
    <w:rsid w:val="00A80689"/>
    <w:rsid w:val="00A80772"/>
    <w:rsid w:val="00A80899"/>
    <w:rsid w:val="00A80B28"/>
    <w:rsid w:val="00A80C0A"/>
    <w:rsid w:val="00A80CD3"/>
    <w:rsid w:val="00A80E3B"/>
    <w:rsid w:val="00A812A1"/>
    <w:rsid w:val="00A81604"/>
    <w:rsid w:val="00A81705"/>
    <w:rsid w:val="00A81778"/>
    <w:rsid w:val="00A81818"/>
    <w:rsid w:val="00A81A01"/>
    <w:rsid w:val="00A81A2D"/>
    <w:rsid w:val="00A81C6D"/>
    <w:rsid w:val="00A81DA5"/>
    <w:rsid w:val="00A81E55"/>
    <w:rsid w:val="00A821D4"/>
    <w:rsid w:val="00A823EB"/>
    <w:rsid w:val="00A82508"/>
    <w:rsid w:val="00A826D4"/>
    <w:rsid w:val="00A82752"/>
    <w:rsid w:val="00A82866"/>
    <w:rsid w:val="00A828E4"/>
    <w:rsid w:val="00A82CF7"/>
    <w:rsid w:val="00A82CFC"/>
    <w:rsid w:val="00A82D40"/>
    <w:rsid w:val="00A82D93"/>
    <w:rsid w:val="00A82F49"/>
    <w:rsid w:val="00A83215"/>
    <w:rsid w:val="00A8332D"/>
    <w:rsid w:val="00A8345A"/>
    <w:rsid w:val="00A8346E"/>
    <w:rsid w:val="00A83486"/>
    <w:rsid w:val="00A8354A"/>
    <w:rsid w:val="00A8364B"/>
    <w:rsid w:val="00A83726"/>
    <w:rsid w:val="00A83774"/>
    <w:rsid w:val="00A83784"/>
    <w:rsid w:val="00A838A6"/>
    <w:rsid w:val="00A839BF"/>
    <w:rsid w:val="00A83B1F"/>
    <w:rsid w:val="00A83D07"/>
    <w:rsid w:val="00A83F20"/>
    <w:rsid w:val="00A841AD"/>
    <w:rsid w:val="00A84243"/>
    <w:rsid w:val="00A8428A"/>
    <w:rsid w:val="00A842B4"/>
    <w:rsid w:val="00A84350"/>
    <w:rsid w:val="00A84469"/>
    <w:rsid w:val="00A8463A"/>
    <w:rsid w:val="00A84669"/>
    <w:rsid w:val="00A8467F"/>
    <w:rsid w:val="00A846C4"/>
    <w:rsid w:val="00A8473A"/>
    <w:rsid w:val="00A84778"/>
    <w:rsid w:val="00A8480C"/>
    <w:rsid w:val="00A84BAC"/>
    <w:rsid w:val="00A84C46"/>
    <w:rsid w:val="00A84E82"/>
    <w:rsid w:val="00A84EAD"/>
    <w:rsid w:val="00A84ECD"/>
    <w:rsid w:val="00A85040"/>
    <w:rsid w:val="00A85112"/>
    <w:rsid w:val="00A8511C"/>
    <w:rsid w:val="00A8512E"/>
    <w:rsid w:val="00A85189"/>
    <w:rsid w:val="00A852D0"/>
    <w:rsid w:val="00A855F7"/>
    <w:rsid w:val="00A857B5"/>
    <w:rsid w:val="00A857B7"/>
    <w:rsid w:val="00A859BA"/>
    <w:rsid w:val="00A85B78"/>
    <w:rsid w:val="00A85B8E"/>
    <w:rsid w:val="00A85C20"/>
    <w:rsid w:val="00A85C25"/>
    <w:rsid w:val="00A85C78"/>
    <w:rsid w:val="00A85D0B"/>
    <w:rsid w:val="00A8602E"/>
    <w:rsid w:val="00A862E4"/>
    <w:rsid w:val="00A862F3"/>
    <w:rsid w:val="00A8638C"/>
    <w:rsid w:val="00A8654F"/>
    <w:rsid w:val="00A86626"/>
    <w:rsid w:val="00A86850"/>
    <w:rsid w:val="00A8688F"/>
    <w:rsid w:val="00A868CD"/>
    <w:rsid w:val="00A86AB9"/>
    <w:rsid w:val="00A86BFA"/>
    <w:rsid w:val="00A86C8C"/>
    <w:rsid w:val="00A86E89"/>
    <w:rsid w:val="00A8713D"/>
    <w:rsid w:val="00A872A7"/>
    <w:rsid w:val="00A873C1"/>
    <w:rsid w:val="00A873DC"/>
    <w:rsid w:val="00A8744B"/>
    <w:rsid w:val="00A874F2"/>
    <w:rsid w:val="00A87553"/>
    <w:rsid w:val="00A87576"/>
    <w:rsid w:val="00A876F7"/>
    <w:rsid w:val="00A87779"/>
    <w:rsid w:val="00A877AE"/>
    <w:rsid w:val="00A87881"/>
    <w:rsid w:val="00A87984"/>
    <w:rsid w:val="00A87A54"/>
    <w:rsid w:val="00A87AE5"/>
    <w:rsid w:val="00A87B59"/>
    <w:rsid w:val="00A87D5E"/>
    <w:rsid w:val="00A87E6F"/>
    <w:rsid w:val="00A87EE0"/>
    <w:rsid w:val="00A9016B"/>
    <w:rsid w:val="00A90232"/>
    <w:rsid w:val="00A90382"/>
    <w:rsid w:val="00A903C9"/>
    <w:rsid w:val="00A90408"/>
    <w:rsid w:val="00A90907"/>
    <w:rsid w:val="00A90964"/>
    <w:rsid w:val="00A90C8E"/>
    <w:rsid w:val="00A90CD7"/>
    <w:rsid w:val="00A90D91"/>
    <w:rsid w:val="00A90DA5"/>
    <w:rsid w:val="00A90EB2"/>
    <w:rsid w:val="00A90ECA"/>
    <w:rsid w:val="00A90F58"/>
    <w:rsid w:val="00A911ED"/>
    <w:rsid w:val="00A912B9"/>
    <w:rsid w:val="00A9136D"/>
    <w:rsid w:val="00A91386"/>
    <w:rsid w:val="00A914A2"/>
    <w:rsid w:val="00A91656"/>
    <w:rsid w:val="00A91C16"/>
    <w:rsid w:val="00A91CF2"/>
    <w:rsid w:val="00A91D52"/>
    <w:rsid w:val="00A91D91"/>
    <w:rsid w:val="00A91E27"/>
    <w:rsid w:val="00A920D0"/>
    <w:rsid w:val="00A92122"/>
    <w:rsid w:val="00A92226"/>
    <w:rsid w:val="00A92230"/>
    <w:rsid w:val="00A923BD"/>
    <w:rsid w:val="00A92449"/>
    <w:rsid w:val="00A9244E"/>
    <w:rsid w:val="00A926FB"/>
    <w:rsid w:val="00A92753"/>
    <w:rsid w:val="00A928A8"/>
    <w:rsid w:val="00A9298B"/>
    <w:rsid w:val="00A92A95"/>
    <w:rsid w:val="00A92B1D"/>
    <w:rsid w:val="00A92DAF"/>
    <w:rsid w:val="00A93280"/>
    <w:rsid w:val="00A9344E"/>
    <w:rsid w:val="00A93490"/>
    <w:rsid w:val="00A934FA"/>
    <w:rsid w:val="00A9365C"/>
    <w:rsid w:val="00A936BC"/>
    <w:rsid w:val="00A936EB"/>
    <w:rsid w:val="00A9376F"/>
    <w:rsid w:val="00A937D0"/>
    <w:rsid w:val="00A93996"/>
    <w:rsid w:val="00A939D7"/>
    <w:rsid w:val="00A939DB"/>
    <w:rsid w:val="00A93AEC"/>
    <w:rsid w:val="00A93B60"/>
    <w:rsid w:val="00A93CE6"/>
    <w:rsid w:val="00A93E3E"/>
    <w:rsid w:val="00A93E43"/>
    <w:rsid w:val="00A93E75"/>
    <w:rsid w:val="00A93E8E"/>
    <w:rsid w:val="00A93EDF"/>
    <w:rsid w:val="00A94097"/>
    <w:rsid w:val="00A9416B"/>
    <w:rsid w:val="00A9416E"/>
    <w:rsid w:val="00A942C9"/>
    <w:rsid w:val="00A943B5"/>
    <w:rsid w:val="00A94ABF"/>
    <w:rsid w:val="00A94D4F"/>
    <w:rsid w:val="00A94EE2"/>
    <w:rsid w:val="00A94F24"/>
    <w:rsid w:val="00A9509E"/>
    <w:rsid w:val="00A95128"/>
    <w:rsid w:val="00A951CF"/>
    <w:rsid w:val="00A954DF"/>
    <w:rsid w:val="00A954F5"/>
    <w:rsid w:val="00A957EC"/>
    <w:rsid w:val="00A95978"/>
    <w:rsid w:val="00A959F3"/>
    <w:rsid w:val="00A95A26"/>
    <w:rsid w:val="00A95CCE"/>
    <w:rsid w:val="00A95D66"/>
    <w:rsid w:val="00A95E74"/>
    <w:rsid w:val="00A95EE8"/>
    <w:rsid w:val="00A95EF2"/>
    <w:rsid w:val="00A96034"/>
    <w:rsid w:val="00A96496"/>
    <w:rsid w:val="00A9662B"/>
    <w:rsid w:val="00A9668F"/>
    <w:rsid w:val="00A96781"/>
    <w:rsid w:val="00A967D0"/>
    <w:rsid w:val="00A968F8"/>
    <w:rsid w:val="00A969DC"/>
    <w:rsid w:val="00A96A2D"/>
    <w:rsid w:val="00A96B69"/>
    <w:rsid w:val="00A96B79"/>
    <w:rsid w:val="00A96C3C"/>
    <w:rsid w:val="00A96CD2"/>
    <w:rsid w:val="00A96D14"/>
    <w:rsid w:val="00A96D29"/>
    <w:rsid w:val="00A96D73"/>
    <w:rsid w:val="00A96D82"/>
    <w:rsid w:val="00A96DFC"/>
    <w:rsid w:val="00A96FA3"/>
    <w:rsid w:val="00A96FD6"/>
    <w:rsid w:val="00A97194"/>
    <w:rsid w:val="00A9721A"/>
    <w:rsid w:val="00A973DA"/>
    <w:rsid w:val="00A975A6"/>
    <w:rsid w:val="00A9772F"/>
    <w:rsid w:val="00A978AB"/>
    <w:rsid w:val="00A979B4"/>
    <w:rsid w:val="00A979B5"/>
    <w:rsid w:val="00A979B9"/>
    <w:rsid w:val="00A979CF"/>
    <w:rsid w:val="00A97B7D"/>
    <w:rsid w:val="00A97C8F"/>
    <w:rsid w:val="00A97D4E"/>
    <w:rsid w:val="00A97E46"/>
    <w:rsid w:val="00A97F4A"/>
    <w:rsid w:val="00A97F6B"/>
    <w:rsid w:val="00A97FE3"/>
    <w:rsid w:val="00AA010C"/>
    <w:rsid w:val="00AA018C"/>
    <w:rsid w:val="00AA0317"/>
    <w:rsid w:val="00AA0399"/>
    <w:rsid w:val="00AA041B"/>
    <w:rsid w:val="00AA0484"/>
    <w:rsid w:val="00AA056B"/>
    <w:rsid w:val="00AA0627"/>
    <w:rsid w:val="00AA0928"/>
    <w:rsid w:val="00AA0A6D"/>
    <w:rsid w:val="00AA0D17"/>
    <w:rsid w:val="00AA0E48"/>
    <w:rsid w:val="00AA0FDC"/>
    <w:rsid w:val="00AA1007"/>
    <w:rsid w:val="00AA11BD"/>
    <w:rsid w:val="00AA120E"/>
    <w:rsid w:val="00AA123C"/>
    <w:rsid w:val="00AA12DC"/>
    <w:rsid w:val="00AA13B3"/>
    <w:rsid w:val="00AA155B"/>
    <w:rsid w:val="00AA159F"/>
    <w:rsid w:val="00AA166E"/>
    <w:rsid w:val="00AA16F0"/>
    <w:rsid w:val="00AA16FB"/>
    <w:rsid w:val="00AA172C"/>
    <w:rsid w:val="00AA1833"/>
    <w:rsid w:val="00AA1987"/>
    <w:rsid w:val="00AA19B4"/>
    <w:rsid w:val="00AA1C5A"/>
    <w:rsid w:val="00AA1E66"/>
    <w:rsid w:val="00AA1F9F"/>
    <w:rsid w:val="00AA21D1"/>
    <w:rsid w:val="00AA222B"/>
    <w:rsid w:val="00AA2243"/>
    <w:rsid w:val="00AA224F"/>
    <w:rsid w:val="00AA23CE"/>
    <w:rsid w:val="00AA2882"/>
    <w:rsid w:val="00AA29B0"/>
    <w:rsid w:val="00AA2A48"/>
    <w:rsid w:val="00AA2E1A"/>
    <w:rsid w:val="00AA2E8A"/>
    <w:rsid w:val="00AA2F25"/>
    <w:rsid w:val="00AA2F70"/>
    <w:rsid w:val="00AA2F99"/>
    <w:rsid w:val="00AA31C5"/>
    <w:rsid w:val="00AA32CE"/>
    <w:rsid w:val="00AA3385"/>
    <w:rsid w:val="00AA348C"/>
    <w:rsid w:val="00AA35EA"/>
    <w:rsid w:val="00AA39CE"/>
    <w:rsid w:val="00AA3C3C"/>
    <w:rsid w:val="00AA3C90"/>
    <w:rsid w:val="00AA3DE2"/>
    <w:rsid w:val="00AA3E53"/>
    <w:rsid w:val="00AA3E93"/>
    <w:rsid w:val="00AA3ED8"/>
    <w:rsid w:val="00AA3F4D"/>
    <w:rsid w:val="00AA3F5D"/>
    <w:rsid w:val="00AA3FC4"/>
    <w:rsid w:val="00AA4013"/>
    <w:rsid w:val="00AA40BC"/>
    <w:rsid w:val="00AA40D0"/>
    <w:rsid w:val="00AA41CD"/>
    <w:rsid w:val="00AA42AA"/>
    <w:rsid w:val="00AA432B"/>
    <w:rsid w:val="00AA44EA"/>
    <w:rsid w:val="00AA45E4"/>
    <w:rsid w:val="00AA4690"/>
    <w:rsid w:val="00AA47AD"/>
    <w:rsid w:val="00AA48A5"/>
    <w:rsid w:val="00AA49B4"/>
    <w:rsid w:val="00AA4A42"/>
    <w:rsid w:val="00AA4C5A"/>
    <w:rsid w:val="00AA5097"/>
    <w:rsid w:val="00AA5165"/>
    <w:rsid w:val="00AA52ED"/>
    <w:rsid w:val="00AA5319"/>
    <w:rsid w:val="00AA531F"/>
    <w:rsid w:val="00AA541B"/>
    <w:rsid w:val="00AA5447"/>
    <w:rsid w:val="00AA5471"/>
    <w:rsid w:val="00AA5496"/>
    <w:rsid w:val="00AA56AE"/>
    <w:rsid w:val="00AA5811"/>
    <w:rsid w:val="00AA592F"/>
    <w:rsid w:val="00AA5A06"/>
    <w:rsid w:val="00AA5BB4"/>
    <w:rsid w:val="00AA5CE5"/>
    <w:rsid w:val="00AA5D01"/>
    <w:rsid w:val="00AA5DA4"/>
    <w:rsid w:val="00AA5F4B"/>
    <w:rsid w:val="00AA5F5D"/>
    <w:rsid w:val="00AA5FCB"/>
    <w:rsid w:val="00AA601D"/>
    <w:rsid w:val="00AA6056"/>
    <w:rsid w:val="00AA609A"/>
    <w:rsid w:val="00AA6159"/>
    <w:rsid w:val="00AA619C"/>
    <w:rsid w:val="00AA623A"/>
    <w:rsid w:val="00AA6344"/>
    <w:rsid w:val="00AA63F1"/>
    <w:rsid w:val="00AA64AB"/>
    <w:rsid w:val="00AA656B"/>
    <w:rsid w:val="00AA6591"/>
    <w:rsid w:val="00AA66A2"/>
    <w:rsid w:val="00AA673A"/>
    <w:rsid w:val="00AA68A1"/>
    <w:rsid w:val="00AA698D"/>
    <w:rsid w:val="00AA6A9E"/>
    <w:rsid w:val="00AA6ACB"/>
    <w:rsid w:val="00AA6B40"/>
    <w:rsid w:val="00AA6C5A"/>
    <w:rsid w:val="00AA6D60"/>
    <w:rsid w:val="00AA6E06"/>
    <w:rsid w:val="00AA711B"/>
    <w:rsid w:val="00AA71D2"/>
    <w:rsid w:val="00AA720A"/>
    <w:rsid w:val="00AA7256"/>
    <w:rsid w:val="00AA725D"/>
    <w:rsid w:val="00AA7269"/>
    <w:rsid w:val="00AA739C"/>
    <w:rsid w:val="00AA767D"/>
    <w:rsid w:val="00AA778E"/>
    <w:rsid w:val="00AA781A"/>
    <w:rsid w:val="00AA789F"/>
    <w:rsid w:val="00AA7A25"/>
    <w:rsid w:val="00AA7AD1"/>
    <w:rsid w:val="00AA7AD5"/>
    <w:rsid w:val="00AA7B3A"/>
    <w:rsid w:val="00AA7B5A"/>
    <w:rsid w:val="00AA7BD7"/>
    <w:rsid w:val="00AA7C85"/>
    <w:rsid w:val="00AA7C99"/>
    <w:rsid w:val="00AA7CE9"/>
    <w:rsid w:val="00AA7E74"/>
    <w:rsid w:val="00AA7F0A"/>
    <w:rsid w:val="00AB013E"/>
    <w:rsid w:val="00AB0341"/>
    <w:rsid w:val="00AB03A1"/>
    <w:rsid w:val="00AB041A"/>
    <w:rsid w:val="00AB04C8"/>
    <w:rsid w:val="00AB04F3"/>
    <w:rsid w:val="00AB088F"/>
    <w:rsid w:val="00AB0A1F"/>
    <w:rsid w:val="00AB0B05"/>
    <w:rsid w:val="00AB0B21"/>
    <w:rsid w:val="00AB0BD2"/>
    <w:rsid w:val="00AB0DA1"/>
    <w:rsid w:val="00AB0E38"/>
    <w:rsid w:val="00AB0EEE"/>
    <w:rsid w:val="00AB10E6"/>
    <w:rsid w:val="00AB1203"/>
    <w:rsid w:val="00AB1288"/>
    <w:rsid w:val="00AB1354"/>
    <w:rsid w:val="00AB1372"/>
    <w:rsid w:val="00AB138E"/>
    <w:rsid w:val="00AB14DF"/>
    <w:rsid w:val="00AB15D4"/>
    <w:rsid w:val="00AB1633"/>
    <w:rsid w:val="00AB1860"/>
    <w:rsid w:val="00AB1A3E"/>
    <w:rsid w:val="00AB1A64"/>
    <w:rsid w:val="00AB1B90"/>
    <w:rsid w:val="00AB1CC1"/>
    <w:rsid w:val="00AB1D08"/>
    <w:rsid w:val="00AB1E54"/>
    <w:rsid w:val="00AB1F15"/>
    <w:rsid w:val="00AB2035"/>
    <w:rsid w:val="00AB2156"/>
    <w:rsid w:val="00AB23D3"/>
    <w:rsid w:val="00AB23F3"/>
    <w:rsid w:val="00AB256D"/>
    <w:rsid w:val="00AB25E7"/>
    <w:rsid w:val="00AB278F"/>
    <w:rsid w:val="00AB2815"/>
    <w:rsid w:val="00AB2968"/>
    <w:rsid w:val="00AB2979"/>
    <w:rsid w:val="00AB2AD5"/>
    <w:rsid w:val="00AB2ADE"/>
    <w:rsid w:val="00AB2B82"/>
    <w:rsid w:val="00AB2D9A"/>
    <w:rsid w:val="00AB2E87"/>
    <w:rsid w:val="00AB2F2C"/>
    <w:rsid w:val="00AB3035"/>
    <w:rsid w:val="00AB318B"/>
    <w:rsid w:val="00AB31C5"/>
    <w:rsid w:val="00AB3202"/>
    <w:rsid w:val="00AB32D5"/>
    <w:rsid w:val="00AB32DA"/>
    <w:rsid w:val="00AB33B1"/>
    <w:rsid w:val="00AB343C"/>
    <w:rsid w:val="00AB34FD"/>
    <w:rsid w:val="00AB365A"/>
    <w:rsid w:val="00AB3684"/>
    <w:rsid w:val="00AB375B"/>
    <w:rsid w:val="00AB378E"/>
    <w:rsid w:val="00AB38BF"/>
    <w:rsid w:val="00AB39A1"/>
    <w:rsid w:val="00AB3AED"/>
    <w:rsid w:val="00AB3AF0"/>
    <w:rsid w:val="00AB3B01"/>
    <w:rsid w:val="00AB3B2E"/>
    <w:rsid w:val="00AB3B48"/>
    <w:rsid w:val="00AB3C37"/>
    <w:rsid w:val="00AB3E88"/>
    <w:rsid w:val="00AB4053"/>
    <w:rsid w:val="00AB4251"/>
    <w:rsid w:val="00AB43C0"/>
    <w:rsid w:val="00AB4418"/>
    <w:rsid w:val="00AB441F"/>
    <w:rsid w:val="00AB44AB"/>
    <w:rsid w:val="00AB4610"/>
    <w:rsid w:val="00AB4647"/>
    <w:rsid w:val="00AB4716"/>
    <w:rsid w:val="00AB4A19"/>
    <w:rsid w:val="00AB4A2B"/>
    <w:rsid w:val="00AB4A63"/>
    <w:rsid w:val="00AB4BDC"/>
    <w:rsid w:val="00AB4C14"/>
    <w:rsid w:val="00AB4CD5"/>
    <w:rsid w:val="00AB4D51"/>
    <w:rsid w:val="00AB4DBF"/>
    <w:rsid w:val="00AB510D"/>
    <w:rsid w:val="00AB5355"/>
    <w:rsid w:val="00AB5414"/>
    <w:rsid w:val="00AB54E8"/>
    <w:rsid w:val="00AB5579"/>
    <w:rsid w:val="00AB55C5"/>
    <w:rsid w:val="00AB5627"/>
    <w:rsid w:val="00AB56F8"/>
    <w:rsid w:val="00AB5716"/>
    <w:rsid w:val="00AB5789"/>
    <w:rsid w:val="00AB5923"/>
    <w:rsid w:val="00AB59D8"/>
    <w:rsid w:val="00AB5B0A"/>
    <w:rsid w:val="00AB5B2F"/>
    <w:rsid w:val="00AB5B7F"/>
    <w:rsid w:val="00AB5C9C"/>
    <w:rsid w:val="00AB620A"/>
    <w:rsid w:val="00AB620B"/>
    <w:rsid w:val="00AB624E"/>
    <w:rsid w:val="00AB6306"/>
    <w:rsid w:val="00AB6374"/>
    <w:rsid w:val="00AB665C"/>
    <w:rsid w:val="00AB6920"/>
    <w:rsid w:val="00AB69BA"/>
    <w:rsid w:val="00AB6D02"/>
    <w:rsid w:val="00AB6EC0"/>
    <w:rsid w:val="00AB6EFC"/>
    <w:rsid w:val="00AB702A"/>
    <w:rsid w:val="00AB7139"/>
    <w:rsid w:val="00AB71A2"/>
    <w:rsid w:val="00AB723C"/>
    <w:rsid w:val="00AB758E"/>
    <w:rsid w:val="00AB7685"/>
    <w:rsid w:val="00AB76E4"/>
    <w:rsid w:val="00AB77D7"/>
    <w:rsid w:val="00AB79EE"/>
    <w:rsid w:val="00AB7B9B"/>
    <w:rsid w:val="00AB7C02"/>
    <w:rsid w:val="00AB7DFF"/>
    <w:rsid w:val="00AB7E37"/>
    <w:rsid w:val="00AB7E7E"/>
    <w:rsid w:val="00AC0056"/>
    <w:rsid w:val="00AC02D6"/>
    <w:rsid w:val="00AC039B"/>
    <w:rsid w:val="00AC03A0"/>
    <w:rsid w:val="00AC03D4"/>
    <w:rsid w:val="00AC03E0"/>
    <w:rsid w:val="00AC03FA"/>
    <w:rsid w:val="00AC0463"/>
    <w:rsid w:val="00AC04A7"/>
    <w:rsid w:val="00AC04A9"/>
    <w:rsid w:val="00AC060E"/>
    <w:rsid w:val="00AC060F"/>
    <w:rsid w:val="00AC069E"/>
    <w:rsid w:val="00AC07CA"/>
    <w:rsid w:val="00AC07F6"/>
    <w:rsid w:val="00AC090A"/>
    <w:rsid w:val="00AC0935"/>
    <w:rsid w:val="00AC0A9D"/>
    <w:rsid w:val="00AC0AAD"/>
    <w:rsid w:val="00AC0FCA"/>
    <w:rsid w:val="00AC100C"/>
    <w:rsid w:val="00AC1026"/>
    <w:rsid w:val="00AC12FE"/>
    <w:rsid w:val="00AC137F"/>
    <w:rsid w:val="00AC16DB"/>
    <w:rsid w:val="00AC170C"/>
    <w:rsid w:val="00AC186E"/>
    <w:rsid w:val="00AC1985"/>
    <w:rsid w:val="00AC1A5D"/>
    <w:rsid w:val="00AC1E06"/>
    <w:rsid w:val="00AC1E17"/>
    <w:rsid w:val="00AC224C"/>
    <w:rsid w:val="00AC2276"/>
    <w:rsid w:val="00AC22B6"/>
    <w:rsid w:val="00AC240D"/>
    <w:rsid w:val="00AC25AB"/>
    <w:rsid w:val="00AC2709"/>
    <w:rsid w:val="00AC28BF"/>
    <w:rsid w:val="00AC293C"/>
    <w:rsid w:val="00AC29DB"/>
    <w:rsid w:val="00AC2B7E"/>
    <w:rsid w:val="00AC2BAA"/>
    <w:rsid w:val="00AC2EF1"/>
    <w:rsid w:val="00AC2F0D"/>
    <w:rsid w:val="00AC300D"/>
    <w:rsid w:val="00AC34C9"/>
    <w:rsid w:val="00AC34CB"/>
    <w:rsid w:val="00AC35CE"/>
    <w:rsid w:val="00AC3614"/>
    <w:rsid w:val="00AC3771"/>
    <w:rsid w:val="00AC37E4"/>
    <w:rsid w:val="00AC38F0"/>
    <w:rsid w:val="00AC3948"/>
    <w:rsid w:val="00AC3B19"/>
    <w:rsid w:val="00AC3E7C"/>
    <w:rsid w:val="00AC3F7A"/>
    <w:rsid w:val="00AC3FBF"/>
    <w:rsid w:val="00AC4065"/>
    <w:rsid w:val="00AC4128"/>
    <w:rsid w:val="00AC4193"/>
    <w:rsid w:val="00AC43C4"/>
    <w:rsid w:val="00AC43C5"/>
    <w:rsid w:val="00AC44E3"/>
    <w:rsid w:val="00AC4500"/>
    <w:rsid w:val="00AC46CA"/>
    <w:rsid w:val="00AC4702"/>
    <w:rsid w:val="00AC4760"/>
    <w:rsid w:val="00AC489A"/>
    <w:rsid w:val="00AC49C7"/>
    <w:rsid w:val="00AC4B58"/>
    <w:rsid w:val="00AC4C7A"/>
    <w:rsid w:val="00AC4EA5"/>
    <w:rsid w:val="00AC5053"/>
    <w:rsid w:val="00AC505C"/>
    <w:rsid w:val="00AC523E"/>
    <w:rsid w:val="00AC5291"/>
    <w:rsid w:val="00AC53A3"/>
    <w:rsid w:val="00AC5609"/>
    <w:rsid w:val="00AC5737"/>
    <w:rsid w:val="00AC5914"/>
    <w:rsid w:val="00AC5BCA"/>
    <w:rsid w:val="00AC5C83"/>
    <w:rsid w:val="00AC5DA2"/>
    <w:rsid w:val="00AC5F2B"/>
    <w:rsid w:val="00AC5F85"/>
    <w:rsid w:val="00AC605F"/>
    <w:rsid w:val="00AC60B3"/>
    <w:rsid w:val="00AC60BD"/>
    <w:rsid w:val="00AC6110"/>
    <w:rsid w:val="00AC6117"/>
    <w:rsid w:val="00AC61CE"/>
    <w:rsid w:val="00AC63D9"/>
    <w:rsid w:val="00AC64C1"/>
    <w:rsid w:val="00AC6543"/>
    <w:rsid w:val="00AC660D"/>
    <w:rsid w:val="00AC662E"/>
    <w:rsid w:val="00AC669C"/>
    <w:rsid w:val="00AC698B"/>
    <w:rsid w:val="00AC6B15"/>
    <w:rsid w:val="00AC6BF8"/>
    <w:rsid w:val="00AC6C3F"/>
    <w:rsid w:val="00AC6D74"/>
    <w:rsid w:val="00AC6E2C"/>
    <w:rsid w:val="00AC6E3F"/>
    <w:rsid w:val="00AC6EE1"/>
    <w:rsid w:val="00AC716E"/>
    <w:rsid w:val="00AC72C3"/>
    <w:rsid w:val="00AC73CE"/>
    <w:rsid w:val="00AC7658"/>
    <w:rsid w:val="00AC76D2"/>
    <w:rsid w:val="00AC7733"/>
    <w:rsid w:val="00AC7A28"/>
    <w:rsid w:val="00AC7AAC"/>
    <w:rsid w:val="00AC7BC0"/>
    <w:rsid w:val="00AC7CC3"/>
    <w:rsid w:val="00AD00E5"/>
    <w:rsid w:val="00AD0181"/>
    <w:rsid w:val="00AD01EE"/>
    <w:rsid w:val="00AD03C4"/>
    <w:rsid w:val="00AD047E"/>
    <w:rsid w:val="00AD04A6"/>
    <w:rsid w:val="00AD04BB"/>
    <w:rsid w:val="00AD04F3"/>
    <w:rsid w:val="00AD05CC"/>
    <w:rsid w:val="00AD061B"/>
    <w:rsid w:val="00AD0982"/>
    <w:rsid w:val="00AD0A46"/>
    <w:rsid w:val="00AD1035"/>
    <w:rsid w:val="00AD165F"/>
    <w:rsid w:val="00AD1736"/>
    <w:rsid w:val="00AD176F"/>
    <w:rsid w:val="00AD180B"/>
    <w:rsid w:val="00AD185B"/>
    <w:rsid w:val="00AD1897"/>
    <w:rsid w:val="00AD18BC"/>
    <w:rsid w:val="00AD1A0C"/>
    <w:rsid w:val="00AD1ADD"/>
    <w:rsid w:val="00AD1C5B"/>
    <w:rsid w:val="00AD1E84"/>
    <w:rsid w:val="00AD1EC6"/>
    <w:rsid w:val="00AD1FFF"/>
    <w:rsid w:val="00AD2006"/>
    <w:rsid w:val="00AD23BF"/>
    <w:rsid w:val="00AD24C0"/>
    <w:rsid w:val="00AD27BB"/>
    <w:rsid w:val="00AD286B"/>
    <w:rsid w:val="00AD2A6A"/>
    <w:rsid w:val="00AD2A71"/>
    <w:rsid w:val="00AD2D47"/>
    <w:rsid w:val="00AD2E4A"/>
    <w:rsid w:val="00AD2E87"/>
    <w:rsid w:val="00AD2F77"/>
    <w:rsid w:val="00AD302E"/>
    <w:rsid w:val="00AD3140"/>
    <w:rsid w:val="00AD31ED"/>
    <w:rsid w:val="00AD33F6"/>
    <w:rsid w:val="00AD3513"/>
    <w:rsid w:val="00AD370B"/>
    <w:rsid w:val="00AD374F"/>
    <w:rsid w:val="00AD38B7"/>
    <w:rsid w:val="00AD38B8"/>
    <w:rsid w:val="00AD38BE"/>
    <w:rsid w:val="00AD3B9F"/>
    <w:rsid w:val="00AD3CCD"/>
    <w:rsid w:val="00AD3EE9"/>
    <w:rsid w:val="00AD3F7A"/>
    <w:rsid w:val="00AD4045"/>
    <w:rsid w:val="00AD40D1"/>
    <w:rsid w:val="00AD41A8"/>
    <w:rsid w:val="00AD4384"/>
    <w:rsid w:val="00AD460D"/>
    <w:rsid w:val="00AD4649"/>
    <w:rsid w:val="00AD46E5"/>
    <w:rsid w:val="00AD4A9D"/>
    <w:rsid w:val="00AD4B1D"/>
    <w:rsid w:val="00AD4B24"/>
    <w:rsid w:val="00AD4C24"/>
    <w:rsid w:val="00AD4C42"/>
    <w:rsid w:val="00AD4EF8"/>
    <w:rsid w:val="00AD502D"/>
    <w:rsid w:val="00AD52F1"/>
    <w:rsid w:val="00AD55B2"/>
    <w:rsid w:val="00AD56BF"/>
    <w:rsid w:val="00AD57C3"/>
    <w:rsid w:val="00AD57D4"/>
    <w:rsid w:val="00AD5841"/>
    <w:rsid w:val="00AD5865"/>
    <w:rsid w:val="00AD58C0"/>
    <w:rsid w:val="00AD58D5"/>
    <w:rsid w:val="00AD5A5B"/>
    <w:rsid w:val="00AD5BBF"/>
    <w:rsid w:val="00AD5D43"/>
    <w:rsid w:val="00AD5E20"/>
    <w:rsid w:val="00AD5E83"/>
    <w:rsid w:val="00AD5F11"/>
    <w:rsid w:val="00AD60F8"/>
    <w:rsid w:val="00AD619A"/>
    <w:rsid w:val="00AD61D4"/>
    <w:rsid w:val="00AD6239"/>
    <w:rsid w:val="00AD6525"/>
    <w:rsid w:val="00AD652E"/>
    <w:rsid w:val="00AD669A"/>
    <w:rsid w:val="00AD6777"/>
    <w:rsid w:val="00AD6B11"/>
    <w:rsid w:val="00AD6B16"/>
    <w:rsid w:val="00AD6CAF"/>
    <w:rsid w:val="00AD6D35"/>
    <w:rsid w:val="00AD6D48"/>
    <w:rsid w:val="00AD6DCD"/>
    <w:rsid w:val="00AD7177"/>
    <w:rsid w:val="00AD72C4"/>
    <w:rsid w:val="00AD73E3"/>
    <w:rsid w:val="00AD7490"/>
    <w:rsid w:val="00AD7515"/>
    <w:rsid w:val="00AD7659"/>
    <w:rsid w:val="00AD767E"/>
    <w:rsid w:val="00AD76E4"/>
    <w:rsid w:val="00AD77A8"/>
    <w:rsid w:val="00AD79DC"/>
    <w:rsid w:val="00AD7B15"/>
    <w:rsid w:val="00AD7D7D"/>
    <w:rsid w:val="00AD7E67"/>
    <w:rsid w:val="00AD7EEE"/>
    <w:rsid w:val="00AD7F52"/>
    <w:rsid w:val="00AD7F6C"/>
    <w:rsid w:val="00AE0161"/>
    <w:rsid w:val="00AE01AF"/>
    <w:rsid w:val="00AE033D"/>
    <w:rsid w:val="00AE05F5"/>
    <w:rsid w:val="00AE074A"/>
    <w:rsid w:val="00AE08F7"/>
    <w:rsid w:val="00AE0971"/>
    <w:rsid w:val="00AE0ACB"/>
    <w:rsid w:val="00AE0C03"/>
    <w:rsid w:val="00AE0ECD"/>
    <w:rsid w:val="00AE10D0"/>
    <w:rsid w:val="00AE10E4"/>
    <w:rsid w:val="00AE1169"/>
    <w:rsid w:val="00AE11EB"/>
    <w:rsid w:val="00AE1362"/>
    <w:rsid w:val="00AE1381"/>
    <w:rsid w:val="00AE1397"/>
    <w:rsid w:val="00AE13D6"/>
    <w:rsid w:val="00AE1419"/>
    <w:rsid w:val="00AE1555"/>
    <w:rsid w:val="00AE1790"/>
    <w:rsid w:val="00AE1A1B"/>
    <w:rsid w:val="00AE1AF1"/>
    <w:rsid w:val="00AE1BB4"/>
    <w:rsid w:val="00AE1D53"/>
    <w:rsid w:val="00AE1D7D"/>
    <w:rsid w:val="00AE1E05"/>
    <w:rsid w:val="00AE1E0A"/>
    <w:rsid w:val="00AE1F63"/>
    <w:rsid w:val="00AE215A"/>
    <w:rsid w:val="00AE21AD"/>
    <w:rsid w:val="00AE2444"/>
    <w:rsid w:val="00AE25A4"/>
    <w:rsid w:val="00AE2704"/>
    <w:rsid w:val="00AE274A"/>
    <w:rsid w:val="00AE2762"/>
    <w:rsid w:val="00AE2855"/>
    <w:rsid w:val="00AE28C2"/>
    <w:rsid w:val="00AE2B7F"/>
    <w:rsid w:val="00AE2BC3"/>
    <w:rsid w:val="00AE2DDF"/>
    <w:rsid w:val="00AE3283"/>
    <w:rsid w:val="00AE3293"/>
    <w:rsid w:val="00AE347E"/>
    <w:rsid w:val="00AE34A7"/>
    <w:rsid w:val="00AE34E6"/>
    <w:rsid w:val="00AE358A"/>
    <w:rsid w:val="00AE36DE"/>
    <w:rsid w:val="00AE37B6"/>
    <w:rsid w:val="00AE3869"/>
    <w:rsid w:val="00AE38BF"/>
    <w:rsid w:val="00AE38F7"/>
    <w:rsid w:val="00AE398C"/>
    <w:rsid w:val="00AE39B0"/>
    <w:rsid w:val="00AE39F3"/>
    <w:rsid w:val="00AE3A67"/>
    <w:rsid w:val="00AE3B33"/>
    <w:rsid w:val="00AE3D6E"/>
    <w:rsid w:val="00AE3F87"/>
    <w:rsid w:val="00AE41E0"/>
    <w:rsid w:val="00AE432B"/>
    <w:rsid w:val="00AE4437"/>
    <w:rsid w:val="00AE44D0"/>
    <w:rsid w:val="00AE4547"/>
    <w:rsid w:val="00AE4565"/>
    <w:rsid w:val="00AE457E"/>
    <w:rsid w:val="00AE4664"/>
    <w:rsid w:val="00AE4871"/>
    <w:rsid w:val="00AE4998"/>
    <w:rsid w:val="00AE4B53"/>
    <w:rsid w:val="00AE4D67"/>
    <w:rsid w:val="00AE524F"/>
    <w:rsid w:val="00AE534E"/>
    <w:rsid w:val="00AE5633"/>
    <w:rsid w:val="00AE5698"/>
    <w:rsid w:val="00AE56C8"/>
    <w:rsid w:val="00AE571F"/>
    <w:rsid w:val="00AE572A"/>
    <w:rsid w:val="00AE5782"/>
    <w:rsid w:val="00AE5AD4"/>
    <w:rsid w:val="00AE5C1A"/>
    <w:rsid w:val="00AE5C7F"/>
    <w:rsid w:val="00AE5D3A"/>
    <w:rsid w:val="00AE5D55"/>
    <w:rsid w:val="00AE5DAD"/>
    <w:rsid w:val="00AE5EBB"/>
    <w:rsid w:val="00AE6185"/>
    <w:rsid w:val="00AE65FC"/>
    <w:rsid w:val="00AE6675"/>
    <w:rsid w:val="00AE66B8"/>
    <w:rsid w:val="00AE6796"/>
    <w:rsid w:val="00AE67F4"/>
    <w:rsid w:val="00AE68CF"/>
    <w:rsid w:val="00AE69DC"/>
    <w:rsid w:val="00AE6A6B"/>
    <w:rsid w:val="00AE6C7A"/>
    <w:rsid w:val="00AE71D1"/>
    <w:rsid w:val="00AE72C1"/>
    <w:rsid w:val="00AE73A5"/>
    <w:rsid w:val="00AE7440"/>
    <w:rsid w:val="00AE7485"/>
    <w:rsid w:val="00AE751C"/>
    <w:rsid w:val="00AE7552"/>
    <w:rsid w:val="00AE7567"/>
    <w:rsid w:val="00AE76A6"/>
    <w:rsid w:val="00AE76C4"/>
    <w:rsid w:val="00AE77D5"/>
    <w:rsid w:val="00AE77DD"/>
    <w:rsid w:val="00AE7815"/>
    <w:rsid w:val="00AE792D"/>
    <w:rsid w:val="00AE7A42"/>
    <w:rsid w:val="00AE7BA7"/>
    <w:rsid w:val="00AE7BDE"/>
    <w:rsid w:val="00AE7C9D"/>
    <w:rsid w:val="00AE7E10"/>
    <w:rsid w:val="00AE7E53"/>
    <w:rsid w:val="00AE7F08"/>
    <w:rsid w:val="00AE7F46"/>
    <w:rsid w:val="00AF013E"/>
    <w:rsid w:val="00AF01A2"/>
    <w:rsid w:val="00AF036A"/>
    <w:rsid w:val="00AF0508"/>
    <w:rsid w:val="00AF070C"/>
    <w:rsid w:val="00AF079E"/>
    <w:rsid w:val="00AF07B0"/>
    <w:rsid w:val="00AF07F3"/>
    <w:rsid w:val="00AF083F"/>
    <w:rsid w:val="00AF0A24"/>
    <w:rsid w:val="00AF0A93"/>
    <w:rsid w:val="00AF0B19"/>
    <w:rsid w:val="00AF0B92"/>
    <w:rsid w:val="00AF0D04"/>
    <w:rsid w:val="00AF0D9D"/>
    <w:rsid w:val="00AF10DC"/>
    <w:rsid w:val="00AF1294"/>
    <w:rsid w:val="00AF12ED"/>
    <w:rsid w:val="00AF130E"/>
    <w:rsid w:val="00AF1822"/>
    <w:rsid w:val="00AF187E"/>
    <w:rsid w:val="00AF1B9C"/>
    <w:rsid w:val="00AF1BEE"/>
    <w:rsid w:val="00AF1FCE"/>
    <w:rsid w:val="00AF2018"/>
    <w:rsid w:val="00AF222E"/>
    <w:rsid w:val="00AF235A"/>
    <w:rsid w:val="00AF23AA"/>
    <w:rsid w:val="00AF276B"/>
    <w:rsid w:val="00AF27E7"/>
    <w:rsid w:val="00AF2924"/>
    <w:rsid w:val="00AF2A29"/>
    <w:rsid w:val="00AF2AD3"/>
    <w:rsid w:val="00AF2AFE"/>
    <w:rsid w:val="00AF2B04"/>
    <w:rsid w:val="00AF2D56"/>
    <w:rsid w:val="00AF2DF2"/>
    <w:rsid w:val="00AF2F2D"/>
    <w:rsid w:val="00AF2FB6"/>
    <w:rsid w:val="00AF329D"/>
    <w:rsid w:val="00AF3304"/>
    <w:rsid w:val="00AF336D"/>
    <w:rsid w:val="00AF33A8"/>
    <w:rsid w:val="00AF363A"/>
    <w:rsid w:val="00AF366B"/>
    <w:rsid w:val="00AF369A"/>
    <w:rsid w:val="00AF3843"/>
    <w:rsid w:val="00AF3A2E"/>
    <w:rsid w:val="00AF3C43"/>
    <w:rsid w:val="00AF3D9C"/>
    <w:rsid w:val="00AF3E3A"/>
    <w:rsid w:val="00AF3FC4"/>
    <w:rsid w:val="00AF3FEE"/>
    <w:rsid w:val="00AF4009"/>
    <w:rsid w:val="00AF4040"/>
    <w:rsid w:val="00AF411F"/>
    <w:rsid w:val="00AF422D"/>
    <w:rsid w:val="00AF425C"/>
    <w:rsid w:val="00AF435A"/>
    <w:rsid w:val="00AF44BD"/>
    <w:rsid w:val="00AF45EE"/>
    <w:rsid w:val="00AF4762"/>
    <w:rsid w:val="00AF4895"/>
    <w:rsid w:val="00AF49F1"/>
    <w:rsid w:val="00AF49FD"/>
    <w:rsid w:val="00AF4B07"/>
    <w:rsid w:val="00AF4B43"/>
    <w:rsid w:val="00AF4C58"/>
    <w:rsid w:val="00AF4DA7"/>
    <w:rsid w:val="00AF4E77"/>
    <w:rsid w:val="00AF50F8"/>
    <w:rsid w:val="00AF518A"/>
    <w:rsid w:val="00AF5300"/>
    <w:rsid w:val="00AF54D3"/>
    <w:rsid w:val="00AF5525"/>
    <w:rsid w:val="00AF5721"/>
    <w:rsid w:val="00AF5723"/>
    <w:rsid w:val="00AF583F"/>
    <w:rsid w:val="00AF58D0"/>
    <w:rsid w:val="00AF59BC"/>
    <w:rsid w:val="00AF5A7B"/>
    <w:rsid w:val="00AF5AD4"/>
    <w:rsid w:val="00AF5BEC"/>
    <w:rsid w:val="00AF5F4B"/>
    <w:rsid w:val="00AF61E0"/>
    <w:rsid w:val="00AF6277"/>
    <w:rsid w:val="00AF637B"/>
    <w:rsid w:val="00AF64D5"/>
    <w:rsid w:val="00AF64E2"/>
    <w:rsid w:val="00AF6582"/>
    <w:rsid w:val="00AF65A9"/>
    <w:rsid w:val="00AF65F6"/>
    <w:rsid w:val="00AF67CE"/>
    <w:rsid w:val="00AF68E9"/>
    <w:rsid w:val="00AF69B4"/>
    <w:rsid w:val="00AF6B04"/>
    <w:rsid w:val="00AF6BC9"/>
    <w:rsid w:val="00AF6C2D"/>
    <w:rsid w:val="00AF6D5A"/>
    <w:rsid w:val="00AF6E94"/>
    <w:rsid w:val="00AF70B7"/>
    <w:rsid w:val="00AF769C"/>
    <w:rsid w:val="00AF76B8"/>
    <w:rsid w:val="00AF7832"/>
    <w:rsid w:val="00AF791E"/>
    <w:rsid w:val="00AF79BF"/>
    <w:rsid w:val="00AF7E6F"/>
    <w:rsid w:val="00AF7E7D"/>
    <w:rsid w:val="00AF7EFF"/>
    <w:rsid w:val="00B0012C"/>
    <w:rsid w:val="00B00176"/>
    <w:rsid w:val="00B001DD"/>
    <w:rsid w:val="00B003DB"/>
    <w:rsid w:val="00B003EC"/>
    <w:rsid w:val="00B004E5"/>
    <w:rsid w:val="00B004E7"/>
    <w:rsid w:val="00B005BD"/>
    <w:rsid w:val="00B005F9"/>
    <w:rsid w:val="00B0074A"/>
    <w:rsid w:val="00B008D9"/>
    <w:rsid w:val="00B00B79"/>
    <w:rsid w:val="00B00CCD"/>
    <w:rsid w:val="00B00E3E"/>
    <w:rsid w:val="00B00F39"/>
    <w:rsid w:val="00B00F84"/>
    <w:rsid w:val="00B01161"/>
    <w:rsid w:val="00B012B8"/>
    <w:rsid w:val="00B012E9"/>
    <w:rsid w:val="00B01304"/>
    <w:rsid w:val="00B0132C"/>
    <w:rsid w:val="00B01374"/>
    <w:rsid w:val="00B014AB"/>
    <w:rsid w:val="00B01678"/>
    <w:rsid w:val="00B0170F"/>
    <w:rsid w:val="00B01838"/>
    <w:rsid w:val="00B01B2B"/>
    <w:rsid w:val="00B01C2D"/>
    <w:rsid w:val="00B01C4E"/>
    <w:rsid w:val="00B01E19"/>
    <w:rsid w:val="00B01F3E"/>
    <w:rsid w:val="00B0202C"/>
    <w:rsid w:val="00B020CF"/>
    <w:rsid w:val="00B02233"/>
    <w:rsid w:val="00B0223E"/>
    <w:rsid w:val="00B0232F"/>
    <w:rsid w:val="00B025FD"/>
    <w:rsid w:val="00B026BB"/>
    <w:rsid w:val="00B02797"/>
    <w:rsid w:val="00B0281B"/>
    <w:rsid w:val="00B028D9"/>
    <w:rsid w:val="00B029AD"/>
    <w:rsid w:val="00B02E6E"/>
    <w:rsid w:val="00B030AE"/>
    <w:rsid w:val="00B03198"/>
    <w:rsid w:val="00B03548"/>
    <w:rsid w:val="00B03754"/>
    <w:rsid w:val="00B03ACE"/>
    <w:rsid w:val="00B03AD3"/>
    <w:rsid w:val="00B03AD5"/>
    <w:rsid w:val="00B03B0E"/>
    <w:rsid w:val="00B03B23"/>
    <w:rsid w:val="00B03B5D"/>
    <w:rsid w:val="00B03C3B"/>
    <w:rsid w:val="00B03C75"/>
    <w:rsid w:val="00B03F6F"/>
    <w:rsid w:val="00B04043"/>
    <w:rsid w:val="00B0408E"/>
    <w:rsid w:val="00B04160"/>
    <w:rsid w:val="00B0443D"/>
    <w:rsid w:val="00B045F5"/>
    <w:rsid w:val="00B04609"/>
    <w:rsid w:val="00B04882"/>
    <w:rsid w:val="00B04995"/>
    <w:rsid w:val="00B04B47"/>
    <w:rsid w:val="00B04B72"/>
    <w:rsid w:val="00B04E58"/>
    <w:rsid w:val="00B04E83"/>
    <w:rsid w:val="00B04F2D"/>
    <w:rsid w:val="00B050CF"/>
    <w:rsid w:val="00B0513C"/>
    <w:rsid w:val="00B05184"/>
    <w:rsid w:val="00B05245"/>
    <w:rsid w:val="00B052FD"/>
    <w:rsid w:val="00B05378"/>
    <w:rsid w:val="00B0570C"/>
    <w:rsid w:val="00B0578F"/>
    <w:rsid w:val="00B0594C"/>
    <w:rsid w:val="00B05C59"/>
    <w:rsid w:val="00B05C61"/>
    <w:rsid w:val="00B05CC1"/>
    <w:rsid w:val="00B05CEB"/>
    <w:rsid w:val="00B05D16"/>
    <w:rsid w:val="00B05D54"/>
    <w:rsid w:val="00B05F86"/>
    <w:rsid w:val="00B06100"/>
    <w:rsid w:val="00B06136"/>
    <w:rsid w:val="00B0619E"/>
    <w:rsid w:val="00B061C7"/>
    <w:rsid w:val="00B0638E"/>
    <w:rsid w:val="00B06479"/>
    <w:rsid w:val="00B06495"/>
    <w:rsid w:val="00B066E4"/>
    <w:rsid w:val="00B0679A"/>
    <w:rsid w:val="00B068B4"/>
    <w:rsid w:val="00B068C2"/>
    <w:rsid w:val="00B068C5"/>
    <w:rsid w:val="00B069A9"/>
    <w:rsid w:val="00B069B4"/>
    <w:rsid w:val="00B06BC3"/>
    <w:rsid w:val="00B06D85"/>
    <w:rsid w:val="00B06DA2"/>
    <w:rsid w:val="00B06DDD"/>
    <w:rsid w:val="00B06FC5"/>
    <w:rsid w:val="00B07081"/>
    <w:rsid w:val="00B07109"/>
    <w:rsid w:val="00B071FB"/>
    <w:rsid w:val="00B073C0"/>
    <w:rsid w:val="00B07422"/>
    <w:rsid w:val="00B076EF"/>
    <w:rsid w:val="00B077A9"/>
    <w:rsid w:val="00B078D2"/>
    <w:rsid w:val="00B07954"/>
    <w:rsid w:val="00B07D01"/>
    <w:rsid w:val="00B07DB3"/>
    <w:rsid w:val="00B07E4D"/>
    <w:rsid w:val="00B07ED0"/>
    <w:rsid w:val="00B07F8E"/>
    <w:rsid w:val="00B1008A"/>
    <w:rsid w:val="00B100EF"/>
    <w:rsid w:val="00B10251"/>
    <w:rsid w:val="00B1027B"/>
    <w:rsid w:val="00B102A0"/>
    <w:rsid w:val="00B10427"/>
    <w:rsid w:val="00B104C9"/>
    <w:rsid w:val="00B1052B"/>
    <w:rsid w:val="00B10582"/>
    <w:rsid w:val="00B1066E"/>
    <w:rsid w:val="00B10670"/>
    <w:rsid w:val="00B106F4"/>
    <w:rsid w:val="00B10705"/>
    <w:rsid w:val="00B107AD"/>
    <w:rsid w:val="00B107C8"/>
    <w:rsid w:val="00B10828"/>
    <w:rsid w:val="00B1089A"/>
    <w:rsid w:val="00B109EA"/>
    <w:rsid w:val="00B10AC5"/>
    <w:rsid w:val="00B10B54"/>
    <w:rsid w:val="00B10B59"/>
    <w:rsid w:val="00B10BBE"/>
    <w:rsid w:val="00B10D61"/>
    <w:rsid w:val="00B10DBC"/>
    <w:rsid w:val="00B10E15"/>
    <w:rsid w:val="00B10EBC"/>
    <w:rsid w:val="00B112B5"/>
    <w:rsid w:val="00B1140B"/>
    <w:rsid w:val="00B11415"/>
    <w:rsid w:val="00B11515"/>
    <w:rsid w:val="00B119CD"/>
    <w:rsid w:val="00B11A77"/>
    <w:rsid w:val="00B11AC5"/>
    <w:rsid w:val="00B11B5A"/>
    <w:rsid w:val="00B11C1C"/>
    <w:rsid w:val="00B11C5C"/>
    <w:rsid w:val="00B11CEA"/>
    <w:rsid w:val="00B11D44"/>
    <w:rsid w:val="00B12093"/>
    <w:rsid w:val="00B12409"/>
    <w:rsid w:val="00B12501"/>
    <w:rsid w:val="00B125AE"/>
    <w:rsid w:val="00B128C2"/>
    <w:rsid w:val="00B12A22"/>
    <w:rsid w:val="00B12A83"/>
    <w:rsid w:val="00B12DAE"/>
    <w:rsid w:val="00B12F6F"/>
    <w:rsid w:val="00B12F96"/>
    <w:rsid w:val="00B133A6"/>
    <w:rsid w:val="00B13615"/>
    <w:rsid w:val="00B13699"/>
    <w:rsid w:val="00B137AA"/>
    <w:rsid w:val="00B13830"/>
    <w:rsid w:val="00B13ACB"/>
    <w:rsid w:val="00B13B57"/>
    <w:rsid w:val="00B13D52"/>
    <w:rsid w:val="00B13E12"/>
    <w:rsid w:val="00B13E71"/>
    <w:rsid w:val="00B13EFB"/>
    <w:rsid w:val="00B13FE3"/>
    <w:rsid w:val="00B1418D"/>
    <w:rsid w:val="00B14205"/>
    <w:rsid w:val="00B1428E"/>
    <w:rsid w:val="00B1438D"/>
    <w:rsid w:val="00B14550"/>
    <w:rsid w:val="00B14684"/>
    <w:rsid w:val="00B14768"/>
    <w:rsid w:val="00B1494A"/>
    <w:rsid w:val="00B149BA"/>
    <w:rsid w:val="00B149DC"/>
    <w:rsid w:val="00B14A4C"/>
    <w:rsid w:val="00B14B41"/>
    <w:rsid w:val="00B14D09"/>
    <w:rsid w:val="00B14D9E"/>
    <w:rsid w:val="00B14E83"/>
    <w:rsid w:val="00B14F6E"/>
    <w:rsid w:val="00B14FED"/>
    <w:rsid w:val="00B1504D"/>
    <w:rsid w:val="00B150F5"/>
    <w:rsid w:val="00B1526D"/>
    <w:rsid w:val="00B152A4"/>
    <w:rsid w:val="00B153F5"/>
    <w:rsid w:val="00B15420"/>
    <w:rsid w:val="00B1547E"/>
    <w:rsid w:val="00B154AB"/>
    <w:rsid w:val="00B154DF"/>
    <w:rsid w:val="00B157B4"/>
    <w:rsid w:val="00B157F8"/>
    <w:rsid w:val="00B15899"/>
    <w:rsid w:val="00B15A22"/>
    <w:rsid w:val="00B15C63"/>
    <w:rsid w:val="00B15F9D"/>
    <w:rsid w:val="00B1604E"/>
    <w:rsid w:val="00B16176"/>
    <w:rsid w:val="00B161A4"/>
    <w:rsid w:val="00B161ED"/>
    <w:rsid w:val="00B16375"/>
    <w:rsid w:val="00B16530"/>
    <w:rsid w:val="00B16555"/>
    <w:rsid w:val="00B16583"/>
    <w:rsid w:val="00B166DE"/>
    <w:rsid w:val="00B16745"/>
    <w:rsid w:val="00B167C2"/>
    <w:rsid w:val="00B16A17"/>
    <w:rsid w:val="00B16BE9"/>
    <w:rsid w:val="00B16C05"/>
    <w:rsid w:val="00B16D83"/>
    <w:rsid w:val="00B17185"/>
    <w:rsid w:val="00B171C2"/>
    <w:rsid w:val="00B172D9"/>
    <w:rsid w:val="00B17446"/>
    <w:rsid w:val="00B174DF"/>
    <w:rsid w:val="00B1760C"/>
    <w:rsid w:val="00B178A1"/>
    <w:rsid w:val="00B1794B"/>
    <w:rsid w:val="00B179AA"/>
    <w:rsid w:val="00B17AFC"/>
    <w:rsid w:val="00B17D05"/>
    <w:rsid w:val="00B17DEA"/>
    <w:rsid w:val="00B2022A"/>
    <w:rsid w:val="00B20257"/>
    <w:rsid w:val="00B20274"/>
    <w:rsid w:val="00B20298"/>
    <w:rsid w:val="00B203CB"/>
    <w:rsid w:val="00B20442"/>
    <w:rsid w:val="00B20957"/>
    <w:rsid w:val="00B209C0"/>
    <w:rsid w:val="00B20A66"/>
    <w:rsid w:val="00B20A82"/>
    <w:rsid w:val="00B20B20"/>
    <w:rsid w:val="00B20DC4"/>
    <w:rsid w:val="00B20E94"/>
    <w:rsid w:val="00B20EE9"/>
    <w:rsid w:val="00B20EF8"/>
    <w:rsid w:val="00B20F70"/>
    <w:rsid w:val="00B20FB3"/>
    <w:rsid w:val="00B21221"/>
    <w:rsid w:val="00B21308"/>
    <w:rsid w:val="00B2131D"/>
    <w:rsid w:val="00B21473"/>
    <w:rsid w:val="00B215FA"/>
    <w:rsid w:val="00B2161E"/>
    <w:rsid w:val="00B21624"/>
    <w:rsid w:val="00B216F1"/>
    <w:rsid w:val="00B21840"/>
    <w:rsid w:val="00B219BC"/>
    <w:rsid w:val="00B21B33"/>
    <w:rsid w:val="00B21B4F"/>
    <w:rsid w:val="00B21C65"/>
    <w:rsid w:val="00B21F92"/>
    <w:rsid w:val="00B2203F"/>
    <w:rsid w:val="00B220E0"/>
    <w:rsid w:val="00B221ED"/>
    <w:rsid w:val="00B22277"/>
    <w:rsid w:val="00B22331"/>
    <w:rsid w:val="00B2237A"/>
    <w:rsid w:val="00B22568"/>
    <w:rsid w:val="00B225DE"/>
    <w:rsid w:val="00B22662"/>
    <w:rsid w:val="00B226CF"/>
    <w:rsid w:val="00B2291C"/>
    <w:rsid w:val="00B229D5"/>
    <w:rsid w:val="00B22F80"/>
    <w:rsid w:val="00B23053"/>
    <w:rsid w:val="00B23345"/>
    <w:rsid w:val="00B2345E"/>
    <w:rsid w:val="00B2346A"/>
    <w:rsid w:val="00B23B40"/>
    <w:rsid w:val="00B23D63"/>
    <w:rsid w:val="00B23DBC"/>
    <w:rsid w:val="00B24154"/>
    <w:rsid w:val="00B241A4"/>
    <w:rsid w:val="00B24275"/>
    <w:rsid w:val="00B24290"/>
    <w:rsid w:val="00B242A3"/>
    <w:rsid w:val="00B2443A"/>
    <w:rsid w:val="00B24607"/>
    <w:rsid w:val="00B2499C"/>
    <w:rsid w:val="00B249E4"/>
    <w:rsid w:val="00B24D17"/>
    <w:rsid w:val="00B25036"/>
    <w:rsid w:val="00B2507D"/>
    <w:rsid w:val="00B250A0"/>
    <w:rsid w:val="00B25171"/>
    <w:rsid w:val="00B25189"/>
    <w:rsid w:val="00B252A6"/>
    <w:rsid w:val="00B25324"/>
    <w:rsid w:val="00B253C2"/>
    <w:rsid w:val="00B25868"/>
    <w:rsid w:val="00B258D6"/>
    <w:rsid w:val="00B25940"/>
    <w:rsid w:val="00B25AC1"/>
    <w:rsid w:val="00B25B38"/>
    <w:rsid w:val="00B25B93"/>
    <w:rsid w:val="00B25CA2"/>
    <w:rsid w:val="00B25E9B"/>
    <w:rsid w:val="00B25EFF"/>
    <w:rsid w:val="00B26157"/>
    <w:rsid w:val="00B26178"/>
    <w:rsid w:val="00B2632D"/>
    <w:rsid w:val="00B26381"/>
    <w:rsid w:val="00B2651F"/>
    <w:rsid w:val="00B266F0"/>
    <w:rsid w:val="00B26864"/>
    <w:rsid w:val="00B26923"/>
    <w:rsid w:val="00B26A5E"/>
    <w:rsid w:val="00B26B6F"/>
    <w:rsid w:val="00B26BBE"/>
    <w:rsid w:val="00B26C5F"/>
    <w:rsid w:val="00B26E6B"/>
    <w:rsid w:val="00B26E93"/>
    <w:rsid w:val="00B270AC"/>
    <w:rsid w:val="00B27119"/>
    <w:rsid w:val="00B27135"/>
    <w:rsid w:val="00B272DD"/>
    <w:rsid w:val="00B2731A"/>
    <w:rsid w:val="00B27373"/>
    <w:rsid w:val="00B276AA"/>
    <w:rsid w:val="00B276D0"/>
    <w:rsid w:val="00B2783D"/>
    <w:rsid w:val="00B279D8"/>
    <w:rsid w:val="00B27A1E"/>
    <w:rsid w:val="00B27A6E"/>
    <w:rsid w:val="00B27C9B"/>
    <w:rsid w:val="00B27CEF"/>
    <w:rsid w:val="00B27D32"/>
    <w:rsid w:val="00B302F2"/>
    <w:rsid w:val="00B30428"/>
    <w:rsid w:val="00B30451"/>
    <w:rsid w:val="00B304B3"/>
    <w:rsid w:val="00B30767"/>
    <w:rsid w:val="00B3083D"/>
    <w:rsid w:val="00B309DC"/>
    <w:rsid w:val="00B30A48"/>
    <w:rsid w:val="00B30D61"/>
    <w:rsid w:val="00B311D4"/>
    <w:rsid w:val="00B31447"/>
    <w:rsid w:val="00B314BA"/>
    <w:rsid w:val="00B314D9"/>
    <w:rsid w:val="00B3151C"/>
    <w:rsid w:val="00B31594"/>
    <w:rsid w:val="00B315C4"/>
    <w:rsid w:val="00B31663"/>
    <w:rsid w:val="00B3166E"/>
    <w:rsid w:val="00B316F6"/>
    <w:rsid w:val="00B31993"/>
    <w:rsid w:val="00B31B49"/>
    <w:rsid w:val="00B31CC1"/>
    <w:rsid w:val="00B31E13"/>
    <w:rsid w:val="00B31EAA"/>
    <w:rsid w:val="00B3204F"/>
    <w:rsid w:val="00B32119"/>
    <w:rsid w:val="00B32410"/>
    <w:rsid w:val="00B327D0"/>
    <w:rsid w:val="00B3292E"/>
    <w:rsid w:val="00B32AC2"/>
    <w:rsid w:val="00B32AEF"/>
    <w:rsid w:val="00B32B65"/>
    <w:rsid w:val="00B32E50"/>
    <w:rsid w:val="00B32FEA"/>
    <w:rsid w:val="00B32FF0"/>
    <w:rsid w:val="00B33027"/>
    <w:rsid w:val="00B330B9"/>
    <w:rsid w:val="00B33267"/>
    <w:rsid w:val="00B33619"/>
    <w:rsid w:val="00B3385A"/>
    <w:rsid w:val="00B33A34"/>
    <w:rsid w:val="00B33CA2"/>
    <w:rsid w:val="00B340D9"/>
    <w:rsid w:val="00B3414D"/>
    <w:rsid w:val="00B34209"/>
    <w:rsid w:val="00B342EB"/>
    <w:rsid w:val="00B342F7"/>
    <w:rsid w:val="00B343A1"/>
    <w:rsid w:val="00B343DB"/>
    <w:rsid w:val="00B346A8"/>
    <w:rsid w:val="00B34733"/>
    <w:rsid w:val="00B34AB6"/>
    <w:rsid w:val="00B34BA2"/>
    <w:rsid w:val="00B34D3A"/>
    <w:rsid w:val="00B34D52"/>
    <w:rsid w:val="00B34E2B"/>
    <w:rsid w:val="00B34EA4"/>
    <w:rsid w:val="00B34F89"/>
    <w:rsid w:val="00B3507E"/>
    <w:rsid w:val="00B353D0"/>
    <w:rsid w:val="00B3549B"/>
    <w:rsid w:val="00B35623"/>
    <w:rsid w:val="00B356FD"/>
    <w:rsid w:val="00B357BB"/>
    <w:rsid w:val="00B359BB"/>
    <w:rsid w:val="00B35A36"/>
    <w:rsid w:val="00B35D5F"/>
    <w:rsid w:val="00B35DC5"/>
    <w:rsid w:val="00B35DDA"/>
    <w:rsid w:val="00B35F46"/>
    <w:rsid w:val="00B36484"/>
    <w:rsid w:val="00B364AD"/>
    <w:rsid w:val="00B364BD"/>
    <w:rsid w:val="00B364C0"/>
    <w:rsid w:val="00B3669D"/>
    <w:rsid w:val="00B36826"/>
    <w:rsid w:val="00B36885"/>
    <w:rsid w:val="00B368C6"/>
    <w:rsid w:val="00B36A72"/>
    <w:rsid w:val="00B36A94"/>
    <w:rsid w:val="00B36AEA"/>
    <w:rsid w:val="00B36AF4"/>
    <w:rsid w:val="00B36B85"/>
    <w:rsid w:val="00B37122"/>
    <w:rsid w:val="00B3716D"/>
    <w:rsid w:val="00B37280"/>
    <w:rsid w:val="00B3742F"/>
    <w:rsid w:val="00B3745D"/>
    <w:rsid w:val="00B375A0"/>
    <w:rsid w:val="00B375E7"/>
    <w:rsid w:val="00B37610"/>
    <w:rsid w:val="00B37666"/>
    <w:rsid w:val="00B3782F"/>
    <w:rsid w:val="00B37B07"/>
    <w:rsid w:val="00B37B16"/>
    <w:rsid w:val="00B37F4D"/>
    <w:rsid w:val="00B400CC"/>
    <w:rsid w:val="00B40196"/>
    <w:rsid w:val="00B4026B"/>
    <w:rsid w:val="00B4053E"/>
    <w:rsid w:val="00B40566"/>
    <w:rsid w:val="00B406B1"/>
    <w:rsid w:val="00B40969"/>
    <w:rsid w:val="00B409C1"/>
    <w:rsid w:val="00B40A82"/>
    <w:rsid w:val="00B40C9A"/>
    <w:rsid w:val="00B40DE8"/>
    <w:rsid w:val="00B40E23"/>
    <w:rsid w:val="00B411F2"/>
    <w:rsid w:val="00B4131A"/>
    <w:rsid w:val="00B41356"/>
    <w:rsid w:val="00B416B2"/>
    <w:rsid w:val="00B4185B"/>
    <w:rsid w:val="00B41A0E"/>
    <w:rsid w:val="00B41A33"/>
    <w:rsid w:val="00B41A50"/>
    <w:rsid w:val="00B41D11"/>
    <w:rsid w:val="00B41D62"/>
    <w:rsid w:val="00B41E05"/>
    <w:rsid w:val="00B41FA5"/>
    <w:rsid w:val="00B42051"/>
    <w:rsid w:val="00B42066"/>
    <w:rsid w:val="00B423C4"/>
    <w:rsid w:val="00B4242B"/>
    <w:rsid w:val="00B425DC"/>
    <w:rsid w:val="00B426C7"/>
    <w:rsid w:val="00B42959"/>
    <w:rsid w:val="00B42A4C"/>
    <w:rsid w:val="00B42AF4"/>
    <w:rsid w:val="00B42C6C"/>
    <w:rsid w:val="00B42DAC"/>
    <w:rsid w:val="00B42E26"/>
    <w:rsid w:val="00B42E7B"/>
    <w:rsid w:val="00B42E95"/>
    <w:rsid w:val="00B42ED4"/>
    <w:rsid w:val="00B42F02"/>
    <w:rsid w:val="00B43010"/>
    <w:rsid w:val="00B4305C"/>
    <w:rsid w:val="00B430F0"/>
    <w:rsid w:val="00B43102"/>
    <w:rsid w:val="00B4323D"/>
    <w:rsid w:val="00B43278"/>
    <w:rsid w:val="00B432CC"/>
    <w:rsid w:val="00B4330E"/>
    <w:rsid w:val="00B435AA"/>
    <w:rsid w:val="00B435D9"/>
    <w:rsid w:val="00B4379D"/>
    <w:rsid w:val="00B437FD"/>
    <w:rsid w:val="00B4382E"/>
    <w:rsid w:val="00B438DF"/>
    <w:rsid w:val="00B43976"/>
    <w:rsid w:val="00B439FB"/>
    <w:rsid w:val="00B43B10"/>
    <w:rsid w:val="00B43D39"/>
    <w:rsid w:val="00B43DE3"/>
    <w:rsid w:val="00B43DF7"/>
    <w:rsid w:val="00B43E91"/>
    <w:rsid w:val="00B43EBA"/>
    <w:rsid w:val="00B43EBF"/>
    <w:rsid w:val="00B43F71"/>
    <w:rsid w:val="00B43F85"/>
    <w:rsid w:val="00B43FE5"/>
    <w:rsid w:val="00B440F0"/>
    <w:rsid w:val="00B4425A"/>
    <w:rsid w:val="00B44292"/>
    <w:rsid w:val="00B443F0"/>
    <w:rsid w:val="00B4452F"/>
    <w:rsid w:val="00B445E5"/>
    <w:rsid w:val="00B4475E"/>
    <w:rsid w:val="00B448FA"/>
    <w:rsid w:val="00B449EF"/>
    <w:rsid w:val="00B44AE6"/>
    <w:rsid w:val="00B44AED"/>
    <w:rsid w:val="00B44C14"/>
    <w:rsid w:val="00B44D2C"/>
    <w:rsid w:val="00B45473"/>
    <w:rsid w:val="00B45977"/>
    <w:rsid w:val="00B45C01"/>
    <w:rsid w:val="00B45D52"/>
    <w:rsid w:val="00B45E7C"/>
    <w:rsid w:val="00B45F15"/>
    <w:rsid w:val="00B45F21"/>
    <w:rsid w:val="00B4610E"/>
    <w:rsid w:val="00B46416"/>
    <w:rsid w:val="00B46595"/>
    <w:rsid w:val="00B46605"/>
    <w:rsid w:val="00B4661C"/>
    <w:rsid w:val="00B466CA"/>
    <w:rsid w:val="00B4679E"/>
    <w:rsid w:val="00B467BE"/>
    <w:rsid w:val="00B46972"/>
    <w:rsid w:val="00B4699B"/>
    <w:rsid w:val="00B469E0"/>
    <w:rsid w:val="00B46AB8"/>
    <w:rsid w:val="00B46AEA"/>
    <w:rsid w:val="00B46FF7"/>
    <w:rsid w:val="00B470E7"/>
    <w:rsid w:val="00B475D2"/>
    <w:rsid w:val="00B476BE"/>
    <w:rsid w:val="00B476E0"/>
    <w:rsid w:val="00B476FF"/>
    <w:rsid w:val="00B47707"/>
    <w:rsid w:val="00B47725"/>
    <w:rsid w:val="00B47769"/>
    <w:rsid w:val="00B4781E"/>
    <w:rsid w:val="00B4794A"/>
    <w:rsid w:val="00B479F9"/>
    <w:rsid w:val="00B47C33"/>
    <w:rsid w:val="00B47C91"/>
    <w:rsid w:val="00B47DEC"/>
    <w:rsid w:val="00B47DED"/>
    <w:rsid w:val="00B500C2"/>
    <w:rsid w:val="00B500E5"/>
    <w:rsid w:val="00B5030F"/>
    <w:rsid w:val="00B50474"/>
    <w:rsid w:val="00B50561"/>
    <w:rsid w:val="00B5063D"/>
    <w:rsid w:val="00B50802"/>
    <w:rsid w:val="00B508FF"/>
    <w:rsid w:val="00B50B28"/>
    <w:rsid w:val="00B50B9D"/>
    <w:rsid w:val="00B50CCC"/>
    <w:rsid w:val="00B50CE8"/>
    <w:rsid w:val="00B50CF4"/>
    <w:rsid w:val="00B50DB7"/>
    <w:rsid w:val="00B50E91"/>
    <w:rsid w:val="00B511CA"/>
    <w:rsid w:val="00B5127F"/>
    <w:rsid w:val="00B51292"/>
    <w:rsid w:val="00B5139C"/>
    <w:rsid w:val="00B513D3"/>
    <w:rsid w:val="00B5146D"/>
    <w:rsid w:val="00B51615"/>
    <w:rsid w:val="00B51678"/>
    <w:rsid w:val="00B5168A"/>
    <w:rsid w:val="00B5177F"/>
    <w:rsid w:val="00B5181F"/>
    <w:rsid w:val="00B5189D"/>
    <w:rsid w:val="00B519C3"/>
    <w:rsid w:val="00B519F8"/>
    <w:rsid w:val="00B51BFF"/>
    <w:rsid w:val="00B51CF1"/>
    <w:rsid w:val="00B51D15"/>
    <w:rsid w:val="00B51D82"/>
    <w:rsid w:val="00B51DAB"/>
    <w:rsid w:val="00B51EA1"/>
    <w:rsid w:val="00B51FFC"/>
    <w:rsid w:val="00B5205D"/>
    <w:rsid w:val="00B52250"/>
    <w:rsid w:val="00B522C3"/>
    <w:rsid w:val="00B522CB"/>
    <w:rsid w:val="00B526FB"/>
    <w:rsid w:val="00B52933"/>
    <w:rsid w:val="00B5293C"/>
    <w:rsid w:val="00B529F6"/>
    <w:rsid w:val="00B52AFA"/>
    <w:rsid w:val="00B530CB"/>
    <w:rsid w:val="00B5317B"/>
    <w:rsid w:val="00B53311"/>
    <w:rsid w:val="00B533FE"/>
    <w:rsid w:val="00B5345E"/>
    <w:rsid w:val="00B5348B"/>
    <w:rsid w:val="00B534AD"/>
    <w:rsid w:val="00B53544"/>
    <w:rsid w:val="00B5359D"/>
    <w:rsid w:val="00B5359E"/>
    <w:rsid w:val="00B5364E"/>
    <w:rsid w:val="00B539F4"/>
    <w:rsid w:val="00B53BCB"/>
    <w:rsid w:val="00B53C4E"/>
    <w:rsid w:val="00B53CA3"/>
    <w:rsid w:val="00B53D29"/>
    <w:rsid w:val="00B53D84"/>
    <w:rsid w:val="00B53F23"/>
    <w:rsid w:val="00B540B2"/>
    <w:rsid w:val="00B540DB"/>
    <w:rsid w:val="00B543C4"/>
    <w:rsid w:val="00B544DE"/>
    <w:rsid w:val="00B545B1"/>
    <w:rsid w:val="00B54632"/>
    <w:rsid w:val="00B5478A"/>
    <w:rsid w:val="00B54828"/>
    <w:rsid w:val="00B54845"/>
    <w:rsid w:val="00B5499B"/>
    <w:rsid w:val="00B549DC"/>
    <w:rsid w:val="00B54A07"/>
    <w:rsid w:val="00B54A0A"/>
    <w:rsid w:val="00B54B53"/>
    <w:rsid w:val="00B54D7D"/>
    <w:rsid w:val="00B54DD5"/>
    <w:rsid w:val="00B54E0C"/>
    <w:rsid w:val="00B54E60"/>
    <w:rsid w:val="00B54EF9"/>
    <w:rsid w:val="00B54F39"/>
    <w:rsid w:val="00B54FB8"/>
    <w:rsid w:val="00B54FF1"/>
    <w:rsid w:val="00B55068"/>
    <w:rsid w:val="00B550F7"/>
    <w:rsid w:val="00B55196"/>
    <w:rsid w:val="00B5538C"/>
    <w:rsid w:val="00B555B7"/>
    <w:rsid w:val="00B556B6"/>
    <w:rsid w:val="00B5573C"/>
    <w:rsid w:val="00B55838"/>
    <w:rsid w:val="00B55A5D"/>
    <w:rsid w:val="00B55C80"/>
    <w:rsid w:val="00B55D00"/>
    <w:rsid w:val="00B55E4F"/>
    <w:rsid w:val="00B55FBB"/>
    <w:rsid w:val="00B55FF0"/>
    <w:rsid w:val="00B56065"/>
    <w:rsid w:val="00B5610B"/>
    <w:rsid w:val="00B565AD"/>
    <w:rsid w:val="00B567A1"/>
    <w:rsid w:val="00B567C4"/>
    <w:rsid w:val="00B568E7"/>
    <w:rsid w:val="00B56B5C"/>
    <w:rsid w:val="00B56B81"/>
    <w:rsid w:val="00B56BAC"/>
    <w:rsid w:val="00B56BD1"/>
    <w:rsid w:val="00B56E3C"/>
    <w:rsid w:val="00B56E95"/>
    <w:rsid w:val="00B56FFE"/>
    <w:rsid w:val="00B5710A"/>
    <w:rsid w:val="00B57375"/>
    <w:rsid w:val="00B57387"/>
    <w:rsid w:val="00B57402"/>
    <w:rsid w:val="00B5743A"/>
    <w:rsid w:val="00B57490"/>
    <w:rsid w:val="00B57677"/>
    <w:rsid w:val="00B57821"/>
    <w:rsid w:val="00B57987"/>
    <w:rsid w:val="00B57A42"/>
    <w:rsid w:val="00B57DC2"/>
    <w:rsid w:val="00B57E69"/>
    <w:rsid w:val="00B6005D"/>
    <w:rsid w:val="00B6014A"/>
    <w:rsid w:val="00B603B1"/>
    <w:rsid w:val="00B6046A"/>
    <w:rsid w:val="00B605BC"/>
    <w:rsid w:val="00B605F3"/>
    <w:rsid w:val="00B6067D"/>
    <w:rsid w:val="00B606E7"/>
    <w:rsid w:val="00B6090F"/>
    <w:rsid w:val="00B60930"/>
    <w:rsid w:val="00B60A26"/>
    <w:rsid w:val="00B60EFA"/>
    <w:rsid w:val="00B6107D"/>
    <w:rsid w:val="00B6115B"/>
    <w:rsid w:val="00B61201"/>
    <w:rsid w:val="00B61425"/>
    <w:rsid w:val="00B61446"/>
    <w:rsid w:val="00B6154F"/>
    <w:rsid w:val="00B61563"/>
    <w:rsid w:val="00B617C2"/>
    <w:rsid w:val="00B6181B"/>
    <w:rsid w:val="00B61843"/>
    <w:rsid w:val="00B618AA"/>
    <w:rsid w:val="00B61A3C"/>
    <w:rsid w:val="00B61A64"/>
    <w:rsid w:val="00B61C20"/>
    <w:rsid w:val="00B61CA9"/>
    <w:rsid w:val="00B620AC"/>
    <w:rsid w:val="00B62121"/>
    <w:rsid w:val="00B6227E"/>
    <w:rsid w:val="00B622CB"/>
    <w:rsid w:val="00B6237A"/>
    <w:rsid w:val="00B62393"/>
    <w:rsid w:val="00B623FB"/>
    <w:rsid w:val="00B6242B"/>
    <w:rsid w:val="00B62747"/>
    <w:rsid w:val="00B628B6"/>
    <w:rsid w:val="00B62A3F"/>
    <w:rsid w:val="00B62BC8"/>
    <w:rsid w:val="00B62D03"/>
    <w:rsid w:val="00B62D27"/>
    <w:rsid w:val="00B62D2C"/>
    <w:rsid w:val="00B62D4A"/>
    <w:rsid w:val="00B62D8F"/>
    <w:rsid w:val="00B62E4E"/>
    <w:rsid w:val="00B62F9D"/>
    <w:rsid w:val="00B62FD9"/>
    <w:rsid w:val="00B6302C"/>
    <w:rsid w:val="00B6309F"/>
    <w:rsid w:val="00B631BA"/>
    <w:rsid w:val="00B631ED"/>
    <w:rsid w:val="00B6325F"/>
    <w:rsid w:val="00B632B7"/>
    <w:rsid w:val="00B63441"/>
    <w:rsid w:val="00B6386C"/>
    <w:rsid w:val="00B63896"/>
    <w:rsid w:val="00B63A8E"/>
    <w:rsid w:val="00B63B92"/>
    <w:rsid w:val="00B63D4E"/>
    <w:rsid w:val="00B63D85"/>
    <w:rsid w:val="00B63EBF"/>
    <w:rsid w:val="00B63F91"/>
    <w:rsid w:val="00B6429E"/>
    <w:rsid w:val="00B64384"/>
    <w:rsid w:val="00B6458D"/>
    <w:rsid w:val="00B6464A"/>
    <w:rsid w:val="00B647CC"/>
    <w:rsid w:val="00B64882"/>
    <w:rsid w:val="00B64897"/>
    <w:rsid w:val="00B648A2"/>
    <w:rsid w:val="00B64940"/>
    <w:rsid w:val="00B6495B"/>
    <w:rsid w:val="00B649A1"/>
    <w:rsid w:val="00B649D3"/>
    <w:rsid w:val="00B64AAA"/>
    <w:rsid w:val="00B64AAE"/>
    <w:rsid w:val="00B64BFC"/>
    <w:rsid w:val="00B64C7E"/>
    <w:rsid w:val="00B64E73"/>
    <w:rsid w:val="00B64ED4"/>
    <w:rsid w:val="00B64F90"/>
    <w:rsid w:val="00B64FA3"/>
    <w:rsid w:val="00B64FC2"/>
    <w:rsid w:val="00B65066"/>
    <w:rsid w:val="00B65098"/>
    <w:rsid w:val="00B6515B"/>
    <w:rsid w:val="00B65166"/>
    <w:rsid w:val="00B651C1"/>
    <w:rsid w:val="00B651CE"/>
    <w:rsid w:val="00B652C5"/>
    <w:rsid w:val="00B6530D"/>
    <w:rsid w:val="00B65340"/>
    <w:rsid w:val="00B65359"/>
    <w:rsid w:val="00B653DA"/>
    <w:rsid w:val="00B655C3"/>
    <w:rsid w:val="00B65609"/>
    <w:rsid w:val="00B65802"/>
    <w:rsid w:val="00B6585A"/>
    <w:rsid w:val="00B658D6"/>
    <w:rsid w:val="00B65941"/>
    <w:rsid w:val="00B65BB8"/>
    <w:rsid w:val="00B65C74"/>
    <w:rsid w:val="00B65D4D"/>
    <w:rsid w:val="00B65EEA"/>
    <w:rsid w:val="00B65F03"/>
    <w:rsid w:val="00B66179"/>
    <w:rsid w:val="00B66398"/>
    <w:rsid w:val="00B664EA"/>
    <w:rsid w:val="00B66501"/>
    <w:rsid w:val="00B665BC"/>
    <w:rsid w:val="00B666D9"/>
    <w:rsid w:val="00B668DF"/>
    <w:rsid w:val="00B66A53"/>
    <w:rsid w:val="00B66C06"/>
    <w:rsid w:val="00B66CE2"/>
    <w:rsid w:val="00B66D9D"/>
    <w:rsid w:val="00B66E32"/>
    <w:rsid w:val="00B66EFF"/>
    <w:rsid w:val="00B67099"/>
    <w:rsid w:val="00B670A2"/>
    <w:rsid w:val="00B675E0"/>
    <w:rsid w:val="00B67636"/>
    <w:rsid w:val="00B67A58"/>
    <w:rsid w:val="00B67AD8"/>
    <w:rsid w:val="00B67BBD"/>
    <w:rsid w:val="00B67D33"/>
    <w:rsid w:val="00B70066"/>
    <w:rsid w:val="00B701B1"/>
    <w:rsid w:val="00B701EF"/>
    <w:rsid w:val="00B7028B"/>
    <w:rsid w:val="00B7029C"/>
    <w:rsid w:val="00B70342"/>
    <w:rsid w:val="00B7050E"/>
    <w:rsid w:val="00B70726"/>
    <w:rsid w:val="00B70B1E"/>
    <w:rsid w:val="00B70B2F"/>
    <w:rsid w:val="00B70DE7"/>
    <w:rsid w:val="00B70E06"/>
    <w:rsid w:val="00B70E20"/>
    <w:rsid w:val="00B70E4B"/>
    <w:rsid w:val="00B70FEB"/>
    <w:rsid w:val="00B71086"/>
    <w:rsid w:val="00B710FE"/>
    <w:rsid w:val="00B71209"/>
    <w:rsid w:val="00B71220"/>
    <w:rsid w:val="00B71537"/>
    <w:rsid w:val="00B7157E"/>
    <w:rsid w:val="00B71631"/>
    <w:rsid w:val="00B71730"/>
    <w:rsid w:val="00B71875"/>
    <w:rsid w:val="00B7193A"/>
    <w:rsid w:val="00B71D2C"/>
    <w:rsid w:val="00B71EDC"/>
    <w:rsid w:val="00B71F7F"/>
    <w:rsid w:val="00B71F8E"/>
    <w:rsid w:val="00B7211B"/>
    <w:rsid w:val="00B72158"/>
    <w:rsid w:val="00B72293"/>
    <w:rsid w:val="00B722BE"/>
    <w:rsid w:val="00B722F2"/>
    <w:rsid w:val="00B723FC"/>
    <w:rsid w:val="00B72514"/>
    <w:rsid w:val="00B72528"/>
    <w:rsid w:val="00B72953"/>
    <w:rsid w:val="00B72A52"/>
    <w:rsid w:val="00B72A7C"/>
    <w:rsid w:val="00B72D82"/>
    <w:rsid w:val="00B72F29"/>
    <w:rsid w:val="00B730DB"/>
    <w:rsid w:val="00B73408"/>
    <w:rsid w:val="00B73446"/>
    <w:rsid w:val="00B7355D"/>
    <w:rsid w:val="00B7364B"/>
    <w:rsid w:val="00B7376F"/>
    <w:rsid w:val="00B73951"/>
    <w:rsid w:val="00B73D99"/>
    <w:rsid w:val="00B74164"/>
    <w:rsid w:val="00B74253"/>
    <w:rsid w:val="00B7440E"/>
    <w:rsid w:val="00B745F3"/>
    <w:rsid w:val="00B74665"/>
    <w:rsid w:val="00B74774"/>
    <w:rsid w:val="00B747E1"/>
    <w:rsid w:val="00B748BD"/>
    <w:rsid w:val="00B748D3"/>
    <w:rsid w:val="00B74BD0"/>
    <w:rsid w:val="00B74F06"/>
    <w:rsid w:val="00B74FFA"/>
    <w:rsid w:val="00B750D0"/>
    <w:rsid w:val="00B75177"/>
    <w:rsid w:val="00B75242"/>
    <w:rsid w:val="00B7560B"/>
    <w:rsid w:val="00B75776"/>
    <w:rsid w:val="00B75986"/>
    <w:rsid w:val="00B75994"/>
    <w:rsid w:val="00B75B1F"/>
    <w:rsid w:val="00B75BE5"/>
    <w:rsid w:val="00B75DC2"/>
    <w:rsid w:val="00B75E31"/>
    <w:rsid w:val="00B75F19"/>
    <w:rsid w:val="00B7604B"/>
    <w:rsid w:val="00B7609D"/>
    <w:rsid w:val="00B76373"/>
    <w:rsid w:val="00B7652C"/>
    <w:rsid w:val="00B7665C"/>
    <w:rsid w:val="00B7684A"/>
    <w:rsid w:val="00B7690E"/>
    <w:rsid w:val="00B7692A"/>
    <w:rsid w:val="00B769ED"/>
    <w:rsid w:val="00B769F0"/>
    <w:rsid w:val="00B76BDA"/>
    <w:rsid w:val="00B76BFA"/>
    <w:rsid w:val="00B76EB7"/>
    <w:rsid w:val="00B76F06"/>
    <w:rsid w:val="00B7708E"/>
    <w:rsid w:val="00B773EA"/>
    <w:rsid w:val="00B7748E"/>
    <w:rsid w:val="00B77513"/>
    <w:rsid w:val="00B77544"/>
    <w:rsid w:val="00B77963"/>
    <w:rsid w:val="00B77B5E"/>
    <w:rsid w:val="00B77BEB"/>
    <w:rsid w:val="00B77C95"/>
    <w:rsid w:val="00B77CA0"/>
    <w:rsid w:val="00B77E95"/>
    <w:rsid w:val="00B77EF7"/>
    <w:rsid w:val="00B801FB"/>
    <w:rsid w:val="00B802D9"/>
    <w:rsid w:val="00B803C0"/>
    <w:rsid w:val="00B80418"/>
    <w:rsid w:val="00B80474"/>
    <w:rsid w:val="00B80AC6"/>
    <w:rsid w:val="00B80B15"/>
    <w:rsid w:val="00B80B55"/>
    <w:rsid w:val="00B80BB1"/>
    <w:rsid w:val="00B80CF7"/>
    <w:rsid w:val="00B80DD7"/>
    <w:rsid w:val="00B80EC6"/>
    <w:rsid w:val="00B80F10"/>
    <w:rsid w:val="00B80F68"/>
    <w:rsid w:val="00B810E2"/>
    <w:rsid w:val="00B812D6"/>
    <w:rsid w:val="00B8130D"/>
    <w:rsid w:val="00B8147A"/>
    <w:rsid w:val="00B8162F"/>
    <w:rsid w:val="00B817D5"/>
    <w:rsid w:val="00B8180E"/>
    <w:rsid w:val="00B81826"/>
    <w:rsid w:val="00B81847"/>
    <w:rsid w:val="00B81952"/>
    <w:rsid w:val="00B81E6E"/>
    <w:rsid w:val="00B82195"/>
    <w:rsid w:val="00B8254B"/>
    <w:rsid w:val="00B825CD"/>
    <w:rsid w:val="00B82648"/>
    <w:rsid w:val="00B82843"/>
    <w:rsid w:val="00B8292C"/>
    <w:rsid w:val="00B82B38"/>
    <w:rsid w:val="00B82E76"/>
    <w:rsid w:val="00B82EEB"/>
    <w:rsid w:val="00B82F4C"/>
    <w:rsid w:val="00B830C2"/>
    <w:rsid w:val="00B83240"/>
    <w:rsid w:val="00B832E0"/>
    <w:rsid w:val="00B83432"/>
    <w:rsid w:val="00B8345D"/>
    <w:rsid w:val="00B83502"/>
    <w:rsid w:val="00B8350A"/>
    <w:rsid w:val="00B8354D"/>
    <w:rsid w:val="00B83747"/>
    <w:rsid w:val="00B837D0"/>
    <w:rsid w:val="00B838B0"/>
    <w:rsid w:val="00B83A04"/>
    <w:rsid w:val="00B83A61"/>
    <w:rsid w:val="00B83A7E"/>
    <w:rsid w:val="00B83AD7"/>
    <w:rsid w:val="00B83C41"/>
    <w:rsid w:val="00B83C76"/>
    <w:rsid w:val="00B83D18"/>
    <w:rsid w:val="00B83E0E"/>
    <w:rsid w:val="00B83F59"/>
    <w:rsid w:val="00B83F7A"/>
    <w:rsid w:val="00B83F7E"/>
    <w:rsid w:val="00B83FEC"/>
    <w:rsid w:val="00B84025"/>
    <w:rsid w:val="00B840B1"/>
    <w:rsid w:val="00B84142"/>
    <w:rsid w:val="00B843C8"/>
    <w:rsid w:val="00B84596"/>
    <w:rsid w:val="00B84643"/>
    <w:rsid w:val="00B8478F"/>
    <w:rsid w:val="00B8481D"/>
    <w:rsid w:val="00B8483F"/>
    <w:rsid w:val="00B84A59"/>
    <w:rsid w:val="00B84B41"/>
    <w:rsid w:val="00B84BA0"/>
    <w:rsid w:val="00B84C8E"/>
    <w:rsid w:val="00B85042"/>
    <w:rsid w:val="00B8504B"/>
    <w:rsid w:val="00B851DB"/>
    <w:rsid w:val="00B85445"/>
    <w:rsid w:val="00B8567E"/>
    <w:rsid w:val="00B8571B"/>
    <w:rsid w:val="00B85756"/>
    <w:rsid w:val="00B8575B"/>
    <w:rsid w:val="00B8584A"/>
    <w:rsid w:val="00B858DA"/>
    <w:rsid w:val="00B85B96"/>
    <w:rsid w:val="00B85C2B"/>
    <w:rsid w:val="00B85D9B"/>
    <w:rsid w:val="00B85DC0"/>
    <w:rsid w:val="00B85E2F"/>
    <w:rsid w:val="00B85EEE"/>
    <w:rsid w:val="00B85F38"/>
    <w:rsid w:val="00B85FE8"/>
    <w:rsid w:val="00B86311"/>
    <w:rsid w:val="00B86384"/>
    <w:rsid w:val="00B86429"/>
    <w:rsid w:val="00B864FB"/>
    <w:rsid w:val="00B86634"/>
    <w:rsid w:val="00B86642"/>
    <w:rsid w:val="00B866DB"/>
    <w:rsid w:val="00B8694C"/>
    <w:rsid w:val="00B86974"/>
    <w:rsid w:val="00B86ACF"/>
    <w:rsid w:val="00B86B94"/>
    <w:rsid w:val="00B86DB2"/>
    <w:rsid w:val="00B86FED"/>
    <w:rsid w:val="00B8700F"/>
    <w:rsid w:val="00B8712F"/>
    <w:rsid w:val="00B871D2"/>
    <w:rsid w:val="00B87357"/>
    <w:rsid w:val="00B873AB"/>
    <w:rsid w:val="00B873C6"/>
    <w:rsid w:val="00B87494"/>
    <w:rsid w:val="00B874C7"/>
    <w:rsid w:val="00B8755C"/>
    <w:rsid w:val="00B87582"/>
    <w:rsid w:val="00B8760D"/>
    <w:rsid w:val="00B8768D"/>
    <w:rsid w:val="00B876AB"/>
    <w:rsid w:val="00B87C85"/>
    <w:rsid w:val="00B87D19"/>
    <w:rsid w:val="00B87E03"/>
    <w:rsid w:val="00B9011C"/>
    <w:rsid w:val="00B9013F"/>
    <w:rsid w:val="00B90188"/>
    <w:rsid w:val="00B90189"/>
    <w:rsid w:val="00B90631"/>
    <w:rsid w:val="00B907A8"/>
    <w:rsid w:val="00B90833"/>
    <w:rsid w:val="00B909C6"/>
    <w:rsid w:val="00B90C83"/>
    <w:rsid w:val="00B90D7A"/>
    <w:rsid w:val="00B90EC0"/>
    <w:rsid w:val="00B90FE1"/>
    <w:rsid w:val="00B9110D"/>
    <w:rsid w:val="00B91149"/>
    <w:rsid w:val="00B911C2"/>
    <w:rsid w:val="00B91302"/>
    <w:rsid w:val="00B91470"/>
    <w:rsid w:val="00B91599"/>
    <w:rsid w:val="00B91619"/>
    <w:rsid w:val="00B91683"/>
    <w:rsid w:val="00B916BE"/>
    <w:rsid w:val="00B9175A"/>
    <w:rsid w:val="00B917EF"/>
    <w:rsid w:val="00B91921"/>
    <w:rsid w:val="00B919E5"/>
    <w:rsid w:val="00B91AD3"/>
    <w:rsid w:val="00B91ADB"/>
    <w:rsid w:val="00B91D45"/>
    <w:rsid w:val="00B91E2E"/>
    <w:rsid w:val="00B92012"/>
    <w:rsid w:val="00B920D5"/>
    <w:rsid w:val="00B92279"/>
    <w:rsid w:val="00B92331"/>
    <w:rsid w:val="00B92466"/>
    <w:rsid w:val="00B92589"/>
    <w:rsid w:val="00B92889"/>
    <w:rsid w:val="00B92906"/>
    <w:rsid w:val="00B92AE3"/>
    <w:rsid w:val="00B92E4D"/>
    <w:rsid w:val="00B92E73"/>
    <w:rsid w:val="00B9308B"/>
    <w:rsid w:val="00B93265"/>
    <w:rsid w:val="00B933BF"/>
    <w:rsid w:val="00B9365D"/>
    <w:rsid w:val="00B93665"/>
    <w:rsid w:val="00B9389E"/>
    <w:rsid w:val="00B93F51"/>
    <w:rsid w:val="00B94035"/>
    <w:rsid w:val="00B943BD"/>
    <w:rsid w:val="00B94605"/>
    <w:rsid w:val="00B94811"/>
    <w:rsid w:val="00B94A3F"/>
    <w:rsid w:val="00B94C23"/>
    <w:rsid w:val="00B94C50"/>
    <w:rsid w:val="00B94E62"/>
    <w:rsid w:val="00B94F86"/>
    <w:rsid w:val="00B94FB4"/>
    <w:rsid w:val="00B94FE1"/>
    <w:rsid w:val="00B950BD"/>
    <w:rsid w:val="00B951C8"/>
    <w:rsid w:val="00B9538E"/>
    <w:rsid w:val="00B956B9"/>
    <w:rsid w:val="00B95841"/>
    <w:rsid w:val="00B958AD"/>
    <w:rsid w:val="00B95A48"/>
    <w:rsid w:val="00B95BD8"/>
    <w:rsid w:val="00B95C45"/>
    <w:rsid w:val="00B95D4A"/>
    <w:rsid w:val="00B95DB6"/>
    <w:rsid w:val="00B95E10"/>
    <w:rsid w:val="00B95F26"/>
    <w:rsid w:val="00B95F51"/>
    <w:rsid w:val="00B95F68"/>
    <w:rsid w:val="00B96091"/>
    <w:rsid w:val="00B960DB"/>
    <w:rsid w:val="00B96103"/>
    <w:rsid w:val="00B96116"/>
    <w:rsid w:val="00B9617E"/>
    <w:rsid w:val="00B9624D"/>
    <w:rsid w:val="00B96279"/>
    <w:rsid w:val="00B96284"/>
    <w:rsid w:val="00B96386"/>
    <w:rsid w:val="00B96448"/>
    <w:rsid w:val="00B964CE"/>
    <w:rsid w:val="00B964DE"/>
    <w:rsid w:val="00B964E4"/>
    <w:rsid w:val="00B966DF"/>
    <w:rsid w:val="00B969AC"/>
    <w:rsid w:val="00B96B68"/>
    <w:rsid w:val="00B96DDC"/>
    <w:rsid w:val="00B96EA2"/>
    <w:rsid w:val="00B96EC9"/>
    <w:rsid w:val="00B9706F"/>
    <w:rsid w:val="00B9709E"/>
    <w:rsid w:val="00B972E0"/>
    <w:rsid w:val="00B97387"/>
    <w:rsid w:val="00B9747A"/>
    <w:rsid w:val="00B974BC"/>
    <w:rsid w:val="00B974D4"/>
    <w:rsid w:val="00B97533"/>
    <w:rsid w:val="00B9774B"/>
    <w:rsid w:val="00B9784D"/>
    <w:rsid w:val="00B97AFC"/>
    <w:rsid w:val="00B97B61"/>
    <w:rsid w:val="00B97B86"/>
    <w:rsid w:val="00B97BD8"/>
    <w:rsid w:val="00B97CE9"/>
    <w:rsid w:val="00B97F06"/>
    <w:rsid w:val="00BA01EB"/>
    <w:rsid w:val="00BA0380"/>
    <w:rsid w:val="00BA040A"/>
    <w:rsid w:val="00BA05D2"/>
    <w:rsid w:val="00BA0743"/>
    <w:rsid w:val="00BA07DA"/>
    <w:rsid w:val="00BA0846"/>
    <w:rsid w:val="00BA0B8B"/>
    <w:rsid w:val="00BA0C9F"/>
    <w:rsid w:val="00BA0FF5"/>
    <w:rsid w:val="00BA1001"/>
    <w:rsid w:val="00BA1005"/>
    <w:rsid w:val="00BA11F3"/>
    <w:rsid w:val="00BA1264"/>
    <w:rsid w:val="00BA1388"/>
    <w:rsid w:val="00BA149B"/>
    <w:rsid w:val="00BA1686"/>
    <w:rsid w:val="00BA1696"/>
    <w:rsid w:val="00BA1842"/>
    <w:rsid w:val="00BA18D4"/>
    <w:rsid w:val="00BA19F3"/>
    <w:rsid w:val="00BA1A08"/>
    <w:rsid w:val="00BA1AEC"/>
    <w:rsid w:val="00BA1B73"/>
    <w:rsid w:val="00BA1D08"/>
    <w:rsid w:val="00BA1D0C"/>
    <w:rsid w:val="00BA1DA8"/>
    <w:rsid w:val="00BA1DD2"/>
    <w:rsid w:val="00BA1E1C"/>
    <w:rsid w:val="00BA1EFE"/>
    <w:rsid w:val="00BA2090"/>
    <w:rsid w:val="00BA220A"/>
    <w:rsid w:val="00BA2392"/>
    <w:rsid w:val="00BA26D9"/>
    <w:rsid w:val="00BA2786"/>
    <w:rsid w:val="00BA28AB"/>
    <w:rsid w:val="00BA29B6"/>
    <w:rsid w:val="00BA2B2F"/>
    <w:rsid w:val="00BA2FA6"/>
    <w:rsid w:val="00BA313F"/>
    <w:rsid w:val="00BA32C4"/>
    <w:rsid w:val="00BA32E1"/>
    <w:rsid w:val="00BA3467"/>
    <w:rsid w:val="00BA352C"/>
    <w:rsid w:val="00BA36F2"/>
    <w:rsid w:val="00BA39E8"/>
    <w:rsid w:val="00BA3D54"/>
    <w:rsid w:val="00BA3FC0"/>
    <w:rsid w:val="00BA4019"/>
    <w:rsid w:val="00BA40D8"/>
    <w:rsid w:val="00BA42ED"/>
    <w:rsid w:val="00BA449D"/>
    <w:rsid w:val="00BA4800"/>
    <w:rsid w:val="00BA48C6"/>
    <w:rsid w:val="00BA492B"/>
    <w:rsid w:val="00BA4AA7"/>
    <w:rsid w:val="00BA4D19"/>
    <w:rsid w:val="00BA4D74"/>
    <w:rsid w:val="00BA4F13"/>
    <w:rsid w:val="00BA5052"/>
    <w:rsid w:val="00BA5073"/>
    <w:rsid w:val="00BA53AC"/>
    <w:rsid w:val="00BA546E"/>
    <w:rsid w:val="00BA54E8"/>
    <w:rsid w:val="00BA55E8"/>
    <w:rsid w:val="00BA5639"/>
    <w:rsid w:val="00BA5722"/>
    <w:rsid w:val="00BA57B0"/>
    <w:rsid w:val="00BA597E"/>
    <w:rsid w:val="00BA59F4"/>
    <w:rsid w:val="00BA5A50"/>
    <w:rsid w:val="00BA5BAA"/>
    <w:rsid w:val="00BA5BD8"/>
    <w:rsid w:val="00BA5CFD"/>
    <w:rsid w:val="00BA5DC7"/>
    <w:rsid w:val="00BA5E8F"/>
    <w:rsid w:val="00BA5F3C"/>
    <w:rsid w:val="00BA6142"/>
    <w:rsid w:val="00BA6172"/>
    <w:rsid w:val="00BA61F6"/>
    <w:rsid w:val="00BA623D"/>
    <w:rsid w:val="00BA6445"/>
    <w:rsid w:val="00BA64AF"/>
    <w:rsid w:val="00BA6507"/>
    <w:rsid w:val="00BA6518"/>
    <w:rsid w:val="00BA6973"/>
    <w:rsid w:val="00BA69D6"/>
    <w:rsid w:val="00BA6B68"/>
    <w:rsid w:val="00BA6C51"/>
    <w:rsid w:val="00BA6C56"/>
    <w:rsid w:val="00BA6D85"/>
    <w:rsid w:val="00BA6E0A"/>
    <w:rsid w:val="00BA6E62"/>
    <w:rsid w:val="00BA6E79"/>
    <w:rsid w:val="00BA7136"/>
    <w:rsid w:val="00BA72B9"/>
    <w:rsid w:val="00BA7397"/>
    <w:rsid w:val="00BA74DD"/>
    <w:rsid w:val="00BA773C"/>
    <w:rsid w:val="00BA79BB"/>
    <w:rsid w:val="00BA7A63"/>
    <w:rsid w:val="00BA7C89"/>
    <w:rsid w:val="00BA7D1A"/>
    <w:rsid w:val="00BA7DD4"/>
    <w:rsid w:val="00BA7EFD"/>
    <w:rsid w:val="00BA7F64"/>
    <w:rsid w:val="00BB0023"/>
    <w:rsid w:val="00BB007A"/>
    <w:rsid w:val="00BB00BB"/>
    <w:rsid w:val="00BB0135"/>
    <w:rsid w:val="00BB0362"/>
    <w:rsid w:val="00BB056F"/>
    <w:rsid w:val="00BB06C0"/>
    <w:rsid w:val="00BB06F6"/>
    <w:rsid w:val="00BB07DE"/>
    <w:rsid w:val="00BB08D2"/>
    <w:rsid w:val="00BB0976"/>
    <w:rsid w:val="00BB0A39"/>
    <w:rsid w:val="00BB0B37"/>
    <w:rsid w:val="00BB0C4A"/>
    <w:rsid w:val="00BB0CB1"/>
    <w:rsid w:val="00BB0EA1"/>
    <w:rsid w:val="00BB104C"/>
    <w:rsid w:val="00BB10CB"/>
    <w:rsid w:val="00BB1109"/>
    <w:rsid w:val="00BB1121"/>
    <w:rsid w:val="00BB1183"/>
    <w:rsid w:val="00BB11D1"/>
    <w:rsid w:val="00BB1206"/>
    <w:rsid w:val="00BB1235"/>
    <w:rsid w:val="00BB1248"/>
    <w:rsid w:val="00BB1262"/>
    <w:rsid w:val="00BB154C"/>
    <w:rsid w:val="00BB1844"/>
    <w:rsid w:val="00BB1A59"/>
    <w:rsid w:val="00BB1AC2"/>
    <w:rsid w:val="00BB1CF3"/>
    <w:rsid w:val="00BB1D19"/>
    <w:rsid w:val="00BB1DB6"/>
    <w:rsid w:val="00BB1EBD"/>
    <w:rsid w:val="00BB20B3"/>
    <w:rsid w:val="00BB2179"/>
    <w:rsid w:val="00BB21D7"/>
    <w:rsid w:val="00BB2475"/>
    <w:rsid w:val="00BB2589"/>
    <w:rsid w:val="00BB25A3"/>
    <w:rsid w:val="00BB25B3"/>
    <w:rsid w:val="00BB280F"/>
    <w:rsid w:val="00BB2CC4"/>
    <w:rsid w:val="00BB2D84"/>
    <w:rsid w:val="00BB3090"/>
    <w:rsid w:val="00BB326B"/>
    <w:rsid w:val="00BB3278"/>
    <w:rsid w:val="00BB36FD"/>
    <w:rsid w:val="00BB37BF"/>
    <w:rsid w:val="00BB391C"/>
    <w:rsid w:val="00BB39F4"/>
    <w:rsid w:val="00BB3B44"/>
    <w:rsid w:val="00BB3BF7"/>
    <w:rsid w:val="00BB3E6A"/>
    <w:rsid w:val="00BB3FD1"/>
    <w:rsid w:val="00BB4019"/>
    <w:rsid w:val="00BB40FD"/>
    <w:rsid w:val="00BB4249"/>
    <w:rsid w:val="00BB45D4"/>
    <w:rsid w:val="00BB4652"/>
    <w:rsid w:val="00BB47A4"/>
    <w:rsid w:val="00BB48FE"/>
    <w:rsid w:val="00BB493A"/>
    <w:rsid w:val="00BB4F6B"/>
    <w:rsid w:val="00BB50A0"/>
    <w:rsid w:val="00BB50CD"/>
    <w:rsid w:val="00BB5382"/>
    <w:rsid w:val="00BB57C9"/>
    <w:rsid w:val="00BB57CC"/>
    <w:rsid w:val="00BB586B"/>
    <w:rsid w:val="00BB5A3D"/>
    <w:rsid w:val="00BB5B85"/>
    <w:rsid w:val="00BB5CB4"/>
    <w:rsid w:val="00BB5F40"/>
    <w:rsid w:val="00BB6011"/>
    <w:rsid w:val="00BB6126"/>
    <w:rsid w:val="00BB6563"/>
    <w:rsid w:val="00BB679F"/>
    <w:rsid w:val="00BB689D"/>
    <w:rsid w:val="00BB6A73"/>
    <w:rsid w:val="00BB6AC9"/>
    <w:rsid w:val="00BB6B53"/>
    <w:rsid w:val="00BB6BD3"/>
    <w:rsid w:val="00BB6C81"/>
    <w:rsid w:val="00BB6C8E"/>
    <w:rsid w:val="00BB6CC0"/>
    <w:rsid w:val="00BB6D3B"/>
    <w:rsid w:val="00BB6EFF"/>
    <w:rsid w:val="00BB6F44"/>
    <w:rsid w:val="00BB6F85"/>
    <w:rsid w:val="00BB6FAB"/>
    <w:rsid w:val="00BB708C"/>
    <w:rsid w:val="00BB718D"/>
    <w:rsid w:val="00BB7416"/>
    <w:rsid w:val="00BB7672"/>
    <w:rsid w:val="00BB76AC"/>
    <w:rsid w:val="00BB7724"/>
    <w:rsid w:val="00BB779F"/>
    <w:rsid w:val="00BB786C"/>
    <w:rsid w:val="00BB78B8"/>
    <w:rsid w:val="00BB798B"/>
    <w:rsid w:val="00BB7B49"/>
    <w:rsid w:val="00BB7DEB"/>
    <w:rsid w:val="00BB7E05"/>
    <w:rsid w:val="00BB7E25"/>
    <w:rsid w:val="00BB7F1E"/>
    <w:rsid w:val="00BB7F85"/>
    <w:rsid w:val="00BB7F8E"/>
    <w:rsid w:val="00BB7FF8"/>
    <w:rsid w:val="00BC00D1"/>
    <w:rsid w:val="00BC0107"/>
    <w:rsid w:val="00BC018A"/>
    <w:rsid w:val="00BC0420"/>
    <w:rsid w:val="00BC04D4"/>
    <w:rsid w:val="00BC05D5"/>
    <w:rsid w:val="00BC0E7C"/>
    <w:rsid w:val="00BC0F54"/>
    <w:rsid w:val="00BC1236"/>
    <w:rsid w:val="00BC12A0"/>
    <w:rsid w:val="00BC13E0"/>
    <w:rsid w:val="00BC157D"/>
    <w:rsid w:val="00BC161E"/>
    <w:rsid w:val="00BC16BF"/>
    <w:rsid w:val="00BC16E2"/>
    <w:rsid w:val="00BC1B1E"/>
    <w:rsid w:val="00BC1B3B"/>
    <w:rsid w:val="00BC1B45"/>
    <w:rsid w:val="00BC1BFE"/>
    <w:rsid w:val="00BC1C38"/>
    <w:rsid w:val="00BC1D0A"/>
    <w:rsid w:val="00BC1D29"/>
    <w:rsid w:val="00BC1D34"/>
    <w:rsid w:val="00BC1D78"/>
    <w:rsid w:val="00BC1DE6"/>
    <w:rsid w:val="00BC1FFD"/>
    <w:rsid w:val="00BC207A"/>
    <w:rsid w:val="00BC228A"/>
    <w:rsid w:val="00BC229B"/>
    <w:rsid w:val="00BC252D"/>
    <w:rsid w:val="00BC2593"/>
    <w:rsid w:val="00BC2623"/>
    <w:rsid w:val="00BC276E"/>
    <w:rsid w:val="00BC2983"/>
    <w:rsid w:val="00BC29D3"/>
    <w:rsid w:val="00BC2A14"/>
    <w:rsid w:val="00BC2A45"/>
    <w:rsid w:val="00BC2AA2"/>
    <w:rsid w:val="00BC2AF1"/>
    <w:rsid w:val="00BC2B45"/>
    <w:rsid w:val="00BC2B8C"/>
    <w:rsid w:val="00BC2B99"/>
    <w:rsid w:val="00BC2E73"/>
    <w:rsid w:val="00BC2EB5"/>
    <w:rsid w:val="00BC2FDA"/>
    <w:rsid w:val="00BC3001"/>
    <w:rsid w:val="00BC30FB"/>
    <w:rsid w:val="00BC3127"/>
    <w:rsid w:val="00BC32F8"/>
    <w:rsid w:val="00BC3500"/>
    <w:rsid w:val="00BC37A3"/>
    <w:rsid w:val="00BC37CA"/>
    <w:rsid w:val="00BC3806"/>
    <w:rsid w:val="00BC387A"/>
    <w:rsid w:val="00BC39F0"/>
    <w:rsid w:val="00BC3B38"/>
    <w:rsid w:val="00BC3E75"/>
    <w:rsid w:val="00BC3E7E"/>
    <w:rsid w:val="00BC3FDA"/>
    <w:rsid w:val="00BC40F2"/>
    <w:rsid w:val="00BC4230"/>
    <w:rsid w:val="00BC436A"/>
    <w:rsid w:val="00BC437A"/>
    <w:rsid w:val="00BC447A"/>
    <w:rsid w:val="00BC45DD"/>
    <w:rsid w:val="00BC46C6"/>
    <w:rsid w:val="00BC475A"/>
    <w:rsid w:val="00BC4765"/>
    <w:rsid w:val="00BC4AEC"/>
    <w:rsid w:val="00BC4C54"/>
    <w:rsid w:val="00BC4D0D"/>
    <w:rsid w:val="00BC4F44"/>
    <w:rsid w:val="00BC4FBA"/>
    <w:rsid w:val="00BC5065"/>
    <w:rsid w:val="00BC51C3"/>
    <w:rsid w:val="00BC51EE"/>
    <w:rsid w:val="00BC547E"/>
    <w:rsid w:val="00BC556A"/>
    <w:rsid w:val="00BC55FF"/>
    <w:rsid w:val="00BC572B"/>
    <w:rsid w:val="00BC5AA5"/>
    <w:rsid w:val="00BC5E23"/>
    <w:rsid w:val="00BC5E3F"/>
    <w:rsid w:val="00BC603D"/>
    <w:rsid w:val="00BC63A9"/>
    <w:rsid w:val="00BC640C"/>
    <w:rsid w:val="00BC66DC"/>
    <w:rsid w:val="00BC6A7E"/>
    <w:rsid w:val="00BC6BBA"/>
    <w:rsid w:val="00BC6BF7"/>
    <w:rsid w:val="00BC6CBD"/>
    <w:rsid w:val="00BC6F13"/>
    <w:rsid w:val="00BC7020"/>
    <w:rsid w:val="00BC705B"/>
    <w:rsid w:val="00BC7195"/>
    <w:rsid w:val="00BC724C"/>
    <w:rsid w:val="00BC74DE"/>
    <w:rsid w:val="00BC7558"/>
    <w:rsid w:val="00BC757B"/>
    <w:rsid w:val="00BC75D5"/>
    <w:rsid w:val="00BC75E4"/>
    <w:rsid w:val="00BC7606"/>
    <w:rsid w:val="00BC7821"/>
    <w:rsid w:val="00BC7B15"/>
    <w:rsid w:val="00BC7D0E"/>
    <w:rsid w:val="00BC7D60"/>
    <w:rsid w:val="00BC7E4C"/>
    <w:rsid w:val="00BC7F1B"/>
    <w:rsid w:val="00BC7F2F"/>
    <w:rsid w:val="00BD001E"/>
    <w:rsid w:val="00BD003D"/>
    <w:rsid w:val="00BD0180"/>
    <w:rsid w:val="00BD01FC"/>
    <w:rsid w:val="00BD025A"/>
    <w:rsid w:val="00BD0358"/>
    <w:rsid w:val="00BD0377"/>
    <w:rsid w:val="00BD03A6"/>
    <w:rsid w:val="00BD0595"/>
    <w:rsid w:val="00BD05D3"/>
    <w:rsid w:val="00BD05EE"/>
    <w:rsid w:val="00BD06B6"/>
    <w:rsid w:val="00BD0911"/>
    <w:rsid w:val="00BD0965"/>
    <w:rsid w:val="00BD0990"/>
    <w:rsid w:val="00BD09D7"/>
    <w:rsid w:val="00BD0A11"/>
    <w:rsid w:val="00BD0A8A"/>
    <w:rsid w:val="00BD0B18"/>
    <w:rsid w:val="00BD0C48"/>
    <w:rsid w:val="00BD0DFF"/>
    <w:rsid w:val="00BD0EA3"/>
    <w:rsid w:val="00BD0FE4"/>
    <w:rsid w:val="00BD1085"/>
    <w:rsid w:val="00BD10AC"/>
    <w:rsid w:val="00BD10FE"/>
    <w:rsid w:val="00BD12BA"/>
    <w:rsid w:val="00BD138D"/>
    <w:rsid w:val="00BD15F3"/>
    <w:rsid w:val="00BD1659"/>
    <w:rsid w:val="00BD1691"/>
    <w:rsid w:val="00BD1998"/>
    <w:rsid w:val="00BD1C03"/>
    <w:rsid w:val="00BD1C66"/>
    <w:rsid w:val="00BD1C75"/>
    <w:rsid w:val="00BD1CDE"/>
    <w:rsid w:val="00BD1ECF"/>
    <w:rsid w:val="00BD2062"/>
    <w:rsid w:val="00BD20D9"/>
    <w:rsid w:val="00BD22A8"/>
    <w:rsid w:val="00BD2371"/>
    <w:rsid w:val="00BD2425"/>
    <w:rsid w:val="00BD2503"/>
    <w:rsid w:val="00BD28C5"/>
    <w:rsid w:val="00BD2CA7"/>
    <w:rsid w:val="00BD2CFF"/>
    <w:rsid w:val="00BD2D13"/>
    <w:rsid w:val="00BD2ED2"/>
    <w:rsid w:val="00BD2F0C"/>
    <w:rsid w:val="00BD2F8B"/>
    <w:rsid w:val="00BD302C"/>
    <w:rsid w:val="00BD304D"/>
    <w:rsid w:val="00BD30BF"/>
    <w:rsid w:val="00BD3297"/>
    <w:rsid w:val="00BD32BB"/>
    <w:rsid w:val="00BD32D1"/>
    <w:rsid w:val="00BD334B"/>
    <w:rsid w:val="00BD3407"/>
    <w:rsid w:val="00BD3588"/>
    <w:rsid w:val="00BD39EE"/>
    <w:rsid w:val="00BD39F1"/>
    <w:rsid w:val="00BD3A4B"/>
    <w:rsid w:val="00BD3A7E"/>
    <w:rsid w:val="00BD3D44"/>
    <w:rsid w:val="00BD3EA9"/>
    <w:rsid w:val="00BD3FAA"/>
    <w:rsid w:val="00BD40B9"/>
    <w:rsid w:val="00BD40BD"/>
    <w:rsid w:val="00BD41C0"/>
    <w:rsid w:val="00BD41C6"/>
    <w:rsid w:val="00BD423B"/>
    <w:rsid w:val="00BD425D"/>
    <w:rsid w:val="00BD44CB"/>
    <w:rsid w:val="00BD490A"/>
    <w:rsid w:val="00BD499C"/>
    <w:rsid w:val="00BD4A5D"/>
    <w:rsid w:val="00BD4AE7"/>
    <w:rsid w:val="00BD4B4A"/>
    <w:rsid w:val="00BD4B5F"/>
    <w:rsid w:val="00BD4D59"/>
    <w:rsid w:val="00BD4D64"/>
    <w:rsid w:val="00BD4DA2"/>
    <w:rsid w:val="00BD4FD0"/>
    <w:rsid w:val="00BD5007"/>
    <w:rsid w:val="00BD511F"/>
    <w:rsid w:val="00BD51B7"/>
    <w:rsid w:val="00BD5466"/>
    <w:rsid w:val="00BD54DD"/>
    <w:rsid w:val="00BD562E"/>
    <w:rsid w:val="00BD56CC"/>
    <w:rsid w:val="00BD5712"/>
    <w:rsid w:val="00BD5713"/>
    <w:rsid w:val="00BD57C9"/>
    <w:rsid w:val="00BD58CF"/>
    <w:rsid w:val="00BD59C7"/>
    <w:rsid w:val="00BD5CD4"/>
    <w:rsid w:val="00BD5D45"/>
    <w:rsid w:val="00BD618C"/>
    <w:rsid w:val="00BD6195"/>
    <w:rsid w:val="00BD6313"/>
    <w:rsid w:val="00BD63AE"/>
    <w:rsid w:val="00BD63C9"/>
    <w:rsid w:val="00BD64D6"/>
    <w:rsid w:val="00BD64D9"/>
    <w:rsid w:val="00BD66CD"/>
    <w:rsid w:val="00BD6731"/>
    <w:rsid w:val="00BD67E2"/>
    <w:rsid w:val="00BD68BA"/>
    <w:rsid w:val="00BD6908"/>
    <w:rsid w:val="00BD6991"/>
    <w:rsid w:val="00BD6A2B"/>
    <w:rsid w:val="00BD6BC4"/>
    <w:rsid w:val="00BD6D88"/>
    <w:rsid w:val="00BD6D95"/>
    <w:rsid w:val="00BD6E34"/>
    <w:rsid w:val="00BD7544"/>
    <w:rsid w:val="00BD75AD"/>
    <w:rsid w:val="00BD78CE"/>
    <w:rsid w:val="00BD7962"/>
    <w:rsid w:val="00BD7A03"/>
    <w:rsid w:val="00BD7A07"/>
    <w:rsid w:val="00BD7A25"/>
    <w:rsid w:val="00BD7C39"/>
    <w:rsid w:val="00BD7E5A"/>
    <w:rsid w:val="00BD7EEA"/>
    <w:rsid w:val="00BD7FA6"/>
    <w:rsid w:val="00BE0115"/>
    <w:rsid w:val="00BE02CB"/>
    <w:rsid w:val="00BE032C"/>
    <w:rsid w:val="00BE036C"/>
    <w:rsid w:val="00BE0964"/>
    <w:rsid w:val="00BE0AFA"/>
    <w:rsid w:val="00BE0CB2"/>
    <w:rsid w:val="00BE0CE9"/>
    <w:rsid w:val="00BE0D2D"/>
    <w:rsid w:val="00BE0D33"/>
    <w:rsid w:val="00BE11E1"/>
    <w:rsid w:val="00BE120B"/>
    <w:rsid w:val="00BE136F"/>
    <w:rsid w:val="00BE13B1"/>
    <w:rsid w:val="00BE1516"/>
    <w:rsid w:val="00BE161B"/>
    <w:rsid w:val="00BE165D"/>
    <w:rsid w:val="00BE16C8"/>
    <w:rsid w:val="00BE178A"/>
    <w:rsid w:val="00BE188D"/>
    <w:rsid w:val="00BE1AD4"/>
    <w:rsid w:val="00BE1BA4"/>
    <w:rsid w:val="00BE1C3A"/>
    <w:rsid w:val="00BE206D"/>
    <w:rsid w:val="00BE20DC"/>
    <w:rsid w:val="00BE20F3"/>
    <w:rsid w:val="00BE2138"/>
    <w:rsid w:val="00BE2262"/>
    <w:rsid w:val="00BE2266"/>
    <w:rsid w:val="00BE22CE"/>
    <w:rsid w:val="00BE23C6"/>
    <w:rsid w:val="00BE2528"/>
    <w:rsid w:val="00BE2764"/>
    <w:rsid w:val="00BE2A32"/>
    <w:rsid w:val="00BE2AF6"/>
    <w:rsid w:val="00BE2BC3"/>
    <w:rsid w:val="00BE2BDE"/>
    <w:rsid w:val="00BE2C4C"/>
    <w:rsid w:val="00BE2CA2"/>
    <w:rsid w:val="00BE2E78"/>
    <w:rsid w:val="00BE2E89"/>
    <w:rsid w:val="00BE2FDD"/>
    <w:rsid w:val="00BE300B"/>
    <w:rsid w:val="00BE33B0"/>
    <w:rsid w:val="00BE34D8"/>
    <w:rsid w:val="00BE352D"/>
    <w:rsid w:val="00BE3601"/>
    <w:rsid w:val="00BE3641"/>
    <w:rsid w:val="00BE379B"/>
    <w:rsid w:val="00BE3819"/>
    <w:rsid w:val="00BE3853"/>
    <w:rsid w:val="00BE3928"/>
    <w:rsid w:val="00BE3E51"/>
    <w:rsid w:val="00BE3E9C"/>
    <w:rsid w:val="00BE3FDB"/>
    <w:rsid w:val="00BE42FD"/>
    <w:rsid w:val="00BE4493"/>
    <w:rsid w:val="00BE4514"/>
    <w:rsid w:val="00BE493E"/>
    <w:rsid w:val="00BE49A1"/>
    <w:rsid w:val="00BE49C4"/>
    <w:rsid w:val="00BE4A27"/>
    <w:rsid w:val="00BE4AA9"/>
    <w:rsid w:val="00BE4AD0"/>
    <w:rsid w:val="00BE4ADF"/>
    <w:rsid w:val="00BE4B26"/>
    <w:rsid w:val="00BE4B2B"/>
    <w:rsid w:val="00BE4D81"/>
    <w:rsid w:val="00BE4E03"/>
    <w:rsid w:val="00BE4E04"/>
    <w:rsid w:val="00BE4F3D"/>
    <w:rsid w:val="00BE50BF"/>
    <w:rsid w:val="00BE50D3"/>
    <w:rsid w:val="00BE5387"/>
    <w:rsid w:val="00BE54A4"/>
    <w:rsid w:val="00BE58F5"/>
    <w:rsid w:val="00BE5DAC"/>
    <w:rsid w:val="00BE5E78"/>
    <w:rsid w:val="00BE5E99"/>
    <w:rsid w:val="00BE603E"/>
    <w:rsid w:val="00BE609B"/>
    <w:rsid w:val="00BE60C2"/>
    <w:rsid w:val="00BE615B"/>
    <w:rsid w:val="00BE615E"/>
    <w:rsid w:val="00BE6638"/>
    <w:rsid w:val="00BE6C98"/>
    <w:rsid w:val="00BE6D12"/>
    <w:rsid w:val="00BE6DB3"/>
    <w:rsid w:val="00BE6E94"/>
    <w:rsid w:val="00BE6F02"/>
    <w:rsid w:val="00BE7155"/>
    <w:rsid w:val="00BE7364"/>
    <w:rsid w:val="00BE736F"/>
    <w:rsid w:val="00BE7491"/>
    <w:rsid w:val="00BE765C"/>
    <w:rsid w:val="00BE7707"/>
    <w:rsid w:val="00BE799B"/>
    <w:rsid w:val="00BE7B6B"/>
    <w:rsid w:val="00BE7E38"/>
    <w:rsid w:val="00BE7E65"/>
    <w:rsid w:val="00BE7F43"/>
    <w:rsid w:val="00BE7F4C"/>
    <w:rsid w:val="00BE7F78"/>
    <w:rsid w:val="00BF00AA"/>
    <w:rsid w:val="00BF0249"/>
    <w:rsid w:val="00BF0391"/>
    <w:rsid w:val="00BF040A"/>
    <w:rsid w:val="00BF0497"/>
    <w:rsid w:val="00BF0518"/>
    <w:rsid w:val="00BF059C"/>
    <w:rsid w:val="00BF05B1"/>
    <w:rsid w:val="00BF0780"/>
    <w:rsid w:val="00BF0A15"/>
    <w:rsid w:val="00BF0A4C"/>
    <w:rsid w:val="00BF0C65"/>
    <w:rsid w:val="00BF0DC5"/>
    <w:rsid w:val="00BF0E77"/>
    <w:rsid w:val="00BF108F"/>
    <w:rsid w:val="00BF1151"/>
    <w:rsid w:val="00BF1315"/>
    <w:rsid w:val="00BF1391"/>
    <w:rsid w:val="00BF141B"/>
    <w:rsid w:val="00BF1439"/>
    <w:rsid w:val="00BF14A9"/>
    <w:rsid w:val="00BF14BB"/>
    <w:rsid w:val="00BF1571"/>
    <w:rsid w:val="00BF1576"/>
    <w:rsid w:val="00BF17A2"/>
    <w:rsid w:val="00BF180F"/>
    <w:rsid w:val="00BF18AC"/>
    <w:rsid w:val="00BF19B1"/>
    <w:rsid w:val="00BF19EF"/>
    <w:rsid w:val="00BF1CBB"/>
    <w:rsid w:val="00BF1DE8"/>
    <w:rsid w:val="00BF201F"/>
    <w:rsid w:val="00BF20D9"/>
    <w:rsid w:val="00BF2168"/>
    <w:rsid w:val="00BF21B6"/>
    <w:rsid w:val="00BF22AB"/>
    <w:rsid w:val="00BF24DB"/>
    <w:rsid w:val="00BF278D"/>
    <w:rsid w:val="00BF27CA"/>
    <w:rsid w:val="00BF2800"/>
    <w:rsid w:val="00BF291C"/>
    <w:rsid w:val="00BF2A4A"/>
    <w:rsid w:val="00BF2A53"/>
    <w:rsid w:val="00BF2A98"/>
    <w:rsid w:val="00BF2BBE"/>
    <w:rsid w:val="00BF2BDE"/>
    <w:rsid w:val="00BF2C93"/>
    <w:rsid w:val="00BF2D05"/>
    <w:rsid w:val="00BF2D8C"/>
    <w:rsid w:val="00BF32A8"/>
    <w:rsid w:val="00BF32DD"/>
    <w:rsid w:val="00BF3436"/>
    <w:rsid w:val="00BF3489"/>
    <w:rsid w:val="00BF3683"/>
    <w:rsid w:val="00BF36CD"/>
    <w:rsid w:val="00BF375E"/>
    <w:rsid w:val="00BF3816"/>
    <w:rsid w:val="00BF3847"/>
    <w:rsid w:val="00BF3B8F"/>
    <w:rsid w:val="00BF3E1D"/>
    <w:rsid w:val="00BF3E71"/>
    <w:rsid w:val="00BF3E84"/>
    <w:rsid w:val="00BF3E9C"/>
    <w:rsid w:val="00BF3F3E"/>
    <w:rsid w:val="00BF3F80"/>
    <w:rsid w:val="00BF408E"/>
    <w:rsid w:val="00BF4123"/>
    <w:rsid w:val="00BF417E"/>
    <w:rsid w:val="00BF441F"/>
    <w:rsid w:val="00BF44D2"/>
    <w:rsid w:val="00BF4577"/>
    <w:rsid w:val="00BF45A8"/>
    <w:rsid w:val="00BF47F1"/>
    <w:rsid w:val="00BF48FB"/>
    <w:rsid w:val="00BF4B1B"/>
    <w:rsid w:val="00BF4E84"/>
    <w:rsid w:val="00BF4EC3"/>
    <w:rsid w:val="00BF4EDF"/>
    <w:rsid w:val="00BF4F96"/>
    <w:rsid w:val="00BF4FEF"/>
    <w:rsid w:val="00BF529A"/>
    <w:rsid w:val="00BF530B"/>
    <w:rsid w:val="00BF5418"/>
    <w:rsid w:val="00BF57BA"/>
    <w:rsid w:val="00BF5865"/>
    <w:rsid w:val="00BF5AEB"/>
    <w:rsid w:val="00BF5B2F"/>
    <w:rsid w:val="00BF5CD4"/>
    <w:rsid w:val="00BF5DA7"/>
    <w:rsid w:val="00BF5E1D"/>
    <w:rsid w:val="00BF60C5"/>
    <w:rsid w:val="00BF623C"/>
    <w:rsid w:val="00BF63B8"/>
    <w:rsid w:val="00BF64CF"/>
    <w:rsid w:val="00BF6692"/>
    <w:rsid w:val="00BF67A3"/>
    <w:rsid w:val="00BF67C9"/>
    <w:rsid w:val="00BF69A9"/>
    <w:rsid w:val="00BF6A99"/>
    <w:rsid w:val="00BF6B46"/>
    <w:rsid w:val="00BF6B6E"/>
    <w:rsid w:val="00BF6D03"/>
    <w:rsid w:val="00BF6D4F"/>
    <w:rsid w:val="00BF6EBA"/>
    <w:rsid w:val="00BF70BF"/>
    <w:rsid w:val="00BF741F"/>
    <w:rsid w:val="00BF753F"/>
    <w:rsid w:val="00BF7609"/>
    <w:rsid w:val="00BF7724"/>
    <w:rsid w:val="00BF7791"/>
    <w:rsid w:val="00BF77B6"/>
    <w:rsid w:val="00BF7890"/>
    <w:rsid w:val="00BF7B09"/>
    <w:rsid w:val="00BF7B35"/>
    <w:rsid w:val="00BF7B60"/>
    <w:rsid w:val="00BF7BBD"/>
    <w:rsid w:val="00BF7D0B"/>
    <w:rsid w:val="00BF7D0D"/>
    <w:rsid w:val="00BF7D17"/>
    <w:rsid w:val="00BF7D29"/>
    <w:rsid w:val="00BF7D85"/>
    <w:rsid w:val="00BF7E13"/>
    <w:rsid w:val="00BF7F37"/>
    <w:rsid w:val="00C0002D"/>
    <w:rsid w:val="00C003EF"/>
    <w:rsid w:val="00C00445"/>
    <w:rsid w:val="00C00494"/>
    <w:rsid w:val="00C004BF"/>
    <w:rsid w:val="00C0050C"/>
    <w:rsid w:val="00C0059D"/>
    <w:rsid w:val="00C00615"/>
    <w:rsid w:val="00C00671"/>
    <w:rsid w:val="00C006FA"/>
    <w:rsid w:val="00C00715"/>
    <w:rsid w:val="00C00747"/>
    <w:rsid w:val="00C00810"/>
    <w:rsid w:val="00C00826"/>
    <w:rsid w:val="00C0084B"/>
    <w:rsid w:val="00C008F7"/>
    <w:rsid w:val="00C00975"/>
    <w:rsid w:val="00C00D2F"/>
    <w:rsid w:val="00C00DCA"/>
    <w:rsid w:val="00C00F45"/>
    <w:rsid w:val="00C00F53"/>
    <w:rsid w:val="00C00F72"/>
    <w:rsid w:val="00C00FBC"/>
    <w:rsid w:val="00C013F0"/>
    <w:rsid w:val="00C015FF"/>
    <w:rsid w:val="00C01623"/>
    <w:rsid w:val="00C01661"/>
    <w:rsid w:val="00C01723"/>
    <w:rsid w:val="00C01880"/>
    <w:rsid w:val="00C01899"/>
    <w:rsid w:val="00C018DE"/>
    <w:rsid w:val="00C019E5"/>
    <w:rsid w:val="00C01A60"/>
    <w:rsid w:val="00C01B26"/>
    <w:rsid w:val="00C01C0C"/>
    <w:rsid w:val="00C01CB9"/>
    <w:rsid w:val="00C01D40"/>
    <w:rsid w:val="00C01E30"/>
    <w:rsid w:val="00C01F70"/>
    <w:rsid w:val="00C01FE3"/>
    <w:rsid w:val="00C02185"/>
    <w:rsid w:val="00C02229"/>
    <w:rsid w:val="00C0262E"/>
    <w:rsid w:val="00C02797"/>
    <w:rsid w:val="00C027A7"/>
    <w:rsid w:val="00C02986"/>
    <w:rsid w:val="00C02A07"/>
    <w:rsid w:val="00C02A0A"/>
    <w:rsid w:val="00C02BA5"/>
    <w:rsid w:val="00C02C6C"/>
    <w:rsid w:val="00C02D13"/>
    <w:rsid w:val="00C02DB0"/>
    <w:rsid w:val="00C03108"/>
    <w:rsid w:val="00C0320D"/>
    <w:rsid w:val="00C032B4"/>
    <w:rsid w:val="00C032CC"/>
    <w:rsid w:val="00C03413"/>
    <w:rsid w:val="00C0352E"/>
    <w:rsid w:val="00C036D7"/>
    <w:rsid w:val="00C03764"/>
    <w:rsid w:val="00C03855"/>
    <w:rsid w:val="00C03A2B"/>
    <w:rsid w:val="00C03BBE"/>
    <w:rsid w:val="00C03C0E"/>
    <w:rsid w:val="00C03D96"/>
    <w:rsid w:val="00C03DC8"/>
    <w:rsid w:val="00C041C3"/>
    <w:rsid w:val="00C04233"/>
    <w:rsid w:val="00C043B4"/>
    <w:rsid w:val="00C0447F"/>
    <w:rsid w:val="00C045BF"/>
    <w:rsid w:val="00C045FA"/>
    <w:rsid w:val="00C04830"/>
    <w:rsid w:val="00C04852"/>
    <w:rsid w:val="00C0497B"/>
    <w:rsid w:val="00C04B7D"/>
    <w:rsid w:val="00C04CD2"/>
    <w:rsid w:val="00C04DB0"/>
    <w:rsid w:val="00C04E53"/>
    <w:rsid w:val="00C04F20"/>
    <w:rsid w:val="00C04F3D"/>
    <w:rsid w:val="00C04F9F"/>
    <w:rsid w:val="00C05028"/>
    <w:rsid w:val="00C050AF"/>
    <w:rsid w:val="00C050DC"/>
    <w:rsid w:val="00C05119"/>
    <w:rsid w:val="00C05357"/>
    <w:rsid w:val="00C0544C"/>
    <w:rsid w:val="00C0544E"/>
    <w:rsid w:val="00C05732"/>
    <w:rsid w:val="00C057AE"/>
    <w:rsid w:val="00C05838"/>
    <w:rsid w:val="00C058B0"/>
    <w:rsid w:val="00C05994"/>
    <w:rsid w:val="00C05A0F"/>
    <w:rsid w:val="00C05A72"/>
    <w:rsid w:val="00C05B1B"/>
    <w:rsid w:val="00C05F96"/>
    <w:rsid w:val="00C06047"/>
    <w:rsid w:val="00C06275"/>
    <w:rsid w:val="00C062E9"/>
    <w:rsid w:val="00C06610"/>
    <w:rsid w:val="00C06971"/>
    <w:rsid w:val="00C069EE"/>
    <w:rsid w:val="00C06B8C"/>
    <w:rsid w:val="00C06BB5"/>
    <w:rsid w:val="00C06EA8"/>
    <w:rsid w:val="00C07006"/>
    <w:rsid w:val="00C070F0"/>
    <w:rsid w:val="00C0738E"/>
    <w:rsid w:val="00C0752E"/>
    <w:rsid w:val="00C075AB"/>
    <w:rsid w:val="00C0774F"/>
    <w:rsid w:val="00C0784C"/>
    <w:rsid w:val="00C07876"/>
    <w:rsid w:val="00C078EB"/>
    <w:rsid w:val="00C07997"/>
    <w:rsid w:val="00C07C51"/>
    <w:rsid w:val="00C07EBD"/>
    <w:rsid w:val="00C07F50"/>
    <w:rsid w:val="00C07FDC"/>
    <w:rsid w:val="00C10148"/>
    <w:rsid w:val="00C101F7"/>
    <w:rsid w:val="00C10307"/>
    <w:rsid w:val="00C10310"/>
    <w:rsid w:val="00C1038B"/>
    <w:rsid w:val="00C105A8"/>
    <w:rsid w:val="00C1063E"/>
    <w:rsid w:val="00C107ED"/>
    <w:rsid w:val="00C10AEC"/>
    <w:rsid w:val="00C10AF2"/>
    <w:rsid w:val="00C10C66"/>
    <w:rsid w:val="00C10D93"/>
    <w:rsid w:val="00C10F6C"/>
    <w:rsid w:val="00C11163"/>
    <w:rsid w:val="00C111D2"/>
    <w:rsid w:val="00C112D0"/>
    <w:rsid w:val="00C1133E"/>
    <w:rsid w:val="00C11357"/>
    <w:rsid w:val="00C11436"/>
    <w:rsid w:val="00C11603"/>
    <w:rsid w:val="00C11646"/>
    <w:rsid w:val="00C116E8"/>
    <w:rsid w:val="00C117F3"/>
    <w:rsid w:val="00C1186F"/>
    <w:rsid w:val="00C1195B"/>
    <w:rsid w:val="00C119A7"/>
    <w:rsid w:val="00C119BE"/>
    <w:rsid w:val="00C11AFF"/>
    <w:rsid w:val="00C11DBB"/>
    <w:rsid w:val="00C11E19"/>
    <w:rsid w:val="00C1214B"/>
    <w:rsid w:val="00C1220B"/>
    <w:rsid w:val="00C12382"/>
    <w:rsid w:val="00C1249A"/>
    <w:rsid w:val="00C12589"/>
    <w:rsid w:val="00C12619"/>
    <w:rsid w:val="00C126EF"/>
    <w:rsid w:val="00C12744"/>
    <w:rsid w:val="00C127BD"/>
    <w:rsid w:val="00C128E5"/>
    <w:rsid w:val="00C129CA"/>
    <w:rsid w:val="00C12B5E"/>
    <w:rsid w:val="00C12B76"/>
    <w:rsid w:val="00C12BBC"/>
    <w:rsid w:val="00C12BBD"/>
    <w:rsid w:val="00C12E88"/>
    <w:rsid w:val="00C1315B"/>
    <w:rsid w:val="00C13231"/>
    <w:rsid w:val="00C13384"/>
    <w:rsid w:val="00C13407"/>
    <w:rsid w:val="00C1347E"/>
    <w:rsid w:val="00C1352B"/>
    <w:rsid w:val="00C13666"/>
    <w:rsid w:val="00C13701"/>
    <w:rsid w:val="00C13816"/>
    <w:rsid w:val="00C139B7"/>
    <w:rsid w:val="00C13B54"/>
    <w:rsid w:val="00C13BDE"/>
    <w:rsid w:val="00C13D1F"/>
    <w:rsid w:val="00C13D5D"/>
    <w:rsid w:val="00C13DB4"/>
    <w:rsid w:val="00C13E7D"/>
    <w:rsid w:val="00C13F01"/>
    <w:rsid w:val="00C141ED"/>
    <w:rsid w:val="00C14215"/>
    <w:rsid w:val="00C1437A"/>
    <w:rsid w:val="00C14572"/>
    <w:rsid w:val="00C14877"/>
    <w:rsid w:val="00C1493F"/>
    <w:rsid w:val="00C14A05"/>
    <w:rsid w:val="00C14ACF"/>
    <w:rsid w:val="00C14BA3"/>
    <w:rsid w:val="00C14C0C"/>
    <w:rsid w:val="00C14D76"/>
    <w:rsid w:val="00C14D85"/>
    <w:rsid w:val="00C14DEF"/>
    <w:rsid w:val="00C14EE4"/>
    <w:rsid w:val="00C14EF0"/>
    <w:rsid w:val="00C1518D"/>
    <w:rsid w:val="00C1523C"/>
    <w:rsid w:val="00C1525A"/>
    <w:rsid w:val="00C15289"/>
    <w:rsid w:val="00C155D5"/>
    <w:rsid w:val="00C15717"/>
    <w:rsid w:val="00C15750"/>
    <w:rsid w:val="00C1582F"/>
    <w:rsid w:val="00C15B06"/>
    <w:rsid w:val="00C15B49"/>
    <w:rsid w:val="00C15C41"/>
    <w:rsid w:val="00C15FAA"/>
    <w:rsid w:val="00C1611C"/>
    <w:rsid w:val="00C16188"/>
    <w:rsid w:val="00C161F6"/>
    <w:rsid w:val="00C16466"/>
    <w:rsid w:val="00C164EE"/>
    <w:rsid w:val="00C165BF"/>
    <w:rsid w:val="00C1671F"/>
    <w:rsid w:val="00C168C9"/>
    <w:rsid w:val="00C16CE5"/>
    <w:rsid w:val="00C16FE2"/>
    <w:rsid w:val="00C17018"/>
    <w:rsid w:val="00C17076"/>
    <w:rsid w:val="00C17212"/>
    <w:rsid w:val="00C1760D"/>
    <w:rsid w:val="00C176D3"/>
    <w:rsid w:val="00C176D8"/>
    <w:rsid w:val="00C17712"/>
    <w:rsid w:val="00C17737"/>
    <w:rsid w:val="00C179BD"/>
    <w:rsid w:val="00C179C8"/>
    <w:rsid w:val="00C17B9C"/>
    <w:rsid w:val="00C17F82"/>
    <w:rsid w:val="00C20060"/>
    <w:rsid w:val="00C20094"/>
    <w:rsid w:val="00C2014B"/>
    <w:rsid w:val="00C202B6"/>
    <w:rsid w:val="00C205EB"/>
    <w:rsid w:val="00C207F4"/>
    <w:rsid w:val="00C208DD"/>
    <w:rsid w:val="00C209C5"/>
    <w:rsid w:val="00C20AC3"/>
    <w:rsid w:val="00C20B0F"/>
    <w:rsid w:val="00C20B23"/>
    <w:rsid w:val="00C20B27"/>
    <w:rsid w:val="00C20B8B"/>
    <w:rsid w:val="00C20C67"/>
    <w:rsid w:val="00C20C86"/>
    <w:rsid w:val="00C20E70"/>
    <w:rsid w:val="00C20FBC"/>
    <w:rsid w:val="00C20FD1"/>
    <w:rsid w:val="00C21003"/>
    <w:rsid w:val="00C2105F"/>
    <w:rsid w:val="00C211B5"/>
    <w:rsid w:val="00C212BC"/>
    <w:rsid w:val="00C214C3"/>
    <w:rsid w:val="00C21797"/>
    <w:rsid w:val="00C2187E"/>
    <w:rsid w:val="00C21930"/>
    <w:rsid w:val="00C21A02"/>
    <w:rsid w:val="00C21CB4"/>
    <w:rsid w:val="00C21CDF"/>
    <w:rsid w:val="00C21D40"/>
    <w:rsid w:val="00C21D7E"/>
    <w:rsid w:val="00C21DB7"/>
    <w:rsid w:val="00C21E2B"/>
    <w:rsid w:val="00C21F49"/>
    <w:rsid w:val="00C22021"/>
    <w:rsid w:val="00C22061"/>
    <w:rsid w:val="00C22088"/>
    <w:rsid w:val="00C2234D"/>
    <w:rsid w:val="00C22366"/>
    <w:rsid w:val="00C22391"/>
    <w:rsid w:val="00C225FB"/>
    <w:rsid w:val="00C2284C"/>
    <w:rsid w:val="00C228F2"/>
    <w:rsid w:val="00C2299A"/>
    <w:rsid w:val="00C22A36"/>
    <w:rsid w:val="00C22B15"/>
    <w:rsid w:val="00C22D78"/>
    <w:rsid w:val="00C230BE"/>
    <w:rsid w:val="00C23119"/>
    <w:rsid w:val="00C23133"/>
    <w:rsid w:val="00C231F1"/>
    <w:rsid w:val="00C231F9"/>
    <w:rsid w:val="00C234A3"/>
    <w:rsid w:val="00C23691"/>
    <w:rsid w:val="00C23A92"/>
    <w:rsid w:val="00C23AB8"/>
    <w:rsid w:val="00C23C9D"/>
    <w:rsid w:val="00C23C9E"/>
    <w:rsid w:val="00C23D13"/>
    <w:rsid w:val="00C23DC3"/>
    <w:rsid w:val="00C23EC3"/>
    <w:rsid w:val="00C24214"/>
    <w:rsid w:val="00C2444F"/>
    <w:rsid w:val="00C24460"/>
    <w:rsid w:val="00C24518"/>
    <w:rsid w:val="00C2458E"/>
    <w:rsid w:val="00C24A95"/>
    <w:rsid w:val="00C24B0F"/>
    <w:rsid w:val="00C24D11"/>
    <w:rsid w:val="00C24E48"/>
    <w:rsid w:val="00C24E81"/>
    <w:rsid w:val="00C24EA7"/>
    <w:rsid w:val="00C24F37"/>
    <w:rsid w:val="00C251D2"/>
    <w:rsid w:val="00C251E8"/>
    <w:rsid w:val="00C2525C"/>
    <w:rsid w:val="00C255B3"/>
    <w:rsid w:val="00C25663"/>
    <w:rsid w:val="00C257AD"/>
    <w:rsid w:val="00C257F6"/>
    <w:rsid w:val="00C25C48"/>
    <w:rsid w:val="00C25CDE"/>
    <w:rsid w:val="00C25DCF"/>
    <w:rsid w:val="00C25FC1"/>
    <w:rsid w:val="00C2602E"/>
    <w:rsid w:val="00C26039"/>
    <w:rsid w:val="00C260AA"/>
    <w:rsid w:val="00C2613D"/>
    <w:rsid w:val="00C261C5"/>
    <w:rsid w:val="00C262B1"/>
    <w:rsid w:val="00C262ED"/>
    <w:rsid w:val="00C26402"/>
    <w:rsid w:val="00C2642C"/>
    <w:rsid w:val="00C2645A"/>
    <w:rsid w:val="00C2648A"/>
    <w:rsid w:val="00C26535"/>
    <w:rsid w:val="00C26635"/>
    <w:rsid w:val="00C26AD0"/>
    <w:rsid w:val="00C26B6B"/>
    <w:rsid w:val="00C26CD1"/>
    <w:rsid w:val="00C26CDC"/>
    <w:rsid w:val="00C26E57"/>
    <w:rsid w:val="00C27073"/>
    <w:rsid w:val="00C2714F"/>
    <w:rsid w:val="00C2743C"/>
    <w:rsid w:val="00C2760D"/>
    <w:rsid w:val="00C27ACD"/>
    <w:rsid w:val="00C27AF9"/>
    <w:rsid w:val="00C27B8A"/>
    <w:rsid w:val="00C27B8D"/>
    <w:rsid w:val="00C27D4D"/>
    <w:rsid w:val="00C27E4A"/>
    <w:rsid w:val="00C27FAE"/>
    <w:rsid w:val="00C30021"/>
    <w:rsid w:val="00C300E0"/>
    <w:rsid w:val="00C3031D"/>
    <w:rsid w:val="00C3036F"/>
    <w:rsid w:val="00C30391"/>
    <w:rsid w:val="00C30429"/>
    <w:rsid w:val="00C30430"/>
    <w:rsid w:val="00C304E1"/>
    <w:rsid w:val="00C30508"/>
    <w:rsid w:val="00C3069E"/>
    <w:rsid w:val="00C30726"/>
    <w:rsid w:val="00C307D3"/>
    <w:rsid w:val="00C30853"/>
    <w:rsid w:val="00C30889"/>
    <w:rsid w:val="00C30C48"/>
    <w:rsid w:val="00C30CA3"/>
    <w:rsid w:val="00C31323"/>
    <w:rsid w:val="00C31337"/>
    <w:rsid w:val="00C315C1"/>
    <w:rsid w:val="00C31714"/>
    <w:rsid w:val="00C31734"/>
    <w:rsid w:val="00C318B4"/>
    <w:rsid w:val="00C3191F"/>
    <w:rsid w:val="00C31996"/>
    <w:rsid w:val="00C31999"/>
    <w:rsid w:val="00C31A29"/>
    <w:rsid w:val="00C31C1E"/>
    <w:rsid w:val="00C31D69"/>
    <w:rsid w:val="00C31EDF"/>
    <w:rsid w:val="00C32083"/>
    <w:rsid w:val="00C3225C"/>
    <w:rsid w:val="00C32422"/>
    <w:rsid w:val="00C32534"/>
    <w:rsid w:val="00C32603"/>
    <w:rsid w:val="00C32650"/>
    <w:rsid w:val="00C327CE"/>
    <w:rsid w:val="00C3281F"/>
    <w:rsid w:val="00C3288F"/>
    <w:rsid w:val="00C328BD"/>
    <w:rsid w:val="00C328C8"/>
    <w:rsid w:val="00C32946"/>
    <w:rsid w:val="00C3294A"/>
    <w:rsid w:val="00C32A7B"/>
    <w:rsid w:val="00C32B8A"/>
    <w:rsid w:val="00C32C40"/>
    <w:rsid w:val="00C32DC1"/>
    <w:rsid w:val="00C33071"/>
    <w:rsid w:val="00C33167"/>
    <w:rsid w:val="00C331A9"/>
    <w:rsid w:val="00C334C3"/>
    <w:rsid w:val="00C33DB5"/>
    <w:rsid w:val="00C33E9E"/>
    <w:rsid w:val="00C33EAF"/>
    <w:rsid w:val="00C33FB2"/>
    <w:rsid w:val="00C3416F"/>
    <w:rsid w:val="00C342D9"/>
    <w:rsid w:val="00C3430C"/>
    <w:rsid w:val="00C3459F"/>
    <w:rsid w:val="00C3471F"/>
    <w:rsid w:val="00C3478D"/>
    <w:rsid w:val="00C34838"/>
    <w:rsid w:val="00C349E3"/>
    <w:rsid w:val="00C34BE2"/>
    <w:rsid w:val="00C34E4F"/>
    <w:rsid w:val="00C34FE4"/>
    <w:rsid w:val="00C351EA"/>
    <w:rsid w:val="00C3520A"/>
    <w:rsid w:val="00C35801"/>
    <w:rsid w:val="00C35931"/>
    <w:rsid w:val="00C359C0"/>
    <w:rsid w:val="00C35BF9"/>
    <w:rsid w:val="00C35D67"/>
    <w:rsid w:val="00C35E51"/>
    <w:rsid w:val="00C35EEC"/>
    <w:rsid w:val="00C35EF3"/>
    <w:rsid w:val="00C35F16"/>
    <w:rsid w:val="00C35F2A"/>
    <w:rsid w:val="00C35F37"/>
    <w:rsid w:val="00C35F67"/>
    <w:rsid w:val="00C35FCC"/>
    <w:rsid w:val="00C36047"/>
    <w:rsid w:val="00C360DC"/>
    <w:rsid w:val="00C36112"/>
    <w:rsid w:val="00C36123"/>
    <w:rsid w:val="00C36159"/>
    <w:rsid w:val="00C36219"/>
    <w:rsid w:val="00C362CB"/>
    <w:rsid w:val="00C362D7"/>
    <w:rsid w:val="00C3630D"/>
    <w:rsid w:val="00C3633B"/>
    <w:rsid w:val="00C36652"/>
    <w:rsid w:val="00C366C9"/>
    <w:rsid w:val="00C366DB"/>
    <w:rsid w:val="00C36765"/>
    <w:rsid w:val="00C36B05"/>
    <w:rsid w:val="00C36B76"/>
    <w:rsid w:val="00C36C99"/>
    <w:rsid w:val="00C36F58"/>
    <w:rsid w:val="00C36F64"/>
    <w:rsid w:val="00C36F73"/>
    <w:rsid w:val="00C370D4"/>
    <w:rsid w:val="00C370E6"/>
    <w:rsid w:val="00C3715D"/>
    <w:rsid w:val="00C372BF"/>
    <w:rsid w:val="00C37352"/>
    <w:rsid w:val="00C3741E"/>
    <w:rsid w:val="00C3761E"/>
    <w:rsid w:val="00C376C8"/>
    <w:rsid w:val="00C37734"/>
    <w:rsid w:val="00C37976"/>
    <w:rsid w:val="00C3799B"/>
    <w:rsid w:val="00C37AE0"/>
    <w:rsid w:val="00C37B41"/>
    <w:rsid w:val="00C37B90"/>
    <w:rsid w:val="00C37BAE"/>
    <w:rsid w:val="00C37E00"/>
    <w:rsid w:val="00C37E09"/>
    <w:rsid w:val="00C37E2B"/>
    <w:rsid w:val="00C37F09"/>
    <w:rsid w:val="00C4006A"/>
    <w:rsid w:val="00C400E3"/>
    <w:rsid w:val="00C40278"/>
    <w:rsid w:val="00C40444"/>
    <w:rsid w:val="00C40545"/>
    <w:rsid w:val="00C405F2"/>
    <w:rsid w:val="00C405FC"/>
    <w:rsid w:val="00C40749"/>
    <w:rsid w:val="00C40790"/>
    <w:rsid w:val="00C407B6"/>
    <w:rsid w:val="00C4090C"/>
    <w:rsid w:val="00C40B17"/>
    <w:rsid w:val="00C40C03"/>
    <w:rsid w:val="00C40D25"/>
    <w:rsid w:val="00C40D8A"/>
    <w:rsid w:val="00C40DD5"/>
    <w:rsid w:val="00C40EFF"/>
    <w:rsid w:val="00C40F90"/>
    <w:rsid w:val="00C40FC5"/>
    <w:rsid w:val="00C40FE4"/>
    <w:rsid w:val="00C41037"/>
    <w:rsid w:val="00C41043"/>
    <w:rsid w:val="00C410BF"/>
    <w:rsid w:val="00C410DF"/>
    <w:rsid w:val="00C41342"/>
    <w:rsid w:val="00C4142F"/>
    <w:rsid w:val="00C4147B"/>
    <w:rsid w:val="00C41498"/>
    <w:rsid w:val="00C416AB"/>
    <w:rsid w:val="00C4182A"/>
    <w:rsid w:val="00C41861"/>
    <w:rsid w:val="00C41C46"/>
    <w:rsid w:val="00C41C4E"/>
    <w:rsid w:val="00C41D3F"/>
    <w:rsid w:val="00C41DBF"/>
    <w:rsid w:val="00C41ED6"/>
    <w:rsid w:val="00C41FC9"/>
    <w:rsid w:val="00C42060"/>
    <w:rsid w:val="00C4208C"/>
    <w:rsid w:val="00C42097"/>
    <w:rsid w:val="00C4254B"/>
    <w:rsid w:val="00C42582"/>
    <w:rsid w:val="00C42759"/>
    <w:rsid w:val="00C4276C"/>
    <w:rsid w:val="00C4283E"/>
    <w:rsid w:val="00C4286D"/>
    <w:rsid w:val="00C42B04"/>
    <w:rsid w:val="00C42B98"/>
    <w:rsid w:val="00C42E14"/>
    <w:rsid w:val="00C42E6D"/>
    <w:rsid w:val="00C4304B"/>
    <w:rsid w:val="00C43058"/>
    <w:rsid w:val="00C432A8"/>
    <w:rsid w:val="00C433A7"/>
    <w:rsid w:val="00C4348E"/>
    <w:rsid w:val="00C435A5"/>
    <w:rsid w:val="00C436BD"/>
    <w:rsid w:val="00C436D0"/>
    <w:rsid w:val="00C43850"/>
    <w:rsid w:val="00C4385C"/>
    <w:rsid w:val="00C439B8"/>
    <w:rsid w:val="00C43A50"/>
    <w:rsid w:val="00C43B50"/>
    <w:rsid w:val="00C43C21"/>
    <w:rsid w:val="00C43C4C"/>
    <w:rsid w:val="00C43C8D"/>
    <w:rsid w:val="00C43CD2"/>
    <w:rsid w:val="00C43D5B"/>
    <w:rsid w:val="00C43D6D"/>
    <w:rsid w:val="00C43E60"/>
    <w:rsid w:val="00C43FEA"/>
    <w:rsid w:val="00C43FF7"/>
    <w:rsid w:val="00C44070"/>
    <w:rsid w:val="00C441FD"/>
    <w:rsid w:val="00C4427B"/>
    <w:rsid w:val="00C4464C"/>
    <w:rsid w:val="00C44759"/>
    <w:rsid w:val="00C4482B"/>
    <w:rsid w:val="00C44B9E"/>
    <w:rsid w:val="00C44C54"/>
    <w:rsid w:val="00C44D24"/>
    <w:rsid w:val="00C44E12"/>
    <w:rsid w:val="00C44E75"/>
    <w:rsid w:val="00C44EA1"/>
    <w:rsid w:val="00C44ED2"/>
    <w:rsid w:val="00C44F91"/>
    <w:rsid w:val="00C450CD"/>
    <w:rsid w:val="00C45121"/>
    <w:rsid w:val="00C4513A"/>
    <w:rsid w:val="00C45185"/>
    <w:rsid w:val="00C4527B"/>
    <w:rsid w:val="00C457C1"/>
    <w:rsid w:val="00C45897"/>
    <w:rsid w:val="00C45923"/>
    <w:rsid w:val="00C4593A"/>
    <w:rsid w:val="00C45983"/>
    <w:rsid w:val="00C45B1D"/>
    <w:rsid w:val="00C45B91"/>
    <w:rsid w:val="00C45C6F"/>
    <w:rsid w:val="00C45CF9"/>
    <w:rsid w:val="00C45D32"/>
    <w:rsid w:val="00C45EA4"/>
    <w:rsid w:val="00C45F05"/>
    <w:rsid w:val="00C45FE5"/>
    <w:rsid w:val="00C4614E"/>
    <w:rsid w:val="00C462E5"/>
    <w:rsid w:val="00C462EB"/>
    <w:rsid w:val="00C462FD"/>
    <w:rsid w:val="00C46361"/>
    <w:rsid w:val="00C46449"/>
    <w:rsid w:val="00C464BC"/>
    <w:rsid w:val="00C46574"/>
    <w:rsid w:val="00C4674D"/>
    <w:rsid w:val="00C467A0"/>
    <w:rsid w:val="00C4691F"/>
    <w:rsid w:val="00C469CE"/>
    <w:rsid w:val="00C46CE2"/>
    <w:rsid w:val="00C46D51"/>
    <w:rsid w:val="00C46E17"/>
    <w:rsid w:val="00C46FA8"/>
    <w:rsid w:val="00C4700E"/>
    <w:rsid w:val="00C47024"/>
    <w:rsid w:val="00C471A6"/>
    <w:rsid w:val="00C471C0"/>
    <w:rsid w:val="00C47213"/>
    <w:rsid w:val="00C472A8"/>
    <w:rsid w:val="00C475C5"/>
    <w:rsid w:val="00C47627"/>
    <w:rsid w:val="00C47844"/>
    <w:rsid w:val="00C47C59"/>
    <w:rsid w:val="00C47C81"/>
    <w:rsid w:val="00C47D27"/>
    <w:rsid w:val="00C47DBA"/>
    <w:rsid w:val="00C47EDF"/>
    <w:rsid w:val="00C47F07"/>
    <w:rsid w:val="00C47F89"/>
    <w:rsid w:val="00C50104"/>
    <w:rsid w:val="00C502EF"/>
    <w:rsid w:val="00C50335"/>
    <w:rsid w:val="00C503A4"/>
    <w:rsid w:val="00C506A7"/>
    <w:rsid w:val="00C507C1"/>
    <w:rsid w:val="00C507E6"/>
    <w:rsid w:val="00C50A0F"/>
    <w:rsid w:val="00C50ACD"/>
    <w:rsid w:val="00C50B20"/>
    <w:rsid w:val="00C50BC7"/>
    <w:rsid w:val="00C50E3A"/>
    <w:rsid w:val="00C50F0A"/>
    <w:rsid w:val="00C51101"/>
    <w:rsid w:val="00C51221"/>
    <w:rsid w:val="00C51272"/>
    <w:rsid w:val="00C5127A"/>
    <w:rsid w:val="00C513EC"/>
    <w:rsid w:val="00C5174B"/>
    <w:rsid w:val="00C5175B"/>
    <w:rsid w:val="00C517B6"/>
    <w:rsid w:val="00C5183C"/>
    <w:rsid w:val="00C5184E"/>
    <w:rsid w:val="00C51909"/>
    <w:rsid w:val="00C519F9"/>
    <w:rsid w:val="00C51DD1"/>
    <w:rsid w:val="00C51DE9"/>
    <w:rsid w:val="00C51FF5"/>
    <w:rsid w:val="00C52609"/>
    <w:rsid w:val="00C5261E"/>
    <w:rsid w:val="00C52631"/>
    <w:rsid w:val="00C526EE"/>
    <w:rsid w:val="00C52774"/>
    <w:rsid w:val="00C529F7"/>
    <w:rsid w:val="00C52A5D"/>
    <w:rsid w:val="00C52CDA"/>
    <w:rsid w:val="00C52DFA"/>
    <w:rsid w:val="00C52EA2"/>
    <w:rsid w:val="00C52FA5"/>
    <w:rsid w:val="00C53249"/>
    <w:rsid w:val="00C532F6"/>
    <w:rsid w:val="00C5347F"/>
    <w:rsid w:val="00C534DB"/>
    <w:rsid w:val="00C538D1"/>
    <w:rsid w:val="00C53C36"/>
    <w:rsid w:val="00C53F15"/>
    <w:rsid w:val="00C53FAC"/>
    <w:rsid w:val="00C5410D"/>
    <w:rsid w:val="00C54619"/>
    <w:rsid w:val="00C5468F"/>
    <w:rsid w:val="00C54746"/>
    <w:rsid w:val="00C54863"/>
    <w:rsid w:val="00C5498A"/>
    <w:rsid w:val="00C54A49"/>
    <w:rsid w:val="00C54AE1"/>
    <w:rsid w:val="00C54B26"/>
    <w:rsid w:val="00C54C0B"/>
    <w:rsid w:val="00C54C81"/>
    <w:rsid w:val="00C55620"/>
    <w:rsid w:val="00C556A2"/>
    <w:rsid w:val="00C55895"/>
    <w:rsid w:val="00C55C76"/>
    <w:rsid w:val="00C55CB0"/>
    <w:rsid w:val="00C5609F"/>
    <w:rsid w:val="00C561A3"/>
    <w:rsid w:val="00C561C6"/>
    <w:rsid w:val="00C5659C"/>
    <w:rsid w:val="00C56618"/>
    <w:rsid w:val="00C56710"/>
    <w:rsid w:val="00C56885"/>
    <w:rsid w:val="00C56A85"/>
    <w:rsid w:val="00C56C79"/>
    <w:rsid w:val="00C56CB6"/>
    <w:rsid w:val="00C56CF8"/>
    <w:rsid w:val="00C56EFE"/>
    <w:rsid w:val="00C57054"/>
    <w:rsid w:val="00C571C5"/>
    <w:rsid w:val="00C5725B"/>
    <w:rsid w:val="00C57344"/>
    <w:rsid w:val="00C573D2"/>
    <w:rsid w:val="00C57413"/>
    <w:rsid w:val="00C574FD"/>
    <w:rsid w:val="00C576BC"/>
    <w:rsid w:val="00C57777"/>
    <w:rsid w:val="00C578A4"/>
    <w:rsid w:val="00C57AFE"/>
    <w:rsid w:val="00C57BDA"/>
    <w:rsid w:val="00C57C00"/>
    <w:rsid w:val="00C57C56"/>
    <w:rsid w:val="00C57EEB"/>
    <w:rsid w:val="00C57EF7"/>
    <w:rsid w:val="00C6005A"/>
    <w:rsid w:val="00C600A4"/>
    <w:rsid w:val="00C600F1"/>
    <w:rsid w:val="00C60181"/>
    <w:rsid w:val="00C601E9"/>
    <w:rsid w:val="00C601ED"/>
    <w:rsid w:val="00C6073A"/>
    <w:rsid w:val="00C607AE"/>
    <w:rsid w:val="00C60846"/>
    <w:rsid w:val="00C608F3"/>
    <w:rsid w:val="00C60AE8"/>
    <w:rsid w:val="00C60B5B"/>
    <w:rsid w:val="00C60B6D"/>
    <w:rsid w:val="00C60CD1"/>
    <w:rsid w:val="00C60D22"/>
    <w:rsid w:val="00C60D50"/>
    <w:rsid w:val="00C60DF1"/>
    <w:rsid w:val="00C60F63"/>
    <w:rsid w:val="00C61064"/>
    <w:rsid w:val="00C6120A"/>
    <w:rsid w:val="00C61357"/>
    <w:rsid w:val="00C613DC"/>
    <w:rsid w:val="00C61737"/>
    <w:rsid w:val="00C6177A"/>
    <w:rsid w:val="00C61977"/>
    <w:rsid w:val="00C61A1C"/>
    <w:rsid w:val="00C61B02"/>
    <w:rsid w:val="00C61B04"/>
    <w:rsid w:val="00C61B21"/>
    <w:rsid w:val="00C61C23"/>
    <w:rsid w:val="00C61DFF"/>
    <w:rsid w:val="00C61E35"/>
    <w:rsid w:val="00C62015"/>
    <w:rsid w:val="00C620AE"/>
    <w:rsid w:val="00C621A5"/>
    <w:rsid w:val="00C621F9"/>
    <w:rsid w:val="00C62252"/>
    <w:rsid w:val="00C6226A"/>
    <w:rsid w:val="00C622C4"/>
    <w:rsid w:val="00C62362"/>
    <w:rsid w:val="00C626A4"/>
    <w:rsid w:val="00C626ED"/>
    <w:rsid w:val="00C6278D"/>
    <w:rsid w:val="00C62986"/>
    <w:rsid w:val="00C62AF4"/>
    <w:rsid w:val="00C62C7C"/>
    <w:rsid w:val="00C62DB2"/>
    <w:rsid w:val="00C62E2F"/>
    <w:rsid w:val="00C62EFB"/>
    <w:rsid w:val="00C62F2E"/>
    <w:rsid w:val="00C63126"/>
    <w:rsid w:val="00C63536"/>
    <w:rsid w:val="00C63623"/>
    <w:rsid w:val="00C636FB"/>
    <w:rsid w:val="00C6387D"/>
    <w:rsid w:val="00C638DF"/>
    <w:rsid w:val="00C63973"/>
    <w:rsid w:val="00C63A91"/>
    <w:rsid w:val="00C63C89"/>
    <w:rsid w:val="00C63D9B"/>
    <w:rsid w:val="00C64031"/>
    <w:rsid w:val="00C641FE"/>
    <w:rsid w:val="00C64234"/>
    <w:rsid w:val="00C642B3"/>
    <w:rsid w:val="00C642C6"/>
    <w:rsid w:val="00C6448C"/>
    <w:rsid w:val="00C64559"/>
    <w:rsid w:val="00C6456D"/>
    <w:rsid w:val="00C64657"/>
    <w:rsid w:val="00C647E7"/>
    <w:rsid w:val="00C64800"/>
    <w:rsid w:val="00C650E7"/>
    <w:rsid w:val="00C6510D"/>
    <w:rsid w:val="00C651D8"/>
    <w:rsid w:val="00C6522E"/>
    <w:rsid w:val="00C653C5"/>
    <w:rsid w:val="00C654C6"/>
    <w:rsid w:val="00C654C8"/>
    <w:rsid w:val="00C65668"/>
    <w:rsid w:val="00C657B3"/>
    <w:rsid w:val="00C657B4"/>
    <w:rsid w:val="00C65830"/>
    <w:rsid w:val="00C659EB"/>
    <w:rsid w:val="00C65AB0"/>
    <w:rsid w:val="00C65C41"/>
    <w:rsid w:val="00C65CD2"/>
    <w:rsid w:val="00C65D72"/>
    <w:rsid w:val="00C65DD0"/>
    <w:rsid w:val="00C65E55"/>
    <w:rsid w:val="00C6617A"/>
    <w:rsid w:val="00C66229"/>
    <w:rsid w:val="00C662F8"/>
    <w:rsid w:val="00C663FD"/>
    <w:rsid w:val="00C664B2"/>
    <w:rsid w:val="00C66562"/>
    <w:rsid w:val="00C66596"/>
    <w:rsid w:val="00C66790"/>
    <w:rsid w:val="00C66AC3"/>
    <w:rsid w:val="00C66B33"/>
    <w:rsid w:val="00C66B5E"/>
    <w:rsid w:val="00C66CF9"/>
    <w:rsid w:val="00C66D09"/>
    <w:rsid w:val="00C66E46"/>
    <w:rsid w:val="00C67284"/>
    <w:rsid w:val="00C6739E"/>
    <w:rsid w:val="00C6754F"/>
    <w:rsid w:val="00C6774A"/>
    <w:rsid w:val="00C67760"/>
    <w:rsid w:val="00C67A26"/>
    <w:rsid w:val="00C67C5E"/>
    <w:rsid w:val="00C67D54"/>
    <w:rsid w:val="00C67DB1"/>
    <w:rsid w:val="00C67E1A"/>
    <w:rsid w:val="00C70159"/>
    <w:rsid w:val="00C701C1"/>
    <w:rsid w:val="00C70213"/>
    <w:rsid w:val="00C702B5"/>
    <w:rsid w:val="00C70741"/>
    <w:rsid w:val="00C70F2E"/>
    <w:rsid w:val="00C71037"/>
    <w:rsid w:val="00C710D0"/>
    <w:rsid w:val="00C710D1"/>
    <w:rsid w:val="00C7111E"/>
    <w:rsid w:val="00C711EB"/>
    <w:rsid w:val="00C713D6"/>
    <w:rsid w:val="00C71446"/>
    <w:rsid w:val="00C71788"/>
    <w:rsid w:val="00C71869"/>
    <w:rsid w:val="00C71C3F"/>
    <w:rsid w:val="00C71C57"/>
    <w:rsid w:val="00C71C94"/>
    <w:rsid w:val="00C71DC9"/>
    <w:rsid w:val="00C71DCB"/>
    <w:rsid w:val="00C7205D"/>
    <w:rsid w:val="00C72158"/>
    <w:rsid w:val="00C7238A"/>
    <w:rsid w:val="00C725AF"/>
    <w:rsid w:val="00C725C8"/>
    <w:rsid w:val="00C7270C"/>
    <w:rsid w:val="00C728DC"/>
    <w:rsid w:val="00C72974"/>
    <w:rsid w:val="00C729F9"/>
    <w:rsid w:val="00C72AB5"/>
    <w:rsid w:val="00C72BA4"/>
    <w:rsid w:val="00C72ED8"/>
    <w:rsid w:val="00C73045"/>
    <w:rsid w:val="00C730A4"/>
    <w:rsid w:val="00C73422"/>
    <w:rsid w:val="00C73694"/>
    <w:rsid w:val="00C73817"/>
    <w:rsid w:val="00C73ACB"/>
    <w:rsid w:val="00C73B1B"/>
    <w:rsid w:val="00C73D20"/>
    <w:rsid w:val="00C73DFA"/>
    <w:rsid w:val="00C73E39"/>
    <w:rsid w:val="00C73F59"/>
    <w:rsid w:val="00C73FD5"/>
    <w:rsid w:val="00C74033"/>
    <w:rsid w:val="00C7406A"/>
    <w:rsid w:val="00C741CB"/>
    <w:rsid w:val="00C743CD"/>
    <w:rsid w:val="00C743E0"/>
    <w:rsid w:val="00C74585"/>
    <w:rsid w:val="00C746DF"/>
    <w:rsid w:val="00C74711"/>
    <w:rsid w:val="00C74761"/>
    <w:rsid w:val="00C7482F"/>
    <w:rsid w:val="00C7484A"/>
    <w:rsid w:val="00C74B63"/>
    <w:rsid w:val="00C74B9B"/>
    <w:rsid w:val="00C74E94"/>
    <w:rsid w:val="00C74E96"/>
    <w:rsid w:val="00C752B6"/>
    <w:rsid w:val="00C75383"/>
    <w:rsid w:val="00C754E6"/>
    <w:rsid w:val="00C7557F"/>
    <w:rsid w:val="00C755E5"/>
    <w:rsid w:val="00C758A6"/>
    <w:rsid w:val="00C75C78"/>
    <w:rsid w:val="00C75D28"/>
    <w:rsid w:val="00C7644E"/>
    <w:rsid w:val="00C7649A"/>
    <w:rsid w:val="00C7689D"/>
    <w:rsid w:val="00C76B9D"/>
    <w:rsid w:val="00C76C02"/>
    <w:rsid w:val="00C76D06"/>
    <w:rsid w:val="00C76DB0"/>
    <w:rsid w:val="00C76E30"/>
    <w:rsid w:val="00C76E88"/>
    <w:rsid w:val="00C76F4B"/>
    <w:rsid w:val="00C76FBC"/>
    <w:rsid w:val="00C77183"/>
    <w:rsid w:val="00C7741C"/>
    <w:rsid w:val="00C77571"/>
    <w:rsid w:val="00C77595"/>
    <w:rsid w:val="00C77640"/>
    <w:rsid w:val="00C7782E"/>
    <w:rsid w:val="00C7796F"/>
    <w:rsid w:val="00C77A03"/>
    <w:rsid w:val="00C77D9A"/>
    <w:rsid w:val="00C77EEF"/>
    <w:rsid w:val="00C77FE5"/>
    <w:rsid w:val="00C801B1"/>
    <w:rsid w:val="00C80367"/>
    <w:rsid w:val="00C803E2"/>
    <w:rsid w:val="00C804BE"/>
    <w:rsid w:val="00C80573"/>
    <w:rsid w:val="00C80650"/>
    <w:rsid w:val="00C80888"/>
    <w:rsid w:val="00C80899"/>
    <w:rsid w:val="00C80982"/>
    <w:rsid w:val="00C809D8"/>
    <w:rsid w:val="00C80B5B"/>
    <w:rsid w:val="00C80C3C"/>
    <w:rsid w:val="00C80E9C"/>
    <w:rsid w:val="00C80F09"/>
    <w:rsid w:val="00C81170"/>
    <w:rsid w:val="00C811C8"/>
    <w:rsid w:val="00C812E6"/>
    <w:rsid w:val="00C813EA"/>
    <w:rsid w:val="00C81501"/>
    <w:rsid w:val="00C815FD"/>
    <w:rsid w:val="00C816CE"/>
    <w:rsid w:val="00C81BB5"/>
    <w:rsid w:val="00C81C83"/>
    <w:rsid w:val="00C81CDA"/>
    <w:rsid w:val="00C81D41"/>
    <w:rsid w:val="00C81E91"/>
    <w:rsid w:val="00C81ECE"/>
    <w:rsid w:val="00C81EE2"/>
    <w:rsid w:val="00C820BB"/>
    <w:rsid w:val="00C820EF"/>
    <w:rsid w:val="00C82214"/>
    <w:rsid w:val="00C82324"/>
    <w:rsid w:val="00C82353"/>
    <w:rsid w:val="00C8242F"/>
    <w:rsid w:val="00C82476"/>
    <w:rsid w:val="00C82690"/>
    <w:rsid w:val="00C828AD"/>
    <w:rsid w:val="00C828C1"/>
    <w:rsid w:val="00C829D2"/>
    <w:rsid w:val="00C82A5B"/>
    <w:rsid w:val="00C82AAC"/>
    <w:rsid w:val="00C82B04"/>
    <w:rsid w:val="00C82BF5"/>
    <w:rsid w:val="00C82C41"/>
    <w:rsid w:val="00C82C8A"/>
    <w:rsid w:val="00C82D5C"/>
    <w:rsid w:val="00C82F7A"/>
    <w:rsid w:val="00C82FAF"/>
    <w:rsid w:val="00C8306B"/>
    <w:rsid w:val="00C8314C"/>
    <w:rsid w:val="00C831C7"/>
    <w:rsid w:val="00C8329F"/>
    <w:rsid w:val="00C83357"/>
    <w:rsid w:val="00C8347D"/>
    <w:rsid w:val="00C836FF"/>
    <w:rsid w:val="00C83792"/>
    <w:rsid w:val="00C838E3"/>
    <w:rsid w:val="00C838F3"/>
    <w:rsid w:val="00C838FD"/>
    <w:rsid w:val="00C8395B"/>
    <w:rsid w:val="00C83998"/>
    <w:rsid w:val="00C839D5"/>
    <w:rsid w:val="00C83B21"/>
    <w:rsid w:val="00C83CA4"/>
    <w:rsid w:val="00C83DF7"/>
    <w:rsid w:val="00C83E1B"/>
    <w:rsid w:val="00C83FB1"/>
    <w:rsid w:val="00C841CC"/>
    <w:rsid w:val="00C84382"/>
    <w:rsid w:val="00C844CF"/>
    <w:rsid w:val="00C84559"/>
    <w:rsid w:val="00C846DA"/>
    <w:rsid w:val="00C846FB"/>
    <w:rsid w:val="00C84A0D"/>
    <w:rsid w:val="00C84A0F"/>
    <w:rsid w:val="00C84ACC"/>
    <w:rsid w:val="00C84DEE"/>
    <w:rsid w:val="00C84E43"/>
    <w:rsid w:val="00C84E5B"/>
    <w:rsid w:val="00C85057"/>
    <w:rsid w:val="00C850D9"/>
    <w:rsid w:val="00C851D0"/>
    <w:rsid w:val="00C853D1"/>
    <w:rsid w:val="00C854A8"/>
    <w:rsid w:val="00C85599"/>
    <w:rsid w:val="00C85675"/>
    <w:rsid w:val="00C8571E"/>
    <w:rsid w:val="00C858F0"/>
    <w:rsid w:val="00C8599F"/>
    <w:rsid w:val="00C859A6"/>
    <w:rsid w:val="00C859EC"/>
    <w:rsid w:val="00C85A3C"/>
    <w:rsid w:val="00C85C45"/>
    <w:rsid w:val="00C85E33"/>
    <w:rsid w:val="00C85E91"/>
    <w:rsid w:val="00C85F7D"/>
    <w:rsid w:val="00C85FD2"/>
    <w:rsid w:val="00C863D3"/>
    <w:rsid w:val="00C863E9"/>
    <w:rsid w:val="00C8642C"/>
    <w:rsid w:val="00C864E5"/>
    <w:rsid w:val="00C865B5"/>
    <w:rsid w:val="00C866E1"/>
    <w:rsid w:val="00C86735"/>
    <w:rsid w:val="00C8684E"/>
    <w:rsid w:val="00C868EF"/>
    <w:rsid w:val="00C86931"/>
    <w:rsid w:val="00C86957"/>
    <w:rsid w:val="00C869F8"/>
    <w:rsid w:val="00C86AE9"/>
    <w:rsid w:val="00C86DDB"/>
    <w:rsid w:val="00C8709C"/>
    <w:rsid w:val="00C87224"/>
    <w:rsid w:val="00C873C6"/>
    <w:rsid w:val="00C874D6"/>
    <w:rsid w:val="00C8761B"/>
    <w:rsid w:val="00C8768E"/>
    <w:rsid w:val="00C87743"/>
    <w:rsid w:val="00C87745"/>
    <w:rsid w:val="00C87853"/>
    <w:rsid w:val="00C8791C"/>
    <w:rsid w:val="00C87BE0"/>
    <w:rsid w:val="00C87CB3"/>
    <w:rsid w:val="00C87DDD"/>
    <w:rsid w:val="00C87DED"/>
    <w:rsid w:val="00C87E09"/>
    <w:rsid w:val="00C87EE0"/>
    <w:rsid w:val="00C87F9D"/>
    <w:rsid w:val="00C90055"/>
    <w:rsid w:val="00C90379"/>
    <w:rsid w:val="00C903BE"/>
    <w:rsid w:val="00C904A1"/>
    <w:rsid w:val="00C9059E"/>
    <w:rsid w:val="00C905E3"/>
    <w:rsid w:val="00C907AD"/>
    <w:rsid w:val="00C9086F"/>
    <w:rsid w:val="00C908B0"/>
    <w:rsid w:val="00C9093F"/>
    <w:rsid w:val="00C90965"/>
    <w:rsid w:val="00C909A3"/>
    <w:rsid w:val="00C90A13"/>
    <w:rsid w:val="00C90B9F"/>
    <w:rsid w:val="00C90C21"/>
    <w:rsid w:val="00C90DF5"/>
    <w:rsid w:val="00C90E7E"/>
    <w:rsid w:val="00C9101A"/>
    <w:rsid w:val="00C9106C"/>
    <w:rsid w:val="00C910F8"/>
    <w:rsid w:val="00C911DC"/>
    <w:rsid w:val="00C912E0"/>
    <w:rsid w:val="00C9142A"/>
    <w:rsid w:val="00C9162E"/>
    <w:rsid w:val="00C917DC"/>
    <w:rsid w:val="00C91911"/>
    <w:rsid w:val="00C91BD4"/>
    <w:rsid w:val="00C91F39"/>
    <w:rsid w:val="00C91F53"/>
    <w:rsid w:val="00C91FC1"/>
    <w:rsid w:val="00C91FF4"/>
    <w:rsid w:val="00C9224B"/>
    <w:rsid w:val="00C92275"/>
    <w:rsid w:val="00C92362"/>
    <w:rsid w:val="00C923EF"/>
    <w:rsid w:val="00C9243F"/>
    <w:rsid w:val="00C925F7"/>
    <w:rsid w:val="00C9278B"/>
    <w:rsid w:val="00C9288F"/>
    <w:rsid w:val="00C92D55"/>
    <w:rsid w:val="00C92DB7"/>
    <w:rsid w:val="00C92DEF"/>
    <w:rsid w:val="00C92ECD"/>
    <w:rsid w:val="00C92EE6"/>
    <w:rsid w:val="00C92F4D"/>
    <w:rsid w:val="00C93040"/>
    <w:rsid w:val="00C930A0"/>
    <w:rsid w:val="00C931D1"/>
    <w:rsid w:val="00C93342"/>
    <w:rsid w:val="00C933A6"/>
    <w:rsid w:val="00C93664"/>
    <w:rsid w:val="00C93861"/>
    <w:rsid w:val="00C9388B"/>
    <w:rsid w:val="00C93954"/>
    <w:rsid w:val="00C93A85"/>
    <w:rsid w:val="00C93AEB"/>
    <w:rsid w:val="00C93D22"/>
    <w:rsid w:val="00C93E01"/>
    <w:rsid w:val="00C93E25"/>
    <w:rsid w:val="00C93E30"/>
    <w:rsid w:val="00C93F73"/>
    <w:rsid w:val="00C94164"/>
    <w:rsid w:val="00C941AA"/>
    <w:rsid w:val="00C9421D"/>
    <w:rsid w:val="00C94297"/>
    <w:rsid w:val="00C942CF"/>
    <w:rsid w:val="00C9436C"/>
    <w:rsid w:val="00C94727"/>
    <w:rsid w:val="00C947C2"/>
    <w:rsid w:val="00C9481F"/>
    <w:rsid w:val="00C94878"/>
    <w:rsid w:val="00C948C9"/>
    <w:rsid w:val="00C94CEB"/>
    <w:rsid w:val="00C94D09"/>
    <w:rsid w:val="00C94D9A"/>
    <w:rsid w:val="00C94E44"/>
    <w:rsid w:val="00C9507A"/>
    <w:rsid w:val="00C95202"/>
    <w:rsid w:val="00C952C7"/>
    <w:rsid w:val="00C95472"/>
    <w:rsid w:val="00C9555B"/>
    <w:rsid w:val="00C9593D"/>
    <w:rsid w:val="00C959F2"/>
    <w:rsid w:val="00C95A95"/>
    <w:rsid w:val="00C95AE3"/>
    <w:rsid w:val="00C95B5C"/>
    <w:rsid w:val="00C95C8F"/>
    <w:rsid w:val="00C95E90"/>
    <w:rsid w:val="00C95EE1"/>
    <w:rsid w:val="00C960E7"/>
    <w:rsid w:val="00C96194"/>
    <w:rsid w:val="00C962C2"/>
    <w:rsid w:val="00C9657D"/>
    <w:rsid w:val="00C965BB"/>
    <w:rsid w:val="00C9661C"/>
    <w:rsid w:val="00C96627"/>
    <w:rsid w:val="00C9668C"/>
    <w:rsid w:val="00C966B5"/>
    <w:rsid w:val="00C9678F"/>
    <w:rsid w:val="00C96793"/>
    <w:rsid w:val="00C968D9"/>
    <w:rsid w:val="00C96909"/>
    <w:rsid w:val="00C96911"/>
    <w:rsid w:val="00C9693C"/>
    <w:rsid w:val="00C96B40"/>
    <w:rsid w:val="00C96BB3"/>
    <w:rsid w:val="00C96C45"/>
    <w:rsid w:val="00C96CD0"/>
    <w:rsid w:val="00C96E00"/>
    <w:rsid w:val="00C96E9D"/>
    <w:rsid w:val="00C96ECB"/>
    <w:rsid w:val="00C96F73"/>
    <w:rsid w:val="00C9730A"/>
    <w:rsid w:val="00C97323"/>
    <w:rsid w:val="00C97387"/>
    <w:rsid w:val="00C97521"/>
    <w:rsid w:val="00C97630"/>
    <w:rsid w:val="00C976C0"/>
    <w:rsid w:val="00C9777D"/>
    <w:rsid w:val="00C97797"/>
    <w:rsid w:val="00C977C1"/>
    <w:rsid w:val="00C9783D"/>
    <w:rsid w:val="00C97851"/>
    <w:rsid w:val="00C97AB0"/>
    <w:rsid w:val="00C97BE0"/>
    <w:rsid w:val="00C97DA9"/>
    <w:rsid w:val="00C97DDD"/>
    <w:rsid w:val="00C97E13"/>
    <w:rsid w:val="00C97EB6"/>
    <w:rsid w:val="00C9B37C"/>
    <w:rsid w:val="00CA00A2"/>
    <w:rsid w:val="00CA00D8"/>
    <w:rsid w:val="00CA04D3"/>
    <w:rsid w:val="00CA0555"/>
    <w:rsid w:val="00CA0561"/>
    <w:rsid w:val="00CA0662"/>
    <w:rsid w:val="00CA0699"/>
    <w:rsid w:val="00CA0743"/>
    <w:rsid w:val="00CA0782"/>
    <w:rsid w:val="00CA0A8E"/>
    <w:rsid w:val="00CA0EE2"/>
    <w:rsid w:val="00CA0FEA"/>
    <w:rsid w:val="00CA1212"/>
    <w:rsid w:val="00CA1297"/>
    <w:rsid w:val="00CA1393"/>
    <w:rsid w:val="00CA162B"/>
    <w:rsid w:val="00CA1776"/>
    <w:rsid w:val="00CA1897"/>
    <w:rsid w:val="00CA190F"/>
    <w:rsid w:val="00CA1947"/>
    <w:rsid w:val="00CA19C6"/>
    <w:rsid w:val="00CA1ABE"/>
    <w:rsid w:val="00CA1E62"/>
    <w:rsid w:val="00CA1F4F"/>
    <w:rsid w:val="00CA1F8F"/>
    <w:rsid w:val="00CA201F"/>
    <w:rsid w:val="00CA2095"/>
    <w:rsid w:val="00CA222D"/>
    <w:rsid w:val="00CA2243"/>
    <w:rsid w:val="00CA22E7"/>
    <w:rsid w:val="00CA2550"/>
    <w:rsid w:val="00CA2720"/>
    <w:rsid w:val="00CA272C"/>
    <w:rsid w:val="00CA2758"/>
    <w:rsid w:val="00CA275B"/>
    <w:rsid w:val="00CA280C"/>
    <w:rsid w:val="00CA2A70"/>
    <w:rsid w:val="00CA2B85"/>
    <w:rsid w:val="00CA2C7E"/>
    <w:rsid w:val="00CA2CFD"/>
    <w:rsid w:val="00CA2E9A"/>
    <w:rsid w:val="00CA2EC1"/>
    <w:rsid w:val="00CA32BF"/>
    <w:rsid w:val="00CA32D4"/>
    <w:rsid w:val="00CA3324"/>
    <w:rsid w:val="00CA3419"/>
    <w:rsid w:val="00CA3485"/>
    <w:rsid w:val="00CA35FC"/>
    <w:rsid w:val="00CA3698"/>
    <w:rsid w:val="00CA388D"/>
    <w:rsid w:val="00CA39B4"/>
    <w:rsid w:val="00CA39C0"/>
    <w:rsid w:val="00CA3C27"/>
    <w:rsid w:val="00CA3D49"/>
    <w:rsid w:val="00CA3E56"/>
    <w:rsid w:val="00CA3E61"/>
    <w:rsid w:val="00CA3FB4"/>
    <w:rsid w:val="00CA3FDA"/>
    <w:rsid w:val="00CA3FF8"/>
    <w:rsid w:val="00CA4105"/>
    <w:rsid w:val="00CA4137"/>
    <w:rsid w:val="00CA41F5"/>
    <w:rsid w:val="00CA43EC"/>
    <w:rsid w:val="00CA462B"/>
    <w:rsid w:val="00CA4668"/>
    <w:rsid w:val="00CA46AF"/>
    <w:rsid w:val="00CA46FB"/>
    <w:rsid w:val="00CA4A96"/>
    <w:rsid w:val="00CA4BEB"/>
    <w:rsid w:val="00CA4D87"/>
    <w:rsid w:val="00CA4F13"/>
    <w:rsid w:val="00CA5341"/>
    <w:rsid w:val="00CA53CE"/>
    <w:rsid w:val="00CA5484"/>
    <w:rsid w:val="00CA58B3"/>
    <w:rsid w:val="00CA5ADC"/>
    <w:rsid w:val="00CA5BC9"/>
    <w:rsid w:val="00CA5D8B"/>
    <w:rsid w:val="00CA5E91"/>
    <w:rsid w:val="00CA5FC2"/>
    <w:rsid w:val="00CA606C"/>
    <w:rsid w:val="00CA60D6"/>
    <w:rsid w:val="00CA60DB"/>
    <w:rsid w:val="00CA647D"/>
    <w:rsid w:val="00CA6520"/>
    <w:rsid w:val="00CA655D"/>
    <w:rsid w:val="00CA65A2"/>
    <w:rsid w:val="00CA65B7"/>
    <w:rsid w:val="00CA660F"/>
    <w:rsid w:val="00CA6734"/>
    <w:rsid w:val="00CA67E4"/>
    <w:rsid w:val="00CA67FC"/>
    <w:rsid w:val="00CA68D3"/>
    <w:rsid w:val="00CA68D8"/>
    <w:rsid w:val="00CA68E9"/>
    <w:rsid w:val="00CA6993"/>
    <w:rsid w:val="00CA6F2B"/>
    <w:rsid w:val="00CA6F6F"/>
    <w:rsid w:val="00CA7027"/>
    <w:rsid w:val="00CA7089"/>
    <w:rsid w:val="00CA70F3"/>
    <w:rsid w:val="00CA7113"/>
    <w:rsid w:val="00CA73AE"/>
    <w:rsid w:val="00CA74A5"/>
    <w:rsid w:val="00CA7555"/>
    <w:rsid w:val="00CA75E3"/>
    <w:rsid w:val="00CA76CF"/>
    <w:rsid w:val="00CA7703"/>
    <w:rsid w:val="00CA770F"/>
    <w:rsid w:val="00CA77BA"/>
    <w:rsid w:val="00CA7913"/>
    <w:rsid w:val="00CA7972"/>
    <w:rsid w:val="00CA7A48"/>
    <w:rsid w:val="00CA7A62"/>
    <w:rsid w:val="00CA7B51"/>
    <w:rsid w:val="00CA7BA8"/>
    <w:rsid w:val="00CA7EA4"/>
    <w:rsid w:val="00CAE5B1"/>
    <w:rsid w:val="00CB0101"/>
    <w:rsid w:val="00CB0361"/>
    <w:rsid w:val="00CB03E0"/>
    <w:rsid w:val="00CB04AF"/>
    <w:rsid w:val="00CB04F7"/>
    <w:rsid w:val="00CB0615"/>
    <w:rsid w:val="00CB07E0"/>
    <w:rsid w:val="00CB08C2"/>
    <w:rsid w:val="00CB08C7"/>
    <w:rsid w:val="00CB0922"/>
    <w:rsid w:val="00CB0954"/>
    <w:rsid w:val="00CB09CE"/>
    <w:rsid w:val="00CB0A9E"/>
    <w:rsid w:val="00CB0B52"/>
    <w:rsid w:val="00CB0B76"/>
    <w:rsid w:val="00CB0CBE"/>
    <w:rsid w:val="00CB0EA3"/>
    <w:rsid w:val="00CB0F2A"/>
    <w:rsid w:val="00CB0F37"/>
    <w:rsid w:val="00CB0FCB"/>
    <w:rsid w:val="00CB0FE9"/>
    <w:rsid w:val="00CB11A7"/>
    <w:rsid w:val="00CB1296"/>
    <w:rsid w:val="00CB132B"/>
    <w:rsid w:val="00CB170C"/>
    <w:rsid w:val="00CB17E8"/>
    <w:rsid w:val="00CB1974"/>
    <w:rsid w:val="00CB1A33"/>
    <w:rsid w:val="00CB1A4C"/>
    <w:rsid w:val="00CB1C4C"/>
    <w:rsid w:val="00CB1D47"/>
    <w:rsid w:val="00CB1E30"/>
    <w:rsid w:val="00CB1F03"/>
    <w:rsid w:val="00CB2215"/>
    <w:rsid w:val="00CB2258"/>
    <w:rsid w:val="00CB226F"/>
    <w:rsid w:val="00CB2270"/>
    <w:rsid w:val="00CB23CD"/>
    <w:rsid w:val="00CB2478"/>
    <w:rsid w:val="00CB24B2"/>
    <w:rsid w:val="00CB25A8"/>
    <w:rsid w:val="00CB2619"/>
    <w:rsid w:val="00CB2686"/>
    <w:rsid w:val="00CB2923"/>
    <w:rsid w:val="00CB2A71"/>
    <w:rsid w:val="00CB2AC9"/>
    <w:rsid w:val="00CB2B5A"/>
    <w:rsid w:val="00CB2CBD"/>
    <w:rsid w:val="00CB2CC7"/>
    <w:rsid w:val="00CB2D73"/>
    <w:rsid w:val="00CB2E5D"/>
    <w:rsid w:val="00CB2FC0"/>
    <w:rsid w:val="00CB2FE9"/>
    <w:rsid w:val="00CB3069"/>
    <w:rsid w:val="00CB3077"/>
    <w:rsid w:val="00CB3221"/>
    <w:rsid w:val="00CB3503"/>
    <w:rsid w:val="00CB35C3"/>
    <w:rsid w:val="00CB368A"/>
    <w:rsid w:val="00CB37C4"/>
    <w:rsid w:val="00CB392C"/>
    <w:rsid w:val="00CB3D75"/>
    <w:rsid w:val="00CB3DE5"/>
    <w:rsid w:val="00CB3E37"/>
    <w:rsid w:val="00CB4066"/>
    <w:rsid w:val="00CB409A"/>
    <w:rsid w:val="00CB40AB"/>
    <w:rsid w:val="00CB414C"/>
    <w:rsid w:val="00CB41E1"/>
    <w:rsid w:val="00CB45D0"/>
    <w:rsid w:val="00CB45F4"/>
    <w:rsid w:val="00CB4703"/>
    <w:rsid w:val="00CB4838"/>
    <w:rsid w:val="00CB48C9"/>
    <w:rsid w:val="00CB4906"/>
    <w:rsid w:val="00CB4985"/>
    <w:rsid w:val="00CB4C87"/>
    <w:rsid w:val="00CB4D08"/>
    <w:rsid w:val="00CB4E0B"/>
    <w:rsid w:val="00CB4E27"/>
    <w:rsid w:val="00CB4E92"/>
    <w:rsid w:val="00CB50A6"/>
    <w:rsid w:val="00CB50D7"/>
    <w:rsid w:val="00CB51C4"/>
    <w:rsid w:val="00CB5200"/>
    <w:rsid w:val="00CB5337"/>
    <w:rsid w:val="00CB5370"/>
    <w:rsid w:val="00CB5394"/>
    <w:rsid w:val="00CB560F"/>
    <w:rsid w:val="00CB571D"/>
    <w:rsid w:val="00CB57CC"/>
    <w:rsid w:val="00CB5A5C"/>
    <w:rsid w:val="00CB5B19"/>
    <w:rsid w:val="00CB5BE0"/>
    <w:rsid w:val="00CB5C1F"/>
    <w:rsid w:val="00CB5DBD"/>
    <w:rsid w:val="00CB5F67"/>
    <w:rsid w:val="00CB631B"/>
    <w:rsid w:val="00CB63AC"/>
    <w:rsid w:val="00CB646B"/>
    <w:rsid w:val="00CB668D"/>
    <w:rsid w:val="00CB66DD"/>
    <w:rsid w:val="00CB66F7"/>
    <w:rsid w:val="00CB6718"/>
    <w:rsid w:val="00CB6868"/>
    <w:rsid w:val="00CB6923"/>
    <w:rsid w:val="00CB6978"/>
    <w:rsid w:val="00CB6A67"/>
    <w:rsid w:val="00CB6AA5"/>
    <w:rsid w:val="00CB6ABD"/>
    <w:rsid w:val="00CB6C7F"/>
    <w:rsid w:val="00CB6D25"/>
    <w:rsid w:val="00CB6D51"/>
    <w:rsid w:val="00CB6F96"/>
    <w:rsid w:val="00CB700C"/>
    <w:rsid w:val="00CB734D"/>
    <w:rsid w:val="00CB7425"/>
    <w:rsid w:val="00CB7570"/>
    <w:rsid w:val="00CB76BB"/>
    <w:rsid w:val="00CB770D"/>
    <w:rsid w:val="00CB7846"/>
    <w:rsid w:val="00CB79DE"/>
    <w:rsid w:val="00CB7A1C"/>
    <w:rsid w:val="00CB7A20"/>
    <w:rsid w:val="00CB7B50"/>
    <w:rsid w:val="00CB7B7D"/>
    <w:rsid w:val="00CB7C71"/>
    <w:rsid w:val="00CC004B"/>
    <w:rsid w:val="00CC007A"/>
    <w:rsid w:val="00CC00E6"/>
    <w:rsid w:val="00CC026B"/>
    <w:rsid w:val="00CC02A0"/>
    <w:rsid w:val="00CC031B"/>
    <w:rsid w:val="00CC04FE"/>
    <w:rsid w:val="00CC054D"/>
    <w:rsid w:val="00CC0643"/>
    <w:rsid w:val="00CC0697"/>
    <w:rsid w:val="00CC06E7"/>
    <w:rsid w:val="00CC06F0"/>
    <w:rsid w:val="00CC07BD"/>
    <w:rsid w:val="00CC0889"/>
    <w:rsid w:val="00CC0948"/>
    <w:rsid w:val="00CC09B7"/>
    <w:rsid w:val="00CC0A3A"/>
    <w:rsid w:val="00CC0AE3"/>
    <w:rsid w:val="00CC0FBF"/>
    <w:rsid w:val="00CC0FF0"/>
    <w:rsid w:val="00CC11C6"/>
    <w:rsid w:val="00CC12BB"/>
    <w:rsid w:val="00CC13BE"/>
    <w:rsid w:val="00CC14BB"/>
    <w:rsid w:val="00CC1998"/>
    <w:rsid w:val="00CC19B4"/>
    <w:rsid w:val="00CC19C9"/>
    <w:rsid w:val="00CC1CD1"/>
    <w:rsid w:val="00CC1DAE"/>
    <w:rsid w:val="00CC1DD9"/>
    <w:rsid w:val="00CC1F6C"/>
    <w:rsid w:val="00CC1F95"/>
    <w:rsid w:val="00CC21DB"/>
    <w:rsid w:val="00CC239C"/>
    <w:rsid w:val="00CC25B6"/>
    <w:rsid w:val="00CC2643"/>
    <w:rsid w:val="00CC2671"/>
    <w:rsid w:val="00CC2674"/>
    <w:rsid w:val="00CC26B2"/>
    <w:rsid w:val="00CC26F1"/>
    <w:rsid w:val="00CC2A7C"/>
    <w:rsid w:val="00CC2A82"/>
    <w:rsid w:val="00CC2AEC"/>
    <w:rsid w:val="00CC2B0B"/>
    <w:rsid w:val="00CC2D77"/>
    <w:rsid w:val="00CC2DA2"/>
    <w:rsid w:val="00CC2FF3"/>
    <w:rsid w:val="00CC31AF"/>
    <w:rsid w:val="00CC31CC"/>
    <w:rsid w:val="00CC3254"/>
    <w:rsid w:val="00CC32C5"/>
    <w:rsid w:val="00CC34A7"/>
    <w:rsid w:val="00CC35EA"/>
    <w:rsid w:val="00CC37A8"/>
    <w:rsid w:val="00CC3C98"/>
    <w:rsid w:val="00CC3FF6"/>
    <w:rsid w:val="00CC40B6"/>
    <w:rsid w:val="00CC428C"/>
    <w:rsid w:val="00CC436A"/>
    <w:rsid w:val="00CC4464"/>
    <w:rsid w:val="00CC44CC"/>
    <w:rsid w:val="00CC455F"/>
    <w:rsid w:val="00CC480F"/>
    <w:rsid w:val="00CC4997"/>
    <w:rsid w:val="00CC49BE"/>
    <w:rsid w:val="00CC4C41"/>
    <w:rsid w:val="00CC4FDF"/>
    <w:rsid w:val="00CC5045"/>
    <w:rsid w:val="00CC5073"/>
    <w:rsid w:val="00CC512A"/>
    <w:rsid w:val="00CC52EE"/>
    <w:rsid w:val="00CC52F2"/>
    <w:rsid w:val="00CC5357"/>
    <w:rsid w:val="00CC55BA"/>
    <w:rsid w:val="00CC58D4"/>
    <w:rsid w:val="00CC5A15"/>
    <w:rsid w:val="00CC5A87"/>
    <w:rsid w:val="00CC5B7E"/>
    <w:rsid w:val="00CC5CA6"/>
    <w:rsid w:val="00CC5CE2"/>
    <w:rsid w:val="00CC5D12"/>
    <w:rsid w:val="00CC5F0E"/>
    <w:rsid w:val="00CC60A5"/>
    <w:rsid w:val="00CC6239"/>
    <w:rsid w:val="00CC62CF"/>
    <w:rsid w:val="00CC63AA"/>
    <w:rsid w:val="00CC63B9"/>
    <w:rsid w:val="00CC6430"/>
    <w:rsid w:val="00CC6779"/>
    <w:rsid w:val="00CC6859"/>
    <w:rsid w:val="00CC69F4"/>
    <w:rsid w:val="00CC6BD3"/>
    <w:rsid w:val="00CC6CBA"/>
    <w:rsid w:val="00CC6CC9"/>
    <w:rsid w:val="00CC6D72"/>
    <w:rsid w:val="00CC6DF1"/>
    <w:rsid w:val="00CC6E27"/>
    <w:rsid w:val="00CC6E2F"/>
    <w:rsid w:val="00CC6F63"/>
    <w:rsid w:val="00CC7073"/>
    <w:rsid w:val="00CC7089"/>
    <w:rsid w:val="00CC70F1"/>
    <w:rsid w:val="00CC7321"/>
    <w:rsid w:val="00CC7413"/>
    <w:rsid w:val="00CC7472"/>
    <w:rsid w:val="00CC748F"/>
    <w:rsid w:val="00CC74F1"/>
    <w:rsid w:val="00CC75E8"/>
    <w:rsid w:val="00CC75F8"/>
    <w:rsid w:val="00CC7656"/>
    <w:rsid w:val="00CC77C7"/>
    <w:rsid w:val="00CC77DA"/>
    <w:rsid w:val="00CC78EB"/>
    <w:rsid w:val="00CC7BAA"/>
    <w:rsid w:val="00CC7C49"/>
    <w:rsid w:val="00CC7CAB"/>
    <w:rsid w:val="00CC7D6E"/>
    <w:rsid w:val="00CC7D78"/>
    <w:rsid w:val="00CC7DF8"/>
    <w:rsid w:val="00CC7F4A"/>
    <w:rsid w:val="00CC7FFD"/>
    <w:rsid w:val="00CD01D8"/>
    <w:rsid w:val="00CD02CE"/>
    <w:rsid w:val="00CD034D"/>
    <w:rsid w:val="00CD0383"/>
    <w:rsid w:val="00CD043E"/>
    <w:rsid w:val="00CD04BD"/>
    <w:rsid w:val="00CD055E"/>
    <w:rsid w:val="00CD07E2"/>
    <w:rsid w:val="00CD0842"/>
    <w:rsid w:val="00CD087C"/>
    <w:rsid w:val="00CD0C6E"/>
    <w:rsid w:val="00CD0D0F"/>
    <w:rsid w:val="00CD0EAD"/>
    <w:rsid w:val="00CD1090"/>
    <w:rsid w:val="00CD10B6"/>
    <w:rsid w:val="00CD10C3"/>
    <w:rsid w:val="00CD11F1"/>
    <w:rsid w:val="00CD1219"/>
    <w:rsid w:val="00CD126B"/>
    <w:rsid w:val="00CD1433"/>
    <w:rsid w:val="00CD155E"/>
    <w:rsid w:val="00CD158B"/>
    <w:rsid w:val="00CD1738"/>
    <w:rsid w:val="00CD181E"/>
    <w:rsid w:val="00CD18A3"/>
    <w:rsid w:val="00CD1902"/>
    <w:rsid w:val="00CD1944"/>
    <w:rsid w:val="00CD1B67"/>
    <w:rsid w:val="00CD1BFE"/>
    <w:rsid w:val="00CD1CAD"/>
    <w:rsid w:val="00CD1DD1"/>
    <w:rsid w:val="00CD204A"/>
    <w:rsid w:val="00CD23F2"/>
    <w:rsid w:val="00CD2741"/>
    <w:rsid w:val="00CD2746"/>
    <w:rsid w:val="00CD28FD"/>
    <w:rsid w:val="00CD2A57"/>
    <w:rsid w:val="00CD2A78"/>
    <w:rsid w:val="00CD2B3D"/>
    <w:rsid w:val="00CD2C19"/>
    <w:rsid w:val="00CD2FAA"/>
    <w:rsid w:val="00CD30A2"/>
    <w:rsid w:val="00CD30DC"/>
    <w:rsid w:val="00CD31F6"/>
    <w:rsid w:val="00CD3225"/>
    <w:rsid w:val="00CD3269"/>
    <w:rsid w:val="00CD32EF"/>
    <w:rsid w:val="00CD330E"/>
    <w:rsid w:val="00CD3357"/>
    <w:rsid w:val="00CD335D"/>
    <w:rsid w:val="00CD34F4"/>
    <w:rsid w:val="00CD3537"/>
    <w:rsid w:val="00CD3554"/>
    <w:rsid w:val="00CD3615"/>
    <w:rsid w:val="00CD363F"/>
    <w:rsid w:val="00CD36DB"/>
    <w:rsid w:val="00CD3876"/>
    <w:rsid w:val="00CD38D8"/>
    <w:rsid w:val="00CD396B"/>
    <w:rsid w:val="00CD3A13"/>
    <w:rsid w:val="00CD3A3D"/>
    <w:rsid w:val="00CD3B3A"/>
    <w:rsid w:val="00CD3BD5"/>
    <w:rsid w:val="00CD3DDE"/>
    <w:rsid w:val="00CD40E5"/>
    <w:rsid w:val="00CD4146"/>
    <w:rsid w:val="00CD462F"/>
    <w:rsid w:val="00CD473F"/>
    <w:rsid w:val="00CD47D1"/>
    <w:rsid w:val="00CD49D3"/>
    <w:rsid w:val="00CD4FD3"/>
    <w:rsid w:val="00CD5191"/>
    <w:rsid w:val="00CD55D9"/>
    <w:rsid w:val="00CD55DF"/>
    <w:rsid w:val="00CD5915"/>
    <w:rsid w:val="00CD59C6"/>
    <w:rsid w:val="00CD5F5D"/>
    <w:rsid w:val="00CD6448"/>
    <w:rsid w:val="00CD6528"/>
    <w:rsid w:val="00CD653E"/>
    <w:rsid w:val="00CD6542"/>
    <w:rsid w:val="00CD660D"/>
    <w:rsid w:val="00CD6873"/>
    <w:rsid w:val="00CD69D3"/>
    <w:rsid w:val="00CD6A80"/>
    <w:rsid w:val="00CD6B2F"/>
    <w:rsid w:val="00CD6B92"/>
    <w:rsid w:val="00CD6D00"/>
    <w:rsid w:val="00CD6D47"/>
    <w:rsid w:val="00CD6D7F"/>
    <w:rsid w:val="00CD6DB2"/>
    <w:rsid w:val="00CD6E73"/>
    <w:rsid w:val="00CD7056"/>
    <w:rsid w:val="00CD7153"/>
    <w:rsid w:val="00CD7189"/>
    <w:rsid w:val="00CD71E1"/>
    <w:rsid w:val="00CD722E"/>
    <w:rsid w:val="00CD72F9"/>
    <w:rsid w:val="00CD7374"/>
    <w:rsid w:val="00CD73C2"/>
    <w:rsid w:val="00CD73F0"/>
    <w:rsid w:val="00CD7406"/>
    <w:rsid w:val="00CD7659"/>
    <w:rsid w:val="00CD76AF"/>
    <w:rsid w:val="00CD7780"/>
    <w:rsid w:val="00CD77AD"/>
    <w:rsid w:val="00CD7839"/>
    <w:rsid w:val="00CD79E4"/>
    <w:rsid w:val="00CD7AED"/>
    <w:rsid w:val="00CD7BBA"/>
    <w:rsid w:val="00CD7F97"/>
    <w:rsid w:val="00CE00B0"/>
    <w:rsid w:val="00CE0189"/>
    <w:rsid w:val="00CE01E5"/>
    <w:rsid w:val="00CE040C"/>
    <w:rsid w:val="00CE04CE"/>
    <w:rsid w:val="00CE05C6"/>
    <w:rsid w:val="00CE0703"/>
    <w:rsid w:val="00CE0720"/>
    <w:rsid w:val="00CE0753"/>
    <w:rsid w:val="00CE076D"/>
    <w:rsid w:val="00CE07E8"/>
    <w:rsid w:val="00CE0816"/>
    <w:rsid w:val="00CE0885"/>
    <w:rsid w:val="00CE0C04"/>
    <w:rsid w:val="00CE0CCA"/>
    <w:rsid w:val="00CE0D7F"/>
    <w:rsid w:val="00CE0E21"/>
    <w:rsid w:val="00CE0E88"/>
    <w:rsid w:val="00CE0F01"/>
    <w:rsid w:val="00CE1081"/>
    <w:rsid w:val="00CE10C4"/>
    <w:rsid w:val="00CE1170"/>
    <w:rsid w:val="00CE121D"/>
    <w:rsid w:val="00CE1287"/>
    <w:rsid w:val="00CE137B"/>
    <w:rsid w:val="00CE1B64"/>
    <w:rsid w:val="00CE1C90"/>
    <w:rsid w:val="00CE1DBA"/>
    <w:rsid w:val="00CE1DC6"/>
    <w:rsid w:val="00CE1F03"/>
    <w:rsid w:val="00CE1F44"/>
    <w:rsid w:val="00CE1FA9"/>
    <w:rsid w:val="00CE2029"/>
    <w:rsid w:val="00CE21AA"/>
    <w:rsid w:val="00CE2667"/>
    <w:rsid w:val="00CE268A"/>
    <w:rsid w:val="00CE2967"/>
    <w:rsid w:val="00CE2AAB"/>
    <w:rsid w:val="00CE2ABC"/>
    <w:rsid w:val="00CE2D53"/>
    <w:rsid w:val="00CE2DDE"/>
    <w:rsid w:val="00CE2E84"/>
    <w:rsid w:val="00CE2EDD"/>
    <w:rsid w:val="00CE2F1A"/>
    <w:rsid w:val="00CE2F59"/>
    <w:rsid w:val="00CE2F61"/>
    <w:rsid w:val="00CE3031"/>
    <w:rsid w:val="00CE3154"/>
    <w:rsid w:val="00CE324F"/>
    <w:rsid w:val="00CE32AB"/>
    <w:rsid w:val="00CE32C6"/>
    <w:rsid w:val="00CE341B"/>
    <w:rsid w:val="00CE3517"/>
    <w:rsid w:val="00CE3595"/>
    <w:rsid w:val="00CE3623"/>
    <w:rsid w:val="00CE3986"/>
    <w:rsid w:val="00CE3A20"/>
    <w:rsid w:val="00CE3E51"/>
    <w:rsid w:val="00CE3FE9"/>
    <w:rsid w:val="00CE40D0"/>
    <w:rsid w:val="00CE420A"/>
    <w:rsid w:val="00CE445C"/>
    <w:rsid w:val="00CE447E"/>
    <w:rsid w:val="00CE477B"/>
    <w:rsid w:val="00CE4A1F"/>
    <w:rsid w:val="00CE4A61"/>
    <w:rsid w:val="00CE4B7F"/>
    <w:rsid w:val="00CE4DD1"/>
    <w:rsid w:val="00CE4E02"/>
    <w:rsid w:val="00CE5055"/>
    <w:rsid w:val="00CE510B"/>
    <w:rsid w:val="00CE5172"/>
    <w:rsid w:val="00CE51CA"/>
    <w:rsid w:val="00CE5248"/>
    <w:rsid w:val="00CE53CF"/>
    <w:rsid w:val="00CE5418"/>
    <w:rsid w:val="00CE55B7"/>
    <w:rsid w:val="00CE59A3"/>
    <w:rsid w:val="00CE59F3"/>
    <w:rsid w:val="00CE5AF9"/>
    <w:rsid w:val="00CE5BBC"/>
    <w:rsid w:val="00CE5D17"/>
    <w:rsid w:val="00CE5D49"/>
    <w:rsid w:val="00CE5D58"/>
    <w:rsid w:val="00CE5F29"/>
    <w:rsid w:val="00CE605E"/>
    <w:rsid w:val="00CE6069"/>
    <w:rsid w:val="00CE60A6"/>
    <w:rsid w:val="00CE612E"/>
    <w:rsid w:val="00CE648D"/>
    <w:rsid w:val="00CE64D8"/>
    <w:rsid w:val="00CE65B8"/>
    <w:rsid w:val="00CE65D7"/>
    <w:rsid w:val="00CE66F2"/>
    <w:rsid w:val="00CE6769"/>
    <w:rsid w:val="00CE681C"/>
    <w:rsid w:val="00CE6834"/>
    <w:rsid w:val="00CE689D"/>
    <w:rsid w:val="00CE68C3"/>
    <w:rsid w:val="00CE696E"/>
    <w:rsid w:val="00CE69C9"/>
    <w:rsid w:val="00CE6AD0"/>
    <w:rsid w:val="00CE6B04"/>
    <w:rsid w:val="00CE6BA5"/>
    <w:rsid w:val="00CE6C08"/>
    <w:rsid w:val="00CE6C45"/>
    <w:rsid w:val="00CE6C70"/>
    <w:rsid w:val="00CE6E84"/>
    <w:rsid w:val="00CE70D6"/>
    <w:rsid w:val="00CE72C8"/>
    <w:rsid w:val="00CE7305"/>
    <w:rsid w:val="00CE7698"/>
    <w:rsid w:val="00CE7852"/>
    <w:rsid w:val="00CE789D"/>
    <w:rsid w:val="00CE791B"/>
    <w:rsid w:val="00CE797A"/>
    <w:rsid w:val="00CE79F0"/>
    <w:rsid w:val="00CE7AC0"/>
    <w:rsid w:val="00CE7AC8"/>
    <w:rsid w:val="00CE7C89"/>
    <w:rsid w:val="00CE7C93"/>
    <w:rsid w:val="00CE7E69"/>
    <w:rsid w:val="00CE7F41"/>
    <w:rsid w:val="00CF02B0"/>
    <w:rsid w:val="00CF0387"/>
    <w:rsid w:val="00CF03E6"/>
    <w:rsid w:val="00CF046F"/>
    <w:rsid w:val="00CF0A4F"/>
    <w:rsid w:val="00CF0A7E"/>
    <w:rsid w:val="00CF0CCB"/>
    <w:rsid w:val="00CF0D24"/>
    <w:rsid w:val="00CF0DA1"/>
    <w:rsid w:val="00CF0E18"/>
    <w:rsid w:val="00CF0E94"/>
    <w:rsid w:val="00CF0EE9"/>
    <w:rsid w:val="00CF106E"/>
    <w:rsid w:val="00CF110D"/>
    <w:rsid w:val="00CF112F"/>
    <w:rsid w:val="00CF125A"/>
    <w:rsid w:val="00CF138D"/>
    <w:rsid w:val="00CF150E"/>
    <w:rsid w:val="00CF1552"/>
    <w:rsid w:val="00CF161A"/>
    <w:rsid w:val="00CF1863"/>
    <w:rsid w:val="00CF1A7B"/>
    <w:rsid w:val="00CF1BD0"/>
    <w:rsid w:val="00CF1C05"/>
    <w:rsid w:val="00CF1CE9"/>
    <w:rsid w:val="00CF243D"/>
    <w:rsid w:val="00CF2444"/>
    <w:rsid w:val="00CF290A"/>
    <w:rsid w:val="00CF29C6"/>
    <w:rsid w:val="00CF29D9"/>
    <w:rsid w:val="00CF2B19"/>
    <w:rsid w:val="00CF2C29"/>
    <w:rsid w:val="00CF2F7E"/>
    <w:rsid w:val="00CF30A1"/>
    <w:rsid w:val="00CF30D3"/>
    <w:rsid w:val="00CF34A7"/>
    <w:rsid w:val="00CF34D1"/>
    <w:rsid w:val="00CF3516"/>
    <w:rsid w:val="00CF3610"/>
    <w:rsid w:val="00CF36B9"/>
    <w:rsid w:val="00CF374E"/>
    <w:rsid w:val="00CF384F"/>
    <w:rsid w:val="00CF38A1"/>
    <w:rsid w:val="00CF39B4"/>
    <w:rsid w:val="00CF3A8A"/>
    <w:rsid w:val="00CF3AB1"/>
    <w:rsid w:val="00CF3AC7"/>
    <w:rsid w:val="00CF401D"/>
    <w:rsid w:val="00CF4087"/>
    <w:rsid w:val="00CF44B5"/>
    <w:rsid w:val="00CF451F"/>
    <w:rsid w:val="00CF4523"/>
    <w:rsid w:val="00CF45BC"/>
    <w:rsid w:val="00CF4874"/>
    <w:rsid w:val="00CF49AD"/>
    <w:rsid w:val="00CF4A29"/>
    <w:rsid w:val="00CF4AD0"/>
    <w:rsid w:val="00CF4D4F"/>
    <w:rsid w:val="00CF4D8F"/>
    <w:rsid w:val="00CF5001"/>
    <w:rsid w:val="00CF505F"/>
    <w:rsid w:val="00CF5303"/>
    <w:rsid w:val="00CF55B4"/>
    <w:rsid w:val="00CF56B2"/>
    <w:rsid w:val="00CF5A63"/>
    <w:rsid w:val="00CF5BC3"/>
    <w:rsid w:val="00CF5C48"/>
    <w:rsid w:val="00CF5D0A"/>
    <w:rsid w:val="00CF5E4D"/>
    <w:rsid w:val="00CF5F1A"/>
    <w:rsid w:val="00CF6279"/>
    <w:rsid w:val="00CF628B"/>
    <w:rsid w:val="00CF631A"/>
    <w:rsid w:val="00CF6453"/>
    <w:rsid w:val="00CF6481"/>
    <w:rsid w:val="00CF64B7"/>
    <w:rsid w:val="00CF6594"/>
    <w:rsid w:val="00CF6599"/>
    <w:rsid w:val="00CF65FA"/>
    <w:rsid w:val="00CF6673"/>
    <w:rsid w:val="00CF67E0"/>
    <w:rsid w:val="00CF6929"/>
    <w:rsid w:val="00CF6971"/>
    <w:rsid w:val="00CF6AC8"/>
    <w:rsid w:val="00CF6B79"/>
    <w:rsid w:val="00CF6C74"/>
    <w:rsid w:val="00CF6CA1"/>
    <w:rsid w:val="00CF718F"/>
    <w:rsid w:val="00CF7218"/>
    <w:rsid w:val="00CF72CE"/>
    <w:rsid w:val="00CF7443"/>
    <w:rsid w:val="00CF7579"/>
    <w:rsid w:val="00CF7591"/>
    <w:rsid w:val="00CF759C"/>
    <w:rsid w:val="00CF763A"/>
    <w:rsid w:val="00CF7700"/>
    <w:rsid w:val="00CF770E"/>
    <w:rsid w:val="00CF777F"/>
    <w:rsid w:val="00CF7835"/>
    <w:rsid w:val="00CF783C"/>
    <w:rsid w:val="00CF79CF"/>
    <w:rsid w:val="00CF7A3D"/>
    <w:rsid w:val="00CF7AB3"/>
    <w:rsid w:val="00CF7AB7"/>
    <w:rsid w:val="00CF7B15"/>
    <w:rsid w:val="00CF7D82"/>
    <w:rsid w:val="00D00048"/>
    <w:rsid w:val="00D00107"/>
    <w:rsid w:val="00D001C3"/>
    <w:rsid w:val="00D00270"/>
    <w:rsid w:val="00D002EB"/>
    <w:rsid w:val="00D003F8"/>
    <w:rsid w:val="00D0050D"/>
    <w:rsid w:val="00D0055E"/>
    <w:rsid w:val="00D00694"/>
    <w:rsid w:val="00D0092A"/>
    <w:rsid w:val="00D0094E"/>
    <w:rsid w:val="00D00A91"/>
    <w:rsid w:val="00D00AD4"/>
    <w:rsid w:val="00D00BAC"/>
    <w:rsid w:val="00D00BBA"/>
    <w:rsid w:val="00D00E17"/>
    <w:rsid w:val="00D01068"/>
    <w:rsid w:val="00D01069"/>
    <w:rsid w:val="00D010AE"/>
    <w:rsid w:val="00D010C9"/>
    <w:rsid w:val="00D0121F"/>
    <w:rsid w:val="00D0124F"/>
    <w:rsid w:val="00D0158A"/>
    <w:rsid w:val="00D01598"/>
    <w:rsid w:val="00D01626"/>
    <w:rsid w:val="00D01852"/>
    <w:rsid w:val="00D018E4"/>
    <w:rsid w:val="00D01A41"/>
    <w:rsid w:val="00D01D53"/>
    <w:rsid w:val="00D01D62"/>
    <w:rsid w:val="00D01F0A"/>
    <w:rsid w:val="00D01F52"/>
    <w:rsid w:val="00D01FBE"/>
    <w:rsid w:val="00D020AD"/>
    <w:rsid w:val="00D02454"/>
    <w:rsid w:val="00D024AD"/>
    <w:rsid w:val="00D0265D"/>
    <w:rsid w:val="00D026B3"/>
    <w:rsid w:val="00D028A4"/>
    <w:rsid w:val="00D028AB"/>
    <w:rsid w:val="00D028F8"/>
    <w:rsid w:val="00D02949"/>
    <w:rsid w:val="00D02961"/>
    <w:rsid w:val="00D02AB8"/>
    <w:rsid w:val="00D02B3A"/>
    <w:rsid w:val="00D02B45"/>
    <w:rsid w:val="00D02C0C"/>
    <w:rsid w:val="00D02D06"/>
    <w:rsid w:val="00D02E2B"/>
    <w:rsid w:val="00D02E79"/>
    <w:rsid w:val="00D02FA5"/>
    <w:rsid w:val="00D030C4"/>
    <w:rsid w:val="00D030DE"/>
    <w:rsid w:val="00D0319A"/>
    <w:rsid w:val="00D03269"/>
    <w:rsid w:val="00D032D9"/>
    <w:rsid w:val="00D03352"/>
    <w:rsid w:val="00D033AD"/>
    <w:rsid w:val="00D03587"/>
    <w:rsid w:val="00D035F8"/>
    <w:rsid w:val="00D03645"/>
    <w:rsid w:val="00D03A7D"/>
    <w:rsid w:val="00D03AD9"/>
    <w:rsid w:val="00D03C3D"/>
    <w:rsid w:val="00D04054"/>
    <w:rsid w:val="00D0405A"/>
    <w:rsid w:val="00D044BC"/>
    <w:rsid w:val="00D04551"/>
    <w:rsid w:val="00D045FE"/>
    <w:rsid w:val="00D0491D"/>
    <w:rsid w:val="00D04931"/>
    <w:rsid w:val="00D0495E"/>
    <w:rsid w:val="00D04A8A"/>
    <w:rsid w:val="00D04BC6"/>
    <w:rsid w:val="00D04C1A"/>
    <w:rsid w:val="00D04C43"/>
    <w:rsid w:val="00D04CEF"/>
    <w:rsid w:val="00D04D5F"/>
    <w:rsid w:val="00D04E16"/>
    <w:rsid w:val="00D04E7F"/>
    <w:rsid w:val="00D051B6"/>
    <w:rsid w:val="00D054BD"/>
    <w:rsid w:val="00D055DF"/>
    <w:rsid w:val="00D057C8"/>
    <w:rsid w:val="00D058FF"/>
    <w:rsid w:val="00D05A84"/>
    <w:rsid w:val="00D05ADD"/>
    <w:rsid w:val="00D05BED"/>
    <w:rsid w:val="00D05D4B"/>
    <w:rsid w:val="00D061E5"/>
    <w:rsid w:val="00D061F9"/>
    <w:rsid w:val="00D06436"/>
    <w:rsid w:val="00D065E6"/>
    <w:rsid w:val="00D06640"/>
    <w:rsid w:val="00D06693"/>
    <w:rsid w:val="00D06935"/>
    <w:rsid w:val="00D06A65"/>
    <w:rsid w:val="00D06A6F"/>
    <w:rsid w:val="00D06B1D"/>
    <w:rsid w:val="00D06B54"/>
    <w:rsid w:val="00D06C10"/>
    <w:rsid w:val="00D06E00"/>
    <w:rsid w:val="00D0700E"/>
    <w:rsid w:val="00D0706E"/>
    <w:rsid w:val="00D0747A"/>
    <w:rsid w:val="00D07579"/>
    <w:rsid w:val="00D075A1"/>
    <w:rsid w:val="00D07609"/>
    <w:rsid w:val="00D07620"/>
    <w:rsid w:val="00D07711"/>
    <w:rsid w:val="00D07746"/>
    <w:rsid w:val="00D07944"/>
    <w:rsid w:val="00D07A4E"/>
    <w:rsid w:val="00D07ACD"/>
    <w:rsid w:val="00D07C44"/>
    <w:rsid w:val="00D07FE4"/>
    <w:rsid w:val="00D1019E"/>
    <w:rsid w:val="00D102D2"/>
    <w:rsid w:val="00D103A2"/>
    <w:rsid w:val="00D104C0"/>
    <w:rsid w:val="00D1052B"/>
    <w:rsid w:val="00D105A6"/>
    <w:rsid w:val="00D10682"/>
    <w:rsid w:val="00D10887"/>
    <w:rsid w:val="00D10D3A"/>
    <w:rsid w:val="00D10EEB"/>
    <w:rsid w:val="00D10F4D"/>
    <w:rsid w:val="00D1104E"/>
    <w:rsid w:val="00D1113D"/>
    <w:rsid w:val="00D11331"/>
    <w:rsid w:val="00D11439"/>
    <w:rsid w:val="00D114E8"/>
    <w:rsid w:val="00D1150E"/>
    <w:rsid w:val="00D116BE"/>
    <w:rsid w:val="00D11868"/>
    <w:rsid w:val="00D11B7C"/>
    <w:rsid w:val="00D11EAE"/>
    <w:rsid w:val="00D12022"/>
    <w:rsid w:val="00D12032"/>
    <w:rsid w:val="00D12260"/>
    <w:rsid w:val="00D124E9"/>
    <w:rsid w:val="00D12584"/>
    <w:rsid w:val="00D125C2"/>
    <w:rsid w:val="00D12632"/>
    <w:rsid w:val="00D12867"/>
    <w:rsid w:val="00D128E7"/>
    <w:rsid w:val="00D12B25"/>
    <w:rsid w:val="00D12D55"/>
    <w:rsid w:val="00D13110"/>
    <w:rsid w:val="00D1348D"/>
    <w:rsid w:val="00D135C5"/>
    <w:rsid w:val="00D135D3"/>
    <w:rsid w:val="00D13660"/>
    <w:rsid w:val="00D1373E"/>
    <w:rsid w:val="00D13821"/>
    <w:rsid w:val="00D13824"/>
    <w:rsid w:val="00D13D3E"/>
    <w:rsid w:val="00D13EDD"/>
    <w:rsid w:val="00D14184"/>
    <w:rsid w:val="00D14213"/>
    <w:rsid w:val="00D1428B"/>
    <w:rsid w:val="00D144C3"/>
    <w:rsid w:val="00D1451A"/>
    <w:rsid w:val="00D14590"/>
    <w:rsid w:val="00D14706"/>
    <w:rsid w:val="00D14898"/>
    <w:rsid w:val="00D14AB6"/>
    <w:rsid w:val="00D14B39"/>
    <w:rsid w:val="00D14C1A"/>
    <w:rsid w:val="00D14DFB"/>
    <w:rsid w:val="00D14EBD"/>
    <w:rsid w:val="00D14F3F"/>
    <w:rsid w:val="00D1504B"/>
    <w:rsid w:val="00D15189"/>
    <w:rsid w:val="00D15257"/>
    <w:rsid w:val="00D152A3"/>
    <w:rsid w:val="00D1543D"/>
    <w:rsid w:val="00D156D2"/>
    <w:rsid w:val="00D15802"/>
    <w:rsid w:val="00D15C24"/>
    <w:rsid w:val="00D15CDD"/>
    <w:rsid w:val="00D15DDB"/>
    <w:rsid w:val="00D15E21"/>
    <w:rsid w:val="00D160BE"/>
    <w:rsid w:val="00D16183"/>
    <w:rsid w:val="00D162C4"/>
    <w:rsid w:val="00D16312"/>
    <w:rsid w:val="00D16323"/>
    <w:rsid w:val="00D163C5"/>
    <w:rsid w:val="00D1645D"/>
    <w:rsid w:val="00D164C8"/>
    <w:rsid w:val="00D166D6"/>
    <w:rsid w:val="00D167A6"/>
    <w:rsid w:val="00D167E0"/>
    <w:rsid w:val="00D167EB"/>
    <w:rsid w:val="00D1681E"/>
    <w:rsid w:val="00D1685D"/>
    <w:rsid w:val="00D16942"/>
    <w:rsid w:val="00D16B0A"/>
    <w:rsid w:val="00D16B31"/>
    <w:rsid w:val="00D16B47"/>
    <w:rsid w:val="00D16BE0"/>
    <w:rsid w:val="00D16DA0"/>
    <w:rsid w:val="00D16F13"/>
    <w:rsid w:val="00D17046"/>
    <w:rsid w:val="00D172E7"/>
    <w:rsid w:val="00D17660"/>
    <w:rsid w:val="00D17709"/>
    <w:rsid w:val="00D1776E"/>
    <w:rsid w:val="00D17ABE"/>
    <w:rsid w:val="00D17CDE"/>
    <w:rsid w:val="00D17E77"/>
    <w:rsid w:val="00D17EA5"/>
    <w:rsid w:val="00D17F54"/>
    <w:rsid w:val="00D17F8A"/>
    <w:rsid w:val="00D200E6"/>
    <w:rsid w:val="00D20106"/>
    <w:rsid w:val="00D2010B"/>
    <w:rsid w:val="00D20120"/>
    <w:rsid w:val="00D201B8"/>
    <w:rsid w:val="00D20292"/>
    <w:rsid w:val="00D20321"/>
    <w:rsid w:val="00D2094E"/>
    <w:rsid w:val="00D20B1E"/>
    <w:rsid w:val="00D20B54"/>
    <w:rsid w:val="00D20C6B"/>
    <w:rsid w:val="00D20C84"/>
    <w:rsid w:val="00D20EB3"/>
    <w:rsid w:val="00D20F74"/>
    <w:rsid w:val="00D20FE6"/>
    <w:rsid w:val="00D20FFC"/>
    <w:rsid w:val="00D2109E"/>
    <w:rsid w:val="00D21237"/>
    <w:rsid w:val="00D2154C"/>
    <w:rsid w:val="00D2158C"/>
    <w:rsid w:val="00D21621"/>
    <w:rsid w:val="00D21734"/>
    <w:rsid w:val="00D2179F"/>
    <w:rsid w:val="00D2182B"/>
    <w:rsid w:val="00D21837"/>
    <w:rsid w:val="00D218AA"/>
    <w:rsid w:val="00D21910"/>
    <w:rsid w:val="00D2192B"/>
    <w:rsid w:val="00D21C58"/>
    <w:rsid w:val="00D21FD2"/>
    <w:rsid w:val="00D21FEA"/>
    <w:rsid w:val="00D2202F"/>
    <w:rsid w:val="00D22243"/>
    <w:rsid w:val="00D222C5"/>
    <w:rsid w:val="00D222F6"/>
    <w:rsid w:val="00D22469"/>
    <w:rsid w:val="00D22908"/>
    <w:rsid w:val="00D22949"/>
    <w:rsid w:val="00D22973"/>
    <w:rsid w:val="00D22AB9"/>
    <w:rsid w:val="00D22C79"/>
    <w:rsid w:val="00D22CB5"/>
    <w:rsid w:val="00D22CFC"/>
    <w:rsid w:val="00D23162"/>
    <w:rsid w:val="00D2325B"/>
    <w:rsid w:val="00D232F1"/>
    <w:rsid w:val="00D2356D"/>
    <w:rsid w:val="00D23AA4"/>
    <w:rsid w:val="00D23B00"/>
    <w:rsid w:val="00D23BDB"/>
    <w:rsid w:val="00D23C73"/>
    <w:rsid w:val="00D23D31"/>
    <w:rsid w:val="00D23EB2"/>
    <w:rsid w:val="00D23F88"/>
    <w:rsid w:val="00D240F5"/>
    <w:rsid w:val="00D241A4"/>
    <w:rsid w:val="00D2436A"/>
    <w:rsid w:val="00D24626"/>
    <w:rsid w:val="00D248BE"/>
    <w:rsid w:val="00D249E0"/>
    <w:rsid w:val="00D249EF"/>
    <w:rsid w:val="00D24A85"/>
    <w:rsid w:val="00D24AA5"/>
    <w:rsid w:val="00D24EF4"/>
    <w:rsid w:val="00D24F9E"/>
    <w:rsid w:val="00D250C9"/>
    <w:rsid w:val="00D251F2"/>
    <w:rsid w:val="00D25276"/>
    <w:rsid w:val="00D2566D"/>
    <w:rsid w:val="00D2574A"/>
    <w:rsid w:val="00D2596E"/>
    <w:rsid w:val="00D25A1C"/>
    <w:rsid w:val="00D25B14"/>
    <w:rsid w:val="00D25B43"/>
    <w:rsid w:val="00D25D27"/>
    <w:rsid w:val="00D25D45"/>
    <w:rsid w:val="00D25D5A"/>
    <w:rsid w:val="00D25E2E"/>
    <w:rsid w:val="00D25E42"/>
    <w:rsid w:val="00D25E68"/>
    <w:rsid w:val="00D25F48"/>
    <w:rsid w:val="00D261C2"/>
    <w:rsid w:val="00D261CC"/>
    <w:rsid w:val="00D263EF"/>
    <w:rsid w:val="00D2647E"/>
    <w:rsid w:val="00D26498"/>
    <w:rsid w:val="00D26533"/>
    <w:rsid w:val="00D2654C"/>
    <w:rsid w:val="00D26833"/>
    <w:rsid w:val="00D269D0"/>
    <w:rsid w:val="00D26DC2"/>
    <w:rsid w:val="00D26DF3"/>
    <w:rsid w:val="00D26E43"/>
    <w:rsid w:val="00D26FFA"/>
    <w:rsid w:val="00D271D0"/>
    <w:rsid w:val="00D271DA"/>
    <w:rsid w:val="00D272FE"/>
    <w:rsid w:val="00D27341"/>
    <w:rsid w:val="00D273B5"/>
    <w:rsid w:val="00D273EA"/>
    <w:rsid w:val="00D27424"/>
    <w:rsid w:val="00D27434"/>
    <w:rsid w:val="00D274FE"/>
    <w:rsid w:val="00D276F5"/>
    <w:rsid w:val="00D277B3"/>
    <w:rsid w:val="00D277EF"/>
    <w:rsid w:val="00D2785A"/>
    <w:rsid w:val="00D27924"/>
    <w:rsid w:val="00D2794A"/>
    <w:rsid w:val="00D27A32"/>
    <w:rsid w:val="00D27C62"/>
    <w:rsid w:val="00D3019D"/>
    <w:rsid w:val="00D30280"/>
    <w:rsid w:val="00D30706"/>
    <w:rsid w:val="00D30A2C"/>
    <w:rsid w:val="00D30C31"/>
    <w:rsid w:val="00D30CEF"/>
    <w:rsid w:val="00D30DBB"/>
    <w:rsid w:val="00D30E47"/>
    <w:rsid w:val="00D30E57"/>
    <w:rsid w:val="00D3106C"/>
    <w:rsid w:val="00D31157"/>
    <w:rsid w:val="00D3169B"/>
    <w:rsid w:val="00D317A4"/>
    <w:rsid w:val="00D31853"/>
    <w:rsid w:val="00D3190F"/>
    <w:rsid w:val="00D31A71"/>
    <w:rsid w:val="00D31B0D"/>
    <w:rsid w:val="00D31B42"/>
    <w:rsid w:val="00D31D3B"/>
    <w:rsid w:val="00D31F0B"/>
    <w:rsid w:val="00D320D9"/>
    <w:rsid w:val="00D3214F"/>
    <w:rsid w:val="00D32304"/>
    <w:rsid w:val="00D32310"/>
    <w:rsid w:val="00D32459"/>
    <w:rsid w:val="00D325F2"/>
    <w:rsid w:val="00D32665"/>
    <w:rsid w:val="00D32727"/>
    <w:rsid w:val="00D32837"/>
    <w:rsid w:val="00D32A62"/>
    <w:rsid w:val="00D32AAC"/>
    <w:rsid w:val="00D32BFA"/>
    <w:rsid w:val="00D32C16"/>
    <w:rsid w:val="00D32C91"/>
    <w:rsid w:val="00D32E35"/>
    <w:rsid w:val="00D32F1A"/>
    <w:rsid w:val="00D32F81"/>
    <w:rsid w:val="00D32FA0"/>
    <w:rsid w:val="00D32FEC"/>
    <w:rsid w:val="00D33010"/>
    <w:rsid w:val="00D33157"/>
    <w:rsid w:val="00D33237"/>
    <w:rsid w:val="00D332CF"/>
    <w:rsid w:val="00D33388"/>
    <w:rsid w:val="00D33421"/>
    <w:rsid w:val="00D33492"/>
    <w:rsid w:val="00D334AE"/>
    <w:rsid w:val="00D336E4"/>
    <w:rsid w:val="00D33A27"/>
    <w:rsid w:val="00D33A85"/>
    <w:rsid w:val="00D33C4A"/>
    <w:rsid w:val="00D33CF2"/>
    <w:rsid w:val="00D33E4F"/>
    <w:rsid w:val="00D33ECE"/>
    <w:rsid w:val="00D33EE1"/>
    <w:rsid w:val="00D33F7F"/>
    <w:rsid w:val="00D33FBE"/>
    <w:rsid w:val="00D342FF"/>
    <w:rsid w:val="00D34445"/>
    <w:rsid w:val="00D3451A"/>
    <w:rsid w:val="00D348E1"/>
    <w:rsid w:val="00D3498D"/>
    <w:rsid w:val="00D34B7B"/>
    <w:rsid w:val="00D34BC7"/>
    <w:rsid w:val="00D34C86"/>
    <w:rsid w:val="00D34F0D"/>
    <w:rsid w:val="00D3512E"/>
    <w:rsid w:val="00D35490"/>
    <w:rsid w:val="00D35635"/>
    <w:rsid w:val="00D35698"/>
    <w:rsid w:val="00D3575B"/>
    <w:rsid w:val="00D357B0"/>
    <w:rsid w:val="00D35904"/>
    <w:rsid w:val="00D3593E"/>
    <w:rsid w:val="00D35B0A"/>
    <w:rsid w:val="00D35BC9"/>
    <w:rsid w:val="00D35E61"/>
    <w:rsid w:val="00D35FD7"/>
    <w:rsid w:val="00D361C4"/>
    <w:rsid w:val="00D361F3"/>
    <w:rsid w:val="00D36238"/>
    <w:rsid w:val="00D36346"/>
    <w:rsid w:val="00D36380"/>
    <w:rsid w:val="00D363ED"/>
    <w:rsid w:val="00D36408"/>
    <w:rsid w:val="00D36560"/>
    <w:rsid w:val="00D36617"/>
    <w:rsid w:val="00D3673A"/>
    <w:rsid w:val="00D36790"/>
    <w:rsid w:val="00D3686B"/>
    <w:rsid w:val="00D36998"/>
    <w:rsid w:val="00D369B3"/>
    <w:rsid w:val="00D36B30"/>
    <w:rsid w:val="00D36C22"/>
    <w:rsid w:val="00D36CA3"/>
    <w:rsid w:val="00D36CCF"/>
    <w:rsid w:val="00D36DC4"/>
    <w:rsid w:val="00D36DD0"/>
    <w:rsid w:val="00D36EE2"/>
    <w:rsid w:val="00D36F9A"/>
    <w:rsid w:val="00D37012"/>
    <w:rsid w:val="00D3701D"/>
    <w:rsid w:val="00D370A3"/>
    <w:rsid w:val="00D372FE"/>
    <w:rsid w:val="00D3730D"/>
    <w:rsid w:val="00D37350"/>
    <w:rsid w:val="00D37559"/>
    <w:rsid w:val="00D3767E"/>
    <w:rsid w:val="00D376A5"/>
    <w:rsid w:val="00D37866"/>
    <w:rsid w:val="00D37A70"/>
    <w:rsid w:val="00D37AC0"/>
    <w:rsid w:val="00D37EC2"/>
    <w:rsid w:val="00D400BF"/>
    <w:rsid w:val="00D400EF"/>
    <w:rsid w:val="00D403CD"/>
    <w:rsid w:val="00D4046C"/>
    <w:rsid w:val="00D40541"/>
    <w:rsid w:val="00D406C9"/>
    <w:rsid w:val="00D40710"/>
    <w:rsid w:val="00D408C1"/>
    <w:rsid w:val="00D408EF"/>
    <w:rsid w:val="00D40AF7"/>
    <w:rsid w:val="00D40D28"/>
    <w:rsid w:val="00D40D51"/>
    <w:rsid w:val="00D40D61"/>
    <w:rsid w:val="00D40D9B"/>
    <w:rsid w:val="00D41182"/>
    <w:rsid w:val="00D41223"/>
    <w:rsid w:val="00D412E3"/>
    <w:rsid w:val="00D41762"/>
    <w:rsid w:val="00D41A3D"/>
    <w:rsid w:val="00D41C2E"/>
    <w:rsid w:val="00D41C42"/>
    <w:rsid w:val="00D41C66"/>
    <w:rsid w:val="00D41E93"/>
    <w:rsid w:val="00D41E9B"/>
    <w:rsid w:val="00D423D8"/>
    <w:rsid w:val="00D42532"/>
    <w:rsid w:val="00D42AAA"/>
    <w:rsid w:val="00D42B2B"/>
    <w:rsid w:val="00D42C9F"/>
    <w:rsid w:val="00D42CF8"/>
    <w:rsid w:val="00D42EE5"/>
    <w:rsid w:val="00D43264"/>
    <w:rsid w:val="00D433A7"/>
    <w:rsid w:val="00D4343F"/>
    <w:rsid w:val="00D43477"/>
    <w:rsid w:val="00D43525"/>
    <w:rsid w:val="00D43879"/>
    <w:rsid w:val="00D438E5"/>
    <w:rsid w:val="00D43993"/>
    <w:rsid w:val="00D439BC"/>
    <w:rsid w:val="00D43B2C"/>
    <w:rsid w:val="00D43C31"/>
    <w:rsid w:val="00D43CE2"/>
    <w:rsid w:val="00D43EB2"/>
    <w:rsid w:val="00D44157"/>
    <w:rsid w:val="00D4435A"/>
    <w:rsid w:val="00D443C7"/>
    <w:rsid w:val="00D4468E"/>
    <w:rsid w:val="00D446D7"/>
    <w:rsid w:val="00D44819"/>
    <w:rsid w:val="00D44989"/>
    <w:rsid w:val="00D449D8"/>
    <w:rsid w:val="00D44A5F"/>
    <w:rsid w:val="00D44A78"/>
    <w:rsid w:val="00D44AD3"/>
    <w:rsid w:val="00D44B24"/>
    <w:rsid w:val="00D44B9F"/>
    <w:rsid w:val="00D44D0C"/>
    <w:rsid w:val="00D44E2F"/>
    <w:rsid w:val="00D44E38"/>
    <w:rsid w:val="00D44EE2"/>
    <w:rsid w:val="00D44F02"/>
    <w:rsid w:val="00D44FD3"/>
    <w:rsid w:val="00D453ED"/>
    <w:rsid w:val="00D454CC"/>
    <w:rsid w:val="00D4569B"/>
    <w:rsid w:val="00D45737"/>
    <w:rsid w:val="00D45744"/>
    <w:rsid w:val="00D457F3"/>
    <w:rsid w:val="00D4582C"/>
    <w:rsid w:val="00D458DF"/>
    <w:rsid w:val="00D45D7D"/>
    <w:rsid w:val="00D45DDF"/>
    <w:rsid w:val="00D45F9E"/>
    <w:rsid w:val="00D45FF7"/>
    <w:rsid w:val="00D4601E"/>
    <w:rsid w:val="00D460B0"/>
    <w:rsid w:val="00D4623C"/>
    <w:rsid w:val="00D462A2"/>
    <w:rsid w:val="00D46458"/>
    <w:rsid w:val="00D464D4"/>
    <w:rsid w:val="00D46835"/>
    <w:rsid w:val="00D46928"/>
    <w:rsid w:val="00D46930"/>
    <w:rsid w:val="00D46A13"/>
    <w:rsid w:val="00D46A1B"/>
    <w:rsid w:val="00D46ADF"/>
    <w:rsid w:val="00D46C3A"/>
    <w:rsid w:val="00D46E61"/>
    <w:rsid w:val="00D4705F"/>
    <w:rsid w:val="00D474A9"/>
    <w:rsid w:val="00D47713"/>
    <w:rsid w:val="00D477B9"/>
    <w:rsid w:val="00D47BA3"/>
    <w:rsid w:val="00D47CA9"/>
    <w:rsid w:val="00D47CE2"/>
    <w:rsid w:val="00D47DF1"/>
    <w:rsid w:val="00D47E32"/>
    <w:rsid w:val="00D47EE6"/>
    <w:rsid w:val="00D50025"/>
    <w:rsid w:val="00D50342"/>
    <w:rsid w:val="00D50524"/>
    <w:rsid w:val="00D50556"/>
    <w:rsid w:val="00D5079E"/>
    <w:rsid w:val="00D507BB"/>
    <w:rsid w:val="00D50846"/>
    <w:rsid w:val="00D50867"/>
    <w:rsid w:val="00D5093C"/>
    <w:rsid w:val="00D50C29"/>
    <w:rsid w:val="00D50CC9"/>
    <w:rsid w:val="00D50D49"/>
    <w:rsid w:val="00D50DD0"/>
    <w:rsid w:val="00D50DFF"/>
    <w:rsid w:val="00D50FF3"/>
    <w:rsid w:val="00D511A6"/>
    <w:rsid w:val="00D51361"/>
    <w:rsid w:val="00D515BE"/>
    <w:rsid w:val="00D51753"/>
    <w:rsid w:val="00D517D1"/>
    <w:rsid w:val="00D51800"/>
    <w:rsid w:val="00D518BF"/>
    <w:rsid w:val="00D51C18"/>
    <w:rsid w:val="00D52191"/>
    <w:rsid w:val="00D521F0"/>
    <w:rsid w:val="00D52226"/>
    <w:rsid w:val="00D52261"/>
    <w:rsid w:val="00D523D8"/>
    <w:rsid w:val="00D524B7"/>
    <w:rsid w:val="00D525E8"/>
    <w:rsid w:val="00D52698"/>
    <w:rsid w:val="00D52788"/>
    <w:rsid w:val="00D528AB"/>
    <w:rsid w:val="00D52940"/>
    <w:rsid w:val="00D529BA"/>
    <w:rsid w:val="00D52AFA"/>
    <w:rsid w:val="00D52E69"/>
    <w:rsid w:val="00D52F7A"/>
    <w:rsid w:val="00D530C3"/>
    <w:rsid w:val="00D532B7"/>
    <w:rsid w:val="00D532EE"/>
    <w:rsid w:val="00D532F8"/>
    <w:rsid w:val="00D5344E"/>
    <w:rsid w:val="00D5365F"/>
    <w:rsid w:val="00D53BD1"/>
    <w:rsid w:val="00D53C43"/>
    <w:rsid w:val="00D53D62"/>
    <w:rsid w:val="00D53F02"/>
    <w:rsid w:val="00D542E5"/>
    <w:rsid w:val="00D5434C"/>
    <w:rsid w:val="00D5443A"/>
    <w:rsid w:val="00D544EA"/>
    <w:rsid w:val="00D5455C"/>
    <w:rsid w:val="00D5473A"/>
    <w:rsid w:val="00D54884"/>
    <w:rsid w:val="00D54920"/>
    <w:rsid w:val="00D549A8"/>
    <w:rsid w:val="00D54C4F"/>
    <w:rsid w:val="00D55174"/>
    <w:rsid w:val="00D551AD"/>
    <w:rsid w:val="00D551CF"/>
    <w:rsid w:val="00D555C4"/>
    <w:rsid w:val="00D555DD"/>
    <w:rsid w:val="00D55602"/>
    <w:rsid w:val="00D5561C"/>
    <w:rsid w:val="00D556A2"/>
    <w:rsid w:val="00D55752"/>
    <w:rsid w:val="00D55787"/>
    <w:rsid w:val="00D5588A"/>
    <w:rsid w:val="00D55ABF"/>
    <w:rsid w:val="00D55C70"/>
    <w:rsid w:val="00D55C7D"/>
    <w:rsid w:val="00D55D3B"/>
    <w:rsid w:val="00D55DDB"/>
    <w:rsid w:val="00D55F35"/>
    <w:rsid w:val="00D55F82"/>
    <w:rsid w:val="00D56046"/>
    <w:rsid w:val="00D560E7"/>
    <w:rsid w:val="00D5622F"/>
    <w:rsid w:val="00D563E7"/>
    <w:rsid w:val="00D563F9"/>
    <w:rsid w:val="00D568B2"/>
    <w:rsid w:val="00D569B7"/>
    <w:rsid w:val="00D56AD3"/>
    <w:rsid w:val="00D56BE1"/>
    <w:rsid w:val="00D56C0A"/>
    <w:rsid w:val="00D56CB8"/>
    <w:rsid w:val="00D56D01"/>
    <w:rsid w:val="00D56DF6"/>
    <w:rsid w:val="00D56E1F"/>
    <w:rsid w:val="00D57173"/>
    <w:rsid w:val="00D57502"/>
    <w:rsid w:val="00D576C3"/>
    <w:rsid w:val="00D57732"/>
    <w:rsid w:val="00D57A50"/>
    <w:rsid w:val="00D57C27"/>
    <w:rsid w:val="00D57C28"/>
    <w:rsid w:val="00D57D28"/>
    <w:rsid w:val="00D57DD5"/>
    <w:rsid w:val="00D57E21"/>
    <w:rsid w:val="00D57F29"/>
    <w:rsid w:val="00D57F79"/>
    <w:rsid w:val="00D60146"/>
    <w:rsid w:val="00D602C2"/>
    <w:rsid w:val="00D604D1"/>
    <w:rsid w:val="00D607C4"/>
    <w:rsid w:val="00D60A0A"/>
    <w:rsid w:val="00D60A50"/>
    <w:rsid w:val="00D60C8F"/>
    <w:rsid w:val="00D60D4E"/>
    <w:rsid w:val="00D60DAB"/>
    <w:rsid w:val="00D60E56"/>
    <w:rsid w:val="00D612CD"/>
    <w:rsid w:val="00D613EE"/>
    <w:rsid w:val="00D6151A"/>
    <w:rsid w:val="00D61620"/>
    <w:rsid w:val="00D616F5"/>
    <w:rsid w:val="00D61A85"/>
    <w:rsid w:val="00D61C08"/>
    <w:rsid w:val="00D61CB4"/>
    <w:rsid w:val="00D61FF3"/>
    <w:rsid w:val="00D62006"/>
    <w:rsid w:val="00D62175"/>
    <w:rsid w:val="00D6227D"/>
    <w:rsid w:val="00D62284"/>
    <w:rsid w:val="00D62441"/>
    <w:rsid w:val="00D62627"/>
    <w:rsid w:val="00D626AE"/>
    <w:rsid w:val="00D6270B"/>
    <w:rsid w:val="00D627B2"/>
    <w:rsid w:val="00D62BF2"/>
    <w:rsid w:val="00D62C38"/>
    <w:rsid w:val="00D62E1C"/>
    <w:rsid w:val="00D62F76"/>
    <w:rsid w:val="00D62FA6"/>
    <w:rsid w:val="00D63160"/>
    <w:rsid w:val="00D631AA"/>
    <w:rsid w:val="00D6321B"/>
    <w:rsid w:val="00D632AF"/>
    <w:rsid w:val="00D63833"/>
    <w:rsid w:val="00D63A1E"/>
    <w:rsid w:val="00D63BE7"/>
    <w:rsid w:val="00D63C68"/>
    <w:rsid w:val="00D63C85"/>
    <w:rsid w:val="00D64072"/>
    <w:rsid w:val="00D64282"/>
    <w:rsid w:val="00D642D8"/>
    <w:rsid w:val="00D6478C"/>
    <w:rsid w:val="00D647A6"/>
    <w:rsid w:val="00D6480D"/>
    <w:rsid w:val="00D64935"/>
    <w:rsid w:val="00D64AE4"/>
    <w:rsid w:val="00D64B5F"/>
    <w:rsid w:val="00D64E9C"/>
    <w:rsid w:val="00D64F17"/>
    <w:rsid w:val="00D64F57"/>
    <w:rsid w:val="00D650CE"/>
    <w:rsid w:val="00D650F0"/>
    <w:rsid w:val="00D65193"/>
    <w:rsid w:val="00D65256"/>
    <w:rsid w:val="00D6539B"/>
    <w:rsid w:val="00D6546A"/>
    <w:rsid w:val="00D654AC"/>
    <w:rsid w:val="00D65618"/>
    <w:rsid w:val="00D65641"/>
    <w:rsid w:val="00D6564F"/>
    <w:rsid w:val="00D65799"/>
    <w:rsid w:val="00D657FA"/>
    <w:rsid w:val="00D65868"/>
    <w:rsid w:val="00D65898"/>
    <w:rsid w:val="00D65982"/>
    <w:rsid w:val="00D65A54"/>
    <w:rsid w:val="00D65BE8"/>
    <w:rsid w:val="00D65C89"/>
    <w:rsid w:val="00D660EB"/>
    <w:rsid w:val="00D662EF"/>
    <w:rsid w:val="00D66334"/>
    <w:rsid w:val="00D66643"/>
    <w:rsid w:val="00D667B1"/>
    <w:rsid w:val="00D66980"/>
    <w:rsid w:val="00D669B1"/>
    <w:rsid w:val="00D66DF8"/>
    <w:rsid w:val="00D66F75"/>
    <w:rsid w:val="00D6703E"/>
    <w:rsid w:val="00D67119"/>
    <w:rsid w:val="00D671D6"/>
    <w:rsid w:val="00D67406"/>
    <w:rsid w:val="00D6740A"/>
    <w:rsid w:val="00D674FD"/>
    <w:rsid w:val="00D6756D"/>
    <w:rsid w:val="00D67592"/>
    <w:rsid w:val="00D677FE"/>
    <w:rsid w:val="00D67811"/>
    <w:rsid w:val="00D67CC8"/>
    <w:rsid w:val="00D67F10"/>
    <w:rsid w:val="00D67F21"/>
    <w:rsid w:val="00D70187"/>
    <w:rsid w:val="00D70212"/>
    <w:rsid w:val="00D7070B"/>
    <w:rsid w:val="00D70773"/>
    <w:rsid w:val="00D7082D"/>
    <w:rsid w:val="00D70926"/>
    <w:rsid w:val="00D70AD9"/>
    <w:rsid w:val="00D70C29"/>
    <w:rsid w:val="00D70C49"/>
    <w:rsid w:val="00D70C4D"/>
    <w:rsid w:val="00D70CB1"/>
    <w:rsid w:val="00D70CDA"/>
    <w:rsid w:val="00D70D62"/>
    <w:rsid w:val="00D71135"/>
    <w:rsid w:val="00D7117F"/>
    <w:rsid w:val="00D7142C"/>
    <w:rsid w:val="00D7147E"/>
    <w:rsid w:val="00D714D1"/>
    <w:rsid w:val="00D7171C"/>
    <w:rsid w:val="00D71763"/>
    <w:rsid w:val="00D717F4"/>
    <w:rsid w:val="00D719C4"/>
    <w:rsid w:val="00D71B65"/>
    <w:rsid w:val="00D71EF6"/>
    <w:rsid w:val="00D71F12"/>
    <w:rsid w:val="00D7220A"/>
    <w:rsid w:val="00D7232F"/>
    <w:rsid w:val="00D72397"/>
    <w:rsid w:val="00D723C2"/>
    <w:rsid w:val="00D723D1"/>
    <w:rsid w:val="00D72633"/>
    <w:rsid w:val="00D726CF"/>
    <w:rsid w:val="00D72807"/>
    <w:rsid w:val="00D72818"/>
    <w:rsid w:val="00D728A6"/>
    <w:rsid w:val="00D728DF"/>
    <w:rsid w:val="00D72C0F"/>
    <w:rsid w:val="00D7319C"/>
    <w:rsid w:val="00D732AF"/>
    <w:rsid w:val="00D7330E"/>
    <w:rsid w:val="00D7348F"/>
    <w:rsid w:val="00D73502"/>
    <w:rsid w:val="00D7355A"/>
    <w:rsid w:val="00D73810"/>
    <w:rsid w:val="00D73879"/>
    <w:rsid w:val="00D73A12"/>
    <w:rsid w:val="00D73B68"/>
    <w:rsid w:val="00D73D73"/>
    <w:rsid w:val="00D73EA0"/>
    <w:rsid w:val="00D73F72"/>
    <w:rsid w:val="00D740DA"/>
    <w:rsid w:val="00D74410"/>
    <w:rsid w:val="00D744AB"/>
    <w:rsid w:val="00D744DD"/>
    <w:rsid w:val="00D745B2"/>
    <w:rsid w:val="00D745EA"/>
    <w:rsid w:val="00D74606"/>
    <w:rsid w:val="00D747AA"/>
    <w:rsid w:val="00D74814"/>
    <w:rsid w:val="00D748D6"/>
    <w:rsid w:val="00D7497D"/>
    <w:rsid w:val="00D74BAC"/>
    <w:rsid w:val="00D74CD1"/>
    <w:rsid w:val="00D74EA0"/>
    <w:rsid w:val="00D74EEA"/>
    <w:rsid w:val="00D74F43"/>
    <w:rsid w:val="00D74F75"/>
    <w:rsid w:val="00D75084"/>
    <w:rsid w:val="00D7508A"/>
    <w:rsid w:val="00D7511D"/>
    <w:rsid w:val="00D7533A"/>
    <w:rsid w:val="00D7538B"/>
    <w:rsid w:val="00D75542"/>
    <w:rsid w:val="00D756A4"/>
    <w:rsid w:val="00D756A5"/>
    <w:rsid w:val="00D75809"/>
    <w:rsid w:val="00D758D6"/>
    <w:rsid w:val="00D75910"/>
    <w:rsid w:val="00D75957"/>
    <w:rsid w:val="00D75DA9"/>
    <w:rsid w:val="00D75E1A"/>
    <w:rsid w:val="00D75F1A"/>
    <w:rsid w:val="00D76123"/>
    <w:rsid w:val="00D7615F"/>
    <w:rsid w:val="00D761CB"/>
    <w:rsid w:val="00D761EF"/>
    <w:rsid w:val="00D762AC"/>
    <w:rsid w:val="00D763EA"/>
    <w:rsid w:val="00D76485"/>
    <w:rsid w:val="00D7665D"/>
    <w:rsid w:val="00D767F0"/>
    <w:rsid w:val="00D768EE"/>
    <w:rsid w:val="00D76A8C"/>
    <w:rsid w:val="00D76A97"/>
    <w:rsid w:val="00D76AF3"/>
    <w:rsid w:val="00D76B26"/>
    <w:rsid w:val="00D76C0E"/>
    <w:rsid w:val="00D76DBC"/>
    <w:rsid w:val="00D76E2E"/>
    <w:rsid w:val="00D76E9B"/>
    <w:rsid w:val="00D76F00"/>
    <w:rsid w:val="00D77113"/>
    <w:rsid w:val="00D77261"/>
    <w:rsid w:val="00D774A6"/>
    <w:rsid w:val="00D77513"/>
    <w:rsid w:val="00D777E1"/>
    <w:rsid w:val="00D777F4"/>
    <w:rsid w:val="00D77829"/>
    <w:rsid w:val="00D77899"/>
    <w:rsid w:val="00D77AB4"/>
    <w:rsid w:val="00D77B44"/>
    <w:rsid w:val="00D77B49"/>
    <w:rsid w:val="00D77C0A"/>
    <w:rsid w:val="00D77DF4"/>
    <w:rsid w:val="00D77E27"/>
    <w:rsid w:val="00D77E4E"/>
    <w:rsid w:val="00D80204"/>
    <w:rsid w:val="00D8039C"/>
    <w:rsid w:val="00D80457"/>
    <w:rsid w:val="00D8057F"/>
    <w:rsid w:val="00D805B3"/>
    <w:rsid w:val="00D806C9"/>
    <w:rsid w:val="00D8081E"/>
    <w:rsid w:val="00D8082F"/>
    <w:rsid w:val="00D80B0F"/>
    <w:rsid w:val="00D80DD0"/>
    <w:rsid w:val="00D80E42"/>
    <w:rsid w:val="00D8134B"/>
    <w:rsid w:val="00D81442"/>
    <w:rsid w:val="00D81597"/>
    <w:rsid w:val="00D81607"/>
    <w:rsid w:val="00D81801"/>
    <w:rsid w:val="00D81B14"/>
    <w:rsid w:val="00D81C2C"/>
    <w:rsid w:val="00D81F1C"/>
    <w:rsid w:val="00D81F2E"/>
    <w:rsid w:val="00D82019"/>
    <w:rsid w:val="00D82084"/>
    <w:rsid w:val="00D8210C"/>
    <w:rsid w:val="00D821B4"/>
    <w:rsid w:val="00D822D1"/>
    <w:rsid w:val="00D824F9"/>
    <w:rsid w:val="00D82707"/>
    <w:rsid w:val="00D8281D"/>
    <w:rsid w:val="00D828ED"/>
    <w:rsid w:val="00D828FC"/>
    <w:rsid w:val="00D82A2D"/>
    <w:rsid w:val="00D82A85"/>
    <w:rsid w:val="00D82B4B"/>
    <w:rsid w:val="00D82BAC"/>
    <w:rsid w:val="00D82C50"/>
    <w:rsid w:val="00D82CEF"/>
    <w:rsid w:val="00D82E39"/>
    <w:rsid w:val="00D82E66"/>
    <w:rsid w:val="00D82F65"/>
    <w:rsid w:val="00D833E7"/>
    <w:rsid w:val="00D83431"/>
    <w:rsid w:val="00D8345B"/>
    <w:rsid w:val="00D8349F"/>
    <w:rsid w:val="00D8352C"/>
    <w:rsid w:val="00D835AC"/>
    <w:rsid w:val="00D836F7"/>
    <w:rsid w:val="00D836FC"/>
    <w:rsid w:val="00D837D3"/>
    <w:rsid w:val="00D83ABC"/>
    <w:rsid w:val="00D83B81"/>
    <w:rsid w:val="00D83DCB"/>
    <w:rsid w:val="00D83E54"/>
    <w:rsid w:val="00D840E6"/>
    <w:rsid w:val="00D841A5"/>
    <w:rsid w:val="00D841EC"/>
    <w:rsid w:val="00D8448F"/>
    <w:rsid w:val="00D84554"/>
    <w:rsid w:val="00D84758"/>
    <w:rsid w:val="00D84A0F"/>
    <w:rsid w:val="00D84B46"/>
    <w:rsid w:val="00D84C4C"/>
    <w:rsid w:val="00D84D61"/>
    <w:rsid w:val="00D84EE6"/>
    <w:rsid w:val="00D84F8A"/>
    <w:rsid w:val="00D85312"/>
    <w:rsid w:val="00D8535F"/>
    <w:rsid w:val="00D854CE"/>
    <w:rsid w:val="00D85520"/>
    <w:rsid w:val="00D85558"/>
    <w:rsid w:val="00D855A1"/>
    <w:rsid w:val="00D85B68"/>
    <w:rsid w:val="00D85C05"/>
    <w:rsid w:val="00D85DC7"/>
    <w:rsid w:val="00D85FA9"/>
    <w:rsid w:val="00D8621C"/>
    <w:rsid w:val="00D863B2"/>
    <w:rsid w:val="00D86418"/>
    <w:rsid w:val="00D8641D"/>
    <w:rsid w:val="00D86551"/>
    <w:rsid w:val="00D8659D"/>
    <w:rsid w:val="00D86663"/>
    <w:rsid w:val="00D866F5"/>
    <w:rsid w:val="00D86A5A"/>
    <w:rsid w:val="00D86BAB"/>
    <w:rsid w:val="00D86C89"/>
    <w:rsid w:val="00D86D32"/>
    <w:rsid w:val="00D86D4A"/>
    <w:rsid w:val="00D86D9E"/>
    <w:rsid w:val="00D86E2B"/>
    <w:rsid w:val="00D86E57"/>
    <w:rsid w:val="00D86F16"/>
    <w:rsid w:val="00D87846"/>
    <w:rsid w:val="00D87863"/>
    <w:rsid w:val="00D87888"/>
    <w:rsid w:val="00D87A3F"/>
    <w:rsid w:val="00D87A4D"/>
    <w:rsid w:val="00D87AB7"/>
    <w:rsid w:val="00D87B30"/>
    <w:rsid w:val="00D87BA3"/>
    <w:rsid w:val="00D87C8C"/>
    <w:rsid w:val="00D87E54"/>
    <w:rsid w:val="00D87E88"/>
    <w:rsid w:val="00D87EA1"/>
    <w:rsid w:val="00D87F69"/>
    <w:rsid w:val="00D90161"/>
    <w:rsid w:val="00D9020D"/>
    <w:rsid w:val="00D9030C"/>
    <w:rsid w:val="00D903F2"/>
    <w:rsid w:val="00D9041A"/>
    <w:rsid w:val="00D905F4"/>
    <w:rsid w:val="00D90671"/>
    <w:rsid w:val="00D908CB"/>
    <w:rsid w:val="00D908D0"/>
    <w:rsid w:val="00D90997"/>
    <w:rsid w:val="00D90A01"/>
    <w:rsid w:val="00D90A99"/>
    <w:rsid w:val="00D90B01"/>
    <w:rsid w:val="00D90B4D"/>
    <w:rsid w:val="00D90BC3"/>
    <w:rsid w:val="00D90BF2"/>
    <w:rsid w:val="00D90C5A"/>
    <w:rsid w:val="00D90FC1"/>
    <w:rsid w:val="00D90FE4"/>
    <w:rsid w:val="00D91064"/>
    <w:rsid w:val="00D913D5"/>
    <w:rsid w:val="00D91562"/>
    <w:rsid w:val="00D915A9"/>
    <w:rsid w:val="00D91703"/>
    <w:rsid w:val="00D9171D"/>
    <w:rsid w:val="00D91777"/>
    <w:rsid w:val="00D9185E"/>
    <w:rsid w:val="00D91949"/>
    <w:rsid w:val="00D919DA"/>
    <w:rsid w:val="00D919FC"/>
    <w:rsid w:val="00D91BED"/>
    <w:rsid w:val="00D91CD7"/>
    <w:rsid w:val="00D91CE3"/>
    <w:rsid w:val="00D92072"/>
    <w:rsid w:val="00D92251"/>
    <w:rsid w:val="00D924B3"/>
    <w:rsid w:val="00D92542"/>
    <w:rsid w:val="00D92843"/>
    <w:rsid w:val="00D92A06"/>
    <w:rsid w:val="00D92CD2"/>
    <w:rsid w:val="00D92D88"/>
    <w:rsid w:val="00D93056"/>
    <w:rsid w:val="00D9318E"/>
    <w:rsid w:val="00D933BB"/>
    <w:rsid w:val="00D933D7"/>
    <w:rsid w:val="00D9350A"/>
    <w:rsid w:val="00D935FA"/>
    <w:rsid w:val="00D93707"/>
    <w:rsid w:val="00D937B9"/>
    <w:rsid w:val="00D93809"/>
    <w:rsid w:val="00D93935"/>
    <w:rsid w:val="00D93A3B"/>
    <w:rsid w:val="00D93A8B"/>
    <w:rsid w:val="00D93B90"/>
    <w:rsid w:val="00D93D06"/>
    <w:rsid w:val="00D93E57"/>
    <w:rsid w:val="00D9401E"/>
    <w:rsid w:val="00D940FE"/>
    <w:rsid w:val="00D94106"/>
    <w:rsid w:val="00D94123"/>
    <w:rsid w:val="00D941EF"/>
    <w:rsid w:val="00D9438F"/>
    <w:rsid w:val="00D943D5"/>
    <w:rsid w:val="00D94429"/>
    <w:rsid w:val="00D946C8"/>
    <w:rsid w:val="00D94729"/>
    <w:rsid w:val="00D94825"/>
    <w:rsid w:val="00D9487C"/>
    <w:rsid w:val="00D948D3"/>
    <w:rsid w:val="00D94992"/>
    <w:rsid w:val="00D949C9"/>
    <w:rsid w:val="00D94C45"/>
    <w:rsid w:val="00D94C58"/>
    <w:rsid w:val="00D94D1B"/>
    <w:rsid w:val="00D94DAA"/>
    <w:rsid w:val="00D94EA8"/>
    <w:rsid w:val="00D94ED9"/>
    <w:rsid w:val="00D94F95"/>
    <w:rsid w:val="00D94FD8"/>
    <w:rsid w:val="00D95078"/>
    <w:rsid w:val="00D95181"/>
    <w:rsid w:val="00D9519B"/>
    <w:rsid w:val="00D952B5"/>
    <w:rsid w:val="00D952F8"/>
    <w:rsid w:val="00D955A9"/>
    <w:rsid w:val="00D95607"/>
    <w:rsid w:val="00D9576C"/>
    <w:rsid w:val="00D958CC"/>
    <w:rsid w:val="00D95930"/>
    <w:rsid w:val="00D95C23"/>
    <w:rsid w:val="00D95E93"/>
    <w:rsid w:val="00D95F4D"/>
    <w:rsid w:val="00D95FC0"/>
    <w:rsid w:val="00D960DF"/>
    <w:rsid w:val="00D961A9"/>
    <w:rsid w:val="00D961F9"/>
    <w:rsid w:val="00D9636C"/>
    <w:rsid w:val="00D96703"/>
    <w:rsid w:val="00D96858"/>
    <w:rsid w:val="00D968E0"/>
    <w:rsid w:val="00D9690D"/>
    <w:rsid w:val="00D96A2D"/>
    <w:rsid w:val="00D96D4E"/>
    <w:rsid w:val="00D96EFE"/>
    <w:rsid w:val="00D96FFB"/>
    <w:rsid w:val="00D9703C"/>
    <w:rsid w:val="00D975A8"/>
    <w:rsid w:val="00D97962"/>
    <w:rsid w:val="00D97A2A"/>
    <w:rsid w:val="00D97CD3"/>
    <w:rsid w:val="00D97D57"/>
    <w:rsid w:val="00D97DEB"/>
    <w:rsid w:val="00D97E14"/>
    <w:rsid w:val="00DA002D"/>
    <w:rsid w:val="00DA0034"/>
    <w:rsid w:val="00DA003C"/>
    <w:rsid w:val="00DA0162"/>
    <w:rsid w:val="00DA032A"/>
    <w:rsid w:val="00DA05A4"/>
    <w:rsid w:val="00DA0701"/>
    <w:rsid w:val="00DA0786"/>
    <w:rsid w:val="00DA0795"/>
    <w:rsid w:val="00DA0B7E"/>
    <w:rsid w:val="00DA0CD2"/>
    <w:rsid w:val="00DA0D42"/>
    <w:rsid w:val="00DA0E3B"/>
    <w:rsid w:val="00DA0FBB"/>
    <w:rsid w:val="00DA12DF"/>
    <w:rsid w:val="00DA12E7"/>
    <w:rsid w:val="00DA12FE"/>
    <w:rsid w:val="00DA1340"/>
    <w:rsid w:val="00DA14C7"/>
    <w:rsid w:val="00DA15D8"/>
    <w:rsid w:val="00DA1AE5"/>
    <w:rsid w:val="00DA1B24"/>
    <w:rsid w:val="00DA1B83"/>
    <w:rsid w:val="00DA1BE8"/>
    <w:rsid w:val="00DA1CB9"/>
    <w:rsid w:val="00DA1D49"/>
    <w:rsid w:val="00DA1D5C"/>
    <w:rsid w:val="00DA1D61"/>
    <w:rsid w:val="00DA1F71"/>
    <w:rsid w:val="00DA204A"/>
    <w:rsid w:val="00DA2081"/>
    <w:rsid w:val="00DA2506"/>
    <w:rsid w:val="00DA2519"/>
    <w:rsid w:val="00DA2588"/>
    <w:rsid w:val="00DA2688"/>
    <w:rsid w:val="00DA2707"/>
    <w:rsid w:val="00DA27A1"/>
    <w:rsid w:val="00DA2892"/>
    <w:rsid w:val="00DA2A85"/>
    <w:rsid w:val="00DA2B7A"/>
    <w:rsid w:val="00DA2CFB"/>
    <w:rsid w:val="00DA2E9A"/>
    <w:rsid w:val="00DA301A"/>
    <w:rsid w:val="00DA316E"/>
    <w:rsid w:val="00DA338C"/>
    <w:rsid w:val="00DA3397"/>
    <w:rsid w:val="00DA3415"/>
    <w:rsid w:val="00DA341F"/>
    <w:rsid w:val="00DA3531"/>
    <w:rsid w:val="00DA36D0"/>
    <w:rsid w:val="00DA385B"/>
    <w:rsid w:val="00DA39B0"/>
    <w:rsid w:val="00DA3D0C"/>
    <w:rsid w:val="00DA3DBA"/>
    <w:rsid w:val="00DA41DE"/>
    <w:rsid w:val="00DA425E"/>
    <w:rsid w:val="00DA427C"/>
    <w:rsid w:val="00DA42A9"/>
    <w:rsid w:val="00DA42EF"/>
    <w:rsid w:val="00DA4423"/>
    <w:rsid w:val="00DA4481"/>
    <w:rsid w:val="00DA48E8"/>
    <w:rsid w:val="00DA48F0"/>
    <w:rsid w:val="00DA4936"/>
    <w:rsid w:val="00DA49A0"/>
    <w:rsid w:val="00DA4A74"/>
    <w:rsid w:val="00DA4BAD"/>
    <w:rsid w:val="00DA4DCC"/>
    <w:rsid w:val="00DA4E18"/>
    <w:rsid w:val="00DA4EA4"/>
    <w:rsid w:val="00DA51B4"/>
    <w:rsid w:val="00DA5217"/>
    <w:rsid w:val="00DA52B6"/>
    <w:rsid w:val="00DA5610"/>
    <w:rsid w:val="00DA576E"/>
    <w:rsid w:val="00DA581A"/>
    <w:rsid w:val="00DA584E"/>
    <w:rsid w:val="00DA5858"/>
    <w:rsid w:val="00DA58B8"/>
    <w:rsid w:val="00DA5945"/>
    <w:rsid w:val="00DA5AB2"/>
    <w:rsid w:val="00DA5C42"/>
    <w:rsid w:val="00DA5C52"/>
    <w:rsid w:val="00DA5F36"/>
    <w:rsid w:val="00DA5FAD"/>
    <w:rsid w:val="00DA6121"/>
    <w:rsid w:val="00DA64CE"/>
    <w:rsid w:val="00DA658C"/>
    <w:rsid w:val="00DA6718"/>
    <w:rsid w:val="00DA67D9"/>
    <w:rsid w:val="00DA6813"/>
    <w:rsid w:val="00DA685A"/>
    <w:rsid w:val="00DA6860"/>
    <w:rsid w:val="00DA6932"/>
    <w:rsid w:val="00DA6A31"/>
    <w:rsid w:val="00DA6AEE"/>
    <w:rsid w:val="00DA6B39"/>
    <w:rsid w:val="00DA6BE8"/>
    <w:rsid w:val="00DA6ED3"/>
    <w:rsid w:val="00DA7138"/>
    <w:rsid w:val="00DA7155"/>
    <w:rsid w:val="00DA7343"/>
    <w:rsid w:val="00DA765F"/>
    <w:rsid w:val="00DA76F8"/>
    <w:rsid w:val="00DA78B4"/>
    <w:rsid w:val="00DA78B5"/>
    <w:rsid w:val="00DA7923"/>
    <w:rsid w:val="00DA7A90"/>
    <w:rsid w:val="00DA7AC3"/>
    <w:rsid w:val="00DA7C05"/>
    <w:rsid w:val="00DA7C1D"/>
    <w:rsid w:val="00DA7C87"/>
    <w:rsid w:val="00DB0097"/>
    <w:rsid w:val="00DB02DB"/>
    <w:rsid w:val="00DB03A7"/>
    <w:rsid w:val="00DB0422"/>
    <w:rsid w:val="00DB0525"/>
    <w:rsid w:val="00DB05ED"/>
    <w:rsid w:val="00DB0680"/>
    <w:rsid w:val="00DB094C"/>
    <w:rsid w:val="00DB0B13"/>
    <w:rsid w:val="00DB0C7B"/>
    <w:rsid w:val="00DB0D97"/>
    <w:rsid w:val="00DB0DA7"/>
    <w:rsid w:val="00DB0F40"/>
    <w:rsid w:val="00DB10C5"/>
    <w:rsid w:val="00DB1492"/>
    <w:rsid w:val="00DB15C9"/>
    <w:rsid w:val="00DB1874"/>
    <w:rsid w:val="00DB193C"/>
    <w:rsid w:val="00DB1C09"/>
    <w:rsid w:val="00DB1C92"/>
    <w:rsid w:val="00DB1D8D"/>
    <w:rsid w:val="00DB1E56"/>
    <w:rsid w:val="00DB1F2D"/>
    <w:rsid w:val="00DB2044"/>
    <w:rsid w:val="00DB241C"/>
    <w:rsid w:val="00DB2469"/>
    <w:rsid w:val="00DB251D"/>
    <w:rsid w:val="00DB255F"/>
    <w:rsid w:val="00DB25B1"/>
    <w:rsid w:val="00DB2612"/>
    <w:rsid w:val="00DB2693"/>
    <w:rsid w:val="00DB27D7"/>
    <w:rsid w:val="00DB29C7"/>
    <w:rsid w:val="00DB2B86"/>
    <w:rsid w:val="00DB2C56"/>
    <w:rsid w:val="00DB2D5F"/>
    <w:rsid w:val="00DB2DC9"/>
    <w:rsid w:val="00DB2E22"/>
    <w:rsid w:val="00DB2E30"/>
    <w:rsid w:val="00DB2E4E"/>
    <w:rsid w:val="00DB2EDC"/>
    <w:rsid w:val="00DB2F89"/>
    <w:rsid w:val="00DB2FE8"/>
    <w:rsid w:val="00DB31E7"/>
    <w:rsid w:val="00DB35A1"/>
    <w:rsid w:val="00DB3654"/>
    <w:rsid w:val="00DB367E"/>
    <w:rsid w:val="00DB379A"/>
    <w:rsid w:val="00DB3A15"/>
    <w:rsid w:val="00DB3F9E"/>
    <w:rsid w:val="00DB4346"/>
    <w:rsid w:val="00DB434E"/>
    <w:rsid w:val="00DB4391"/>
    <w:rsid w:val="00DB44FC"/>
    <w:rsid w:val="00DB4608"/>
    <w:rsid w:val="00DB48B4"/>
    <w:rsid w:val="00DB49B6"/>
    <w:rsid w:val="00DB4C82"/>
    <w:rsid w:val="00DB4D57"/>
    <w:rsid w:val="00DB512D"/>
    <w:rsid w:val="00DB514C"/>
    <w:rsid w:val="00DB52B6"/>
    <w:rsid w:val="00DB52DA"/>
    <w:rsid w:val="00DB5523"/>
    <w:rsid w:val="00DB589E"/>
    <w:rsid w:val="00DB5B2D"/>
    <w:rsid w:val="00DB5BE6"/>
    <w:rsid w:val="00DB5F1F"/>
    <w:rsid w:val="00DB5FE7"/>
    <w:rsid w:val="00DB6114"/>
    <w:rsid w:val="00DB6226"/>
    <w:rsid w:val="00DB624C"/>
    <w:rsid w:val="00DB63B4"/>
    <w:rsid w:val="00DB640E"/>
    <w:rsid w:val="00DB6535"/>
    <w:rsid w:val="00DB65D2"/>
    <w:rsid w:val="00DB66F4"/>
    <w:rsid w:val="00DB6708"/>
    <w:rsid w:val="00DB6D90"/>
    <w:rsid w:val="00DB6F64"/>
    <w:rsid w:val="00DB7024"/>
    <w:rsid w:val="00DB73A2"/>
    <w:rsid w:val="00DB75D1"/>
    <w:rsid w:val="00DB78EA"/>
    <w:rsid w:val="00DB7978"/>
    <w:rsid w:val="00DB79C1"/>
    <w:rsid w:val="00DB7BC1"/>
    <w:rsid w:val="00DB7C1E"/>
    <w:rsid w:val="00DC00D6"/>
    <w:rsid w:val="00DC058D"/>
    <w:rsid w:val="00DC05B7"/>
    <w:rsid w:val="00DC0608"/>
    <w:rsid w:val="00DC06CB"/>
    <w:rsid w:val="00DC0829"/>
    <w:rsid w:val="00DC096A"/>
    <w:rsid w:val="00DC09D4"/>
    <w:rsid w:val="00DC09E4"/>
    <w:rsid w:val="00DC0A9C"/>
    <w:rsid w:val="00DC0B63"/>
    <w:rsid w:val="00DC0D0B"/>
    <w:rsid w:val="00DC0F4B"/>
    <w:rsid w:val="00DC125D"/>
    <w:rsid w:val="00DC13C5"/>
    <w:rsid w:val="00DC14EF"/>
    <w:rsid w:val="00DC15A0"/>
    <w:rsid w:val="00DC1691"/>
    <w:rsid w:val="00DC187F"/>
    <w:rsid w:val="00DC1B0C"/>
    <w:rsid w:val="00DC1B75"/>
    <w:rsid w:val="00DC1B92"/>
    <w:rsid w:val="00DC1BA5"/>
    <w:rsid w:val="00DC1BD7"/>
    <w:rsid w:val="00DC1D16"/>
    <w:rsid w:val="00DC1EB7"/>
    <w:rsid w:val="00DC1EE2"/>
    <w:rsid w:val="00DC1F8A"/>
    <w:rsid w:val="00DC2038"/>
    <w:rsid w:val="00DC20F2"/>
    <w:rsid w:val="00DC2412"/>
    <w:rsid w:val="00DC246C"/>
    <w:rsid w:val="00DC25AE"/>
    <w:rsid w:val="00DC25DE"/>
    <w:rsid w:val="00DC270C"/>
    <w:rsid w:val="00DC276D"/>
    <w:rsid w:val="00DC2830"/>
    <w:rsid w:val="00DC2897"/>
    <w:rsid w:val="00DC2AC5"/>
    <w:rsid w:val="00DC2B07"/>
    <w:rsid w:val="00DC2B66"/>
    <w:rsid w:val="00DC2E46"/>
    <w:rsid w:val="00DC31D7"/>
    <w:rsid w:val="00DC32C4"/>
    <w:rsid w:val="00DC3917"/>
    <w:rsid w:val="00DC393C"/>
    <w:rsid w:val="00DC3A28"/>
    <w:rsid w:val="00DC3CD1"/>
    <w:rsid w:val="00DC3E31"/>
    <w:rsid w:val="00DC3EF2"/>
    <w:rsid w:val="00DC3FBC"/>
    <w:rsid w:val="00DC420F"/>
    <w:rsid w:val="00DC4225"/>
    <w:rsid w:val="00DC4295"/>
    <w:rsid w:val="00DC42DC"/>
    <w:rsid w:val="00DC4371"/>
    <w:rsid w:val="00DC43FF"/>
    <w:rsid w:val="00DC44E3"/>
    <w:rsid w:val="00DC45B1"/>
    <w:rsid w:val="00DC48C8"/>
    <w:rsid w:val="00DC4905"/>
    <w:rsid w:val="00DC4A4F"/>
    <w:rsid w:val="00DC4AF8"/>
    <w:rsid w:val="00DC4E43"/>
    <w:rsid w:val="00DC4E97"/>
    <w:rsid w:val="00DC4FF6"/>
    <w:rsid w:val="00DC505F"/>
    <w:rsid w:val="00DC525E"/>
    <w:rsid w:val="00DC529E"/>
    <w:rsid w:val="00DC53A8"/>
    <w:rsid w:val="00DC5447"/>
    <w:rsid w:val="00DC5674"/>
    <w:rsid w:val="00DC5A5B"/>
    <w:rsid w:val="00DC5AB9"/>
    <w:rsid w:val="00DC5E32"/>
    <w:rsid w:val="00DC5E5C"/>
    <w:rsid w:val="00DC5FB3"/>
    <w:rsid w:val="00DC6113"/>
    <w:rsid w:val="00DC637E"/>
    <w:rsid w:val="00DC63DA"/>
    <w:rsid w:val="00DC6441"/>
    <w:rsid w:val="00DC6525"/>
    <w:rsid w:val="00DC6897"/>
    <w:rsid w:val="00DC6AF6"/>
    <w:rsid w:val="00DC6BD3"/>
    <w:rsid w:val="00DC6C1F"/>
    <w:rsid w:val="00DC729A"/>
    <w:rsid w:val="00DC72BA"/>
    <w:rsid w:val="00DC72F3"/>
    <w:rsid w:val="00DC7516"/>
    <w:rsid w:val="00DC75CA"/>
    <w:rsid w:val="00DC7606"/>
    <w:rsid w:val="00DC7716"/>
    <w:rsid w:val="00DC7864"/>
    <w:rsid w:val="00DC78F0"/>
    <w:rsid w:val="00DC7AE0"/>
    <w:rsid w:val="00DC7B1B"/>
    <w:rsid w:val="00DC7B38"/>
    <w:rsid w:val="00DC7E37"/>
    <w:rsid w:val="00DC7F09"/>
    <w:rsid w:val="00DD0097"/>
    <w:rsid w:val="00DD0288"/>
    <w:rsid w:val="00DD0314"/>
    <w:rsid w:val="00DD040F"/>
    <w:rsid w:val="00DD0B61"/>
    <w:rsid w:val="00DD0B86"/>
    <w:rsid w:val="00DD0C22"/>
    <w:rsid w:val="00DD0C57"/>
    <w:rsid w:val="00DD0CFC"/>
    <w:rsid w:val="00DD0E1F"/>
    <w:rsid w:val="00DD0EB8"/>
    <w:rsid w:val="00DD0FC0"/>
    <w:rsid w:val="00DD0FC7"/>
    <w:rsid w:val="00DD1209"/>
    <w:rsid w:val="00DD14D2"/>
    <w:rsid w:val="00DD15E8"/>
    <w:rsid w:val="00DD162C"/>
    <w:rsid w:val="00DD1632"/>
    <w:rsid w:val="00DD168C"/>
    <w:rsid w:val="00DD17F6"/>
    <w:rsid w:val="00DD18AD"/>
    <w:rsid w:val="00DD18B6"/>
    <w:rsid w:val="00DD19D4"/>
    <w:rsid w:val="00DD19F7"/>
    <w:rsid w:val="00DD19FE"/>
    <w:rsid w:val="00DD1A44"/>
    <w:rsid w:val="00DD1A54"/>
    <w:rsid w:val="00DD1AE9"/>
    <w:rsid w:val="00DD1B68"/>
    <w:rsid w:val="00DD1D18"/>
    <w:rsid w:val="00DD1D2A"/>
    <w:rsid w:val="00DD1DCF"/>
    <w:rsid w:val="00DD2037"/>
    <w:rsid w:val="00DD22DC"/>
    <w:rsid w:val="00DD24F2"/>
    <w:rsid w:val="00DD2606"/>
    <w:rsid w:val="00DD2617"/>
    <w:rsid w:val="00DD27B5"/>
    <w:rsid w:val="00DD2828"/>
    <w:rsid w:val="00DD29A3"/>
    <w:rsid w:val="00DD2A8C"/>
    <w:rsid w:val="00DD2B40"/>
    <w:rsid w:val="00DD2C2E"/>
    <w:rsid w:val="00DD2DFB"/>
    <w:rsid w:val="00DD2EE1"/>
    <w:rsid w:val="00DD2F29"/>
    <w:rsid w:val="00DD2F3D"/>
    <w:rsid w:val="00DD2F84"/>
    <w:rsid w:val="00DD2FA4"/>
    <w:rsid w:val="00DD3094"/>
    <w:rsid w:val="00DD323B"/>
    <w:rsid w:val="00DD3546"/>
    <w:rsid w:val="00DD354D"/>
    <w:rsid w:val="00DD3837"/>
    <w:rsid w:val="00DD3DEE"/>
    <w:rsid w:val="00DD3E44"/>
    <w:rsid w:val="00DD3F14"/>
    <w:rsid w:val="00DD4288"/>
    <w:rsid w:val="00DD442C"/>
    <w:rsid w:val="00DD44BC"/>
    <w:rsid w:val="00DD458C"/>
    <w:rsid w:val="00DD4795"/>
    <w:rsid w:val="00DD4820"/>
    <w:rsid w:val="00DD48B8"/>
    <w:rsid w:val="00DD4B24"/>
    <w:rsid w:val="00DD4C6B"/>
    <w:rsid w:val="00DD4C79"/>
    <w:rsid w:val="00DD4D98"/>
    <w:rsid w:val="00DD4F6C"/>
    <w:rsid w:val="00DD51B1"/>
    <w:rsid w:val="00DD51E4"/>
    <w:rsid w:val="00DD54D4"/>
    <w:rsid w:val="00DD55F0"/>
    <w:rsid w:val="00DD5741"/>
    <w:rsid w:val="00DD574B"/>
    <w:rsid w:val="00DD57F5"/>
    <w:rsid w:val="00DD5818"/>
    <w:rsid w:val="00DD586A"/>
    <w:rsid w:val="00DD5A55"/>
    <w:rsid w:val="00DD5BA3"/>
    <w:rsid w:val="00DD5BB5"/>
    <w:rsid w:val="00DD5CA5"/>
    <w:rsid w:val="00DD5D31"/>
    <w:rsid w:val="00DD5E6C"/>
    <w:rsid w:val="00DD60B9"/>
    <w:rsid w:val="00DD6235"/>
    <w:rsid w:val="00DD63E6"/>
    <w:rsid w:val="00DD66EE"/>
    <w:rsid w:val="00DD6C0A"/>
    <w:rsid w:val="00DD6CC9"/>
    <w:rsid w:val="00DD705D"/>
    <w:rsid w:val="00DD784E"/>
    <w:rsid w:val="00DD788F"/>
    <w:rsid w:val="00DD7901"/>
    <w:rsid w:val="00DD79B4"/>
    <w:rsid w:val="00DD79DE"/>
    <w:rsid w:val="00DD7A93"/>
    <w:rsid w:val="00DD7D7A"/>
    <w:rsid w:val="00DD7E54"/>
    <w:rsid w:val="00DD7F8E"/>
    <w:rsid w:val="00DE010C"/>
    <w:rsid w:val="00DE01B5"/>
    <w:rsid w:val="00DE03C9"/>
    <w:rsid w:val="00DE0481"/>
    <w:rsid w:val="00DE05B3"/>
    <w:rsid w:val="00DE0768"/>
    <w:rsid w:val="00DE0887"/>
    <w:rsid w:val="00DE0AE4"/>
    <w:rsid w:val="00DE0B90"/>
    <w:rsid w:val="00DE0C31"/>
    <w:rsid w:val="00DE0ECB"/>
    <w:rsid w:val="00DE11E2"/>
    <w:rsid w:val="00DE1203"/>
    <w:rsid w:val="00DE1337"/>
    <w:rsid w:val="00DE14A2"/>
    <w:rsid w:val="00DE1572"/>
    <w:rsid w:val="00DE15AC"/>
    <w:rsid w:val="00DE16DA"/>
    <w:rsid w:val="00DE1884"/>
    <w:rsid w:val="00DE18A8"/>
    <w:rsid w:val="00DE196E"/>
    <w:rsid w:val="00DE1A5B"/>
    <w:rsid w:val="00DE1AAD"/>
    <w:rsid w:val="00DE1B06"/>
    <w:rsid w:val="00DE1BB5"/>
    <w:rsid w:val="00DE1BBC"/>
    <w:rsid w:val="00DE1BCD"/>
    <w:rsid w:val="00DE1EB0"/>
    <w:rsid w:val="00DE1EE5"/>
    <w:rsid w:val="00DE1F92"/>
    <w:rsid w:val="00DE1F9D"/>
    <w:rsid w:val="00DE216F"/>
    <w:rsid w:val="00DE21CB"/>
    <w:rsid w:val="00DE238F"/>
    <w:rsid w:val="00DE24C5"/>
    <w:rsid w:val="00DE2541"/>
    <w:rsid w:val="00DE2692"/>
    <w:rsid w:val="00DE2992"/>
    <w:rsid w:val="00DE2A2E"/>
    <w:rsid w:val="00DE2B0B"/>
    <w:rsid w:val="00DE2B4E"/>
    <w:rsid w:val="00DE2D1D"/>
    <w:rsid w:val="00DE2EBA"/>
    <w:rsid w:val="00DE2F88"/>
    <w:rsid w:val="00DE2F93"/>
    <w:rsid w:val="00DE326D"/>
    <w:rsid w:val="00DE3420"/>
    <w:rsid w:val="00DE3463"/>
    <w:rsid w:val="00DE351E"/>
    <w:rsid w:val="00DE3811"/>
    <w:rsid w:val="00DE3819"/>
    <w:rsid w:val="00DE38C3"/>
    <w:rsid w:val="00DE38E9"/>
    <w:rsid w:val="00DE3A36"/>
    <w:rsid w:val="00DE3B57"/>
    <w:rsid w:val="00DE3CAD"/>
    <w:rsid w:val="00DE3CEF"/>
    <w:rsid w:val="00DE3DFD"/>
    <w:rsid w:val="00DE3E06"/>
    <w:rsid w:val="00DE3E34"/>
    <w:rsid w:val="00DE3E60"/>
    <w:rsid w:val="00DE3FB1"/>
    <w:rsid w:val="00DE3FB4"/>
    <w:rsid w:val="00DE405C"/>
    <w:rsid w:val="00DE41D2"/>
    <w:rsid w:val="00DE42E9"/>
    <w:rsid w:val="00DE4482"/>
    <w:rsid w:val="00DE45BB"/>
    <w:rsid w:val="00DE45D6"/>
    <w:rsid w:val="00DE499A"/>
    <w:rsid w:val="00DE499E"/>
    <w:rsid w:val="00DE4C1D"/>
    <w:rsid w:val="00DE4DA0"/>
    <w:rsid w:val="00DE4DD4"/>
    <w:rsid w:val="00DE5027"/>
    <w:rsid w:val="00DE5170"/>
    <w:rsid w:val="00DE52CB"/>
    <w:rsid w:val="00DE54FF"/>
    <w:rsid w:val="00DE55CF"/>
    <w:rsid w:val="00DE55D0"/>
    <w:rsid w:val="00DE55D4"/>
    <w:rsid w:val="00DE5648"/>
    <w:rsid w:val="00DE567F"/>
    <w:rsid w:val="00DE584A"/>
    <w:rsid w:val="00DE59F8"/>
    <w:rsid w:val="00DE5AE2"/>
    <w:rsid w:val="00DE5AE6"/>
    <w:rsid w:val="00DE5B2E"/>
    <w:rsid w:val="00DE5C4D"/>
    <w:rsid w:val="00DE5C6A"/>
    <w:rsid w:val="00DE5DFB"/>
    <w:rsid w:val="00DE5FCD"/>
    <w:rsid w:val="00DE6008"/>
    <w:rsid w:val="00DE6075"/>
    <w:rsid w:val="00DE6088"/>
    <w:rsid w:val="00DE6119"/>
    <w:rsid w:val="00DE637D"/>
    <w:rsid w:val="00DE6579"/>
    <w:rsid w:val="00DE65C3"/>
    <w:rsid w:val="00DE65E0"/>
    <w:rsid w:val="00DE660B"/>
    <w:rsid w:val="00DE669F"/>
    <w:rsid w:val="00DE66FB"/>
    <w:rsid w:val="00DE68F4"/>
    <w:rsid w:val="00DE6928"/>
    <w:rsid w:val="00DE6BD3"/>
    <w:rsid w:val="00DE6D38"/>
    <w:rsid w:val="00DE6E80"/>
    <w:rsid w:val="00DE6EE1"/>
    <w:rsid w:val="00DE6F47"/>
    <w:rsid w:val="00DE6F71"/>
    <w:rsid w:val="00DE6FCC"/>
    <w:rsid w:val="00DE7043"/>
    <w:rsid w:val="00DE73F6"/>
    <w:rsid w:val="00DE7532"/>
    <w:rsid w:val="00DE7C42"/>
    <w:rsid w:val="00DE7C8F"/>
    <w:rsid w:val="00DE7CFB"/>
    <w:rsid w:val="00DE7D7C"/>
    <w:rsid w:val="00DE7F26"/>
    <w:rsid w:val="00DE7FBE"/>
    <w:rsid w:val="00DE7FC2"/>
    <w:rsid w:val="00DE7FCE"/>
    <w:rsid w:val="00DF000D"/>
    <w:rsid w:val="00DF0276"/>
    <w:rsid w:val="00DF0284"/>
    <w:rsid w:val="00DF05BD"/>
    <w:rsid w:val="00DF06AA"/>
    <w:rsid w:val="00DF07B6"/>
    <w:rsid w:val="00DF07CB"/>
    <w:rsid w:val="00DF0844"/>
    <w:rsid w:val="00DF086B"/>
    <w:rsid w:val="00DF094B"/>
    <w:rsid w:val="00DF09B1"/>
    <w:rsid w:val="00DF0A97"/>
    <w:rsid w:val="00DF0C0F"/>
    <w:rsid w:val="00DF0DC1"/>
    <w:rsid w:val="00DF0FCF"/>
    <w:rsid w:val="00DF0FD1"/>
    <w:rsid w:val="00DF1007"/>
    <w:rsid w:val="00DF1267"/>
    <w:rsid w:val="00DF14B7"/>
    <w:rsid w:val="00DF14EB"/>
    <w:rsid w:val="00DF17F9"/>
    <w:rsid w:val="00DF189D"/>
    <w:rsid w:val="00DF18D8"/>
    <w:rsid w:val="00DF1960"/>
    <w:rsid w:val="00DF1BAF"/>
    <w:rsid w:val="00DF1BF6"/>
    <w:rsid w:val="00DF1EA0"/>
    <w:rsid w:val="00DF1F3A"/>
    <w:rsid w:val="00DF204B"/>
    <w:rsid w:val="00DF2052"/>
    <w:rsid w:val="00DF224E"/>
    <w:rsid w:val="00DF22C3"/>
    <w:rsid w:val="00DF245C"/>
    <w:rsid w:val="00DF2673"/>
    <w:rsid w:val="00DF287C"/>
    <w:rsid w:val="00DF2C15"/>
    <w:rsid w:val="00DF2D2C"/>
    <w:rsid w:val="00DF2D71"/>
    <w:rsid w:val="00DF2F79"/>
    <w:rsid w:val="00DF30BC"/>
    <w:rsid w:val="00DF31E8"/>
    <w:rsid w:val="00DF32A1"/>
    <w:rsid w:val="00DF34F8"/>
    <w:rsid w:val="00DF3638"/>
    <w:rsid w:val="00DF36AA"/>
    <w:rsid w:val="00DF37EE"/>
    <w:rsid w:val="00DF38A5"/>
    <w:rsid w:val="00DF39A8"/>
    <w:rsid w:val="00DF3C60"/>
    <w:rsid w:val="00DF3CBE"/>
    <w:rsid w:val="00DF3CF5"/>
    <w:rsid w:val="00DF4127"/>
    <w:rsid w:val="00DF43D5"/>
    <w:rsid w:val="00DF440A"/>
    <w:rsid w:val="00DF44F9"/>
    <w:rsid w:val="00DF4539"/>
    <w:rsid w:val="00DF4550"/>
    <w:rsid w:val="00DF4578"/>
    <w:rsid w:val="00DF46E7"/>
    <w:rsid w:val="00DF46FD"/>
    <w:rsid w:val="00DF4848"/>
    <w:rsid w:val="00DF4A10"/>
    <w:rsid w:val="00DF4D14"/>
    <w:rsid w:val="00DF4E7B"/>
    <w:rsid w:val="00DF4F35"/>
    <w:rsid w:val="00DF4F58"/>
    <w:rsid w:val="00DF4FAC"/>
    <w:rsid w:val="00DF5430"/>
    <w:rsid w:val="00DF5562"/>
    <w:rsid w:val="00DF58EA"/>
    <w:rsid w:val="00DF590B"/>
    <w:rsid w:val="00DF5A5F"/>
    <w:rsid w:val="00DF5B79"/>
    <w:rsid w:val="00DF5C70"/>
    <w:rsid w:val="00DF5C8B"/>
    <w:rsid w:val="00DF5E60"/>
    <w:rsid w:val="00DF5EB3"/>
    <w:rsid w:val="00DF5EC2"/>
    <w:rsid w:val="00DF5FF4"/>
    <w:rsid w:val="00DF5FFE"/>
    <w:rsid w:val="00DF6049"/>
    <w:rsid w:val="00DF6176"/>
    <w:rsid w:val="00DF6289"/>
    <w:rsid w:val="00DF6292"/>
    <w:rsid w:val="00DF650D"/>
    <w:rsid w:val="00DF652C"/>
    <w:rsid w:val="00DF658C"/>
    <w:rsid w:val="00DF67C5"/>
    <w:rsid w:val="00DF682F"/>
    <w:rsid w:val="00DF69C4"/>
    <w:rsid w:val="00DF69CE"/>
    <w:rsid w:val="00DF6A51"/>
    <w:rsid w:val="00DF6F34"/>
    <w:rsid w:val="00DF70FA"/>
    <w:rsid w:val="00DF71F2"/>
    <w:rsid w:val="00DF7353"/>
    <w:rsid w:val="00DF7673"/>
    <w:rsid w:val="00DF7693"/>
    <w:rsid w:val="00DF76AF"/>
    <w:rsid w:val="00DF7745"/>
    <w:rsid w:val="00DF7B8E"/>
    <w:rsid w:val="00DF7B9F"/>
    <w:rsid w:val="00DF7EFF"/>
    <w:rsid w:val="00DF7F12"/>
    <w:rsid w:val="00E00044"/>
    <w:rsid w:val="00E000E9"/>
    <w:rsid w:val="00E004DA"/>
    <w:rsid w:val="00E005EF"/>
    <w:rsid w:val="00E007CC"/>
    <w:rsid w:val="00E00904"/>
    <w:rsid w:val="00E00942"/>
    <w:rsid w:val="00E0095D"/>
    <w:rsid w:val="00E00A2D"/>
    <w:rsid w:val="00E00BE2"/>
    <w:rsid w:val="00E00C5D"/>
    <w:rsid w:val="00E00D7B"/>
    <w:rsid w:val="00E00E39"/>
    <w:rsid w:val="00E00EA9"/>
    <w:rsid w:val="00E00FD6"/>
    <w:rsid w:val="00E00FEC"/>
    <w:rsid w:val="00E010B0"/>
    <w:rsid w:val="00E01230"/>
    <w:rsid w:val="00E01485"/>
    <w:rsid w:val="00E0151E"/>
    <w:rsid w:val="00E0157E"/>
    <w:rsid w:val="00E016B2"/>
    <w:rsid w:val="00E01770"/>
    <w:rsid w:val="00E017F7"/>
    <w:rsid w:val="00E01801"/>
    <w:rsid w:val="00E018A4"/>
    <w:rsid w:val="00E019DF"/>
    <w:rsid w:val="00E01B36"/>
    <w:rsid w:val="00E01B65"/>
    <w:rsid w:val="00E01B8A"/>
    <w:rsid w:val="00E01DB7"/>
    <w:rsid w:val="00E01E96"/>
    <w:rsid w:val="00E01F4A"/>
    <w:rsid w:val="00E01FAA"/>
    <w:rsid w:val="00E01FDB"/>
    <w:rsid w:val="00E021F7"/>
    <w:rsid w:val="00E021FA"/>
    <w:rsid w:val="00E02375"/>
    <w:rsid w:val="00E024F8"/>
    <w:rsid w:val="00E02507"/>
    <w:rsid w:val="00E02523"/>
    <w:rsid w:val="00E026AF"/>
    <w:rsid w:val="00E0298D"/>
    <w:rsid w:val="00E02AA9"/>
    <w:rsid w:val="00E02B5D"/>
    <w:rsid w:val="00E02CA4"/>
    <w:rsid w:val="00E02CCA"/>
    <w:rsid w:val="00E02CFB"/>
    <w:rsid w:val="00E02D93"/>
    <w:rsid w:val="00E02EF8"/>
    <w:rsid w:val="00E0301F"/>
    <w:rsid w:val="00E0330D"/>
    <w:rsid w:val="00E03676"/>
    <w:rsid w:val="00E036E3"/>
    <w:rsid w:val="00E0381C"/>
    <w:rsid w:val="00E03840"/>
    <w:rsid w:val="00E0386A"/>
    <w:rsid w:val="00E039E2"/>
    <w:rsid w:val="00E03C54"/>
    <w:rsid w:val="00E03D3E"/>
    <w:rsid w:val="00E03D7E"/>
    <w:rsid w:val="00E03DEA"/>
    <w:rsid w:val="00E03DFF"/>
    <w:rsid w:val="00E03F25"/>
    <w:rsid w:val="00E0420A"/>
    <w:rsid w:val="00E04767"/>
    <w:rsid w:val="00E0476F"/>
    <w:rsid w:val="00E047E1"/>
    <w:rsid w:val="00E0483A"/>
    <w:rsid w:val="00E0490F"/>
    <w:rsid w:val="00E04A64"/>
    <w:rsid w:val="00E04A86"/>
    <w:rsid w:val="00E04CE7"/>
    <w:rsid w:val="00E04DFB"/>
    <w:rsid w:val="00E04E29"/>
    <w:rsid w:val="00E04E4B"/>
    <w:rsid w:val="00E04EA8"/>
    <w:rsid w:val="00E04EE4"/>
    <w:rsid w:val="00E04FCD"/>
    <w:rsid w:val="00E05396"/>
    <w:rsid w:val="00E05537"/>
    <w:rsid w:val="00E05690"/>
    <w:rsid w:val="00E05712"/>
    <w:rsid w:val="00E057B1"/>
    <w:rsid w:val="00E0583C"/>
    <w:rsid w:val="00E05853"/>
    <w:rsid w:val="00E059F7"/>
    <w:rsid w:val="00E05A1C"/>
    <w:rsid w:val="00E05B44"/>
    <w:rsid w:val="00E05CBD"/>
    <w:rsid w:val="00E05CE9"/>
    <w:rsid w:val="00E05F6A"/>
    <w:rsid w:val="00E06007"/>
    <w:rsid w:val="00E06015"/>
    <w:rsid w:val="00E060B6"/>
    <w:rsid w:val="00E060DC"/>
    <w:rsid w:val="00E06100"/>
    <w:rsid w:val="00E06205"/>
    <w:rsid w:val="00E06329"/>
    <w:rsid w:val="00E06381"/>
    <w:rsid w:val="00E063BB"/>
    <w:rsid w:val="00E06417"/>
    <w:rsid w:val="00E06666"/>
    <w:rsid w:val="00E066D3"/>
    <w:rsid w:val="00E0678C"/>
    <w:rsid w:val="00E067E7"/>
    <w:rsid w:val="00E06A41"/>
    <w:rsid w:val="00E06B5B"/>
    <w:rsid w:val="00E06BCB"/>
    <w:rsid w:val="00E06BF4"/>
    <w:rsid w:val="00E06CB3"/>
    <w:rsid w:val="00E06D1A"/>
    <w:rsid w:val="00E06DA6"/>
    <w:rsid w:val="00E06E0F"/>
    <w:rsid w:val="00E06F67"/>
    <w:rsid w:val="00E07099"/>
    <w:rsid w:val="00E07204"/>
    <w:rsid w:val="00E07555"/>
    <w:rsid w:val="00E07744"/>
    <w:rsid w:val="00E07A52"/>
    <w:rsid w:val="00E07A67"/>
    <w:rsid w:val="00E07A91"/>
    <w:rsid w:val="00E07B60"/>
    <w:rsid w:val="00E07C83"/>
    <w:rsid w:val="00E07E93"/>
    <w:rsid w:val="00E07F9E"/>
    <w:rsid w:val="00E07FBA"/>
    <w:rsid w:val="00E1001A"/>
    <w:rsid w:val="00E10044"/>
    <w:rsid w:val="00E10193"/>
    <w:rsid w:val="00E10346"/>
    <w:rsid w:val="00E103B2"/>
    <w:rsid w:val="00E10497"/>
    <w:rsid w:val="00E104C5"/>
    <w:rsid w:val="00E107E9"/>
    <w:rsid w:val="00E10809"/>
    <w:rsid w:val="00E10865"/>
    <w:rsid w:val="00E10882"/>
    <w:rsid w:val="00E10A50"/>
    <w:rsid w:val="00E10A8C"/>
    <w:rsid w:val="00E10ECE"/>
    <w:rsid w:val="00E10F2F"/>
    <w:rsid w:val="00E111D4"/>
    <w:rsid w:val="00E111DD"/>
    <w:rsid w:val="00E1120C"/>
    <w:rsid w:val="00E1132C"/>
    <w:rsid w:val="00E113CA"/>
    <w:rsid w:val="00E113DD"/>
    <w:rsid w:val="00E114C6"/>
    <w:rsid w:val="00E114D2"/>
    <w:rsid w:val="00E11648"/>
    <w:rsid w:val="00E116E1"/>
    <w:rsid w:val="00E116EC"/>
    <w:rsid w:val="00E11A11"/>
    <w:rsid w:val="00E11C17"/>
    <w:rsid w:val="00E11D03"/>
    <w:rsid w:val="00E11D40"/>
    <w:rsid w:val="00E11F25"/>
    <w:rsid w:val="00E11F34"/>
    <w:rsid w:val="00E11FC5"/>
    <w:rsid w:val="00E11FCE"/>
    <w:rsid w:val="00E11FD9"/>
    <w:rsid w:val="00E121E7"/>
    <w:rsid w:val="00E124CF"/>
    <w:rsid w:val="00E12562"/>
    <w:rsid w:val="00E125F9"/>
    <w:rsid w:val="00E128EB"/>
    <w:rsid w:val="00E12B1E"/>
    <w:rsid w:val="00E12C1B"/>
    <w:rsid w:val="00E12C7D"/>
    <w:rsid w:val="00E12CE0"/>
    <w:rsid w:val="00E12E06"/>
    <w:rsid w:val="00E12EA9"/>
    <w:rsid w:val="00E12F32"/>
    <w:rsid w:val="00E12F36"/>
    <w:rsid w:val="00E12F83"/>
    <w:rsid w:val="00E12FCD"/>
    <w:rsid w:val="00E13005"/>
    <w:rsid w:val="00E1307A"/>
    <w:rsid w:val="00E1307D"/>
    <w:rsid w:val="00E13175"/>
    <w:rsid w:val="00E1327F"/>
    <w:rsid w:val="00E132E9"/>
    <w:rsid w:val="00E13388"/>
    <w:rsid w:val="00E135B3"/>
    <w:rsid w:val="00E13730"/>
    <w:rsid w:val="00E137FB"/>
    <w:rsid w:val="00E13AB2"/>
    <w:rsid w:val="00E13BAD"/>
    <w:rsid w:val="00E13BFE"/>
    <w:rsid w:val="00E13CAC"/>
    <w:rsid w:val="00E13D88"/>
    <w:rsid w:val="00E13E74"/>
    <w:rsid w:val="00E140A6"/>
    <w:rsid w:val="00E1420C"/>
    <w:rsid w:val="00E142A4"/>
    <w:rsid w:val="00E1449A"/>
    <w:rsid w:val="00E14551"/>
    <w:rsid w:val="00E1469A"/>
    <w:rsid w:val="00E146F8"/>
    <w:rsid w:val="00E1482E"/>
    <w:rsid w:val="00E1482F"/>
    <w:rsid w:val="00E14888"/>
    <w:rsid w:val="00E14AA2"/>
    <w:rsid w:val="00E14B66"/>
    <w:rsid w:val="00E14C00"/>
    <w:rsid w:val="00E14CD0"/>
    <w:rsid w:val="00E14D33"/>
    <w:rsid w:val="00E14E4E"/>
    <w:rsid w:val="00E155A0"/>
    <w:rsid w:val="00E15678"/>
    <w:rsid w:val="00E15732"/>
    <w:rsid w:val="00E1596A"/>
    <w:rsid w:val="00E15A29"/>
    <w:rsid w:val="00E15B91"/>
    <w:rsid w:val="00E15C31"/>
    <w:rsid w:val="00E15C56"/>
    <w:rsid w:val="00E15E9D"/>
    <w:rsid w:val="00E15EBF"/>
    <w:rsid w:val="00E15EEE"/>
    <w:rsid w:val="00E15FF9"/>
    <w:rsid w:val="00E16161"/>
    <w:rsid w:val="00E1624E"/>
    <w:rsid w:val="00E163AD"/>
    <w:rsid w:val="00E163B9"/>
    <w:rsid w:val="00E16416"/>
    <w:rsid w:val="00E1641E"/>
    <w:rsid w:val="00E1641F"/>
    <w:rsid w:val="00E16451"/>
    <w:rsid w:val="00E16470"/>
    <w:rsid w:val="00E164B5"/>
    <w:rsid w:val="00E1658A"/>
    <w:rsid w:val="00E16592"/>
    <w:rsid w:val="00E16611"/>
    <w:rsid w:val="00E16713"/>
    <w:rsid w:val="00E167B7"/>
    <w:rsid w:val="00E168AD"/>
    <w:rsid w:val="00E16B8B"/>
    <w:rsid w:val="00E16BB2"/>
    <w:rsid w:val="00E16D35"/>
    <w:rsid w:val="00E16EFD"/>
    <w:rsid w:val="00E16F64"/>
    <w:rsid w:val="00E16F79"/>
    <w:rsid w:val="00E170AE"/>
    <w:rsid w:val="00E170B2"/>
    <w:rsid w:val="00E17235"/>
    <w:rsid w:val="00E174D7"/>
    <w:rsid w:val="00E17605"/>
    <w:rsid w:val="00E17916"/>
    <w:rsid w:val="00E17941"/>
    <w:rsid w:val="00E17B0C"/>
    <w:rsid w:val="00E17BDA"/>
    <w:rsid w:val="00E17E16"/>
    <w:rsid w:val="00E17F76"/>
    <w:rsid w:val="00E201EF"/>
    <w:rsid w:val="00E2027A"/>
    <w:rsid w:val="00E202D7"/>
    <w:rsid w:val="00E204B9"/>
    <w:rsid w:val="00E2052B"/>
    <w:rsid w:val="00E20551"/>
    <w:rsid w:val="00E205AE"/>
    <w:rsid w:val="00E2084B"/>
    <w:rsid w:val="00E20AEF"/>
    <w:rsid w:val="00E20B34"/>
    <w:rsid w:val="00E20B9B"/>
    <w:rsid w:val="00E20C49"/>
    <w:rsid w:val="00E20E20"/>
    <w:rsid w:val="00E20EF6"/>
    <w:rsid w:val="00E20FB0"/>
    <w:rsid w:val="00E210E0"/>
    <w:rsid w:val="00E21198"/>
    <w:rsid w:val="00E2125F"/>
    <w:rsid w:val="00E213CE"/>
    <w:rsid w:val="00E2141E"/>
    <w:rsid w:val="00E214AC"/>
    <w:rsid w:val="00E216F7"/>
    <w:rsid w:val="00E21768"/>
    <w:rsid w:val="00E21A99"/>
    <w:rsid w:val="00E21BA0"/>
    <w:rsid w:val="00E21C89"/>
    <w:rsid w:val="00E21D7D"/>
    <w:rsid w:val="00E21DE7"/>
    <w:rsid w:val="00E21F74"/>
    <w:rsid w:val="00E21FD5"/>
    <w:rsid w:val="00E22052"/>
    <w:rsid w:val="00E221CC"/>
    <w:rsid w:val="00E22251"/>
    <w:rsid w:val="00E2257B"/>
    <w:rsid w:val="00E226C4"/>
    <w:rsid w:val="00E22733"/>
    <w:rsid w:val="00E22830"/>
    <w:rsid w:val="00E2283A"/>
    <w:rsid w:val="00E2288F"/>
    <w:rsid w:val="00E2291F"/>
    <w:rsid w:val="00E229DC"/>
    <w:rsid w:val="00E22A4E"/>
    <w:rsid w:val="00E22ADC"/>
    <w:rsid w:val="00E22B78"/>
    <w:rsid w:val="00E22BC5"/>
    <w:rsid w:val="00E22C07"/>
    <w:rsid w:val="00E22C20"/>
    <w:rsid w:val="00E22CE1"/>
    <w:rsid w:val="00E22ED3"/>
    <w:rsid w:val="00E22FBF"/>
    <w:rsid w:val="00E22FCF"/>
    <w:rsid w:val="00E23037"/>
    <w:rsid w:val="00E230BC"/>
    <w:rsid w:val="00E23121"/>
    <w:rsid w:val="00E234EF"/>
    <w:rsid w:val="00E2350C"/>
    <w:rsid w:val="00E2380D"/>
    <w:rsid w:val="00E23A7C"/>
    <w:rsid w:val="00E23AFF"/>
    <w:rsid w:val="00E23B62"/>
    <w:rsid w:val="00E241C4"/>
    <w:rsid w:val="00E2450D"/>
    <w:rsid w:val="00E24889"/>
    <w:rsid w:val="00E24B2A"/>
    <w:rsid w:val="00E24CCF"/>
    <w:rsid w:val="00E24E43"/>
    <w:rsid w:val="00E250B0"/>
    <w:rsid w:val="00E25233"/>
    <w:rsid w:val="00E2535F"/>
    <w:rsid w:val="00E25465"/>
    <w:rsid w:val="00E25487"/>
    <w:rsid w:val="00E254C0"/>
    <w:rsid w:val="00E255AB"/>
    <w:rsid w:val="00E255C8"/>
    <w:rsid w:val="00E2586D"/>
    <w:rsid w:val="00E2588C"/>
    <w:rsid w:val="00E2593D"/>
    <w:rsid w:val="00E25984"/>
    <w:rsid w:val="00E25A23"/>
    <w:rsid w:val="00E25A62"/>
    <w:rsid w:val="00E25AC2"/>
    <w:rsid w:val="00E25C77"/>
    <w:rsid w:val="00E26032"/>
    <w:rsid w:val="00E26531"/>
    <w:rsid w:val="00E2657C"/>
    <w:rsid w:val="00E265A4"/>
    <w:rsid w:val="00E265F2"/>
    <w:rsid w:val="00E26A57"/>
    <w:rsid w:val="00E26A75"/>
    <w:rsid w:val="00E26BCA"/>
    <w:rsid w:val="00E26C4C"/>
    <w:rsid w:val="00E26C9C"/>
    <w:rsid w:val="00E26D06"/>
    <w:rsid w:val="00E26D34"/>
    <w:rsid w:val="00E26D73"/>
    <w:rsid w:val="00E26E1F"/>
    <w:rsid w:val="00E2754E"/>
    <w:rsid w:val="00E27659"/>
    <w:rsid w:val="00E276EE"/>
    <w:rsid w:val="00E2773E"/>
    <w:rsid w:val="00E2790A"/>
    <w:rsid w:val="00E27932"/>
    <w:rsid w:val="00E2795D"/>
    <w:rsid w:val="00E27A2C"/>
    <w:rsid w:val="00E27C41"/>
    <w:rsid w:val="00E27E42"/>
    <w:rsid w:val="00E27E7D"/>
    <w:rsid w:val="00E27F9B"/>
    <w:rsid w:val="00E27FDA"/>
    <w:rsid w:val="00E30063"/>
    <w:rsid w:val="00E301E6"/>
    <w:rsid w:val="00E301F3"/>
    <w:rsid w:val="00E30333"/>
    <w:rsid w:val="00E30348"/>
    <w:rsid w:val="00E30368"/>
    <w:rsid w:val="00E304A6"/>
    <w:rsid w:val="00E306B2"/>
    <w:rsid w:val="00E306C2"/>
    <w:rsid w:val="00E30870"/>
    <w:rsid w:val="00E30873"/>
    <w:rsid w:val="00E30881"/>
    <w:rsid w:val="00E3088A"/>
    <w:rsid w:val="00E30948"/>
    <w:rsid w:val="00E30B2F"/>
    <w:rsid w:val="00E30B8C"/>
    <w:rsid w:val="00E30C83"/>
    <w:rsid w:val="00E30E27"/>
    <w:rsid w:val="00E30E89"/>
    <w:rsid w:val="00E30EA2"/>
    <w:rsid w:val="00E310C6"/>
    <w:rsid w:val="00E311E8"/>
    <w:rsid w:val="00E312E7"/>
    <w:rsid w:val="00E314FB"/>
    <w:rsid w:val="00E31527"/>
    <w:rsid w:val="00E317E9"/>
    <w:rsid w:val="00E3199D"/>
    <w:rsid w:val="00E31B4B"/>
    <w:rsid w:val="00E31B91"/>
    <w:rsid w:val="00E31E0E"/>
    <w:rsid w:val="00E31F91"/>
    <w:rsid w:val="00E32148"/>
    <w:rsid w:val="00E3214C"/>
    <w:rsid w:val="00E32283"/>
    <w:rsid w:val="00E3232F"/>
    <w:rsid w:val="00E3251E"/>
    <w:rsid w:val="00E32799"/>
    <w:rsid w:val="00E32977"/>
    <w:rsid w:val="00E329AF"/>
    <w:rsid w:val="00E329D2"/>
    <w:rsid w:val="00E32AA8"/>
    <w:rsid w:val="00E32AD6"/>
    <w:rsid w:val="00E32D54"/>
    <w:rsid w:val="00E32DB6"/>
    <w:rsid w:val="00E32E7C"/>
    <w:rsid w:val="00E32ED3"/>
    <w:rsid w:val="00E33248"/>
    <w:rsid w:val="00E3339F"/>
    <w:rsid w:val="00E33446"/>
    <w:rsid w:val="00E33470"/>
    <w:rsid w:val="00E334EA"/>
    <w:rsid w:val="00E3373C"/>
    <w:rsid w:val="00E33C4B"/>
    <w:rsid w:val="00E33CCA"/>
    <w:rsid w:val="00E33D9A"/>
    <w:rsid w:val="00E340C6"/>
    <w:rsid w:val="00E3411E"/>
    <w:rsid w:val="00E342EE"/>
    <w:rsid w:val="00E34416"/>
    <w:rsid w:val="00E34497"/>
    <w:rsid w:val="00E3451A"/>
    <w:rsid w:val="00E346CD"/>
    <w:rsid w:val="00E3489F"/>
    <w:rsid w:val="00E3490B"/>
    <w:rsid w:val="00E34B62"/>
    <w:rsid w:val="00E34C6B"/>
    <w:rsid w:val="00E34EFD"/>
    <w:rsid w:val="00E3506B"/>
    <w:rsid w:val="00E3507B"/>
    <w:rsid w:val="00E35114"/>
    <w:rsid w:val="00E35290"/>
    <w:rsid w:val="00E35327"/>
    <w:rsid w:val="00E3533E"/>
    <w:rsid w:val="00E3537D"/>
    <w:rsid w:val="00E353A8"/>
    <w:rsid w:val="00E353BD"/>
    <w:rsid w:val="00E35489"/>
    <w:rsid w:val="00E3567A"/>
    <w:rsid w:val="00E356E5"/>
    <w:rsid w:val="00E359D0"/>
    <w:rsid w:val="00E35A6B"/>
    <w:rsid w:val="00E35AB7"/>
    <w:rsid w:val="00E35B21"/>
    <w:rsid w:val="00E35C75"/>
    <w:rsid w:val="00E35CA1"/>
    <w:rsid w:val="00E360F1"/>
    <w:rsid w:val="00E36155"/>
    <w:rsid w:val="00E3639A"/>
    <w:rsid w:val="00E368E5"/>
    <w:rsid w:val="00E36AFE"/>
    <w:rsid w:val="00E36B0F"/>
    <w:rsid w:val="00E36CCF"/>
    <w:rsid w:val="00E36D6F"/>
    <w:rsid w:val="00E36F9E"/>
    <w:rsid w:val="00E36FE3"/>
    <w:rsid w:val="00E3726B"/>
    <w:rsid w:val="00E373F3"/>
    <w:rsid w:val="00E376FA"/>
    <w:rsid w:val="00E3776E"/>
    <w:rsid w:val="00E377C4"/>
    <w:rsid w:val="00E3790A"/>
    <w:rsid w:val="00E37938"/>
    <w:rsid w:val="00E37A91"/>
    <w:rsid w:val="00E37B21"/>
    <w:rsid w:val="00E37BE8"/>
    <w:rsid w:val="00E37F8B"/>
    <w:rsid w:val="00E37FDC"/>
    <w:rsid w:val="00E400E6"/>
    <w:rsid w:val="00E401FA"/>
    <w:rsid w:val="00E4026A"/>
    <w:rsid w:val="00E403C3"/>
    <w:rsid w:val="00E40467"/>
    <w:rsid w:val="00E405D4"/>
    <w:rsid w:val="00E406D8"/>
    <w:rsid w:val="00E407E7"/>
    <w:rsid w:val="00E4088F"/>
    <w:rsid w:val="00E4089B"/>
    <w:rsid w:val="00E408CC"/>
    <w:rsid w:val="00E4091C"/>
    <w:rsid w:val="00E40A71"/>
    <w:rsid w:val="00E40A82"/>
    <w:rsid w:val="00E40B4C"/>
    <w:rsid w:val="00E40C5D"/>
    <w:rsid w:val="00E40D1D"/>
    <w:rsid w:val="00E40E91"/>
    <w:rsid w:val="00E40F63"/>
    <w:rsid w:val="00E411FA"/>
    <w:rsid w:val="00E413FB"/>
    <w:rsid w:val="00E414F1"/>
    <w:rsid w:val="00E415C5"/>
    <w:rsid w:val="00E4170E"/>
    <w:rsid w:val="00E417D6"/>
    <w:rsid w:val="00E41A2B"/>
    <w:rsid w:val="00E41A40"/>
    <w:rsid w:val="00E41B3C"/>
    <w:rsid w:val="00E41CD1"/>
    <w:rsid w:val="00E41D7D"/>
    <w:rsid w:val="00E41E21"/>
    <w:rsid w:val="00E41F6B"/>
    <w:rsid w:val="00E421A5"/>
    <w:rsid w:val="00E421FE"/>
    <w:rsid w:val="00E42213"/>
    <w:rsid w:val="00E42391"/>
    <w:rsid w:val="00E42421"/>
    <w:rsid w:val="00E4248F"/>
    <w:rsid w:val="00E42851"/>
    <w:rsid w:val="00E42B87"/>
    <w:rsid w:val="00E42BA8"/>
    <w:rsid w:val="00E42DE8"/>
    <w:rsid w:val="00E42EA9"/>
    <w:rsid w:val="00E42F82"/>
    <w:rsid w:val="00E43282"/>
    <w:rsid w:val="00E4341E"/>
    <w:rsid w:val="00E435DE"/>
    <w:rsid w:val="00E436DC"/>
    <w:rsid w:val="00E437A8"/>
    <w:rsid w:val="00E437E5"/>
    <w:rsid w:val="00E437ED"/>
    <w:rsid w:val="00E4397E"/>
    <w:rsid w:val="00E439F9"/>
    <w:rsid w:val="00E43A66"/>
    <w:rsid w:val="00E43A67"/>
    <w:rsid w:val="00E43B4B"/>
    <w:rsid w:val="00E43BF9"/>
    <w:rsid w:val="00E43F57"/>
    <w:rsid w:val="00E44318"/>
    <w:rsid w:val="00E446E0"/>
    <w:rsid w:val="00E4473D"/>
    <w:rsid w:val="00E447AF"/>
    <w:rsid w:val="00E4487F"/>
    <w:rsid w:val="00E44915"/>
    <w:rsid w:val="00E44965"/>
    <w:rsid w:val="00E449FE"/>
    <w:rsid w:val="00E44A68"/>
    <w:rsid w:val="00E44B99"/>
    <w:rsid w:val="00E44BE8"/>
    <w:rsid w:val="00E44C6F"/>
    <w:rsid w:val="00E44DB0"/>
    <w:rsid w:val="00E44DC8"/>
    <w:rsid w:val="00E44DEA"/>
    <w:rsid w:val="00E44F53"/>
    <w:rsid w:val="00E44FEF"/>
    <w:rsid w:val="00E45103"/>
    <w:rsid w:val="00E45169"/>
    <w:rsid w:val="00E451AE"/>
    <w:rsid w:val="00E45332"/>
    <w:rsid w:val="00E45566"/>
    <w:rsid w:val="00E45577"/>
    <w:rsid w:val="00E4558E"/>
    <w:rsid w:val="00E455D8"/>
    <w:rsid w:val="00E4592E"/>
    <w:rsid w:val="00E459A7"/>
    <w:rsid w:val="00E45ABC"/>
    <w:rsid w:val="00E45C75"/>
    <w:rsid w:val="00E45C7F"/>
    <w:rsid w:val="00E45D18"/>
    <w:rsid w:val="00E45E38"/>
    <w:rsid w:val="00E45E82"/>
    <w:rsid w:val="00E45F3E"/>
    <w:rsid w:val="00E45F4E"/>
    <w:rsid w:val="00E45FEE"/>
    <w:rsid w:val="00E45FF9"/>
    <w:rsid w:val="00E4600B"/>
    <w:rsid w:val="00E461B7"/>
    <w:rsid w:val="00E46304"/>
    <w:rsid w:val="00E463CF"/>
    <w:rsid w:val="00E463F7"/>
    <w:rsid w:val="00E464E6"/>
    <w:rsid w:val="00E467D8"/>
    <w:rsid w:val="00E468E0"/>
    <w:rsid w:val="00E4695F"/>
    <w:rsid w:val="00E46975"/>
    <w:rsid w:val="00E46A47"/>
    <w:rsid w:val="00E46A88"/>
    <w:rsid w:val="00E46CB7"/>
    <w:rsid w:val="00E46D47"/>
    <w:rsid w:val="00E46EE4"/>
    <w:rsid w:val="00E47015"/>
    <w:rsid w:val="00E47056"/>
    <w:rsid w:val="00E4724B"/>
    <w:rsid w:val="00E4738B"/>
    <w:rsid w:val="00E47405"/>
    <w:rsid w:val="00E47619"/>
    <w:rsid w:val="00E47622"/>
    <w:rsid w:val="00E477D8"/>
    <w:rsid w:val="00E477E6"/>
    <w:rsid w:val="00E4797F"/>
    <w:rsid w:val="00E47CB1"/>
    <w:rsid w:val="00E47F89"/>
    <w:rsid w:val="00E500A6"/>
    <w:rsid w:val="00E500A7"/>
    <w:rsid w:val="00E500FF"/>
    <w:rsid w:val="00E5011E"/>
    <w:rsid w:val="00E50335"/>
    <w:rsid w:val="00E5083A"/>
    <w:rsid w:val="00E508E2"/>
    <w:rsid w:val="00E5095A"/>
    <w:rsid w:val="00E509F3"/>
    <w:rsid w:val="00E50A9B"/>
    <w:rsid w:val="00E50B3A"/>
    <w:rsid w:val="00E50D9B"/>
    <w:rsid w:val="00E50E25"/>
    <w:rsid w:val="00E50E4F"/>
    <w:rsid w:val="00E50FA9"/>
    <w:rsid w:val="00E51253"/>
    <w:rsid w:val="00E5127C"/>
    <w:rsid w:val="00E513E5"/>
    <w:rsid w:val="00E5141A"/>
    <w:rsid w:val="00E514E8"/>
    <w:rsid w:val="00E5152F"/>
    <w:rsid w:val="00E51647"/>
    <w:rsid w:val="00E5165F"/>
    <w:rsid w:val="00E51704"/>
    <w:rsid w:val="00E51785"/>
    <w:rsid w:val="00E517D2"/>
    <w:rsid w:val="00E5182F"/>
    <w:rsid w:val="00E5184A"/>
    <w:rsid w:val="00E519BC"/>
    <w:rsid w:val="00E51AD6"/>
    <w:rsid w:val="00E51C04"/>
    <w:rsid w:val="00E51C50"/>
    <w:rsid w:val="00E51D18"/>
    <w:rsid w:val="00E51D90"/>
    <w:rsid w:val="00E51E89"/>
    <w:rsid w:val="00E51E91"/>
    <w:rsid w:val="00E51EAC"/>
    <w:rsid w:val="00E51EE0"/>
    <w:rsid w:val="00E52071"/>
    <w:rsid w:val="00E523D3"/>
    <w:rsid w:val="00E523EC"/>
    <w:rsid w:val="00E5251F"/>
    <w:rsid w:val="00E52593"/>
    <w:rsid w:val="00E5272E"/>
    <w:rsid w:val="00E5280E"/>
    <w:rsid w:val="00E52878"/>
    <w:rsid w:val="00E52940"/>
    <w:rsid w:val="00E5296F"/>
    <w:rsid w:val="00E52C8B"/>
    <w:rsid w:val="00E52CE4"/>
    <w:rsid w:val="00E52D7F"/>
    <w:rsid w:val="00E52E11"/>
    <w:rsid w:val="00E52E2C"/>
    <w:rsid w:val="00E52F6E"/>
    <w:rsid w:val="00E53013"/>
    <w:rsid w:val="00E5309D"/>
    <w:rsid w:val="00E530B5"/>
    <w:rsid w:val="00E532ED"/>
    <w:rsid w:val="00E5330F"/>
    <w:rsid w:val="00E533CD"/>
    <w:rsid w:val="00E5348F"/>
    <w:rsid w:val="00E53688"/>
    <w:rsid w:val="00E5371C"/>
    <w:rsid w:val="00E53786"/>
    <w:rsid w:val="00E5381A"/>
    <w:rsid w:val="00E53875"/>
    <w:rsid w:val="00E53AA8"/>
    <w:rsid w:val="00E53FB1"/>
    <w:rsid w:val="00E540D5"/>
    <w:rsid w:val="00E540E0"/>
    <w:rsid w:val="00E54153"/>
    <w:rsid w:val="00E54348"/>
    <w:rsid w:val="00E543E5"/>
    <w:rsid w:val="00E545B6"/>
    <w:rsid w:val="00E546F0"/>
    <w:rsid w:val="00E5476B"/>
    <w:rsid w:val="00E54A31"/>
    <w:rsid w:val="00E54CDB"/>
    <w:rsid w:val="00E54E1B"/>
    <w:rsid w:val="00E54F10"/>
    <w:rsid w:val="00E54F15"/>
    <w:rsid w:val="00E54FB6"/>
    <w:rsid w:val="00E552ED"/>
    <w:rsid w:val="00E555EF"/>
    <w:rsid w:val="00E5560E"/>
    <w:rsid w:val="00E55636"/>
    <w:rsid w:val="00E556BB"/>
    <w:rsid w:val="00E556C9"/>
    <w:rsid w:val="00E556DC"/>
    <w:rsid w:val="00E55746"/>
    <w:rsid w:val="00E557E9"/>
    <w:rsid w:val="00E5593E"/>
    <w:rsid w:val="00E55B1C"/>
    <w:rsid w:val="00E55B1E"/>
    <w:rsid w:val="00E55C70"/>
    <w:rsid w:val="00E55CFD"/>
    <w:rsid w:val="00E55D07"/>
    <w:rsid w:val="00E55D4D"/>
    <w:rsid w:val="00E55E36"/>
    <w:rsid w:val="00E55F3D"/>
    <w:rsid w:val="00E560B7"/>
    <w:rsid w:val="00E56205"/>
    <w:rsid w:val="00E562A0"/>
    <w:rsid w:val="00E562F1"/>
    <w:rsid w:val="00E56441"/>
    <w:rsid w:val="00E56616"/>
    <w:rsid w:val="00E56653"/>
    <w:rsid w:val="00E56967"/>
    <w:rsid w:val="00E5698D"/>
    <w:rsid w:val="00E569AA"/>
    <w:rsid w:val="00E56A44"/>
    <w:rsid w:val="00E56B1A"/>
    <w:rsid w:val="00E56B5E"/>
    <w:rsid w:val="00E56C35"/>
    <w:rsid w:val="00E56CF8"/>
    <w:rsid w:val="00E56D5E"/>
    <w:rsid w:val="00E56E34"/>
    <w:rsid w:val="00E56EED"/>
    <w:rsid w:val="00E56FC9"/>
    <w:rsid w:val="00E5713F"/>
    <w:rsid w:val="00E57273"/>
    <w:rsid w:val="00E5746F"/>
    <w:rsid w:val="00E574E0"/>
    <w:rsid w:val="00E57910"/>
    <w:rsid w:val="00E5797E"/>
    <w:rsid w:val="00E579C0"/>
    <w:rsid w:val="00E57A8A"/>
    <w:rsid w:val="00E57A98"/>
    <w:rsid w:val="00E57AAB"/>
    <w:rsid w:val="00E57D26"/>
    <w:rsid w:val="00E57E15"/>
    <w:rsid w:val="00E57ECC"/>
    <w:rsid w:val="00E57EE7"/>
    <w:rsid w:val="00E57F2F"/>
    <w:rsid w:val="00E57FF3"/>
    <w:rsid w:val="00E60086"/>
    <w:rsid w:val="00E60139"/>
    <w:rsid w:val="00E60315"/>
    <w:rsid w:val="00E603E9"/>
    <w:rsid w:val="00E6042D"/>
    <w:rsid w:val="00E60522"/>
    <w:rsid w:val="00E60709"/>
    <w:rsid w:val="00E607D5"/>
    <w:rsid w:val="00E607D8"/>
    <w:rsid w:val="00E60884"/>
    <w:rsid w:val="00E609A8"/>
    <w:rsid w:val="00E60AB2"/>
    <w:rsid w:val="00E60B4C"/>
    <w:rsid w:val="00E611B1"/>
    <w:rsid w:val="00E611C5"/>
    <w:rsid w:val="00E6138A"/>
    <w:rsid w:val="00E61481"/>
    <w:rsid w:val="00E61488"/>
    <w:rsid w:val="00E61551"/>
    <w:rsid w:val="00E61583"/>
    <w:rsid w:val="00E615E3"/>
    <w:rsid w:val="00E6168E"/>
    <w:rsid w:val="00E61850"/>
    <w:rsid w:val="00E61A4B"/>
    <w:rsid w:val="00E61ACA"/>
    <w:rsid w:val="00E61D7D"/>
    <w:rsid w:val="00E61E8C"/>
    <w:rsid w:val="00E6220D"/>
    <w:rsid w:val="00E622B2"/>
    <w:rsid w:val="00E62424"/>
    <w:rsid w:val="00E6243C"/>
    <w:rsid w:val="00E624E9"/>
    <w:rsid w:val="00E62645"/>
    <w:rsid w:val="00E62690"/>
    <w:rsid w:val="00E6269F"/>
    <w:rsid w:val="00E62825"/>
    <w:rsid w:val="00E62C05"/>
    <w:rsid w:val="00E62D18"/>
    <w:rsid w:val="00E62E96"/>
    <w:rsid w:val="00E62FA4"/>
    <w:rsid w:val="00E630D6"/>
    <w:rsid w:val="00E63383"/>
    <w:rsid w:val="00E6347C"/>
    <w:rsid w:val="00E634AC"/>
    <w:rsid w:val="00E634D4"/>
    <w:rsid w:val="00E635A0"/>
    <w:rsid w:val="00E63647"/>
    <w:rsid w:val="00E6367C"/>
    <w:rsid w:val="00E6378A"/>
    <w:rsid w:val="00E637F4"/>
    <w:rsid w:val="00E63A1D"/>
    <w:rsid w:val="00E63C2B"/>
    <w:rsid w:val="00E63CFE"/>
    <w:rsid w:val="00E63D5A"/>
    <w:rsid w:val="00E63EC3"/>
    <w:rsid w:val="00E642E4"/>
    <w:rsid w:val="00E64423"/>
    <w:rsid w:val="00E6443E"/>
    <w:rsid w:val="00E644DB"/>
    <w:rsid w:val="00E644F8"/>
    <w:rsid w:val="00E64876"/>
    <w:rsid w:val="00E64AEE"/>
    <w:rsid w:val="00E64D71"/>
    <w:rsid w:val="00E64E06"/>
    <w:rsid w:val="00E64E95"/>
    <w:rsid w:val="00E64FCB"/>
    <w:rsid w:val="00E65003"/>
    <w:rsid w:val="00E6508D"/>
    <w:rsid w:val="00E6519B"/>
    <w:rsid w:val="00E6536A"/>
    <w:rsid w:val="00E6537D"/>
    <w:rsid w:val="00E65714"/>
    <w:rsid w:val="00E65861"/>
    <w:rsid w:val="00E65B97"/>
    <w:rsid w:val="00E65BF7"/>
    <w:rsid w:val="00E65CEB"/>
    <w:rsid w:val="00E65F9E"/>
    <w:rsid w:val="00E66067"/>
    <w:rsid w:val="00E6610C"/>
    <w:rsid w:val="00E66408"/>
    <w:rsid w:val="00E6640B"/>
    <w:rsid w:val="00E664A9"/>
    <w:rsid w:val="00E665CC"/>
    <w:rsid w:val="00E667FE"/>
    <w:rsid w:val="00E669CB"/>
    <w:rsid w:val="00E66AAC"/>
    <w:rsid w:val="00E66C49"/>
    <w:rsid w:val="00E66D65"/>
    <w:rsid w:val="00E67045"/>
    <w:rsid w:val="00E670A5"/>
    <w:rsid w:val="00E6724C"/>
    <w:rsid w:val="00E67262"/>
    <w:rsid w:val="00E67381"/>
    <w:rsid w:val="00E673ED"/>
    <w:rsid w:val="00E6765E"/>
    <w:rsid w:val="00E67707"/>
    <w:rsid w:val="00E678A6"/>
    <w:rsid w:val="00E67C75"/>
    <w:rsid w:val="00E67CB0"/>
    <w:rsid w:val="00E67F27"/>
    <w:rsid w:val="00E67FA1"/>
    <w:rsid w:val="00E701EE"/>
    <w:rsid w:val="00E70255"/>
    <w:rsid w:val="00E70310"/>
    <w:rsid w:val="00E70337"/>
    <w:rsid w:val="00E7046B"/>
    <w:rsid w:val="00E7046E"/>
    <w:rsid w:val="00E70741"/>
    <w:rsid w:val="00E7075B"/>
    <w:rsid w:val="00E70817"/>
    <w:rsid w:val="00E70CD3"/>
    <w:rsid w:val="00E70E00"/>
    <w:rsid w:val="00E70E90"/>
    <w:rsid w:val="00E70F87"/>
    <w:rsid w:val="00E70F9C"/>
    <w:rsid w:val="00E710C4"/>
    <w:rsid w:val="00E7115C"/>
    <w:rsid w:val="00E7151A"/>
    <w:rsid w:val="00E715F5"/>
    <w:rsid w:val="00E71876"/>
    <w:rsid w:val="00E719CE"/>
    <w:rsid w:val="00E71C80"/>
    <w:rsid w:val="00E71CA2"/>
    <w:rsid w:val="00E71E82"/>
    <w:rsid w:val="00E7206B"/>
    <w:rsid w:val="00E72137"/>
    <w:rsid w:val="00E72195"/>
    <w:rsid w:val="00E72263"/>
    <w:rsid w:val="00E72302"/>
    <w:rsid w:val="00E7235D"/>
    <w:rsid w:val="00E72446"/>
    <w:rsid w:val="00E72507"/>
    <w:rsid w:val="00E7262F"/>
    <w:rsid w:val="00E72751"/>
    <w:rsid w:val="00E72761"/>
    <w:rsid w:val="00E727FE"/>
    <w:rsid w:val="00E72A09"/>
    <w:rsid w:val="00E72B81"/>
    <w:rsid w:val="00E72EF4"/>
    <w:rsid w:val="00E7328A"/>
    <w:rsid w:val="00E732A2"/>
    <w:rsid w:val="00E73586"/>
    <w:rsid w:val="00E735DA"/>
    <w:rsid w:val="00E735ED"/>
    <w:rsid w:val="00E738F8"/>
    <w:rsid w:val="00E73A28"/>
    <w:rsid w:val="00E73BCA"/>
    <w:rsid w:val="00E73D23"/>
    <w:rsid w:val="00E73DA6"/>
    <w:rsid w:val="00E73DD3"/>
    <w:rsid w:val="00E73DDE"/>
    <w:rsid w:val="00E73E20"/>
    <w:rsid w:val="00E74048"/>
    <w:rsid w:val="00E741C0"/>
    <w:rsid w:val="00E744EE"/>
    <w:rsid w:val="00E746FC"/>
    <w:rsid w:val="00E74799"/>
    <w:rsid w:val="00E748D1"/>
    <w:rsid w:val="00E74A5E"/>
    <w:rsid w:val="00E74B1D"/>
    <w:rsid w:val="00E74C96"/>
    <w:rsid w:val="00E74DD2"/>
    <w:rsid w:val="00E74EFF"/>
    <w:rsid w:val="00E7505A"/>
    <w:rsid w:val="00E750BB"/>
    <w:rsid w:val="00E75192"/>
    <w:rsid w:val="00E75666"/>
    <w:rsid w:val="00E75804"/>
    <w:rsid w:val="00E75811"/>
    <w:rsid w:val="00E7593D"/>
    <w:rsid w:val="00E759BB"/>
    <w:rsid w:val="00E759DC"/>
    <w:rsid w:val="00E75AAD"/>
    <w:rsid w:val="00E75ADB"/>
    <w:rsid w:val="00E75B2A"/>
    <w:rsid w:val="00E75CE5"/>
    <w:rsid w:val="00E75FB0"/>
    <w:rsid w:val="00E76289"/>
    <w:rsid w:val="00E7629A"/>
    <w:rsid w:val="00E76460"/>
    <w:rsid w:val="00E7652F"/>
    <w:rsid w:val="00E765E0"/>
    <w:rsid w:val="00E767AD"/>
    <w:rsid w:val="00E7684A"/>
    <w:rsid w:val="00E7687A"/>
    <w:rsid w:val="00E768B6"/>
    <w:rsid w:val="00E7691C"/>
    <w:rsid w:val="00E76B9E"/>
    <w:rsid w:val="00E76BC6"/>
    <w:rsid w:val="00E76D82"/>
    <w:rsid w:val="00E76DB3"/>
    <w:rsid w:val="00E77134"/>
    <w:rsid w:val="00E771C0"/>
    <w:rsid w:val="00E77459"/>
    <w:rsid w:val="00E775FB"/>
    <w:rsid w:val="00E7766B"/>
    <w:rsid w:val="00E77772"/>
    <w:rsid w:val="00E7777E"/>
    <w:rsid w:val="00E77E0D"/>
    <w:rsid w:val="00E77F0A"/>
    <w:rsid w:val="00E80012"/>
    <w:rsid w:val="00E800C1"/>
    <w:rsid w:val="00E80191"/>
    <w:rsid w:val="00E80307"/>
    <w:rsid w:val="00E8041A"/>
    <w:rsid w:val="00E80428"/>
    <w:rsid w:val="00E80654"/>
    <w:rsid w:val="00E80689"/>
    <w:rsid w:val="00E80B80"/>
    <w:rsid w:val="00E80BD9"/>
    <w:rsid w:val="00E80BEA"/>
    <w:rsid w:val="00E80CDA"/>
    <w:rsid w:val="00E80EC2"/>
    <w:rsid w:val="00E8106A"/>
    <w:rsid w:val="00E8128C"/>
    <w:rsid w:val="00E813E8"/>
    <w:rsid w:val="00E816FA"/>
    <w:rsid w:val="00E81990"/>
    <w:rsid w:val="00E81A6B"/>
    <w:rsid w:val="00E81B18"/>
    <w:rsid w:val="00E81C21"/>
    <w:rsid w:val="00E81C4E"/>
    <w:rsid w:val="00E81D04"/>
    <w:rsid w:val="00E81E2A"/>
    <w:rsid w:val="00E81FF1"/>
    <w:rsid w:val="00E82048"/>
    <w:rsid w:val="00E820B7"/>
    <w:rsid w:val="00E821B0"/>
    <w:rsid w:val="00E82231"/>
    <w:rsid w:val="00E8243A"/>
    <w:rsid w:val="00E8253B"/>
    <w:rsid w:val="00E82691"/>
    <w:rsid w:val="00E826DB"/>
    <w:rsid w:val="00E827BF"/>
    <w:rsid w:val="00E82909"/>
    <w:rsid w:val="00E829A8"/>
    <w:rsid w:val="00E82A49"/>
    <w:rsid w:val="00E82BC4"/>
    <w:rsid w:val="00E82BDD"/>
    <w:rsid w:val="00E82C51"/>
    <w:rsid w:val="00E82C84"/>
    <w:rsid w:val="00E82EA5"/>
    <w:rsid w:val="00E8306C"/>
    <w:rsid w:val="00E830A0"/>
    <w:rsid w:val="00E831A5"/>
    <w:rsid w:val="00E832F3"/>
    <w:rsid w:val="00E835E0"/>
    <w:rsid w:val="00E83616"/>
    <w:rsid w:val="00E83653"/>
    <w:rsid w:val="00E836A8"/>
    <w:rsid w:val="00E836D9"/>
    <w:rsid w:val="00E837C4"/>
    <w:rsid w:val="00E837CD"/>
    <w:rsid w:val="00E83907"/>
    <w:rsid w:val="00E83C97"/>
    <w:rsid w:val="00E83CC7"/>
    <w:rsid w:val="00E83D23"/>
    <w:rsid w:val="00E83EA2"/>
    <w:rsid w:val="00E83EC7"/>
    <w:rsid w:val="00E83F7F"/>
    <w:rsid w:val="00E8413E"/>
    <w:rsid w:val="00E841FA"/>
    <w:rsid w:val="00E843F8"/>
    <w:rsid w:val="00E846EF"/>
    <w:rsid w:val="00E84A29"/>
    <w:rsid w:val="00E84AB5"/>
    <w:rsid w:val="00E84AFA"/>
    <w:rsid w:val="00E84C98"/>
    <w:rsid w:val="00E84DD7"/>
    <w:rsid w:val="00E84EA4"/>
    <w:rsid w:val="00E84FAA"/>
    <w:rsid w:val="00E8503C"/>
    <w:rsid w:val="00E85061"/>
    <w:rsid w:val="00E851AB"/>
    <w:rsid w:val="00E85379"/>
    <w:rsid w:val="00E8578E"/>
    <w:rsid w:val="00E8582D"/>
    <w:rsid w:val="00E858A8"/>
    <w:rsid w:val="00E85A82"/>
    <w:rsid w:val="00E85A8E"/>
    <w:rsid w:val="00E85B18"/>
    <w:rsid w:val="00E85B7D"/>
    <w:rsid w:val="00E85BBF"/>
    <w:rsid w:val="00E85E25"/>
    <w:rsid w:val="00E8603A"/>
    <w:rsid w:val="00E86099"/>
    <w:rsid w:val="00E86107"/>
    <w:rsid w:val="00E86134"/>
    <w:rsid w:val="00E8648C"/>
    <w:rsid w:val="00E864F1"/>
    <w:rsid w:val="00E8652E"/>
    <w:rsid w:val="00E867BB"/>
    <w:rsid w:val="00E86B67"/>
    <w:rsid w:val="00E86B86"/>
    <w:rsid w:val="00E86D52"/>
    <w:rsid w:val="00E86DD5"/>
    <w:rsid w:val="00E86DFD"/>
    <w:rsid w:val="00E86F67"/>
    <w:rsid w:val="00E8705C"/>
    <w:rsid w:val="00E87188"/>
    <w:rsid w:val="00E871C1"/>
    <w:rsid w:val="00E87310"/>
    <w:rsid w:val="00E8732B"/>
    <w:rsid w:val="00E873E0"/>
    <w:rsid w:val="00E8751A"/>
    <w:rsid w:val="00E8779C"/>
    <w:rsid w:val="00E878E7"/>
    <w:rsid w:val="00E87D67"/>
    <w:rsid w:val="00E900A2"/>
    <w:rsid w:val="00E9017D"/>
    <w:rsid w:val="00E901E4"/>
    <w:rsid w:val="00E90420"/>
    <w:rsid w:val="00E9045B"/>
    <w:rsid w:val="00E9053B"/>
    <w:rsid w:val="00E905ED"/>
    <w:rsid w:val="00E9062B"/>
    <w:rsid w:val="00E90742"/>
    <w:rsid w:val="00E907F4"/>
    <w:rsid w:val="00E909DF"/>
    <w:rsid w:val="00E90A3F"/>
    <w:rsid w:val="00E90AEE"/>
    <w:rsid w:val="00E90D28"/>
    <w:rsid w:val="00E90E5B"/>
    <w:rsid w:val="00E90E7E"/>
    <w:rsid w:val="00E90EEC"/>
    <w:rsid w:val="00E9101C"/>
    <w:rsid w:val="00E91099"/>
    <w:rsid w:val="00E91102"/>
    <w:rsid w:val="00E91238"/>
    <w:rsid w:val="00E91604"/>
    <w:rsid w:val="00E91779"/>
    <w:rsid w:val="00E91A26"/>
    <w:rsid w:val="00E91AAA"/>
    <w:rsid w:val="00E91B56"/>
    <w:rsid w:val="00E91C1E"/>
    <w:rsid w:val="00E91C49"/>
    <w:rsid w:val="00E91CF6"/>
    <w:rsid w:val="00E91D73"/>
    <w:rsid w:val="00E91F45"/>
    <w:rsid w:val="00E92172"/>
    <w:rsid w:val="00E92208"/>
    <w:rsid w:val="00E92256"/>
    <w:rsid w:val="00E92364"/>
    <w:rsid w:val="00E924EE"/>
    <w:rsid w:val="00E924FA"/>
    <w:rsid w:val="00E92571"/>
    <w:rsid w:val="00E9268B"/>
    <w:rsid w:val="00E926F5"/>
    <w:rsid w:val="00E92812"/>
    <w:rsid w:val="00E92A77"/>
    <w:rsid w:val="00E92CA3"/>
    <w:rsid w:val="00E92E88"/>
    <w:rsid w:val="00E92EDD"/>
    <w:rsid w:val="00E92EEA"/>
    <w:rsid w:val="00E92F23"/>
    <w:rsid w:val="00E93075"/>
    <w:rsid w:val="00E931CD"/>
    <w:rsid w:val="00E9331A"/>
    <w:rsid w:val="00E93562"/>
    <w:rsid w:val="00E93594"/>
    <w:rsid w:val="00E936B0"/>
    <w:rsid w:val="00E9378F"/>
    <w:rsid w:val="00E93A24"/>
    <w:rsid w:val="00E93BB9"/>
    <w:rsid w:val="00E93BCF"/>
    <w:rsid w:val="00E94257"/>
    <w:rsid w:val="00E943A2"/>
    <w:rsid w:val="00E943AB"/>
    <w:rsid w:val="00E9462A"/>
    <w:rsid w:val="00E9489D"/>
    <w:rsid w:val="00E949BF"/>
    <w:rsid w:val="00E94AFA"/>
    <w:rsid w:val="00E94C58"/>
    <w:rsid w:val="00E94C90"/>
    <w:rsid w:val="00E94E07"/>
    <w:rsid w:val="00E94E36"/>
    <w:rsid w:val="00E94FFC"/>
    <w:rsid w:val="00E95015"/>
    <w:rsid w:val="00E95075"/>
    <w:rsid w:val="00E950B1"/>
    <w:rsid w:val="00E950FA"/>
    <w:rsid w:val="00E95252"/>
    <w:rsid w:val="00E95433"/>
    <w:rsid w:val="00E9583C"/>
    <w:rsid w:val="00E95E28"/>
    <w:rsid w:val="00E95E39"/>
    <w:rsid w:val="00E95EF5"/>
    <w:rsid w:val="00E95F2C"/>
    <w:rsid w:val="00E95F91"/>
    <w:rsid w:val="00E9600D"/>
    <w:rsid w:val="00E96094"/>
    <w:rsid w:val="00E9613C"/>
    <w:rsid w:val="00E961D4"/>
    <w:rsid w:val="00E9632D"/>
    <w:rsid w:val="00E963B3"/>
    <w:rsid w:val="00E963BD"/>
    <w:rsid w:val="00E9654D"/>
    <w:rsid w:val="00E9672C"/>
    <w:rsid w:val="00E9679F"/>
    <w:rsid w:val="00E96805"/>
    <w:rsid w:val="00E969D8"/>
    <w:rsid w:val="00E96DBB"/>
    <w:rsid w:val="00E9714A"/>
    <w:rsid w:val="00E9726E"/>
    <w:rsid w:val="00E9729B"/>
    <w:rsid w:val="00E97300"/>
    <w:rsid w:val="00E9731A"/>
    <w:rsid w:val="00E975D7"/>
    <w:rsid w:val="00E978D9"/>
    <w:rsid w:val="00E97A6D"/>
    <w:rsid w:val="00E97C7D"/>
    <w:rsid w:val="00E97D47"/>
    <w:rsid w:val="00E97EC5"/>
    <w:rsid w:val="00E97EE0"/>
    <w:rsid w:val="00E97F7E"/>
    <w:rsid w:val="00EA006F"/>
    <w:rsid w:val="00EA018C"/>
    <w:rsid w:val="00EA01B6"/>
    <w:rsid w:val="00EA0258"/>
    <w:rsid w:val="00EA03FB"/>
    <w:rsid w:val="00EA0438"/>
    <w:rsid w:val="00EA0565"/>
    <w:rsid w:val="00EA068A"/>
    <w:rsid w:val="00EA076E"/>
    <w:rsid w:val="00EA09EB"/>
    <w:rsid w:val="00EA0A52"/>
    <w:rsid w:val="00EA0AB8"/>
    <w:rsid w:val="00EA0BE4"/>
    <w:rsid w:val="00EA0C48"/>
    <w:rsid w:val="00EA0CA7"/>
    <w:rsid w:val="00EA0DE5"/>
    <w:rsid w:val="00EA0EEF"/>
    <w:rsid w:val="00EA1244"/>
    <w:rsid w:val="00EA1277"/>
    <w:rsid w:val="00EA127C"/>
    <w:rsid w:val="00EA1559"/>
    <w:rsid w:val="00EA15BB"/>
    <w:rsid w:val="00EA172C"/>
    <w:rsid w:val="00EA1929"/>
    <w:rsid w:val="00EA1C2F"/>
    <w:rsid w:val="00EA1FA9"/>
    <w:rsid w:val="00EA2091"/>
    <w:rsid w:val="00EA2223"/>
    <w:rsid w:val="00EA23F8"/>
    <w:rsid w:val="00EA2410"/>
    <w:rsid w:val="00EA24EE"/>
    <w:rsid w:val="00EA25D6"/>
    <w:rsid w:val="00EA2690"/>
    <w:rsid w:val="00EA284F"/>
    <w:rsid w:val="00EA28BC"/>
    <w:rsid w:val="00EA291B"/>
    <w:rsid w:val="00EA2B67"/>
    <w:rsid w:val="00EA2BB7"/>
    <w:rsid w:val="00EA2CCC"/>
    <w:rsid w:val="00EA2E5C"/>
    <w:rsid w:val="00EA2F17"/>
    <w:rsid w:val="00EA302C"/>
    <w:rsid w:val="00EA321E"/>
    <w:rsid w:val="00EA32AC"/>
    <w:rsid w:val="00EA32D4"/>
    <w:rsid w:val="00EA3369"/>
    <w:rsid w:val="00EA339B"/>
    <w:rsid w:val="00EA3460"/>
    <w:rsid w:val="00EA35B6"/>
    <w:rsid w:val="00EA3689"/>
    <w:rsid w:val="00EA3717"/>
    <w:rsid w:val="00EA3817"/>
    <w:rsid w:val="00EA3B67"/>
    <w:rsid w:val="00EA3BCE"/>
    <w:rsid w:val="00EA3E6D"/>
    <w:rsid w:val="00EA4064"/>
    <w:rsid w:val="00EA41D9"/>
    <w:rsid w:val="00EA423E"/>
    <w:rsid w:val="00EA442E"/>
    <w:rsid w:val="00EA44A7"/>
    <w:rsid w:val="00EA44AE"/>
    <w:rsid w:val="00EA4513"/>
    <w:rsid w:val="00EA45C2"/>
    <w:rsid w:val="00EA45F9"/>
    <w:rsid w:val="00EA46BE"/>
    <w:rsid w:val="00EA4953"/>
    <w:rsid w:val="00EA4AEE"/>
    <w:rsid w:val="00EA4B53"/>
    <w:rsid w:val="00EA4C68"/>
    <w:rsid w:val="00EA4CDF"/>
    <w:rsid w:val="00EA4D68"/>
    <w:rsid w:val="00EA4EFD"/>
    <w:rsid w:val="00EA4F6E"/>
    <w:rsid w:val="00EA51E9"/>
    <w:rsid w:val="00EA53DF"/>
    <w:rsid w:val="00EA542D"/>
    <w:rsid w:val="00EA5535"/>
    <w:rsid w:val="00EA5546"/>
    <w:rsid w:val="00EA561F"/>
    <w:rsid w:val="00EA5662"/>
    <w:rsid w:val="00EA5777"/>
    <w:rsid w:val="00EA5929"/>
    <w:rsid w:val="00EA5994"/>
    <w:rsid w:val="00EA5A26"/>
    <w:rsid w:val="00EA5A2E"/>
    <w:rsid w:val="00EA5A91"/>
    <w:rsid w:val="00EA5AFC"/>
    <w:rsid w:val="00EA5BD3"/>
    <w:rsid w:val="00EA5C05"/>
    <w:rsid w:val="00EA5DD4"/>
    <w:rsid w:val="00EA5FEF"/>
    <w:rsid w:val="00EA618C"/>
    <w:rsid w:val="00EA61FD"/>
    <w:rsid w:val="00EA6284"/>
    <w:rsid w:val="00EA656F"/>
    <w:rsid w:val="00EA669D"/>
    <w:rsid w:val="00EA66EB"/>
    <w:rsid w:val="00EA676E"/>
    <w:rsid w:val="00EA6D40"/>
    <w:rsid w:val="00EA6E33"/>
    <w:rsid w:val="00EA741A"/>
    <w:rsid w:val="00EA748A"/>
    <w:rsid w:val="00EA787C"/>
    <w:rsid w:val="00EA7912"/>
    <w:rsid w:val="00EA7A4F"/>
    <w:rsid w:val="00EA7A6B"/>
    <w:rsid w:val="00EA7AF5"/>
    <w:rsid w:val="00EA7BEE"/>
    <w:rsid w:val="00EA7BFF"/>
    <w:rsid w:val="00EA7CF1"/>
    <w:rsid w:val="00EA7F71"/>
    <w:rsid w:val="00EB003C"/>
    <w:rsid w:val="00EB01AE"/>
    <w:rsid w:val="00EB064A"/>
    <w:rsid w:val="00EB077B"/>
    <w:rsid w:val="00EB084D"/>
    <w:rsid w:val="00EB086B"/>
    <w:rsid w:val="00EB0ACD"/>
    <w:rsid w:val="00EB0B04"/>
    <w:rsid w:val="00EB0C59"/>
    <w:rsid w:val="00EB0CA2"/>
    <w:rsid w:val="00EB0D69"/>
    <w:rsid w:val="00EB0DBB"/>
    <w:rsid w:val="00EB0FF4"/>
    <w:rsid w:val="00EB1168"/>
    <w:rsid w:val="00EB1361"/>
    <w:rsid w:val="00EB1382"/>
    <w:rsid w:val="00EB1471"/>
    <w:rsid w:val="00EB174C"/>
    <w:rsid w:val="00EB1904"/>
    <w:rsid w:val="00EB19BB"/>
    <w:rsid w:val="00EB19CA"/>
    <w:rsid w:val="00EB1A1A"/>
    <w:rsid w:val="00EB233D"/>
    <w:rsid w:val="00EB238E"/>
    <w:rsid w:val="00EB261B"/>
    <w:rsid w:val="00EB27FF"/>
    <w:rsid w:val="00EB2C33"/>
    <w:rsid w:val="00EB2EE3"/>
    <w:rsid w:val="00EB2F63"/>
    <w:rsid w:val="00EB3063"/>
    <w:rsid w:val="00EB309C"/>
    <w:rsid w:val="00EB31EC"/>
    <w:rsid w:val="00EB31EF"/>
    <w:rsid w:val="00EB31FF"/>
    <w:rsid w:val="00EB3366"/>
    <w:rsid w:val="00EB339A"/>
    <w:rsid w:val="00EB3468"/>
    <w:rsid w:val="00EB34E4"/>
    <w:rsid w:val="00EB35BD"/>
    <w:rsid w:val="00EB364F"/>
    <w:rsid w:val="00EB3653"/>
    <w:rsid w:val="00EB367F"/>
    <w:rsid w:val="00EB369C"/>
    <w:rsid w:val="00EB3ADB"/>
    <w:rsid w:val="00EB3BD4"/>
    <w:rsid w:val="00EB3C13"/>
    <w:rsid w:val="00EB3C61"/>
    <w:rsid w:val="00EB3CE5"/>
    <w:rsid w:val="00EB3D1F"/>
    <w:rsid w:val="00EB3D63"/>
    <w:rsid w:val="00EB3D99"/>
    <w:rsid w:val="00EB3F95"/>
    <w:rsid w:val="00EB415A"/>
    <w:rsid w:val="00EB41D9"/>
    <w:rsid w:val="00EB4373"/>
    <w:rsid w:val="00EB43A0"/>
    <w:rsid w:val="00EB43A2"/>
    <w:rsid w:val="00EB470D"/>
    <w:rsid w:val="00EB472C"/>
    <w:rsid w:val="00EB4AA0"/>
    <w:rsid w:val="00EB4AAC"/>
    <w:rsid w:val="00EB4BBA"/>
    <w:rsid w:val="00EB4E13"/>
    <w:rsid w:val="00EB4E4B"/>
    <w:rsid w:val="00EB4ED4"/>
    <w:rsid w:val="00EB5045"/>
    <w:rsid w:val="00EB5090"/>
    <w:rsid w:val="00EB5149"/>
    <w:rsid w:val="00EB51FF"/>
    <w:rsid w:val="00EB52D6"/>
    <w:rsid w:val="00EB54D2"/>
    <w:rsid w:val="00EB560F"/>
    <w:rsid w:val="00EB593A"/>
    <w:rsid w:val="00EB5A04"/>
    <w:rsid w:val="00EB5A41"/>
    <w:rsid w:val="00EB5DB2"/>
    <w:rsid w:val="00EB617F"/>
    <w:rsid w:val="00EB6691"/>
    <w:rsid w:val="00EB66A2"/>
    <w:rsid w:val="00EB680C"/>
    <w:rsid w:val="00EB6846"/>
    <w:rsid w:val="00EB6E52"/>
    <w:rsid w:val="00EB6E62"/>
    <w:rsid w:val="00EB6EED"/>
    <w:rsid w:val="00EB7345"/>
    <w:rsid w:val="00EB74BE"/>
    <w:rsid w:val="00EB7500"/>
    <w:rsid w:val="00EB761D"/>
    <w:rsid w:val="00EB7753"/>
    <w:rsid w:val="00EB7802"/>
    <w:rsid w:val="00EB7C37"/>
    <w:rsid w:val="00EB7D34"/>
    <w:rsid w:val="00EB7D5B"/>
    <w:rsid w:val="00EB7DDB"/>
    <w:rsid w:val="00EB7F9A"/>
    <w:rsid w:val="00EC0099"/>
    <w:rsid w:val="00EC0146"/>
    <w:rsid w:val="00EC0157"/>
    <w:rsid w:val="00EC034D"/>
    <w:rsid w:val="00EC0350"/>
    <w:rsid w:val="00EC03BB"/>
    <w:rsid w:val="00EC0997"/>
    <w:rsid w:val="00EC09CF"/>
    <w:rsid w:val="00EC0AB0"/>
    <w:rsid w:val="00EC0D61"/>
    <w:rsid w:val="00EC0DD8"/>
    <w:rsid w:val="00EC0F28"/>
    <w:rsid w:val="00EC110B"/>
    <w:rsid w:val="00EC1150"/>
    <w:rsid w:val="00EC11CF"/>
    <w:rsid w:val="00EC11D6"/>
    <w:rsid w:val="00EC124B"/>
    <w:rsid w:val="00EC12FB"/>
    <w:rsid w:val="00EC131B"/>
    <w:rsid w:val="00EC132D"/>
    <w:rsid w:val="00EC14AC"/>
    <w:rsid w:val="00EC1808"/>
    <w:rsid w:val="00EC1872"/>
    <w:rsid w:val="00EC192B"/>
    <w:rsid w:val="00EC1A38"/>
    <w:rsid w:val="00EC1A3B"/>
    <w:rsid w:val="00EC1B68"/>
    <w:rsid w:val="00EC1BA0"/>
    <w:rsid w:val="00EC1C09"/>
    <w:rsid w:val="00EC1DCB"/>
    <w:rsid w:val="00EC1E27"/>
    <w:rsid w:val="00EC1E72"/>
    <w:rsid w:val="00EC1F86"/>
    <w:rsid w:val="00EC2010"/>
    <w:rsid w:val="00EC20D0"/>
    <w:rsid w:val="00EC215C"/>
    <w:rsid w:val="00EC2182"/>
    <w:rsid w:val="00EC2305"/>
    <w:rsid w:val="00EC23D2"/>
    <w:rsid w:val="00EC2443"/>
    <w:rsid w:val="00EC249B"/>
    <w:rsid w:val="00EC2814"/>
    <w:rsid w:val="00EC2818"/>
    <w:rsid w:val="00EC2AED"/>
    <w:rsid w:val="00EC2B34"/>
    <w:rsid w:val="00EC2F27"/>
    <w:rsid w:val="00EC3151"/>
    <w:rsid w:val="00EC334C"/>
    <w:rsid w:val="00EC33A1"/>
    <w:rsid w:val="00EC3468"/>
    <w:rsid w:val="00EC3481"/>
    <w:rsid w:val="00EC35FC"/>
    <w:rsid w:val="00EC363E"/>
    <w:rsid w:val="00EC39EC"/>
    <w:rsid w:val="00EC3D30"/>
    <w:rsid w:val="00EC3D7D"/>
    <w:rsid w:val="00EC3F31"/>
    <w:rsid w:val="00EC3FB8"/>
    <w:rsid w:val="00EC45AD"/>
    <w:rsid w:val="00EC45E4"/>
    <w:rsid w:val="00EC461B"/>
    <w:rsid w:val="00EC46BC"/>
    <w:rsid w:val="00EC46D7"/>
    <w:rsid w:val="00EC48B6"/>
    <w:rsid w:val="00EC4E04"/>
    <w:rsid w:val="00EC4E1D"/>
    <w:rsid w:val="00EC50CA"/>
    <w:rsid w:val="00EC545C"/>
    <w:rsid w:val="00EC548F"/>
    <w:rsid w:val="00EC55FF"/>
    <w:rsid w:val="00EC562B"/>
    <w:rsid w:val="00EC56D3"/>
    <w:rsid w:val="00EC5816"/>
    <w:rsid w:val="00EC5852"/>
    <w:rsid w:val="00EC59CF"/>
    <w:rsid w:val="00EC5A02"/>
    <w:rsid w:val="00EC5A34"/>
    <w:rsid w:val="00EC5A38"/>
    <w:rsid w:val="00EC5A44"/>
    <w:rsid w:val="00EC5BAE"/>
    <w:rsid w:val="00EC5BBA"/>
    <w:rsid w:val="00EC5E6D"/>
    <w:rsid w:val="00EC5FB0"/>
    <w:rsid w:val="00EC631B"/>
    <w:rsid w:val="00EC63F5"/>
    <w:rsid w:val="00EC642F"/>
    <w:rsid w:val="00EC65A7"/>
    <w:rsid w:val="00EC6618"/>
    <w:rsid w:val="00EC6685"/>
    <w:rsid w:val="00EC6849"/>
    <w:rsid w:val="00EC69D1"/>
    <w:rsid w:val="00EC6A65"/>
    <w:rsid w:val="00EC6A6E"/>
    <w:rsid w:val="00EC6ADB"/>
    <w:rsid w:val="00EC6FAA"/>
    <w:rsid w:val="00EC7023"/>
    <w:rsid w:val="00EC70A9"/>
    <w:rsid w:val="00EC71AE"/>
    <w:rsid w:val="00EC72ED"/>
    <w:rsid w:val="00EC72F2"/>
    <w:rsid w:val="00EC7356"/>
    <w:rsid w:val="00EC75CB"/>
    <w:rsid w:val="00EC7681"/>
    <w:rsid w:val="00EC7790"/>
    <w:rsid w:val="00EC7815"/>
    <w:rsid w:val="00EC7A2B"/>
    <w:rsid w:val="00EC7A45"/>
    <w:rsid w:val="00EC7A70"/>
    <w:rsid w:val="00EC7B05"/>
    <w:rsid w:val="00EC7D19"/>
    <w:rsid w:val="00EC7FD3"/>
    <w:rsid w:val="00ED004D"/>
    <w:rsid w:val="00ED017C"/>
    <w:rsid w:val="00ED01CC"/>
    <w:rsid w:val="00ED04A9"/>
    <w:rsid w:val="00ED04FD"/>
    <w:rsid w:val="00ED0796"/>
    <w:rsid w:val="00ED0986"/>
    <w:rsid w:val="00ED0ABA"/>
    <w:rsid w:val="00ED0ABF"/>
    <w:rsid w:val="00ED0B6A"/>
    <w:rsid w:val="00ED0BDA"/>
    <w:rsid w:val="00ED0C7A"/>
    <w:rsid w:val="00ED0D98"/>
    <w:rsid w:val="00ED0DDC"/>
    <w:rsid w:val="00ED0DEE"/>
    <w:rsid w:val="00ED0EE9"/>
    <w:rsid w:val="00ED0F2E"/>
    <w:rsid w:val="00ED119E"/>
    <w:rsid w:val="00ED13D5"/>
    <w:rsid w:val="00ED1489"/>
    <w:rsid w:val="00ED1648"/>
    <w:rsid w:val="00ED1674"/>
    <w:rsid w:val="00ED17A3"/>
    <w:rsid w:val="00ED19D5"/>
    <w:rsid w:val="00ED1BF8"/>
    <w:rsid w:val="00ED1C82"/>
    <w:rsid w:val="00ED1CF8"/>
    <w:rsid w:val="00ED1D58"/>
    <w:rsid w:val="00ED1D9A"/>
    <w:rsid w:val="00ED1E64"/>
    <w:rsid w:val="00ED1E6D"/>
    <w:rsid w:val="00ED20D0"/>
    <w:rsid w:val="00ED2177"/>
    <w:rsid w:val="00ED2257"/>
    <w:rsid w:val="00ED2283"/>
    <w:rsid w:val="00ED2392"/>
    <w:rsid w:val="00ED23FA"/>
    <w:rsid w:val="00ED24D5"/>
    <w:rsid w:val="00ED2698"/>
    <w:rsid w:val="00ED286B"/>
    <w:rsid w:val="00ED28FE"/>
    <w:rsid w:val="00ED2902"/>
    <w:rsid w:val="00ED2993"/>
    <w:rsid w:val="00ED2AE5"/>
    <w:rsid w:val="00ED2BBC"/>
    <w:rsid w:val="00ED2C05"/>
    <w:rsid w:val="00ED2CB1"/>
    <w:rsid w:val="00ED2D76"/>
    <w:rsid w:val="00ED2DE4"/>
    <w:rsid w:val="00ED2F64"/>
    <w:rsid w:val="00ED3122"/>
    <w:rsid w:val="00ED312F"/>
    <w:rsid w:val="00ED33A6"/>
    <w:rsid w:val="00ED3437"/>
    <w:rsid w:val="00ED3452"/>
    <w:rsid w:val="00ED390E"/>
    <w:rsid w:val="00ED3AEB"/>
    <w:rsid w:val="00ED3AF0"/>
    <w:rsid w:val="00ED3CC5"/>
    <w:rsid w:val="00ED3DA5"/>
    <w:rsid w:val="00ED3EF6"/>
    <w:rsid w:val="00ED415A"/>
    <w:rsid w:val="00ED4211"/>
    <w:rsid w:val="00ED427A"/>
    <w:rsid w:val="00ED4446"/>
    <w:rsid w:val="00ED44C9"/>
    <w:rsid w:val="00ED451D"/>
    <w:rsid w:val="00ED46BE"/>
    <w:rsid w:val="00ED46C7"/>
    <w:rsid w:val="00ED4727"/>
    <w:rsid w:val="00ED47AA"/>
    <w:rsid w:val="00ED49A4"/>
    <w:rsid w:val="00ED4AAB"/>
    <w:rsid w:val="00ED4BFF"/>
    <w:rsid w:val="00ED4C2E"/>
    <w:rsid w:val="00ED4C37"/>
    <w:rsid w:val="00ED521A"/>
    <w:rsid w:val="00ED52EC"/>
    <w:rsid w:val="00ED5376"/>
    <w:rsid w:val="00ED54CE"/>
    <w:rsid w:val="00ED55E3"/>
    <w:rsid w:val="00ED568D"/>
    <w:rsid w:val="00ED584F"/>
    <w:rsid w:val="00ED59DE"/>
    <w:rsid w:val="00ED5AB0"/>
    <w:rsid w:val="00ED5B63"/>
    <w:rsid w:val="00ED5BC5"/>
    <w:rsid w:val="00ED5C12"/>
    <w:rsid w:val="00ED5D50"/>
    <w:rsid w:val="00ED5ECD"/>
    <w:rsid w:val="00ED5F84"/>
    <w:rsid w:val="00ED6077"/>
    <w:rsid w:val="00ED62C7"/>
    <w:rsid w:val="00ED62D2"/>
    <w:rsid w:val="00ED634F"/>
    <w:rsid w:val="00ED635D"/>
    <w:rsid w:val="00ED6423"/>
    <w:rsid w:val="00ED6542"/>
    <w:rsid w:val="00ED6594"/>
    <w:rsid w:val="00ED676F"/>
    <w:rsid w:val="00ED67BF"/>
    <w:rsid w:val="00ED67EF"/>
    <w:rsid w:val="00ED687D"/>
    <w:rsid w:val="00ED692A"/>
    <w:rsid w:val="00ED6A62"/>
    <w:rsid w:val="00ED6CF7"/>
    <w:rsid w:val="00ED6F0A"/>
    <w:rsid w:val="00ED7152"/>
    <w:rsid w:val="00ED7271"/>
    <w:rsid w:val="00ED740F"/>
    <w:rsid w:val="00ED7565"/>
    <w:rsid w:val="00ED7819"/>
    <w:rsid w:val="00ED7A26"/>
    <w:rsid w:val="00ED7A77"/>
    <w:rsid w:val="00ED7C84"/>
    <w:rsid w:val="00ED7DAB"/>
    <w:rsid w:val="00EE011F"/>
    <w:rsid w:val="00EE0512"/>
    <w:rsid w:val="00EE0720"/>
    <w:rsid w:val="00EE0999"/>
    <w:rsid w:val="00EE099D"/>
    <w:rsid w:val="00EE0A6F"/>
    <w:rsid w:val="00EE0BE4"/>
    <w:rsid w:val="00EE0BF5"/>
    <w:rsid w:val="00EE0DE3"/>
    <w:rsid w:val="00EE0E33"/>
    <w:rsid w:val="00EE0EBA"/>
    <w:rsid w:val="00EE0EC1"/>
    <w:rsid w:val="00EE0EE7"/>
    <w:rsid w:val="00EE0F01"/>
    <w:rsid w:val="00EE15BD"/>
    <w:rsid w:val="00EE15FD"/>
    <w:rsid w:val="00EE17FF"/>
    <w:rsid w:val="00EE1855"/>
    <w:rsid w:val="00EE19D7"/>
    <w:rsid w:val="00EE1DA9"/>
    <w:rsid w:val="00EE1DC2"/>
    <w:rsid w:val="00EE1FA1"/>
    <w:rsid w:val="00EE2053"/>
    <w:rsid w:val="00EE210A"/>
    <w:rsid w:val="00EE216D"/>
    <w:rsid w:val="00EE24C6"/>
    <w:rsid w:val="00EE2503"/>
    <w:rsid w:val="00EE2575"/>
    <w:rsid w:val="00EE2676"/>
    <w:rsid w:val="00EE2757"/>
    <w:rsid w:val="00EE27D3"/>
    <w:rsid w:val="00EE2837"/>
    <w:rsid w:val="00EE2935"/>
    <w:rsid w:val="00EE297F"/>
    <w:rsid w:val="00EE2A07"/>
    <w:rsid w:val="00EE2A95"/>
    <w:rsid w:val="00EE2B1F"/>
    <w:rsid w:val="00EE2B62"/>
    <w:rsid w:val="00EE2D91"/>
    <w:rsid w:val="00EE3128"/>
    <w:rsid w:val="00EE3138"/>
    <w:rsid w:val="00EE32D6"/>
    <w:rsid w:val="00EE336A"/>
    <w:rsid w:val="00EE341E"/>
    <w:rsid w:val="00EE34D9"/>
    <w:rsid w:val="00EE35B5"/>
    <w:rsid w:val="00EE3AA2"/>
    <w:rsid w:val="00EE3BB2"/>
    <w:rsid w:val="00EE3C2D"/>
    <w:rsid w:val="00EE3C59"/>
    <w:rsid w:val="00EE3C9F"/>
    <w:rsid w:val="00EE3D9A"/>
    <w:rsid w:val="00EE3E10"/>
    <w:rsid w:val="00EE3E29"/>
    <w:rsid w:val="00EE3F46"/>
    <w:rsid w:val="00EE3F78"/>
    <w:rsid w:val="00EE402D"/>
    <w:rsid w:val="00EE420C"/>
    <w:rsid w:val="00EE421D"/>
    <w:rsid w:val="00EE425B"/>
    <w:rsid w:val="00EE431B"/>
    <w:rsid w:val="00EE437D"/>
    <w:rsid w:val="00EE46CF"/>
    <w:rsid w:val="00EE4802"/>
    <w:rsid w:val="00EE4ABE"/>
    <w:rsid w:val="00EE4AFE"/>
    <w:rsid w:val="00EE4C53"/>
    <w:rsid w:val="00EE4D9A"/>
    <w:rsid w:val="00EE4E44"/>
    <w:rsid w:val="00EE4EF1"/>
    <w:rsid w:val="00EE4F7F"/>
    <w:rsid w:val="00EE507C"/>
    <w:rsid w:val="00EE517B"/>
    <w:rsid w:val="00EE5450"/>
    <w:rsid w:val="00EE550A"/>
    <w:rsid w:val="00EE569F"/>
    <w:rsid w:val="00EE56D1"/>
    <w:rsid w:val="00EE5726"/>
    <w:rsid w:val="00EE5778"/>
    <w:rsid w:val="00EE57EC"/>
    <w:rsid w:val="00EE5913"/>
    <w:rsid w:val="00EE5A53"/>
    <w:rsid w:val="00EE5A96"/>
    <w:rsid w:val="00EE5A9E"/>
    <w:rsid w:val="00EE5BF6"/>
    <w:rsid w:val="00EE5E1B"/>
    <w:rsid w:val="00EE5E5C"/>
    <w:rsid w:val="00EE5F59"/>
    <w:rsid w:val="00EE6013"/>
    <w:rsid w:val="00EE6205"/>
    <w:rsid w:val="00EE6549"/>
    <w:rsid w:val="00EE66F5"/>
    <w:rsid w:val="00EE6763"/>
    <w:rsid w:val="00EE6766"/>
    <w:rsid w:val="00EE6800"/>
    <w:rsid w:val="00EE6946"/>
    <w:rsid w:val="00EE6948"/>
    <w:rsid w:val="00EE6A80"/>
    <w:rsid w:val="00EE6BDC"/>
    <w:rsid w:val="00EE6DA5"/>
    <w:rsid w:val="00EE6DB6"/>
    <w:rsid w:val="00EE6DC8"/>
    <w:rsid w:val="00EE6FBD"/>
    <w:rsid w:val="00EE6FDD"/>
    <w:rsid w:val="00EE70C6"/>
    <w:rsid w:val="00EE70DD"/>
    <w:rsid w:val="00EE7440"/>
    <w:rsid w:val="00EE74F5"/>
    <w:rsid w:val="00EE75EE"/>
    <w:rsid w:val="00EE761C"/>
    <w:rsid w:val="00EE7701"/>
    <w:rsid w:val="00EE786F"/>
    <w:rsid w:val="00EE7A20"/>
    <w:rsid w:val="00EE7DE0"/>
    <w:rsid w:val="00EE7E64"/>
    <w:rsid w:val="00EE7E91"/>
    <w:rsid w:val="00EE7FB6"/>
    <w:rsid w:val="00EF00FB"/>
    <w:rsid w:val="00EF0201"/>
    <w:rsid w:val="00EF027F"/>
    <w:rsid w:val="00EF047F"/>
    <w:rsid w:val="00EF04E0"/>
    <w:rsid w:val="00EF0526"/>
    <w:rsid w:val="00EF068C"/>
    <w:rsid w:val="00EF070E"/>
    <w:rsid w:val="00EF0795"/>
    <w:rsid w:val="00EF08C1"/>
    <w:rsid w:val="00EF08FD"/>
    <w:rsid w:val="00EF0A18"/>
    <w:rsid w:val="00EF0A46"/>
    <w:rsid w:val="00EF0FCB"/>
    <w:rsid w:val="00EF1021"/>
    <w:rsid w:val="00EF1037"/>
    <w:rsid w:val="00EF12F8"/>
    <w:rsid w:val="00EF14BA"/>
    <w:rsid w:val="00EF16D2"/>
    <w:rsid w:val="00EF16E3"/>
    <w:rsid w:val="00EF1A7C"/>
    <w:rsid w:val="00EF1AC5"/>
    <w:rsid w:val="00EF1BB1"/>
    <w:rsid w:val="00EF1E93"/>
    <w:rsid w:val="00EF1FEB"/>
    <w:rsid w:val="00EF1FF8"/>
    <w:rsid w:val="00EF205B"/>
    <w:rsid w:val="00EF208A"/>
    <w:rsid w:val="00EF21C6"/>
    <w:rsid w:val="00EF25D9"/>
    <w:rsid w:val="00EF26F4"/>
    <w:rsid w:val="00EF298B"/>
    <w:rsid w:val="00EF2995"/>
    <w:rsid w:val="00EF29E4"/>
    <w:rsid w:val="00EF2AC4"/>
    <w:rsid w:val="00EF2CA4"/>
    <w:rsid w:val="00EF2FB4"/>
    <w:rsid w:val="00EF3016"/>
    <w:rsid w:val="00EF30AE"/>
    <w:rsid w:val="00EF32CB"/>
    <w:rsid w:val="00EF3312"/>
    <w:rsid w:val="00EF34C1"/>
    <w:rsid w:val="00EF35CA"/>
    <w:rsid w:val="00EF37C8"/>
    <w:rsid w:val="00EF39C4"/>
    <w:rsid w:val="00EF39DF"/>
    <w:rsid w:val="00EF3B77"/>
    <w:rsid w:val="00EF3C52"/>
    <w:rsid w:val="00EF3C99"/>
    <w:rsid w:val="00EF3CA1"/>
    <w:rsid w:val="00EF3DBA"/>
    <w:rsid w:val="00EF3F44"/>
    <w:rsid w:val="00EF404A"/>
    <w:rsid w:val="00EF40CC"/>
    <w:rsid w:val="00EF4215"/>
    <w:rsid w:val="00EF4228"/>
    <w:rsid w:val="00EF4320"/>
    <w:rsid w:val="00EF43FC"/>
    <w:rsid w:val="00EF4453"/>
    <w:rsid w:val="00EF454A"/>
    <w:rsid w:val="00EF4771"/>
    <w:rsid w:val="00EF48B4"/>
    <w:rsid w:val="00EF492D"/>
    <w:rsid w:val="00EF4B3B"/>
    <w:rsid w:val="00EF4C65"/>
    <w:rsid w:val="00EF4E8A"/>
    <w:rsid w:val="00EF4ED1"/>
    <w:rsid w:val="00EF4ED5"/>
    <w:rsid w:val="00EF4F3E"/>
    <w:rsid w:val="00EF5152"/>
    <w:rsid w:val="00EF5595"/>
    <w:rsid w:val="00EF55E3"/>
    <w:rsid w:val="00EF55F4"/>
    <w:rsid w:val="00EF5678"/>
    <w:rsid w:val="00EF570A"/>
    <w:rsid w:val="00EF5A76"/>
    <w:rsid w:val="00EF5B17"/>
    <w:rsid w:val="00EF5C18"/>
    <w:rsid w:val="00EF5C25"/>
    <w:rsid w:val="00EF5D7D"/>
    <w:rsid w:val="00EF5DC0"/>
    <w:rsid w:val="00EF5ECC"/>
    <w:rsid w:val="00EF5F6E"/>
    <w:rsid w:val="00EF60EC"/>
    <w:rsid w:val="00EF64D1"/>
    <w:rsid w:val="00EF676C"/>
    <w:rsid w:val="00EF68E9"/>
    <w:rsid w:val="00EF691E"/>
    <w:rsid w:val="00EF6A95"/>
    <w:rsid w:val="00EF6B35"/>
    <w:rsid w:val="00EF6DB0"/>
    <w:rsid w:val="00EF6E80"/>
    <w:rsid w:val="00EF71EC"/>
    <w:rsid w:val="00EF7494"/>
    <w:rsid w:val="00EF74A1"/>
    <w:rsid w:val="00EF74AB"/>
    <w:rsid w:val="00EF74B4"/>
    <w:rsid w:val="00EF7678"/>
    <w:rsid w:val="00EF7762"/>
    <w:rsid w:val="00EF7795"/>
    <w:rsid w:val="00EF7B34"/>
    <w:rsid w:val="00EF7EED"/>
    <w:rsid w:val="00EF7EF0"/>
    <w:rsid w:val="00EF7F2C"/>
    <w:rsid w:val="00EF7F7A"/>
    <w:rsid w:val="00F00061"/>
    <w:rsid w:val="00F00065"/>
    <w:rsid w:val="00F001DE"/>
    <w:rsid w:val="00F002BC"/>
    <w:rsid w:val="00F002BD"/>
    <w:rsid w:val="00F0031A"/>
    <w:rsid w:val="00F00334"/>
    <w:rsid w:val="00F003C2"/>
    <w:rsid w:val="00F00509"/>
    <w:rsid w:val="00F0056F"/>
    <w:rsid w:val="00F0063F"/>
    <w:rsid w:val="00F00678"/>
    <w:rsid w:val="00F00807"/>
    <w:rsid w:val="00F009A6"/>
    <w:rsid w:val="00F00A0F"/>
    <w:rsid w:val="00F00AA4"/>
    <w:rsid w:val="00F00CF6"/>
    <w:rsid w:val="00F00D07"/>
    <w:rsid w:val="00F00D83"/>
    <w:rsid w:val="00F01123"/>
    <w:rsid w:val="00F013F8"/>
    <w:rsid w:val="00F01480"/>
    <w:rsid w:val="00F01552"/>
    <w:rsid w:val="00F01577"/>
    <w:rsid w:val="00F0193C"/>
    <w:rsid w:val="00F01BF7"/>
    <w:rsid w:val="00F01C3E"/>
    <w:rsid w:val="00F01D18"/>
    <w:rsid w:val="00F01DD0"/>
    <w:rsid w:val="00F01F10"/>
    <w:rsid w:val="00F01F43"/>
    <w:rsid w:val="00F01F8E"/>
    <w:rsid w:val="00F01FB2"/>
    <w:rsid w:val="00F022CD"/>
    <w:rsid w:val="00F022E8"/>
    <w:rsid w:val="00F02334"/>
    <w:rsid w:val="00F024A1"/>
    <w:rsid w:val="00F025BD"/>
    <w:rsid w:val="00F02714"/>
    <w:rsid w:val="00F02833"/>
    <w:rsid w:val="00F02876"/>
    <w:rsid w:val="00F02914"/>
    <w:rsid w:val="00F0298C"/>
    <w:rsid w:val="00F02C92"/>
    <w:rsid w:val="00F02CAC"/>
    <w:rsid w:val="00F02E4A"/>
    <w:rsid w:val="00F02ED7"/>
    <w:rsid w:val="00F02FEE"/>
    <w:rsid w:val="00F0307B"/>
    <w:rsid w:val="00F03098"/>
    <w:rsid w:val="00F03328"/>
    <w:rsid w:val="00F033D3"/>
    <w:rsid w:val="00F0356B"/>
    <w:rsid w:val="00F03578"/>
    <w:rsid w:val="00F035A6"/>
    <w:rsid w:val="00F03798"/>
    <w:rsid w:val="00F03919"/>
    <w:rsid w:val="00F0397C"/>
    <w:rsid w:val="00F03A3C"/>
    <w:rsid w:val="00F03AF1"/>
    <w:rsid w:val="00F03DB8"/>
    <w:rsid w:val="00F03F23"/>
    <w:rsid w:val="00F044CB"/>
    <w:rsid w:val="00F045B0"/>
    <w:rsid w:val="00F048D7"/>
    <w:rsid w:val="00F04945"/>
    <w:rsid w:val="00F049C5"/>
    <w:rsid w:val="00F04A2A"/>
    <w:rsid w:val="00F04C54"/>
    <w:rsid w:val="00F04C8D"/>
    <w:rsid w:val="00F0503A"/>
    <w:rsid w:val="00F05091"/>
    <w:rsid w:val="00F050FC"/>
    <w:rsid w:val="00F05106"/>
    <w:rsid w:val="00F054AF"/>
    <w:rsid w:val="00F054D1"/>
    <w:rsid w:val="00F0556B"/>
    <w:rsid w:val="00F05733"/>
    <w:rsid w:val="00F05B60"/>
    <w:rsid w:val="00F05BEF"/>
    <w:rsid w:val="00F05C55"/>
    <w:rsid w:val="00F05C98"/>
    <w:rsid w:val="00F05CC5"/>
    <w:rsid w:val="00F05DC1"/>
    <w:rsid w:val="00F05E4B"/>
    <w:rsid w:val="00F060C2"/>
    <w:rsid w:val="00F06141"/>
    <w:rsid w:val="00F063B1"/>
    <w:rsid w:val="00F063D8"/>
    <w:rsid w:val="00F06722"/>
    <w:rsid w:val="00F0672D"/>
    <w:rsid w:val="00F06791"/>
    <w:rsid w:val="00F067FF"/>
    <w:rsid w:val="00F06995"/>
    <w:rsid w:val="00F06AEA"/>
    <w:rsid w:val="00F06C6A"/>
    <w:rsid w:val="00F06D04"/>
    <w:rsid w:val="00F06D2E"/>
    <w:rsid w:val="00F06F5C"/>
    <w:rsid w:val="00F070A8"/>
    <w:rsid w:val="00F07600"/>
    <w:rsid w:val="00F07712"/>
    <w:rsid w:val="00F07908"/>
    <w:rsid w:val="00F07B65"/>
    <w:rsid w:val="00F07BA0"/>
    <w:rsid w:val="00F07C31"/>
    <w:rsid w:val="00F07D55"/>
    <w:rsid w:val="00F07D6E"/>
    <w:rsid w:val="00F07E2D"/>
    <w:rsid w:val="00F07E40"/>
    <w:rsid w:val="00F10263"/>
    <w:rsid w:val="00F103CB"/>
    <w:rsid w:val="00F10483"/>
    <w:rsid w:val="00F105FB"/>
    <w:rsid w:val="00F10691"/>
    <w:rsid w:val="00F10841"/>
    <w:rsid w:val="00F10AF5"/>
    <w:rsid w:val="00F10C70"/>
    <w:rsid w:val="00F10CBA"/>
    <w:rsid w:val="00F10DE2"/>
    <w:rsid w:val="00F111DB"/>
    <w:rsid w:val="00F11233"/>
    <w:rsid w:val="00F11280"/>
    <w:rsid w:val="00F112E0"/>
    <w:rsid w:val="00F11386"/>
    <w:rsid w:val="00F115B4"/>
    <w:rsid w:val="00F11603"/>
    <w:rsid w:val="00F11615"/>
    <w:rsid w:val="00F11633"/>
    <w:rsid w:val="00F117C3"/>
    <w:rsid w:val="00F1183D"/>
    <w:rsid w:val="00F1190E"/>
    <w:rsid w:val="00F1193D"/>
    <w:rsid w:val="00F11A19"/>
    <w:rsid w:val="00F11A78"/>
    <w:rsid w:val="00F11C36"/>
    <w:rsid w:val="00F11D08"/>
    <w:rsid w:val="00F11D9D"/>
    <w:rsid w:val="00F11F6C"/>
    <w:rsid w:val="00F123C7"/>
    <w:rsid w:val="00F1241F"/>
    <w:rsid w:val="00F12429"/>
    <w:rsid w:val="00F1298F"/>
    <w:rsid w:val="00F12D4E"/>
    <w:rsid w:val="00F12DCC"/>
    <w:rsid w:val="00F13207"/>
    <w:rsid w:val="00F1325F"/>
    <w:rsid w:val="00F13427"/>
    <w:rsid w:val="00F13AC1"/>
    <w:rsid w:val="00F13C4C"/>
    <w:rsid w:val="00F13DE6"/>
    <w:rsid w:val="00F13F01"/>
    <w:rsid w:val="00F14182"/>
    <w:rsid w:val="00F144AE"/>
    <w:rsid w:val="00F14569"/>
    <w:rsid w:val="00F145ED"/>
    <w:rsid w:val="00F14893"/>
    <w:rsid w:val="00F1491D"/>
    <w:rsid w:val="00F14A87"/>
    <w:rsid w:val="00F14C0A"/>
    <w:rsid w:val="00F14CE6"/>
    <w:rsid w:val="00F14D31"/>
    <w:rsid w:val="00F14DF6"/>
    <w:rsid w:val="00F14E3D"/>
    <w:rsid w:val="00F1501C"/>
    <w:rsid w:val="00F15058"/>
    <w:rsid w:val="00F15109"/>
    <w:rsid w:val="00F1512E"/>
    <w:rsid w:val="00F15189"/>
    <w:rsid w:val="00F1525D"/>
    <w:rsid w:val="00F154D7"/>
    <w:rsid w:val="00F1556E"/>
    <w:rsid w:val="00F155D3"/>
    <w:rsid w:val="00F15823"/>
    <w:rsid w:val="00F15BC4"/>
    <w:rsid w:val="00F15CC2"/>
    <w:rsid w:val="00F15DA0"/>
    <w:rsid w:val="00F15EBF"/>
    <w:rsid w:val="00F15F5A"/>
    <w:rsid w:val="00F15F68"/>
    <w:rsid w:val="00F15FF9"/>
    <w:rsid w:val="00F16073"/>
    <w:rsid w:val="00F161D6"/>
    <w:rsid w:val="00F161DB"/>
    <w:rsid w:val="00F162A6"/>
    <w:rsid w:val="00F162EF"/>
    <w:rsid w:val="00F162F7"/>
    <w:rsid w:val="00F1641E"/>
    <w:rsid w:val="00F16950"/>
    <w:rsid w:val="00F16AF5"/>
    <w:rsid w:val="00F16B66"/>
    <w:rsid w:val="00F16BD2"/>
    <w:rsid w:val="00F16BE2"/>
    <w:rsid w:val="00F16BE3"/>
    <w:rsid w:val="00F170E9"/>
    <w:rsid w:val="00F171D2"/>
    <w:rsid w:val="00F17638"/>
    <w:rsid w:val="00F17947"/>
    <w:rsid w:val="00F179C5"/>
    <w:rsid w:val="00F179F5"/>
    <w:rsid w:val="00F17A8C"/>
    <w:rsid w:val="00F17ABD"/>
    <w:rsid w:val="00F17ECF"/>
    <w:rsid w:val="00F20010"/>
    <w:rsid w:val="00F20689"/>
    <w:rsid w:val="00F20695"/>
    <w:rsid w:val="00F2070A"/>
    <w:rsid w:val="00F20710"/>
    <w:rsid w:val="00F20A07"/>
    <w:rsid w:val="00F20A71"/>
    <w:rsid w:val="00F20A8E"/>
    <w:rsid w:val="00F20F0F"/>
    <w:rsid w:val="00F2109D"/>
    <w:rsid w:val="00F211AA"/>
    <w:rsid w:val="00F2148D"/>
    <w:rsid w:val="00F216B6"/>
    <w:rsid w:val="00F21763"/>
    <w:rsid w:val="00F21886"/>
    <w:rsid w:val="00F2189A"/>
    <w:rsid w:val="00F21969"/>
    <w:rsid w:val="00F2199F"/>
    <w:rsid w:val="00F21B6A"/>
    <w:rsid w:val="00F21D21"/>
    <w:rsid w:val="00F21D3A"/>
    <w:rsid w:val="00F21F55"/>
    <w:rsid w:val="00F221CC"/>
    <w:rsid w:val="00F22384"/>
    <w:rsid w:val="00F223A4"/>
    <w:rsid w:val="00F22503"/>
    <w:rsid w:val="00F22798"/>
    <w:rsid w:val="00F22898"/>
    <w:rsid w:val="00F22910"/>
    <w:rsid w:val="00F229B2"/>
    <w:rsid w:val="00F22A9F"/>
    <w:rsid w:val="00F22D30"/>
    <w:rsid w:val="00F22E81"/>
    <w:rsid w:val="00F22F88"/>
    <w:rsid w:val="00F23099"/>
    <w:rsid w:val="00F2314B"/>
    <w:rsid w:val="00F23197"/>
    <w:rsid w:val="00F231E0"/>
    <w:rsid w:val="00F231E2"/>
    <w:rsid w:val="00F231F0"/>
    <w:rsid w:val="00F2328A"/>
    <w:rsid w:val="00F235EA"/>
    <w:rsid w:val="00F2363C"/>
    <w:rsid w:val="00F23666"/>
    <w:rsid w:val="00F237E9"/>
    <w:rsid w:val="00F23811"/>
    <w:rsid w:val="00F2383D"/>
    <w:rsid w:val="00F2391C"/>
    <w:rsid w:val="00F23B25"/>
    <w:rsid w:val="00F23B49"/>
    <w:rsid w:val="00F23C32"/>
    <w:rsid w:val="00F23E39"/>
    <w:rsid w:val="00F24119"/>
    <w:rsid w:val="00F2437E"/>
    <w:rsid w:val="00F24591"/>
    <w:rsid w:val="00F2470F"/>
    <w:rsid w:val="00F2471A"/>
    <w:rsid w:val="00F2477A"/>
    <w:rsid w:val="00F24A94"/>
    <w:rsid w:val="00F24B43"/>
    <w:rsid w:val="00F24C3B"/>
    <w:rsid w:val="00F24C55"/>
    <w:rsid w:val="00F24CC0"/>
    <w:rsid w:val="00F24DEF"/>
    <w:rsid w:val="00F24DFB"/>
    <w:rsid w:val="00F250C2"/>
    <w:rsid w:val="00F250DF"/>
    <w:rsid w:val="00F255DF"/>
    <w:rsid w:val="00F25653"/>
    <w:rsid w:val="00F25760"/>
    <w:rsid w:val="00F257C4"/>
    <w:rsid w:val="00F25821"/>
    <w:rsid w:val="00F259D8"/>
    <w:rsid w:val="00F25C6A"/>
    <w:rsid w:val="00F25E35"/>
    <w:rsid w:val="00F25E74"/>
    <w:rsid w:val="00F25FF9"/>
    <w:rsid w:val="00F26159"/>
    <w:rsid w:val="00F261AC"/>
    <w:rsid w:val="00F261C3"/>
    <w:rsid w:val="00F262E4"/>
    <w:rsid w:val="00F264CF"/>
    <w:rsid w:val="00F26610"/>
    <w:rsid w:val="00F2661B"/>
    <w:rsid w:val="00F26676"/>
    <w:rsid w:val="00F26A6C"/>
    <w:rsid w:val="00F26CCC"/>
    <w:rsid w:val="00F26CFA"/>
    <w:rsid w:val="00F26D1F"/>
    <w:rsid w:val="00F26DEE"/>
    <w:rsid w:val="00F26F7A"/>
    <w:rsid w:val="00F2714C"/>
    <w:rsid w:val="00F27261"/>
    <w:rsid w:val="00F27477"/>
    <w:rsid w:val="00F2749A"/>
    <w:rsid w:val="00F2771E"/>
    <w:rsid w:val="00F2777F"/>
    <w:rsid w:val="00F27A26"/>
    <w:rsid w:val="00F27AB4"/>
    <w:rsid w:val="00F27AEF"/>
    <w:rsid w:val="00F27BB4"/>
    <w:rsid w:val="00F27C12"/>
    <w:rsid w:val="00F27E9C"/>
    <w:rsid w:val="00F27F4B"/>
    <w:rsid w:val="00F27F65"/>
    <w:rsid w:val="00F30164"/>
    <w:rsid w:val="00F30217"/>
    <w:rsid w:val="00F30241"/>
    <w:rsid w:val="00F30330"/>
    <w:rsid w:val="00F3049C"/>
    <w:rsid w:val="00F30507"/>
    <w:rsid w:val="00F30649"/>
    <w:rsid w:val="00F306FE"/>
    <w:rsid w:val="00F30838"/>
    <w:rsid w:val="00F30A4D"/>
    <w:rsid w:val="00F30AA6"/>
    <w:rsid w:val="00F30E40"/>
    <w:rsid w:val="00F30E4C"/>
    <w:rsid w:val="00F3118E"/>
    <w:rsid w:val="00F311F2"/>
    <w:rsid w:val="00F31221"/>
    <w:rsid w:val="00F31378"/>
    <w:rsid w:val="00F313A1"/>
    <w:rsid w:val="00F313E6"/>
    <w:rsid w:val="00F314EB"/>
    <w:rsid w:val="00F31561"/>
    <w:rsid w:val="00F31817"/>
    <w:rsid w:val="00F31847"/>
    <w:rsid w:val="00F3185C"/>
    <w:rsid w:val="00F318DF"/>
    <w:rsid w:val="00F3191B"/>
    <w:rsid w:val="00F31985"/>
    <w:rsid w:val="00F319EB"/>
    <w:rsid w:val="00F31A6F"/>
    <w:rsid w:val="00F31A87"/>
    <w:rsid w:val="00F31AAB"/>
    <w:rsid w:val="00F31C1F"/>
    <w:rsid w:val="00F31C40"/>
    <w:rsid w:val="00F31F4C"/>
    <w:rsid w:val="00F31F6D"/>
    <w:rsid w:val="00F31F96"/>
    <w:rsid w:val="00F320BF"/>
    <w:rsid w:val="00F32171"/>
    <w:rsid w:val="00F3219A"/>
    <w:rsid w:val="00F3240A"/>
    <w:rsid w:val="00F3254A"/>
    <w:rsid w:val="00F3255D"/>
    <w:rsid w:val="00F327CE"/>
    <w:rsid w:val="00F32916"/>
    <w:rsid w:val="00F32923"/>
    <w:rsid w:val="00F329FB"/>
    <w:rsid w:val="00F32A1D"/>
    <w:rsid w:val="00F32A64"/>
    <w:rsid w:val="00F32B01"/>
    <w:rsid w:val="00F32C18"/>
    <w:rsid w:val="00F32C34"/>
    <w:rsid w:val="00F32C4A"/>
    <w:rsid w:val="00F32D9A"/>
    <w:rsid w:val="00F32E49"/>
    <w:rsid w:val="00F32E5D"/>
    <w:rsid w:val="00F3308F"/>
    <w:rsid w:val="00F330A6"/>
    <w:rsid w:val="00F331CB"/>
    <w:rsid w:val="00F332EE"/>
    <w:rsid w:val="00F333DA"/>
    <w:rsid w:val="00F333E0"/>
    <w:rsid w:val="00F33486"/>
    <w:rsid w:val="00F3353A"/>
    <w:rsid w:val="00F33606"/>
    <w:rsid w:val="00F337C2"/>
    <w:rsid w:val="00F337FA"/>
    <w:rsid w:val="00F3387B"/>
    <w:rsid w:val="00F339A6"/>
    <w:rsid w:val="00F33C67"/>
    <w:rsid w:val="00F33E3D"/>
    <w:rsid w:val="00F33E98"/>
    <w:rsid w:val="00F34048"/>
    <w:rsid w:val="00F34188"/>
    <w:rsid w:val="00F341AC"/>
    <w:rsid w:val="00F34459"/>
    <w:rsid w:val="00F344EF"/>
    <w:rsid w:val="00F34566"/>
    <w:rsid w:val="00F34622"/>
    <w:rsid w:val="00F34633"/>
    <w:rsid w:val="00F347CA"/>
    <w:rsid w:val="00F347EB"/>
    <w:rsid w:val="00F34A3E"/>
    <w:rsid w:val="00F34A85"/>
    <w:rsid w:val="00F34BE4"/>
    <w:rsid w:val="00F34E71"/>
    <w:rsid w:val="00F34EAD"/>
    <w:rsid w:val="00F34F34"/>
    <w:rsid w:val="00F34FB4"/>
    <w:rsid w:val="00F34FB6"/>
    <w:rsid w:val="00F351D4"/>
    <w:rsid w:val="00F351F4"/>
    <w:rsid w:val="00F35291"/>
    <w:rsid w:val="00F35293"/>
    <w:rsid w:val="00F3529D"/>
    <w:rsid w:val="00F352D5"/>
    <w:rsid w:val="00F35890"/>
    <w:rsid w:val="00F358F7"/>
    <w:rsid w:val="00F35967"/>
    <w:rsid w:val="00F35C88"/>
    <w:rsid w:val="00F35CFD"/>
    <w:rsid w:val="00F361BD"/>
    <w:rsid w:val="00F361F9"/>
    <w:rsid w:val="00F366E6"/>
    <w:rsid w:val="00F36789"/>
    <w:rsid w:val="00F3678F"/>
    <w:rsid w:val="00F367AB"/>
    <w:rsid w:val="00F367E8"/>
    <w:rsid w:val="00F36A57"/>
    <w:rsid w:val="00F36DD7"/>
    <w:rsid w:val="00F36EF4"/>
    <w:rsid w:val="00F36F01"/>
    <w:rsid w:val="00F36F6B"/>
    <w:rsid w:val="00F3727D"/>
    <w:rsid w:val="00F37979"/>
    <w:rsid w:val="00F37A0B"/>
    <w:rsid w:val="00F37B19"/>
    <w:rsid w:val="00F37E42"/>
    <w:rsid w:val="00F37EB7"/>
    <w:rsid w:val="00F37EF3"/>
    <w:rsid w:val="00F37FA9"/>
    <w:rsid w:val="00F40231"/>
    <w:rsid w:val="00F402CF"/>
    <w:rsid w:val="00F402DD"/>
    <w:rsid w:val="00F4034B"/>
    <w:rsid w:val="00F40381"/>
    <w:rsid w:val="00F40404"/>
    <w:rsid w:val="00F407EA"/>
    <w:rsid w:val="00F407FD"/>
    <w:rsid w:val="00F40844"/>
    <w:rsid w:val="00F40971"/>
    <w:rsid w:val="00F40B2B"/>
    <w:rsid w:val="00F40E44"/>
    <w:rsid w:val="00F40E85"/>
    <w:rsid w:val="00F40E92"/>
    <w:rsid w:val="00F40EFF"/>
    <w:rsid w:val="00F40F9F"/>
    <w:rsid w:val="00F40FAD"/>
    <w:rsid w:val="00F40FBE"/>
    <w:rsid w:val="00F41206"/>
    <w:rsid w:val="00F413AE"/>
    <w:rsid w:val="00F41407"/>
    <w:rsid w:val="00F41478"/>
    <w:rsid w:val="00F4149B"/>
    <w:rsid w:val="00F4157C"/>
    <w:rsid w:val="00F4168D"/>
    <w:rsid w:val="00F41797"/>
    <w:rsid w:val="00F418A5"/>
    <w:rsid w:val="00F418C7"/>
    <w:rsid w:val="00F4194B"/>
    <w:rsid w:val="00F41996"/>
    <w:rsid w:val="00F419AF"/>
    <w:rsid w:val="00F41A01"/>
    <w:rsid w:val="00F41B1D"/>
    <w:rsid w:val="00F41C21"/>
    <w:rsid w:val="00F41D42"/>
    <w:rsid w:val="00F420C3"/>
    <w:rsid w:val="00F420EB"/>
    <w:rsid w:val="00F42430"/>
    <w:rsid w:val="00F427DD"/>
    <w:rsid w:val="00F428EE"/>
    <w:rsid w:val="00F42A0A"/>
    <w:rsid w:val="00F42B61"/>
    <w:rsid w:val="00F42BCF"/>
    <w:rsid w:val="00F42CD5"/>
    <w:rsid w:val="00F42DCA"/>
    <w:rsid w:val="00F42DFD"/>
    <w:rsid w:val="00F42E20"/>
    <w:rsid w:val="00F42FA5"/>
    <w:rsid w:val="00F43188"/>
    <w:rsid w:val="00F431E8"/>
    <w:rsid w:val="00F431F3"/>
    <w:rsid w:val="00F431F6"/>
    <w:rsid w:val="00F43223"/>
    <w:rsid w:val="00F4323F"/>
    <w:rsid w:val="00F4324E"/>
    <w:rsid w:val="00F433C7"/>
    <w:rsid w:val="00F43655"/>
    <w:rsid w:val="00F436C1"/>
    <w:rsid w:val="00F4372C"/>
    <w:rsid w:val="00F43A7F"/>
    <w:rsid w:val="00F43B8A"/>
    <w:rsid w:val="00F43E4D"/>
    <w:rsid w:val="00F43F9F"/>
    <w:rsid w:val="00F442DC"/>
    <w:rsid w:val="00F443C0"/>
    <w:rsid w:val="00F4458D"/>
    <w:rsid w:val="00F4486C"/>
    <w:rsid w:val="00F44899"/>
    <w:rsid w:val="00F4490F"/>
    <w:rsid w:val="00F449C0"/>
    <w:rsid w:val="00F44BCF"/>
    <w:rsid w:val="00F44CBF"/>
    <w:rsid w:val="00F44CD1"/>
    <w:rsid w:val="00F45111"/>
    <w:rsid w:val="00F45207"/>
    <w:rsid w:val="00F45471"/>
    <w:rsid w:val="00F454AB"/>
    <w:rsid w:val="00F454DD"/>
    <w:rsid w:val="00F4559B"/>
    <w:rsid w:val="00F455A1"/>
    <w:rsid w:val="00F4566C"/>
    <w:rsid w:val="00F456E7"/>
    <w:rsid w:val="00F45832"/>
    <w:rsid w:val="00F45910"/>
    <w:rsid w:val="00F45961"/>
    <w:rsid w:val="00F45B2F"/>
    <w:rsid w:val="00F45B36"/>
    <w:rsid w:val="00F45CB9"/>
    <w:rsid w:val="00F45DCC"/>
    <w:rsid w:val="00F45E37"/>
    <w:rsid w:val="00F45F00"/>
    <w:rsid w:val="00F461B6"/>
    <w:rsid w:val="00F461FA"/>
    <w:rsid w:val="00F462D9"/>
    <w:rsid w:val="00F4630A"/>
    <w:rsid w:val="00F465DE"/>
    <w:rsid w:val="00F46604"/>
    <w:rsid w:val="00F46752"/>
    <w:rsid w:val="00F46762"/>
    <w:rsid w:val="00F46986"/>
    <w:rsid w:val="00F46BC6"/>
    <w:rsid w:val="00F46D42"/>
    <w:rsid w:val="00F46EB2"/>
    <w:rsid w:val="00F46FBF"/>
    <w:rsid w:val="00F4707A"/>
    <w:rsid w:val="00F470F3"/>
    <w:rsid w:val="00F47141"/>
    <w:rsid w:val="00F47226"/>
    <w:rsid w:val="00F47391"/>
    <w:rsid w:val="00F473C5"/>
    <w:rsid w:val="00F47400"/>
    <w:rsid w:val="00F47673"/>
    <w:rsid w:val="00F4784E"/>
    <w:rsid w:val="00F47954"/>
    <w:rsid w:val="00F479D8"/>
    <w:rsid w:val="00F47B38"/>
    <w:rsid w:val="00F47C96"/>
    <w:rsid w:val="00F47CA8"/>
    <w:rsid w:val="00F47D06"/>
    <w:rsid w:val="00F47E47"/>
    <w:rsid w:val="00F47EB0"/>
    <w:rsid w:val="00F47FF2"/>
    <w:rsid w:val="00F50003"/>
    <w:rsid w:val="00F501D3"/>
    <w:rsid w:val="00F50344"/>
    <w:rsid w:val="00F503D7"/>
    <w:rsid w:val="00F503E9"/>
    <w:rsid w:val="00F50459"/>
    <w:rsid w:val="00F50478"/>
    <w:rsid w:val="00F5064D"/>
    <w:rsid w:val="00F506A8"/>
    <w:rsid w:val="00F507A0"/>
    <w:rsid w:val="00F507C3"/>
    <w:rsid w:val="00F50B7F"/>
    <w:rsid w:val="00F50C1A"/>
    <w:rsid w:val="00F50CCA"/>
    <w:rsid w:val="00F50D07"/>
    <w:rsid w:val="00F50DD2"/>
    <w:rsid w:val="00F50E49"/>
    <w:rsid w:val="00F5107E"/>
    <w:rsid w:val="00F51147"/>
    <w:rsid w:val="00F511C9"/>
    <w:rsid w:val="00F511D6"/>
    <w:rsid w:val="00F511E2"/>
    <w:rsid w:val="00F51499"/>
    <w:rsid w:val="00F514A0"/>
    <w:rsid w:val="00F514E1"/>
    <w:rsid w:val="00F515DC"/>
    <w:rsid w:val="00F5176A"/>
    <w:rsid w:val="00F5177A"/>
    <w:rsid w:val="00F51B19"/>
    <w:rsid w:val="00F51B3C"/>
    <w:rsid w:val="00F51D5A"/>
    <w:rsid w:val="00F51E64"/>
    <w:rsid w:val="00F521A6"/>
    <w:rsid w:val="00F522C6"/>
    <w:rsid w:val="00F52426"/>
    <w:rsid w:val="00F5247E"/>
    <w:rsid w:val="00F528B8"/>
    <w:rsid w:val="00F52919"/>
    <w:rsid w:val="00F52BA5"/>
    <w:rsid w:val="00F52BE7"/>
    <w:rsid w:val="00F52C5D"/>
    <w:rsid w:val="00F52C9F"/>
    <w:rsid w:val="00F52CAE"/>
    <w:rsid w:val="00F52EA5"/>
    <w:rsid w:val="00F530B5"/>
    <w:rsid w:val="00F532E5"/>
    <w:rsid w:val="00F5337A"/>
    <w:rsid w:val="00F535B5"/>
    <w:rsid w:val="00F5374D"/>
    <w:rsid w:val="00F538E8"/>
    <w:rsid w:val="00F53924"/>
    <w:rsid w:val="00F53AAF"/>
    <w:rsid w:val="00F53CB0"/>
    <w:rsid w:val="00F53CC0"/>
    <w:rsid w:val="00F53CD2"/>
    <w:rsid w:val="00F53D8D"/>
    <w:rsid w:val="00F53EA4"/>
    <w:rsid w:val="00F54079"/>
    <w:rsid w:val="00F54194"/>
    <w:rsid w:val="00F541FA"/>
    <w:rsid w:val="00F54380"/>
    <w:rsid w:val="00F543B6"/>
    <w:rsid w:val="00F5448C"/>
    <w:rsid w:val="00F545D7"/>
    <w:rsid w:val="00F5473A"/>
    <w:rsid w:val="00F5475B"/>
    <w:rsid w:val="00F54857"/>
    <w:rsid w:val="00F548FB"/>
    <w:rsid w:val="00F549A1"/>
    <w:rsid w:val="00F54BE6"/>
    <w:rsid w:val="00F54CAA"/>
    <w:rsid w:val="00F54E28"/>
    <w:rsid w:val="00F54E89"/>
    <w:rsid w:val="00F54F7E"/>
    <w:rsid w:val="00F55266"/>
    <w:rsid w:val="00F5527A"/>
    <w:rsid w:val="00F55355"/>
    <w:rsid w:val="00F55370"/>
    <w:rsid w:val="00F553BD"/>
    <w:rsid w:val="00F553D3"/>
    <w:rsid w:val="00F5549F"/>
    <w:rsid w:val="00F554B2"/>
    <w:rsid w:val="00F55511"/>
    <w:rsid w:val="00F555D9"/>
    <w:rsid w:val="00F556A6"/>
    <w:rsid w:val="00F556EC"/>
    <w:rsid w:val="00F5586A"/>
    <w:rsid w:val="00F55872"/>
    <w:rsid w:val="00F55B29"/>
    <w:rsid w:val="00F55BD6"/>
    <w:rsid w:val="00F55C14"/>
    <w:rsid w:val="00F55C68"/>
    <w:rsid w:val="00F55DA5"/>
    <w:rsid w:val="00F55F96"/>
    <w:rsid w:val="00F55F97"/>
    <w:rsid w:val="00F55FA0"/>
    <w:rsid w:val="00F560EE"/>
    <w:rsid w:val="00F56193"/>
    <w:rsid w:val="00F56375"/>
    <w:rsid w:val="00F563E3"/>
    <w:rsid w:val="00F56661"/>
    <w:rsid w:val="00F56798"/>
    <w:rsid w:val="00F56AD8"/>
    <w:rsid w:val="00F56BFC"/>
    <w:rsid w:val="00F56E41"/>
    <w:rsid w:val="00F57210"/>
    <w:rsid w:val="00F57230"/>
    <w:rsid w:val="00F577F9"/>
    <w:rsid w:val="00F5794D"/>
    <w:rsid w:val="00F57974"/>
    <w:rsid w:val="00F57B5B"/>
    <w:rsid w:val="00F57CC8"/>
    <w:rsid w:val="00F57CF5"/>
    <w:rsid w:val="00F57F6D"/>
    <w:rsid w:val="00F6012D"/>
    <w:rsid w:val="00F6013F"/>
    <w:rsid w:val="00F602C6"/>
    <w:rsid w:val="00F60434"/>
    <w:rsid w:val="00F60577"/>
    <w:rsid w:val="00F605DE"/>
    <w:rsid w:val="00F60609"/>
    <w:rsid w:val="00F60636"/>
    <w:rsid w:val="00F606F2"/>
    <w:rsid w:val="00F6070A"/>
    <w:rsid w:val="00F608EF"/>
    <w:rsid w:val="00F609AB"/>
    <w:rsid w:val="00F60A4B"/>
    <w:rsid w:val="00F60DE7"/>
    <w:rsid w:val="00F60EBD"/>
    <w:rsid w:val="00F6105D"/>
    <w:rsid w:val="00F61121"/>
    <w:rsid w:val="00F611E3"/>
    <w:rsid w:val="00F6129F"/>
    <w:rsid w:val="00F61541"/>
    <w:rsid w:val="00F61547"/>
    <w:rsid w:val="00F6157E"/>
    <w:rsid w:val="00F61722"/>
    <w:rsid w:val="00F618AB"/>
    <w:rsid w:val="00F6194F"/>
    <w:rsid w:val="00F61EFD"/>
    <w:rsid w:val="00F62039"/>
    <w:rsid w:val="00F620B2"/>
    <w:rsid w:val="00F62391"/>
    <w:rsid w:val="00F624FD"/>
    <w:rsid w:val="00F6259B"/>
    <w:rsid w:val="00F627F6"/>
    <w:rsid w:val="00F629D2"/>
    <w:rsid w:val="00F62B68"/>
    <w:rsid w:val="00F62D82"/>
    <w:rsid w:val="00F62E15"/>
    <w:rsid w:val="00F6304C"/>
    <w:rsid w:val="00F63090"/>
    <w:rsid w:val="00F632C0"/>
    <w:rsid w:val="00F632EF"/>
    <w:rsid w:val="00F635BD"/>
    <w:rsid w:val="00F6373F"/>
    <w:rsid w:val="00F63792"/>
    <w:rsid w:val="00F63C90"/>
    <w:rsid w:val="00F63CD1"/>
    <w:rsid w:val="00F63D3E"/>
    <w:rsid w:val="00F63DE2"/>
    <w:rsid w:val="00F64150"/>
    <w:rsid w:val="00F641CF"/>
    <w:rsid w:val="00F644EE"/>
    <w:rsid w:val="00F6453B"/>
    <w:rsid w:val="00F64670"/>
    <w:rsid w:val="00F647C5"/>
    <w:rsid w:val="00F64872"/>
    <w:rsid w:val="00F64918"/>
    <w:rsid w:val="00F64A4B"/>
    <w:rsid w:val="00F64FCC"/>
    <w:rsid w:val="00F6504B"/>
    <w:rsid w:val="00F6516B"/>
    <w:rsid w:val="00F65269"/>
    <w:rsid w:val="00F652E6"/>
    <w:rsid w:val="00F653F2"/>
    <w:rsid w:val="00F6542D"/>
    <w:rsid w:val="00F657E5"/>
    <w:rsid w:val="00F658B4"/>
    <w:rsid w:val="00F659B0"/>
    <w:rsid w:val="00F65D65"/>
    <w:rsid w:val="00F65D7D"/>
    <w:rsid w:val="00F65D8D"/>
    <w:rsid w:val="00F65F99"/>
    <w:rsid w:val="00F65FF6"/>
    <w:rsid w:val="00F66006"/>
    <w:rsid w:val="00F66048"/>
    <w:rsid w:val="00F660BF"/>
    <w:rsid w:val="00F66301"/>
    <w:rsid w:val="00F66311"/>
    <w:rsid w:val="00F6648D"/>
    <w:rsid w:val="00F6657C"/>
    <w:rsid w:val="00F667BE"/>
    <w:rsid w:val="00F668DC"/>
    <w:rsid w:val="00F668EF"/>
    <w:rsid w:val="00F66B6A"/>
    <w:rsid w:val="00F66D91"/>
    <w:rsid w:val="00F66DA0"/>
    <w:rsid w:val="00F671A7"/>
    <w:rsid w:val="00F672BF"/>
    <w:rsid w:val="00F6731E"/>
    <w:rsid w:val="00F673FC"/>
    <w:rsid w:val="00F674F1"/>
    <w:rsid w:val="00F675C4"/>
    <w:rsid w:val="00F67711"/>
    <w:rsid w:val="00F67726"/>
    <w:rsid w:val="00F6783D"/>
    <w:rsid w:val="00F67942"/>
    <w:rsid w:val="00F67B67"/>
    <w:rsid w:val="00F67C21"/>
    <w:rsid w:val="00F67C30"/>
    <w:rsid w:val="00F67F06"/>
    <w:rsid w:val="00F67F27"/>
    <w:rsid w:val="00F70169"/>
    <w:rsid w:val="00F70286"/>
    <w:rsid w:val="00F70309"/>
    <w:rsid w:val="00F703E1"/>
    <w:rsid w:val="00F70469"/>
    <w:rsid w:val="00F704A2"/>
    <w:rsid w:val="00F70697"/>
    <w:rsid w:val="00F707AE"/>
    <w:rsid w:val="00F70819"/>
    <w:rsid w:val="00F708F1"/>
    <w:rsid w:val="00F70BB2"/>
    <w:rsid w:val="00F70D8B"/>
    <w:rsid w:val="00F70EB0"/>
    <w:rsid w:val="00F71121"/>
    <w:rsid w:val="00F7116B"/>
    <w:rsid w:val="00F711DF"/>
    <w:rsid w:val="00F711EC"/>
    <w:rsid w:val="00F71415"/>
    <w:rsid w:val="00F71419"/>
    <w:rsid w:val="00F7144E"/>
    <w:rsid w:val="00F71509"/>
    <w:rsid w:val="00F71577"/>
    <w:rsid w:val="00F715F6"/>
    <w:rsid w:val="00F7166E"/>
    <w:rsid w:val="00F717CE"/>
    <w:rsid w:val="00F71863"/>
    <w:rsid w:val="00F718E5"/>
    <w:rsid w:val="00F718F3"/>
    <w:rsid w:val="00F719D4"/>
    <w:rsid w:val="00F71B7B"/>
    <w:rsid w:val="00F71C4F"/>
    <w:rsid w:val="00F71D0A"/>
    <w:rsid w:val="00F71F3B"/>
    <w:rsid w:val="00F71FE8"/>
    <w:rsid w:val="00F7202D"/>
    <w:rsid w:val="00F72313"/>
    <w:rsid w:val="00F72420"/>
    <w:rsid w:val="00F72436"/>
    <w:rsid w:val="00F72475"/>
    <w:rsid w:val="00F72785"/>
    <w:rsid w:val="00F7293A"/>
    <w:rsid w:val="00F729AC"/>
    <w:rsid w:val="00F72A12"/>
    <w:rsid w:val="00F72A43"/>
    <w:rsid w:val="00F72B83"/>
    <w:rsid w:val="00F72BE6"/>
    <w:rsid w:val="00F72C9B"/>
    <w:rsid w:val="00F72D6A"/>
    <w:rsid w:val="00F73008"/>
    <w:rsid w:val="00F7335B"/>
    <w:rsid w:val="00F734AE"/>
    <w:rsid w:val="00F73620"/>
    <w:rsid w:val="00F736A1"/>
    <w:rsid w:val="00F737DF"/>
    <w:rsid w:val="00F737F2"/>
    <w:rsid w:val="00F73898"/>
    <w:rsid w:val="00F73938"/>
    <w:rsid w:val="00F73AC2"/>
    <w:rsid w:val="00F73B7F"/>
    <w:rsid w:val="00F73B97"/>
    <w:rsid w:val="00F73CB7"/>
    <w:rsid w:val="00F73E8F"/>
    <w:rsid w:val="00F73FC3"/>
    <w:rsid w:val="00F7421C"/>
    <w:rsid w:val="00F7449F"/>
    <w:rsid w:val="00F7455F"/>
    <w:rsid w:val="00F74675"/>
    <w:rsid w:val="00F74867"/>
    <w:rsid w:val="00F7489C"/>
    <w:rsid w:val="00F74918"/>
    <w:rsid w:val="00F7497C"/>
    <w:rsid w:val="00F74A37"/>
    <w:rsid w:val="00F74A63"/>
    <w:rsid w:val="00F74D0E"/>
    <w:rsid w:val="00F74DFD"/>
    <w:rsid w:val="00F74F5F"/>
    <w:rsid w:val="00F75004"/>
    <w:rsid w:val="00F750B0"/>
    <w:rsid w:val="00F750C6"/>
    <w:rsid w:val="00F75279"/>
    <w:rsid w:val="00F753BA"/>
    <w:rsid w:val="00F75590"/>
    <w:rsid w:val="00F75AD3"/>
    <w:rsid w:val="00F75CA3"/>
    <w:rsid w:val="00F75D36"/>
    <w:rsid w:val="00F75FB6"/>
    <w:rsid w:val="00F76031"/>
    <w:rsid w:val="00F76103"/>
    <w:rsid w:val="00F76180"/>
    <w:rsid w:val="00F762AC"/>
    <w:rsid w:val="00F762F1"/>
    <w:rsid w:val="00F76549"/>
    <w:rsid w:val="00F765F7"/>
    <w:rsid w:val="00F766AB"/>
    <w:rsid w:val="00F76797"/>
    <w:rsid w:val="00F76896"/>
    <w:rsid w:val="00F769AA"/>
    <w:rsid w:val="00F76B33"/>
    <w:rsid w:val="00F76BFB"/>
    <w:rsid w:val="00F76CB0"/>
    <w:rsid w:val="00F76CC4"/>
    <w:rsid w:val="00F76D04"/>
    <w:rsid w:val="00F76DC0"/>
    <w:rsid w:val="00F76E17"/>
    <w:rsid w:val="00F76EA4"/>
    <w:rsid w:val="00F76F82"/>
    <w:rsid w:val="00F76F86"/>
    <w:rsid w:val="00F7700C"/>
    <w:rsid w:val="00F77041"/>
    <w:rsid w:val="00F7719F"/>
    <w:rsid w:val="00F7732E"/>
    <w:rsid w:val="00F776C0"/>
    <w:rsid w:val="00F777DC"/>
    <w:rsid w:val="00F778AF"/>
    <w:rsid w:val="00F77A45"/>
    <w:rsid w:val="00F77ABC"/>
    <w:rsid w:val="00F77D6C"/>
    <w:rsid w:val="00F77E87"/>
    <w:rsid w:val="00F77ECF"/>
    <w:rsid w:val="00F77F1D"/>
    <w:rsid w:val="00F77F6F"/>
    <w:rsid w:val="00F77FB1"/>
    <w:rsid w:val="00F8000C"/>
    <w:rsid w:val="00F8000D"/>
    <w:rsid w:val="00F80197"/>
    <w:rsid w:val="00F80248"/>
    <w:rsid w:val="00F803BD"/>
    <w:rsid w:val="00F8056D"/>
    <w:rsid w:val="00F8062A"/>
    <w:rsid w:val="00F806B4"/>
    <w:rsid w:val="00F806DA"/>
    <w:rsid w:val="00F80830"/>
    <w:rsid w:val="00F809CD"/>
    <w:rsid w:val="00F80ABD"/>
    <w:rsid w:val="00F80AE9"/>
    <w:rsid w:val="00F80BAF"/>
    <w:rsid w:val="00F80CB4"/>
    <w:rsid w:val="00F80CD0"/>
    <w:rsid w:val="00F810BE"/>
    <w:rsid w:val="00F8120D"/>
    <w:rsid w:val="00F81483"/>
    <w:rsid w:val="00F814A0"/>
    <w:rsid w:val="00F81500"/>
    <w:rsid w:val="00F816BA"/>
    <w:rsid w:val="00F81756"/>
    <w:rsid w:val="00F818D7"/>
    <w:rsid w:val="00F81925"/>
    <w:rsid w:val="00F81B5E"/>
    <w:rsid w:val="00F81C2E"/>
    <w:rsid w:val="00F81C42"/>
    <w:rsid w:val="00F81D7B"/>
    <w:rsid w:val="00F81D9A"/>
    <w:rsid w:val="00F81E55"/>
    <w:rsid w:val="00F8216C"/>
    <w:rsid w:val="00F82228"/>
    <w:rsid w:val="00F825D2"/>
    <w:rsid w:val="00F827B8"/>
    <w:rsid w:val="00F8295A"/>
    <w:rsid w:val="00F8296D"/>
    <w:rsid w:val="00F829C3"/>
    <w:rsid w:val="00F82A4F"/>
    <w:rsid w:val="00F82BE2"/>
    <w:rsid w:val="00F82C41"/>
    <w:rsid w:val="00F82D10"/>
    <w:rsid w:val="00F82E3F"/>
    <w:rsid w:val="00F82F5B"/>
    <w:rsid w:val="00F82F69"/>
    <w:rsid w:val="00F82FF1"/>
    <w:rsid w:val="00F8303E"/>
    <w:rsid w:val="00F830F2"/>
    <w:rsid w:val="00F833C3"/>
    <w:rsid w:val="00F8347C"/>
    <w:rsid w:val="00F834C8"/>
    <w:rsid w:val="00F83730"/>
    <w:rsid w:val="00F837D4"/>
    <w:rsid w:val="00F83A50"/>
    <w:rsid w:val="00F83A5D"/>
    <w:rsid w:val="00F83C82"/>
    <w:rsid w:val="00F83DAD"/>
    <w:rsid w:val="00F83DC0"/>
    <w:rsid w:val="00F83E13"/>
    <w:rsid w:val="00F840D7"/>
    <w:rsid w:val="00F841CA"/>
    <w:rsid w:val="00F84210"/>
    <w:rsid w:val="00F843F8"/>
    <w:rsid w:val="00F84583"/>
    <w:rsid w:val="00F8463C"/>
    <w:rsid w:val="00F8482A"/>
    <w:rsid w:val="00F8487D"/>
    <w:rsid w:val="00F84896"/>
    <w:rsid w:val="00F84A9B"/>
    <w:rsid w:val="00F84BBE"/>
    <w:rsid w:val="00F84C5F"/>
    <w:rsid w:val="00F84D67"/>
    <w:rsid w:val="00F84D68"/>
    <w:rsid w:val="00F84D7B"/>
    <w:rsid w:val="00F84E7D"/>
    <w:rsid w:val="00F84EBB"/>
    <w:rsid w:val="00F84F35"/>
    <w:rsid w:val="00F85012"/>
    <w:rsid w:val="00F85212"/>
    <w:rsid w:val="00F85254"/>
    <w:rsid w:val="00F85329"/>
    <w:rsid w:val="00F85407"/>
    <w:rsid w:val="00F85793"/>
    <w:rsid w:val="00F857B5"/>
    <w:rsid w:val="00F857F7"/>
    <w:rsid w:val="00F85961"/>
    <w:rsid w:val="00F859A4"/>
    <w:rsid w:val="00F85AB2"/>
    <w:rsid w:val="00F85C4C"/>
    <w:rsid w:val="00F85CB8"/>
    <w:rsid w:val="00F85CDB"/>
    <w:rsid w:val="00F85DE0"/>
    <w:rsid w:val="00F85E3F"/>
    <w:rsid w:val="00F85F19"/>
    <w:rsid w:val="00F86006"/>
    <w:rsid w:val="00F86041"/>
    <w:rsid w:val="00F860E8"/>
    <w:rsid w:val="00F86269"/>
    <w:rsid w:val="00F863AA"/>
    <w:rsid w:val="00F86460"/>
    <w:rsid w:val="00F8670F"/>
    <w:rsid w:val="00F867BB"/>
    <w:rsid w:val="00F86A60"/>
    <w:rsid w:val="00F86AC8"/>
    <w:rsid w:val="00F86B0B"/>
    <w:rsid w:val="00F86B2F"/>
    <w:rsid w:val="00F86B6D"/>
    <w:rsid w:val="00F86B7E"/>
    <w:rsid w:val="00F86B9E"/>
    <w:rsid w:val="00F86C11"/>
    <w:rsid w:val="00F86CCC"/>
    <w:rsid w:val="00F87113"/>
    <w:rsid w:val="00F8729D"/>
    <w:rsid w:val="00F87634"/>
    <w:rsid w:val="00F8767B"/>
    <w:rsid w:val="00F87702"/>
    <w:rsid w:val="00F877D8"/>
    <w:rsid w:val="00F87802"/>
    <w:rsid w:val="00F87880"/>
    <w:rsid w:val="00F87A27"/>
    <w:rsid w:val="00F87A68"/>
    <w:rsid w:val="00F87A79"/>
    <w:rsid w:val="00F87AA4"/>
    <w:rsid w:val="00F87B17"/>
    <w:rsid w:val="00F87BBF"/>
    <w:rsid w:val="00F87D1B"/>
    <w:rsid w:val="00F87E5C"/>
    <w:rsid w:val="00F87EBE"/>
    <w:rsid w:val="00F87F1D"/>
    <w:rsid w:val="00F87F8C"/>
    <w:rsid w:val="00F87F99"/>
    <w:rsid w:val="00F9002F"/>
    <w:rsid w:val="00F90210"/>
    <w:rsid w:val="00F902EC"/>
    <w:rsid w:val="00F9036C"/>
    <w:rsid w:val="00F90389"/>
    <w:rsid w:val="00F905D7"/>
    <w:rsid w:val="00F905E4"/>
    <w:rsid w:val="00F9064D"/>
    <w:rsid w:val="00F906C2"/>
    <w:rsid w:val="00F9078C"/>
    <w:rsid w:val="00F907CE"/>
    <w:rsid w:val="00F908E0"/>
    <w:rsid w:val="00F90AD5"/>
    <w:rsid w:val="00F90EFE"/>
    <w:rsid w:val="00F90FB8"/>
    <w:rsid w:val="00F91119"/>
    <w:rsid w:val="00F917B3"/>
    <w:rsid w:val="00F9184C"/>
    <w:rsid w:val="00F918A8"/>
    <w:rsid w:val="00F918F0"/>
    <w:rsid w:val="00F91949"/>
    <w:rsid w:val="00F91A4A"/>
    <w:rsid w:val="00F91B6B"/>
    <w:rsid w:val="00F91D9B"/>
    <w:rsid w:val="00F91F13"/>
    <w:rsid w:val="00F92028"/>
    <w:rsid w:val="00F9204E"/>
    <w:rsid w:val="00F92236"/>
    <w:rsid w:val="00F92292"/>
    <w:rsid w:val="00F923B0"/>
    <w:rsid w:val="00F92688"/>
    <w:rsid w:val="00F92710"/>
    <w:rsid w:val="00F92754"/>
    <w:rsid w:val="00F92806"/>
    <w:rsid w:val="00F92882"/>
    <w:rsid w:val="00F928DB"/>
    <w:rsid w:val="00F92C1E"/>
    <w:rsid w:val="00F92DE3"/>
    <w:rsid w:val="00F92EB8"/>
    <w:rsid w:val="00F92EC3"/>
    <w:rsid w:val="00F930C8"/>
    <w:rsid w:val="00F931E3"/>
    <w:rsid w:val="00F93251"/>
    <w:rsid w:val="00F93310"/>
    <w:rsid w:val="00F9331C"/>
    <w:rsid w:val="00F933F2"/>
    <w:rsid w:val="00F93475"/>
    <w:rsid w:val="00F9349B"/>
    <w:rsid w:val="00F93537"/>
    <w:rsid w:val="00F93576"/>
    <w:rsid w:val="00F93977"/>
    <w:rsid w:val="00F939DE"/>
    <w:rsid w:val="00F93A56"/>
    <w:rsid w:val="00F93ACF"/>
    <w:rsid w:val="00F93ADC"/>
    <w:rsid w:val="00F93E2F"/>
    <w:rsid w:val="00F9404C"/>
    <w:rsid w:val="00F94091"/>
    <w:rsid w:val="00F942A9"/>
    <w:rsid w:val="00F942BF"/>
    <w:rsid w:val="00F94592"/>
    <w:rsid w:val="00F94A22"/>
    <w:rsid w:val="00F94A73"/>
    <w:rsid w:val="00F94C8B"/>
    <w:rsid w:val="00F94ED1"/>
    <w:rsid w:val="00F94F17"/>
    <w:rsid w:val="00F94FD6"/>
    <w:rsid w:val="00F9501B"/>
    <w:rsid w:val="00F95302"/>
    <w:rsid w:val="00F953AD"/>
    <w:rsid w:val="00F953C5"/>
    <w:rsid w:val="00F9544E"/>
    <w:rsid w:val="00F9547C"/>
    <w:rsid w:val="00F95658"/>
    <w:rsid w:val="00F95808"/>
    <w:rsid w:val="00F95ACE"/>
    <w:rsid w:val="00F95C7D"/>
    <w:rsid w:val="00F95F3F"/>
    <w:rsid w:val="00F96010"/>
    <w:rsid w:val="00F96249"/>
    <w:rsid w:val="00F96310"/>
    <w:rsid w:val="00F9653D"/>
    <w:rsid w:val="00F9662D"/>
    <w:rsid w:val="00F966A0"/>
    <w:rsid w:val="00F9674B"/>
    <w:rsid w:val="00F967DA"/>
    <w:rsid w:val="00F96919"/>
    <w:rsid w:val="00F969AA"/>
    <w:rsid w:val="00F96B35"/>
    <w:rsid w:val="00F96B5E"/>
    <w:rsid w:val="00F96B75"/>
    <w:rsid w:val="00F96B85"/>
    <w:rsid w:val="00F96B8C"/>
    <w:rsid w:val="00F96B94"/>
    <w:rsid w:val="00F96C78"/>
    <w:rsid w:val="00F96D3A"/>
    <w:rsid w:val="00F96EA8"/>
    <w:rsid w:val="00F96FCC"/>
    <w:rsid w:val="00F970F6"/>
    <w:rsid w:val="00F9727B"/>
    <w:rsid w:val="00F9756F"/>
    <w:rsid w:val="00F975D1"/>
    <w:rsid w:val="00F97750"/>
    <w:rsid w:val="00F977CF"/>
    <w:rsid w:val="00F977DD"/>
    <w:rsid w:val="00F97818"/>
    <w:rsid w:val="00F978A0"/>
    <w:rsid w:val="00F97D75"/>
    <w:rsid w:val="00F97DB3"/>
    <w:rsid w:val="00F97DE4"/>
    <w:rsid w:val="00F97FF1"/>
    <w:rsid w:val="00FA0269"/>
    <w:rsid w:val="00FA033B"/>
    <w:rsid w:val="00FA0353"/>
    <w:rsid w:val="00FA045E"/>
    <w:rsid w:val="00FA0565"/>
    <w:rsid w:val="00FA056C"/>
    <w:rsid w:val="00FA068A"/>
    <w:rsid w:val="00FA0B74"/>
    <w:rsid w:val="00FA11BF"/>
    <w:rsid w:val="00FA14AE"/>
    <w:rsid w:val="00FA1691"/>
    <w:rsid w:val="00FA173E"/>
    <w:rsid w:val="00FA17C9"/>
    <w:rsid w:val="00FA186F"/>
    <w:rsid w:val="00FA1891"/>
    <w:rsid w:val="00FA18B7"/>
    <w:rsid w:val="00FA19AF"/>
    <w:rsid w:val="00FA19F3"/>
    <w:rsid w:val="00FA1A91"/>
    <w:rsid w:val="00FA1AA1"/>
    <w:rsid w:val="00FA1B01"/>
    <w:rsid w:val="00FA1BF2"/>
    <w:rsid w:val="00FA1C54"/>
    <w:rsid w:val="00FA20C4"/>
    <w:rsid w:val="00FA2311"/>
    <w:rsid w:val="00FA232E"/>
    <w:rsid w:val="00FA236F"/>
    <w:rsid w:val="00FA23E6"/>
    <w:rsid w:val="00FA248F"/>
    <w:rsid w:val="00FA27AA"/>
    <w:rsid w:val="00FA28D7"/>
    <w:rsid w:val="00FA28E4"/>
    <w:rsid w:val="00FA2A32"/>
    <w:rsid w:val="00FA2ADA"/>
    <w:rsid w:val="00FA2C03"/>
    <w:rsid w:val="00FA2D01"/>
    <w:rsid w:val="00FA2DF2"/>
    <w:rsid w:val="00FA34D5"/>
    <w:rsid w:val="00FA356C"/>
    <w:rsid w:val="00FA35E3"/>
    <w:rsid w:val="00FA3604"/>
    <w:rsid w:val="00FA373D"/>
    <w:rsid w:val="00FA37D7"/>
    <w:rsid w:val="00FA3A7E"/>
    <w:rsid w:val="00FA3A85"/>
    <w:rsid w:val="00FA3B43"/>
    <w:rsid w:val="00FA3BD9"/>
    <w:rsid w:val="00FA3D82"/>
    <w:rsid w:val="00FA3DD6"/>
    <w:rsid w:val="00FA3ECC"/>
    <w:rsid w:val="00FA3F65"/>
    <w:rsid w:val="00FA4077"/>
    <w:rsid w:val="00FA4096"/>
    <w:rsid w:val="00FA40C7"/>
    <w:rsid w:val="00FA410C"/>
    <w:rsid w:val="00FA425C"/>
    <w:rsid w:val="00FA429F"/>
    <w:rsid w:val="00FA42B0"/>
    <w:rsid w:val="00FA42EF"/>
    <w:rsid w:val="00FA4308"/>
    <w:rsid w:val="00FA4446"/>
    <w:rsid w:val="00FA449C"/>
    <w:rsid w:val="00FA45C5"/>
    <w:rsid w:val="00FA4606"/>
    <w:rsid w:val="00FA46B9"/>
    <w:rsid w:val="00FA46E8"/>
    <w:rsid w:val="00FA498E"/>
    <w:rsid w:val="00FA4A95"/>
    <w:rsid w:val="00FA4ADA"/>
    <w:rsid w:val="00FA4D11"/>
    <w:rsid w:val="00FA4E8A"/>
    <w:rsid w:val="00FA4EB7"/>
    <w:rsid w:val="00FA4F97"/>
    <w:rsid w:val="00FA5029"/>
    <w:rsid w:val="00FA5166"/>
    <w:rsid w:val="00FA5171"/>
    <w:rsid w:val="00FA53E7"/>
    <w:rsid w:val="00FA5513"/>
    <w:rsid w:val="00FA5624"/>
    <w:rsid w:val="00FA57FF"/>
    <w:rsid w:val="00FA599B"/>
    <w:rsid w:val="00FA5D31"/>
    <w:rsid w:val="00FA5D94"/>
    <w:rsid w:val="00FA5DF7"/>
    <w:rsid w:val="00FA5E46"/>
    <w:rsid w:val="00FA5FF5"/>
    <w:rsid w:val="00FA60F5"/>
    <w:rsid w:val="00FA61EF"/>
    <w:rsid w:val="00FA6252"/>
    <w:rsid w:val="00FA633C"/>
    <w:rsid w:val="00FA6357"/>
    <w:rsid w:val="00FA6424"/>
    <w:rsid w:val="00FA645E"/>
    <w:rsid w:val="00FA6587"/>
    <w:rsid w:val="00FA66E6"/>
    <w:rsid w:val="00FA6708"/>
    <w:rsid w:val="00FA68D9"/>
    <w:rsid w:val="00FA695C"/>
    <w:rsid w:val="00FA6A1D"/>
    <w:rsid w:val="00FA7054"/>
    <w:rsid w:val="00FA7237"/>
    <w:rsid w:val="00FA735B"/>
    <w:rsid w:val="00FA7464"/>
    <w:rsid w:val="00FA754F"/>
    <w:rsid w:val="00FA76F7"/>
    <w:rsid w:val="00FA778A"/>
    <w:rsid w:val="00FA7C52"/>
    <w:rsid w:val="00FA7D52"/>
    <w:rsid w:val="00FB0169"/>
    <w:rsid w:val="00FB01B0"/>
    <w:rsid w:val="00FB0394"/>
    <w:rsid w:val="00FB0519"/>
    <w:rsid w:val="00FB0521"/>
    <w:rsid w:val="00FB05FA"/>
    <w:rsid w:val="00FB06D1"/>
    <w:rsid w:val="00FB0787"/>
    <w:rsid w:val="00FB079E"/>
    <w:rsid w:val="00FB0828"/>
    <w:rsid w:val="00FB0976"/>
    <w:rsid w:val="00FB09DE"/>
    <w:rsid w:val="00FB09EE"/>
    <w:rsid w:val="00FB0C4E"/>
    <w:rsid w:val="00FB0E31"/>
    <w:rsid w:val="00FB0E6E"/>
    <w:rsid w:val="00FB0F41"/>
    <w:rsid w:val="00FB1191"/>
    <w:rsid w:val="00FB122A"/>
    <w:rsid w:val="00FB1286"/>
    <w:rsid w:val="00FB154F"/>
    <w:rsid w:val="00FB1685"/>
    <w:rsid w:val="00FB1851"/>
    <w:rsid w:val="00FB1954"/>
    <w:rsid w:val="00FB1D12"/>
    <w:rsid w:val="00FB1DA7"/>
    <w:rsid w:val="00FB1DD3"/>
    <w:rsid w:val="00FB1FBA"/>
    <w:rsid w:val="00FB1FE1"/>
    <w:rsid w:val="00FB2029"/>
    <w:rsid w:val="00FB213A"/>
    <w:rsid w:val="00FB22B1"/>
    <w:rsid w:val="00FB2357"/>
    <w:rsid w:val="00FB2362"/>
    <w:rsid w:val="00FB24BA"/>
    <w:rsid w:val="00FB260D"/>
    <w:rsid w:val="00FB2654"/>
    <w:rsid w:val="00FB27C7"/>
    <w:rsid w:val="00FB27CA"/>
    <w:rsid w:val="00FB28ED"/>
    <w:rsid w:val="00FB2BCD"/>
    <w:rsid w:val="00FB2C68"/>
    <w:rsid w:val="00FB2EAC"/>
    <w:rsid w:val="00FB2F62"/>
    <w:rsid w:val="00FB2FF8"/>
    <w:rsid w:val="00FB32DF"/>
    <w:rsid w:val="00FB34DE"/>
    <w:rsid w:val="00FB3522"/>
    <w:rsid w:val="00FB357C"/>
    <w:rsid w:val="00FB35B4"/>
    <w:rsid w:val="00FB3908"/>
    <w:rsid w:val="00FB3D84"/>
    <w:rsid w:val="00FB3ECB"/>
    <w:rsid w:val="00FB3F46"/>
    <w:rsid w:val="00FB4178"/>
    <w:rsid w:val="00FB437F"/>
    <w:rsid w:val="00FB4560"/>
    <w:rsid w:val="00FB4584"/>
    <w:rsid w:val="00FB4593"/>
    <w:rsid w:val="00FB48AE"/>
    <w:rsid w:val="00FB4921"/>
    <w:rsid w:val="00FB4925"/>
    <w:rsid w:val="00FB49A4"/>
    <w:rsid w:val="00FB4CC5"/>
    <w:rsid w:val="00FB4D1A"/>
    <w:rsid w:val="00FB4DB9"/>
    <w:rsid w:val="00FB4F14"/>
    <w:rsid w:val="00FB4FDB"/>
    <w:rsid w:val="00FB510B"/>
    <w:rsid w:val="00FB5121"/>
    <w:rsid w:val="00FB5230"/>
    <w:rsid w:val="00FB53E2"/>
    <w:rsid w:val="00FB5413"/>
    <w:rsid w:val="00FB57B1"/>
    <w:rsid w:val="00FB57BB"/>
    <w:rsid w:val="00FB5F21"/>
    <w:rsid w:val="00FB5FA8"/>
    <w:rsid w:val="00FB61BF"/>
    <w:rsid w:val="00FB61D5"/>
    <w:rsid w:val="00FB6217"/>
    <w:rsid w:val="00FB6261"/>
    <w:rsid w:val="00FB62FA"/>
    <w:rsid w:val="00FB64A3"/>
    <w:rsid w:val="00FB6684"/>
    <w:rsid w:val="00FB677B"/>
    <w:rsid w:val="00FB679B"/>
    <w:rsid w:val="00FB68BC"/>
    <w:rsid w:val="00FB6B1E"/>
    <w:rsid w:val="00FB6BC9"/>
    <w:rsid w:val="00FB6D07"/>
    <w:rsid w:val="00FB6D9A"/>
    <w:rsid w:val="00FB6E6C"/>
    <w:rsid w:val="00FB6E81"/>
    <w:rsid w:val="00FB734A"/>
    <w:rsid w:val="00FB7426"/>
    <w:rsid w:val="00FB7752"/>
    <w:rsid w:val="00FB779D"/>
    <w:rsid w:val="00FB780B"/>
    <w:rsid w:val="00FB7852"/>
    <w:rsid w:val="00FB79B1"/>
    <w:rsid w:val="00FB7B19"/>
    <w:rsid w:val="00FB7DB0"/>
    <w:rsid w:val="00FC0050"/>
    <w:rsid w:val="00FC02F9"/>
    <w:rsid w:val="00FC041C"/>
    <w:rsid w:val="00FC0844"/>
    <w:rsid w:val="00FC0852"/>
    <w:rsid w:val="00FC0914"/>
    <w:rsid w:val="00FC0A32"/>
    <w:rsid w:val="00FC0A40"/>
    <w:rsid w:val="00FC0CA4"/>
    <w:rsid w:val="00FC0E08"/>
    <w:rsid w:val="00FC10EE"/>
    <w:rsid w:val="00FC1142"/>
    <w:rsid w:val="00FC14F4"/>
    <w:rsid w:val="00FC1504"/>
    <w:rsid w:val="00FC166B"/>
    <w:rsid w:val="00FC168B"/>
    <w:rsid w:val="00FC174E"/>
    <w:rsid w:val="00FC17C7"/>
    <w:rsid w:val="00FC180A"/>
    <w:rsid w:val="00FC181B"/>
    <w:rsid w:val="00FC1923"/>
    <w:rsid w:val="00FC1968"/>
    <w:rsid w:val="00FC1A7B"/>
    <w:rsid w:val="00FC1B4F"/>
    <w:rsid w:val="00FC1B78"/>
    <w:rsid w:val="00FC1B84"/>
    <w:rsid w:val="00FC1EE3"/>
    <w:rsid w:val="00FC1F06"/>
    <w:rsid w:val="00FC1F0B"/>
    <w:rsid w:val="00FC2092"/>
    <w:rsid w:val="00FC20F2"/>
    <w:rsid w:val="00FC21F9"/>
    <w:rsid w:val="00FC22CF"/>
    <w:rsid w:val="00FC22D4"/>
    <w:rsid w:val="00FC239E"/>
    <w:rsid w:val="00FC2420"/>
    <w:rsid w:val="00FC24A9"/>
    <w:rsid w:val="00FC2682"/>
    <w:rsid w:val="00FC270A"/>
    <w:rsid w:val="00FC292B"/>
    <w:rsid w:val="00FC295D"/>
    <w:rsid w:val="00FC2B22"/>
    <w:rsid w:val="00FC2B59"/>
    <w:rsid w:val="00FC2C34"/>
    <w:rsid w:val="00FC2C5E"/>
    <w:rsid w:val="00FC2E20"/>
    <w:rsid w:val="00FC2FDC"/>
    <w:rsid w:val="00FC2FDF"/>
    <w:rsid w:val="00FC300C"/>
    <w:rsid w:val="00FC322E"/>
    <w:rsid w:val="00FC346E"/>
    <w:rsid w:val="00FC3657"/>
    <w:rsid w:val="00FC3830"/>
    <w:rsid w:val="00FC3900"/>
    <w:rsid w:val="00FC3A0D"/>
    <w:rsid w:val="00FC3A38"/>
    <w:rsid w:val="00FC3AEF"/>
    <w:rsid w:val="00FC3B0B"/>
    <w:rsid w:val="00FC3BE5"/>
    <w:rsid w:val="00FC3CF3"/>
    <w:rsid w:val="00FC3F1C"/>
    <w:rsid w:val="00FC3FC3"/>
    <w:rsid w:val="00FC4039"/>
    <w:rsid w:val="00FC4218"/>
    <w:rsid w:val="00FC4284"/>
    <w:rsid w:val="00FC43A1"/>
    <w:rsid w:val="00FC443F"/>
    <w:rsid w:val="00FC448F"/>
    <w:rsid w:val="00FC4556"/>
    <w:rsid w:val="00FC4670"/>
    <w:rsid w:val="00FC4721"/>
    <w:rsid w:val="00FC473F"/>
    <w:rsid w:val="00FC4818"/>
    <w:rsid w:val="00FC48F1"/>
    <w:rsid w:val="00FC4AA9"/>
    <w:rsid w:val="00FC4BC8"/>
    <w:rsid w:val="00FC4CD7"/>
    <w:rsid w:val="00FC4D1A"/>
    <w:rsid w:val="00FC4DB2"/>
    <w:rsid w:val="00FC4F4F"/>
    <w:rsid w:val="00FC525E"/>
    <w:rsid w:val="00FC53AB"/>
    <w:rsid w:val="00FC554B"/>
    <w:rsid w:val="00FC5561"/>
    <w:rsid w:val="00FC5699"/>
    <w:rsid w:val="00FC5861"/>
    <w:rsid w:val="00FC59A1"/>
    <w:rsid w:val="00FC5AD1"/>
    <w:rsid w:val="00FC5C3C"/>
    <w:rsid w:val="00FC5CBA"/>
    <w:rsid w:val="00FC5F67"/>
    <w:rsid w:val="00FC5FE9"/>
    <w:rsid w:val="00FC6098"/>
    <w:rsid w:val="00FC6170"/>
    <w:rsid w:val="00FC635C"/>
    <w:rsid w:val="00FC64BB"/>
    <w:rsid w:val="00FC65D8"/>
    <w:rsid w:val="00FC6629"/>
    <w:rsid w:val="00FC6779"/>
    <w:rsid w:val="00FC6878"/>
    <w:rsid w:val="00FC6959"/>
    <w:rsid w:val="00FC69E7"/>
    <w:rsid w:val="00FC6A41"/>
    <w:rsid w:val="00FC6A43"/>
    <w:rsid w:val="00FC6D45"/>
    <w:rsid w:val="00FC6D8F"/>
    <w:rsid w:val="00FC6E0D"/>
    <w:rsid w:val="00FC6F78"/>
    <w:rsid w:val="00FC70E5"/>
    <w:rsid w:val="00FC71D8"/>
    <w:rsid w:val="00FC72E8"/>
    <w:rsid w:val="00FC7434"/>
    <w:rsid w:val="00FC74B6"/>
    <w:rsid w:val="00FC74D1"/>
    <w:rsid w:val="00FC7684"/>
    <w:rsid w:val="00FC7A8E"/>
    <w:rsid w:val="00FC7AC3"/>
    <w:rsid w:val="00FC7B8D"/>
    <w:rsid w:val="00FC7C13"/>
    <w:rsid w:val="00FC7F32"/>
    <w:rsid w:val="00FC7F80"/>
    <w:rsid w:val="00FC7FA9"/>
    <w:rsid w:val="00FD006B"/>
    <w:rsid w:val="00FD0085"/>
    <w:rsid w:val="00FD00A3"/>
    <w:rsid w:val="00FD0179"/>
    <w:rsid w:val="00FD0236"/>
    <w:rsid w:val="00FD0639"/>
    <w:rsid w:val="00FD063B"/>
    <w:rsid w:val="00FD0769"/>
    <w:rsid w:val="00FD094A"/>
    <w:rsid w:val="00FD0ABF"/>
    <w:rsid w:val="00FD0ADC"/>
    <w:rsid w:val="00FD0BEB"/>
    <w:rsid w:val="00FD0C3F"/>
    <w:rsid w:val="00FD0CBE"/>
    <w:rsid w:val="00FD1158"/>
    <w:rsid w:val="00FD11A4"/>
    <w:rsid w:val="00FD124F"/>
    <w:rsid w:val="00FD1306"/>
    <w:rsid w:val="00FD1338"/>
    <w:rsid w:val="00FD137A"/>
    <w:rsid w:val="00FD16B3"/>
    <w:rsid w:val="00FD177A"/>
    <w:rsid w:val="00FD1844"/>
    <w:rsid w:val="00FD190F"/>
    <w:rsid w:val="00FD1A4E"/>
    <w:rsid w:val="00FD1AD8"/>
    <w:rsid w:val="00FD1B98"/>
    <w:rsid w:val="00FD1BF6"/>
    <w:rsid w:val="00FD1CA8"/>
    <w:rsid w:val="00FD1E07"/>
    <w:rsid w:val="00FD201C"/>
    <w:rsid w:val="00FD20AF"/>
    <w:rsid w:val="00FD230A"/>
    <w:rsid w:val="00FD230C"/>
    <w:rsid w:val="00FD233D"/>
    <w:rsid w:val="00FD2387"/>
    <w:rsid w:val="00FD243D"/>
    <w:rsid w:val="00FD25A3"/>
    <w:rsid w:val="00FD269D"/>
    <w:rsid w:val="00FD279B"/>
    <w:rsid w:val="00FD2912"/>
    <w:rsid w:val="00FD2952"/>
    <w:rsid w:val="00FD2A3E"/>
    <w:rsid w:val="00FD2B4B"/>
    <w:rsid w:val="00FD2C17"/>
    <w:rsid w:val="00FD2C77"/>
    <w:rsid w:val="00FD2CEC"/>
    <w:rsid w:val="00FD2F5B"/>
    <w:rsid w:val="00FD2FC8"/>
    <w:rsid w:val="00FD305E"/>
    <w:rsid w:val="00FD3222"/>
    <w:rsid w:val="00FD327E"/>
    <w:rsid w:val="00FD333C"/>
    <w:rsid w:val="00FD33AB"/>
    <w:rsid w:val="00FD3429"/>
    <w:rsid w:val="00FD345C"/>
    <w:rsid w:val="00FD351C"/>
    <w:rsid w:val="00FD356E"/>
    <w:rsid w:val="00FD36F8"/>
    <w:rsid w:val="00FD3703"/>
    <w:rsid w:val="00FD3742"/>
    <w:rsid w:val="00FD3791"/>
    <w:rsid w:val="00FD37FA"/>
    <w:rsid w:val="00FD387A"/>
    <w:rsid w:val="00FD38E7"/>
    <w:rsid w:val="00FD3A4B"/>
    <w:rsid w:val="00FD3A8C"/>
    <w:rsid w:val="00FD3AC6"/>
    <w:rsid w:val="00FD3D3B"/>
    <w:rsid w:val="00FD3D67"/>
    <w:rsid w:val="00FD3F22"/>
    <w:rsid w:val="00FD4047"/>
    <w:rsid w:val="00FD4123"/>
    <w:rsid w:val="00FD427E"/>
    <w:rsid w:val="00FD42A8"/>
    <w:rsid w:val="00FD44BA"/>
    <w:rsid w:val="00FD44FD"/>
    <w:rsid w:val="00FD4608"/>
    <w:rsid w:val="00FD47FC"/>
    <w:rsid w:val="00FD4843"/>
    <w:rsid w:val="00FD4A47"/>
    <w:rsid w:val="00FD4ACC"/>
    <w:rsid w:val="00FD4C37"/>
    <w:rsid w:val="00FD4D1B"/>
    <w:rsid w:val="00FD4D34"/>
    <w:rsid w:val="00FD4DAD"/>
    <w:rsid w:val="00FD4FDB"/>
    <w:rsid w:val="00FD505A"/>
    <w:rsid w:val="00FD515D"/>
    <w:rsid w:val="00FD516D"/>
    <w:rsid w:val="00FD5358"/>
    <w:rsid w:val="00FD55A6"/>
    <w:rsid w:val="00FD56C3"/>
    <w:rsid w:val="00FD56F6"/>
    <w:rsid w:val="00FD586E"/>
    <w:rsid w:val="00FD59C9"/>
    <w:rsid w:val="00FD59D8"/>
    <w:rsid w:val="00FD5B57"/>
    <w:rsid w:val="00FD5BDA"/>
    <w:rsid w:val="00FD5BE7"/>
    <w:rsid w:val="00FD5C6F"/>
    <w:rsid w:val="00FD5CE1"/>
    <w:rsid w:val="00FD5E45"/>
    <w:rsid w:val="00FD5E92"/>
    <w:rsid w:val="00FD6003"/>
    <w:rsid w:val="00FD6022"/>
    <w:rsid w:val="00FD6143"/>
    <w:rsid w:val="00FD6411"/>
    <w:rsid w:val="00FD64E2"/>
    <w:rsid w:val="00FD658A"/>
    <w:rsid w:val="00FD6630"/>
    <w:rsid w:val="00FD68B1"/>
    <w:rsid w:val="00FD68B6"/>
    <w:rsid w:val="00FD68C1"/>
    <w:rsid w:val="00FD6BF0"/>
    <w:rsid w:val="00FD6C4F"/>
    <w:rsid w:val="00FD6D35"/>
    <w:rsid w:val="00FD6EFB"/>
    <w:rsid w:val="00FD6F04"/>
    <w:rsid w:val="00FD70A3"/>
    <w:rsid w:val="00FD70A4"/>
    <w:rsid w:val="00FD716A"/>
    <w:rsid w:val="00FD7260"/>
    <w:rsid w:val="00FD7275"/>
    <w:rsid w:val="00FD7286"/>
    <w:rsid w:val="00FD737B"/>
    <w:rsid w:val="00FD7386"/>
    <w:rsid w:val="00FD73AB"/>
    <w:rsid w:val="00FD741A"/>
    <w:rsid w:val="00FD74F7"/>
    <w:rsid w:val="00FD7545"/>
    <w:rsid w:val="00FD75AD"/>
    <w:rsid w:val="00FD75B5"/>
    <w:rsid w:val="00FD75EC"/>
    <w:rsid w:val="00FD75F6"/>
    <w:rsid w:val="00FD7710"/>
    <w:rsid w:val="00FD772A"/>
    <w:rsid w:val="00FD78C4"/>
    <w:rsid w:val="00FD7A3F"/>
    <w:rsid w:val="00FD7BAF"/>
    <w:rsid w:val="00FD7BC6"/>
    <w:rsid w:val="00FD7CE3"/>
    <w:rsid w:val="00FD7D8C"/>
    <w:rsid w:val="00FE00C1"/>
    <w:rsid w:val="00FE00C5"/>
    <w:rsid w:val="00FE0136"/>
    <w:rsid w:val="00FE0316"/>
    <w:rsid w:val="00FE0452"/>
    <w:rsid w:val="00FE046A"/>
    <w:rsid w:val="00FE047D"/>
    <w:rsid w:val="00FE0480"/>
    <w:rsid w:val="00FE04EA"/>
    <w:rsid w:val="00FE0502"/>
    <w:rsid w:val="00FE08FC"/>
    <w:rsid w:val="00FE092F"/>
    <w:rsid w:val="00FE0AAA"/>
    <w:rsid w:val="00FE0AD0"/>
    <w:rsid w:val="00FE0D15"/>
    <w:rsid w:val="00FE0DF5"/>
    <w:rsid w:val="00FE0E24"/>
    <w:rsid w:val="00FE0E91"/>
    <w:rsid w:val="00FE0EAB"/>
    <w:rsid w:val="00FE11BB"/>
    <w:rsid w:val="00FE1223"/>
    <w:rsid w:val="00FE1228"/>
    <w:rsid w:val="00FE1240"/>
    <w:rsid w:val="00FE1394"/>
    <w:rsid w:val="00FE13BB"/>
    <w:rsid w:val="00FE1493"/>
    <w:rsid w:val="00FE1511"/>
    <w:rsid w:val="00FE1603"/>
    <w:rsid w:val="00FE1634"/>
    <w:rsid w:val="00FE16C1"/>
    <w:rsid w:val="00FE1718"/>
    <w:rsid w:val="00FE176F"/>
    <w:rsid w:val="00FE1841"/>
    <w:rsid w:val="00FE1A38"/>
    <w:rsid w:val="00FE1A99"/>
    <w:rsid w:val="00FE1B28"/>
    <w:rsid w:val="00FE1CE8"/>
    <w:rsid w:val="00FE20D1"/>
    <w:rsid w:val="00FE2323"/>
    <w:rsid w:val="00FE2359"/>
    <w:rsid w:val="00FE2487"/>
    <w:rsid w:val="00FE26D0"/>
    <w:rsid w:val="00FE26F3"/>
    <w:rsid w:val="00FE26FA"/>
    <w:rsid w:val="00FE28CD"/>
    <w:rsid w:val="00FE297F"/>
    <w:rsid w:val="00FE2A6A"/>
    <w:rsid w:val="00FE2A9D"/>
    <w:rsid w:val="00FE2AED"/>
    <w:rsid w:val="00FE2B4A"/>
    <w:rsid w:val="00FE2B9A"/>
    <w:rsid w:val="00FE2BC9"/>
    <w:rsid w:val="00FE2EC7"/>
    <w:rsid w:val="00FE300E"/>
    <w:rsid w:val="00FE3055"/>
    <w:rsid w:val="00FE30C0"/>
    <w:rsid w:val="00FE3198"/>
    <w:rsid w:val="00FE32ED"/>
    <w:rsid w:val="00FE33B7"/>
    <w:rsid w:val="00FE3670"/>
    <w:rsid w:val="00FE3724"/>
    <w:rsid w:val="00FE3A7F"/>
    <w:rsid w:val="00FE3A83"/>
    <w:rsid w:val="00FE3AD2"/>
    <w:rsid w:val="00FE3F6A"/>
    <w:rsid w:val="00FE479A"/>
    <w:rsid w:val="00FE4809"/>
    <w:rsid w:val="00FE4932"/>
    <w:rsid w:val="00FE49AE"/>
    <w:rsid w:val="00FE49D1"/>
    <w:rsid w:val="00FE4B98"/>
    <w:rsid w:val="00FE4CBB"/>
    <w:rsid w:val="00FE4EA3"/>
    <w:rsid w:val="00FE511F"/>
    <w:rsid w:val="00FE5305"/>
    <w:rsid w:val="00FE542F"/>
    <w:rsid w:val="00FE5434"/>
    <w:rsid w:val="00FE55A2"/>
    <w:rsid w:val="00FE5986"/>
    <w:rsid w:val="00FE598F"/>
    <w:rsid w:val="00FE59D5"/>
    <w:rsid w:val="00FE5AEF"/>
    <w:rsid w:val="00FE5B5A"/>
    <w:rsid w:val="00FE5CCA"/>
    <w:rsid w:val="00FE5F54"/>
    <w:rsid w:val="00FE6070"/>
    <w:rsid w:val="00FE608D"/>
    <w:rsid w:val="00FE6199"/>
    <w:rsid w:val="00FE6473"/>
    <w:rsid w:val="00FE663A"/>
    <w:rsid w:val="00FE6791"/>
    <w:rsid w:val="00FE6846"/>
    <w:rsid w:val="00FE6A91"/>
    <w:rsid w:val="00FE6B0A"/>
    <w:rsid w:val="00FE6C3E"/>
    <w:rsid w:val="00FE6C82"/>
    <w:rsid w:val="00FE6C83"/>
    <w:rsid w:val="00FE6D54"/>
    <w:rsid w:val="00FE6DA3"/>
    <w:rsid w:val="00FE70B3"/>
    <w:rsid w:val="00FE71B4"/>
    <w:rsid w:val="00FE72B9"/>
    <w:rsid w:val="00FE73F7"/>
    <w:rsid w:val="00FE770A"/>
    <w:rsid w:val="00FE77EE"/>
    <w:rsid w:val="00FE79EB"/>
    <w:rsid w:val="00FE7BB7"/>
    <w:rsid w:val="00FE7E01"/>
    <w:rsid w:val="00FE7E58"/>
    <w:rsid w:val="00FEC214"/>
    <w:rsid w:val="00FF00C4"/>
    <w:rsid w:val="00FF02B2"/>
    <w:rsid w:val="00FF0391"/>
    <w:rsid w:val="00FF03AC"/>
    <w:rsid w:val="00FF04EF"/>
    <w:rsid w:val="00FF05AB"/>
    <w:rsid w:val="00FF05B1"/>
    <w:rsid w:val="00FF0939"/>
    <w:rsid w:val="00FF0A7E"/>
    <w:rsid w:val="00FF0A8C"/>
    <w:rsid w:val="00FF0AD4"/>
    <w:rsid w:val="00FF0C30"/>
    <w:rsid w:val="00FF0C61"/>
    <w:rsid w:val="00FF0EC2"/>
    <w:rsid w:val="00FF0F31"/>
    <w:rsid w:val="00FF10CB"/>
    <w:rsid w:val="00FF1152"/>
    <w:rsid w:val="00FF1197"/>
    <w:rsid w:val="00FF1274"/>
    <w:rsid w:val="00FF14BE"/>
    <w:rsid w:val="00FF1705"/>
    <w:rsid w:val="00FF1793"/>
    <w:rsid w:val="00FF19F8"/>
    <w:rsid w:val="00FF1A73"/>
    <w:rsid w:val="00FF1CCF"/>
    <w:rsid w:val="00FF1E21"/>
    <w:rsid w:val="00FF20DC"/>
    <w:rsid w:val="00FF21E2"/>
    <w:rsid w:val="00FF221A"/>
    <w:rsid w:val="00FF223C"/>
    <w:rsid w:val="00FF22B6"/>
    <w:rsid w:val="00FF25F8"/>
    <w:rsid w:val="00FF262D"/>
    <w:rsid w:val="00FF2C46"/>
    <w:rsid w:val="00FF305E"/>
    <w:rsid w:val="00FF321C"/>
    <w:rsid w:val="00FF33C4"/>
    <w:rsid w:val="00FF33F3"/>
    <w:rsid w:val="00FF3449"/>
    <w:rsid w:val="00FF34F4"/>
    <w:rsid w:val="00FF35A9"/>
    <w:rsid w:val="00FF3787"/>
    <w:rsid w:val="00FF3AFD"/>
    <w:rsid w:val="00FF3B61"/>
    <w:rsid w:val="00FF3C13"/>
    <w:rsid w:val="00FF4008"/>
    <w:rsid w:val="00FF41B6"/>
    <w:rsid w:val="00FF42F3"/>
    <w:rsid w:val="00FF4325"/>
    <w:rsid w:val="00FF4355"/>
    <w:rsid w:val="00FF43BD"/>
    <w:rsid w:val="00FF440F"/>
    <w:rsid w:val="00FF44BA"/>
    <w:rsid w:val="00FF458F"/>
    <w:rsid w:val="00FF459F"/>
    <w:rsid w:val="00FF4749"/>
    <w:rsid w:val="00FF480C"/>
    <w:rsid w:val="00FF4824"/>
    <w:rsid w:val="00FF48F3"/>
    <w:rsid w:val="00FF49F0"/>
    <w:rsid w:val="00FF4A60"/>
    <w:rsid w:val="00FF4D56"/>
    <w:rsid w:val="00FF50A5"/>
    <w:rsid w:val="00FF51DB"/>
    <w:rsid w:val="00FF5228"/>
    <w:rsid w:val="00FF5229"/>
    <w:rsid w:val="00FF524E"/>
    <w:rsid w:val="00FF5398"/>
    <w:rsid w:val="00FF54BB"/>
    <w:rsid w:val="00FF54F5"/>
    <w:rsid w:val="00FF559E"/>
    <w:rsid w:val="00FF55DD"/>
    <w:rsid w:val="00FF56E2"/>
    <w:rsid w:val="00FF58B1"/>
    <w:rsid w:val="00FF594B"/>
    <w:rsid w:val="00FF59CE"/>
    <w:rsid w:val="00FF5A7F"/>
    <w:rsid w:val="00FF5E8A"/>
    <w:rsid w:val="00FF5E9E"/>
    <w:rsid w:val="00FF5ED3"/>
    <w:rsid w:val="00FF6077"/>
    <w:rsid w:val="00FF6183"/>
    <w:rsid w:val="00FF61C1"/>
    <w:rsid w:val="00FF62D3"/>
    <w:rsid w:val="00FF63A2"/>
    <w:rsid w:val="00FF63C3"/>
    <w:rsid w:val="00FF6455"/>
    <w:rsid w:val="00FF64CB"/>
    <w:rsid w:val="00FF6585"/>
    <w:rsid w:val="00FF6590"/>
    <w:rsid w:val="00FF65CE"/>
    <w:rsid w:val="00FF65FF"/>
    <w:rsid w:val="00FF6815"/>
    <w:rsid w:val="00FF6B69"/>
    <w:rsid w:val="00FF6EE5"/>
    <w:rsid w:val="00FF6EFD"/>
    <w:rsid w:val="00FF6F5C"/>
    <w:rsid w:val="00FF7529"/>
    <w:rsid w:val="00FF7728"/>
    <w:rsid w:val="00FF776B"/>
    <w:rsid w:val="00FF776F"/>
    <w:rsid w:val="00FF77F6"/>
    <w:rsid w:val="00FF7806"/>
    <w:rsid w:val="00FF78EA"/>
    <w:rsid w:val="00FF7951"/>
    <w:rsid w:val="00FF7B24"/>
    <w:rsid w:val="00FF7CE0"/>
    <w:rsid w:val="00FF7D91"/>
    <w:rsid w:val="00FF7ED9"/>
    <w:rsid w:val="010104BE"/>
    <w:rsid w:val="010AB971"/>
    <w:rsid w:val="01110CAD"/>
    <w:rsid w:val="01190028"/>
    <w:rsid w:val="011D6168"/>
    <w:rsid w:val="012DD93F"/>
    <w:rsid w:val="013CD5F9"/>
    <w:rsid w:val="013DE996"/>
    <w:rsid w:val="014DB345"/>
    <w:rsid w:val="015F9008"/>
    <w:rsid w:val="01719AA0"/>
    <w:rsid w:val="017DA8E2"/>
    <w:rsid w:val="01831F52"/>
    <w:rsid w:val="01859E60"/>
    <w:rsid w:val="018EDC7C"/>
    <w:rsid w:val="01A1B546"/>
    <w:rsid w:val="01A6CA8D"/>
    <w:rsid w:val="01AF8364"/>
    <w:rsid w:val="01B53BCA"/>
    <w:rsid w:val="01C16724"/>
    <w:rsid w:val="01C7A8B0"/>
    <w:rsid w:val="01CAD764"/>
    <w:rsid w:val="01D9A1E9"/>
    <w:rsid w:val="01DADE82"/>
    <w:rsid w:val="01EA65EB"/>
    <w:rsid w:val="01ED44BF"/>
    <w:rsid w:val="01F93044"/>
    <w:rsid w:val="0200EBF3"/>
    <w:rsid w:val="02174BF0"/>
    <w:rsid w:val="02364B99"/>
    <w:rsid w:val="02476331"/>
    <w:rsid w:val="02552CC8"/>
    <w:rsid w:val="0255A4D4"/>
    <w:rsid w:val="025B6EE0"/>
    <w:rsid w:val="025B8E3B"/>
    <w:rsid w:val="0260B83E"/>
    <w:rsid w:val="026325B6"/>
    <w:rsid w:val="026371FA"/>
    <w:rsid w:val="0264E70F"/>
    <w:rsid w:val="0270FA1E"/>
    <w:rsid w:val="0276406C"/>
    <w:rsid w:val="0277DE20"/>
    <w:rsid w:val="02814025"/>
    <w:rsid w:val="029693D2"/>
    <w:rsid w:val="029B0E56"/>
    <w:rsid w:val="02A0CF53"/>
    <w:rsid w:val="02B1C206"/>
    <w:rsid w:val="02B456E6"/>
    <w:rsid w:val="02B9ACDE"/>
    <w:rsid w:val="02C3EA45"/>
    <w:rsid w:val="02DAE9E2"/>
    <w:rsid w:val="02E77AE9"/>
    <w:rsid w:val="02EB8D2B"/>
    <w:rsid w:val="02ED1CC3"/>
    <w:rsid w:val="03073B9B"/>
    <w:rsid w:val="03083B97"/>
    <w:rsid w:val="030CABB7"/>
    <w:rsid w:val="031AEDF0"/>
    <w:rsid w:val="0322505A"/>
    <w:rsid w:val="0325825F"/>
    <w:rsid w:val="032C86CA"/>
    <w:rsid w:val="0342F445"/>
    <w:rsid w:val="035D54B1"/>
    <w:rsid w:val="03708432"/>
    <w:rsid w:val="0375355B"/>
    <w:rsid w:val="0379A4FF"/>
    <w:rsid w:val="0382709B"/>
    <w:rsid w:val="039C0B94"/>
    <w:rsid w:val="03A0C76F"/>
    <w:rsid w:val="03AB0E5C"/>
    <w:rsid w:val="03BCAD63"/>
    <w:rsid w:val="03C1FE49"/>
    <w:rsid w:val="03C2D4D1"/>
    <w:rsid w:val="03CEC0C6"/>
    <w:rsid w:val="03DF29ED"/>
    <w:rsid w:val="03F27A0B"/>
    <w:rsid w:val="03F76C80"/>
    <w:rsid w:val="03F80899"/>
    <w:rsid w:val="03FC7988"/>
    <w:rsid w:val="03FE4C38"/>
    <w:rsid w:val="0419B539"/>
    <w:rsid w:val="041A7C0E"/>
    <w:rsid w:val="041D29C1"/>
    <w:rsid w:val="042593E7"/>
    <w:rsid w:val="0425E6F5"/>
    <w:rsid w:val="042B8DA3"/>
    <w:rsid w:val="04392267"/>
    <w:rsid w:val="0439A5D3"/>
    <w:rsid w:val="044BEDD1"/>
    <w:rsid w:val="044CC4DB"/>
    <w:rsid w:val="0450449D"/>
    <w:rsid w:val="04761BE7"/>
    <w:rsid w:val="0477FD0D"/>
    <w:rsid w:val="0488CFB5"/>
    <w:rsid w:val="0492DA63"/>
    <w:rsid w:val="049339C4"/>
    <w:rsid w:val="04A59C2D"/>
    <w:rsid w:val="04A90607"/>
    <w:rsid w:val="04CCB674"/>
    <w:rsid w:val="04E5424C"/>
    <w:rsid w:val="04EC1082"/>
    <w:rsid w:val="04EF41FE"/>
    <w:rsid w:val="04F2CC11"/>
    <w:rsid w:val="04F3662D"/>
    <w:rsid w:val="04F480B1"/>
    <w:rsid w:val="0503D45E"/>
    <w:rsid w:val="050736B7"/>
    <w:rsid w:val="051FCB4C"/>
    <w:rsid w:val="05420565"/>
    <w:rsid w:val="054461D8"/>
    <w:rsid w:val="054A3E88"/>
    <w:rsid w:val="054B6B52"/>
    <w:rsid w:val="054CC749"/>
    <w:rsid w:val="0555AF4B"/>
    <w:rsid w:val="056F5839"/>
    <w:rsid w:val="0574AE74"/>
    <w:rsid w:val="0575370A"/>
    <w:rsid w:val="057BAFCD"/>
    <w:rsid w:val="057E7D8D"/>
    <w:rsid w:val="05823330"/>
    <w:rsid w:val="0584C4E7"/>
    <w:rsid w:val="0585A8CC"/>
    <w:rsid w:val="05903271"/>
    <w:rsid w:val="05992316"/>
    <w:rsid w:val="05A94BDD"/>
    <w:rsid w:val="05A9EC9A"/>
    <w:rsid w:val="05AB5765"/>
    <w:rsid w:val="05C097C0"/>
    <w:rsid w:val="05C58F6A"/>
    <w:rsid w:val="05C65F32"/>
    <w:rsid w:val="05D3505C"/>
    <w:rsid w:val="05E16DCB"/>
    <w:rsid w:val="05E1B4D3"/>
    <w:rsid w:val="05E5EE3A"/>
    <w:rsid w:val="05EFEF42"/>
    <w:rsid w:val="062CD765"/>
    <w:rsid w:val="06315837"/>
    <w:rsid w:val="0631903E"/>
    <w:rsid w:val="063868A5"/>
    <w:rsid w:val="063983D5"/>
    <w:rsid w:val="063DEC3B"/>
    <w:rsid w:val="063DFDF9"/>
    <w:rsid w:val="0656A80C"/>
    <w:rsid w:val="0657EA7C"/>
    <w:rsid w:val="065A4E61"/>
    <w:rsid w:val="0664BDEE"/>
    <w:rsid w:val="0672030E"/>
    <w:rsid w:val="06729164"/>
    <w:rsid w:val="06967047"/>
    <w:rsid w:val="06A399DA"/>
    <w:rsid w:val="06AE241E"/>
    <w:rsid w:val="06AFA25D"/>
    <w:rsid w:val="06B3A72C"/>
    <w:rsid w:val="06C07D38"/>
    <w:rsid w:val="06DC84A7"/>
    <w:rsid w:val="06E07A73"/>
    <w:rsid w:val="06E653B1"/>
    <w:rsid w:val="06EC58BE"/>
    <w:rsid w:val="07032566"/>
    <w:rsid w:val="070701C8"/>
    <w:rsid w:val="071688DA"/>
    <w:rsid w:val="07198E37"/>
    <w:rsid w:val="0727C5BE"/>
    <w:rsid w:val="0730A5E0"/>
    <w:rsid w:val="07316AED"/>
    <w:rsid w:val="07511DD0"/>
    <w:rsid w:val="0751823F"/>
    <w:rsid w:val="07606397"/>
    <w:rsid w:val="0768837E"/>
    <w:rsid w:val="077D5F4F"/>
    <w:rsid w:val="077D99E4"/>
    <w:rsid w:val="07875599"/>
    <w:rsid w:val="078BEB5A"/>
    <w:rsid w:val="07BDBBD2"/>
    <w:rsid w:val="07CF8960"/>
    <w:rsid w:val="07DA7AD4"/>
    <w:rsid w:val="07E14627"/>
    <w:rsid w:val="07E2F3DD"/>
    <w:rsid w:val="07EF0DFB"/>
    <w:rsid w:val="07F51038"/>
    <w:rsid w:val="07F5BE0E"/>
    <w:rsid w:val="07F9C5BE"/>
    <w:rsid w:val="0800DEBA"/>
    <w:rsid w:val="0801A8B9"/>
    <w:rsid w:val="080BC585"/>
    <w:rsid w:val="080C2FAD"/>
    <w:rsid w:val="080FC021"/>
    <w:rsid w:val="08163849"/>
    <w:rsid w:val="0828A7EB"/>
    <w:rsid w:val="08343029"/>
    <w:rsid w:val="08441F0D"/>
    <w:rsid w:val="084B1687"/>
    <w:rsid w:val="0859C100"/>
    <w:rsid w:val="085DABC8"/>
    <w:rsid w:val="086BB8B8"/>
    <w:rsid w:val="0875497B"/>
    <w:rsid w:val="087EEF93"/>
    <w:rsid w:val="088D38FA"/>
    <w:rsid w:val="08912794"/>
    <w:rsid w:val="0891411D"/>
    <w:rsid w:val="08AC9DB7"/>
    <w:rsid w:val="08B11184"/>
    <w:rsid w:val="08B37E9D"/>
    <w:rsid w:val="08B5B415"/>
    <w:rsid w:val="08BBB7A9"/>
    <w:rsid w:val="08C3E13E"/>
    <w:rsid w:val="08D2BDE1"/>
    <w:rsid w:val="08DD67B7"/>
    <w:rsid w:val="08ECA407"/>
    <w:rsid w:val="08F560D1"/>
    <w:rsid w:val="09248D32"/>
    <w:rsid w:val="0940ED28"/>
    <w:rsid w:val="0945E7D3"/>
    <w:rsid w:val="0948ADCA"/>
    <w:rsid w:val="094D92A1"/>
    <w:rsid w:val="0950F42E"/>
    <w:rsid w:val="09512F52"/>
    <w:rsid w:val="0968FE05"/>
    <w:rsid w:val="097A499C"/>
    <w:rsid w:val="0980A4A0"/>
    <w:rsid w:val="098797B4"/>
    <w:rsid w:val="098A5995"/>
    <w:rsid w:val="098C8070"/>
    <w:rsid w:val="0997F739"/>
    <w:rsid w:val="099DA99E"/>
    <w:rsid w:val="09A2155A"/>
    <w:rsid w:val="09A28E5B"/>
    <w:rsid w:val="09A9275E"/>
    <w:rsid w:val="09ABE502"/>
    <w:rsid w:val="09AE36D2"/>
    <w:rsid w:val="09C10ACB"/>
    <w:rsid w:val="09C9DBDD"/>
    <w:rsid w:val="09E38543"/>
    <w:rsid w:val="09E950D0"/>
    <w:rsid w:val="09E9E9AD"/>
    <w:rsid w:val="09EA46AE"/>
    <w:rsid w:val="09ED7F08"/>
    <w:rsid w:val="09F1585D"/>
    <w:rsid w:val="0A16874C"/>
    <w:rsid w:val="0A1ADB8D"/>
    <w:rsid w:val="0A1D8F71"/>
    <w:rsid w:val="0A250728"/>
    <w:rsid w:val="0A35EF79"/>
    <w:rsid w:val="0A5118B3"/>
    <w:rsid w:val="0A51C865"/>
    <w:rsid w:val="0A597951"/>
    <w:rsid w:val="0A5BD6C5"/>
    <w:rsid w:val="0A7A1A1E"/>
    <w:rsid w:val="0A81E67F"/>
    <w:rsid w:val="0A8C4A67"/>
    <w:rsid w:val="0A8D3DC4"/>
    <w:rsid w:val="0A956CE3"/>
    <w:rsid w:val="0A99D07A"/>
    <w:rsid w:val="0AA30275"/>
    <w:rsid w:val="0AAE1371"/>
    <w:rsid w:val="0ABA219B"/>
    <w:rsid w:val="0ABCD164"/>
    <w:rsid w:val="0ABEA571"/>
    <w:rsid w:val="0AD1909D"/>
    <w:rsid w:val="0ADF220C"/>
    <w:rsid w:val="0AE36022"/>
    <w:rsid w:val="0AEB0B55"/>
    <w:rsid w:val="0AEBBD89"/>
    <w:rsid w:val="0AEC4183"/>
    <w:rsid w:val="0AEE7324"/>
    <w:rsid w:val="0AF33E60"/>
    <w:rsid w:val="0B00B332"/>
    <w:rsid w:val="0B07E86E"/>
    <w:rsid w:val="0B2D1BAA"/>
    <w:rsid w:val="0B4CAB76"/>
    <w:rsid w:val="0B5766A4"/>
    <w:rsid w:val="0B5C49A3"/>
    <w:rsid w:val="0B719A8B"/>
    <w:rsid w:val="0B723742"/>
    <w:rsid w:val="0B724533"/>
    <w:rsid w:val="0B77CCF0"/>
    <w:rsid w:val="0B7AE6B8"/>
    <w:rsid w:val="0B905F55"/>
    <w:rsid w:val="0BA16C55"/>
    <w:rsid w:val="0BA52A70"/>
    <w:rsid w:val="0BAF5835"/>
    <w:rsid w:val="0BB587CF"/>
    <w:rsid w:val="0BC0D28C"/>
    <w:rsid w:val="0BE30D3F"/>
    <w:rsid w:val="0BE4C2E0"/>
    <w:rsid w:val="0C083FC1"/>
    <w:rsid w:val="0C1768E9"/>
    <w:rsid w:val="0C21D2B9"/>
    <w:rsid w:val="0C2F441C"/>
    <w:rsid w:val="0C4291E0"/>
    <w:rsid w:val="0C454998"/>
    <w:rsid w:val="0C4D3864"/>
    <w:rsid w:val="0C50438F"/>
    <w:rsid w:val="0C520BC6"/>
    <w:rsid w:val="0C53FFB1"/>
    <w:rsid w:val="0C5B3D9D"/>
    <w:rsid w:val="0C95428B"/>
    <w:rsid w:val="0C9621E5"/>
    <w:rsid w:val="0CA92C41"/>
    <w:rsid w:val="0CAED74E"/>
    <w:rsid w:val="0CAF9328"/>
    <w:rsid w:val="0CB40177"/>
    <w:rsid w:val="0CB6DF74"/>
    <w:rsid w:val="0CC89708"/>
    <w:rsid w:val="0CDDDAA1"/>
    <w:rsid w:val="0CE280CF"/>
    <w:rsid w:val="0CE84FCC"/>
    <w:rsid w:val="0CE9219E"/>
    <w:rsid w:val="0CF2D6A8"/>
    <w:rsid w:val="0CF43639"/>
    <w:rsid w:val="0CF5356B"/>
    <w:rsid w:val="0CF924EB"/>
    <w:rsid w:val="0D02B716"/>
    <w:rsid w:val="0D03B69A"/>
    <w:rsid w:val="0D09777D"/>
    <w:rsid w:val="0D145BB7"/>
    <w:rsid w:val="0D17F034"/>
    <w:rsid w:val="0D230943"/>
    <w:rsid w:val="0D267323"/>
    <w:rsid w:val="0D2DB18C"/>
    <w:rsid w:val="0D38AC16"/>
    <w:rsid w:val="0D449058"/>
    <w:rsid w:val="0D47EEDF"/>
    <w:rsid w:val="0D5FBCF0"/>
    <w:rsid w:val="0D63B84D"/>
    <w:rsid w:val="0D6BA250"/>
    <w:rsid w:val="0D7FA0E0"/>
    <w:rsid w:val="0D8AEE24"/>
    <w:rsid w:val="0D9025DC"/>
    <w:rsid w:val="0D994686"/>
    <w:rsid w:val="0D99EEB4"/>
    <w:rsid w:val="0DB10CB2"/>
    <w:rsid w:val="0DB41DCB"/>
    <w:rsid w:val="0DC03DB4"/>
    <w:rsid w:val="0DE403DD"/>
    <w:rsid w:val="0DF2311C"/>
    <w:rsid w:val="0DF8157F"/>
    <w:rsid w:val="0E0DB508"/>
    <w:rsid w:val="0E165FB8"/>
    <w:rsid w:val="0E1CF513"/>
    <w:rsid w:val="0E386CF0"/>
    <w:rsid w:val="0E39D856"/>
    <w:rsid w:val="0E3CAE4C"/>
    <w:rsid w:val="0E4BDEAB"/>
    <w:rsid w:val="0E549178"/>
    <w:rsid w:val="0E57F055"/>
    <w:rsid w:val="0E6DE90B"/>
    <w:rsid w:val="0E79D2C1"/>
    <w:rsid w:val="0E848BCC"/>
    <w:rsid w:val="0E86D0D8"/>
    <w:rsid w:val="0E89F55B"/>
    <w:rsid w:val="0E918ECB"/>
    <w:rsid w:val="0E96A758"/>
    <w:rsid w:val="0EA9E5F5"/>
    <w:rsid w:val="0EAE3E20"/>
    <w:rsid w:val="0EB36D31"/>
    <w:rsid w:val="0EC84C45"/>
    <w:rsid w:val="0EC9EC63"/>
    <w:rsid w:val="0EDDD328"/>
    <w:rsid w:val="0EE07B76"/>
    <w:rsid w:val="0EE5F918"/>
    <w:rsid w:val="0EEE6946"/>
    <w:rsid w:val="0F07F0D9"/>
    <w:rsid w:val="0F12AFC1"/>
    <w:rsid w:val="0F1A3BE2"/>
    <w:rsid w:val="0F1DF7B6"/>
    <w:rsid w:val="0F2B4AE2"/>
    <w:rsid w:val="0F2E3A05"/>
    <w:rsid w:val="0F433725"/>
    <w:rsid w:val="0F4C0A3B"/>
    <w:rsid w:val="0F5B662F"/>
    <w:rsid w:val="0F600598"/>
    <w:rsid w:val="0F69BDC2"/>
    <w:rsid w:val="0F6BB724"/>
    <w:rsid w:val="0F6F7F8D"/>
    <w:rsid w:val="0F77F884"/>
    <w:rsid w:val="0F868618"/>
    <w:rsid w:val="0F86986A"/>
    <w:rsid w:val="0F8A88C2"/>
    <w:rsid w:val="0F8D714A"/>
    <w:rsid w:val="0FA8C65B"/>
    <w:rsid w:val="0FB04463"/>
    <w:rsid w:val="0FB3BAC4"/>
    <w:rsid w:val="0FB68BFA"/>
    <w:rsid w:val="0FB75F44"/>
    <w:rsid w:val="0FBB679F"/>
    <w:rsid w:val="0FBFAD1C"/>
    <w:rsid w:val="0FC7E5E8"/>
    <w:rsid w:val="0FCB59D5"/>
    <w:rsid w:val="0FEBEDC9"/>
    <w:rsid w:val="0FF25675"/>
    <w:rsid w:val="0FFAFC55"/>
    <w:rsid w:val="1004913D"/>
    <w:rsid w:val="101C9CBE"/>
    <w:rsid w:val="101CE258"/>
    <w:rsid w:val="1023FBC7"/>
    <w:rsid w:val="1048B357"/>
    <w:rsid w:val="1052A9E4"/>
    <w:rsid w:val="105AF012"/>
    <w:rsid w:val="1068D636"/>
    <w:rsid w:val="107AFBFD"/>
    <w:rsid w:val="1086E78D"/>
    <w:rsid w:val="1087B0D5"/>
    <w:rsid w:val="10882A2D"/>
    <w:rsid w:val="10921613"/>
    <w:rsid w:val="10957F61"/>
    <w:rsid w:val="10B0F74F"/>
    <w:rsid w:val="10B30E52"/>
    <w:rsid w:val="10B69B11"/>
    <w:rsid w:val="10C58E60"/>
    <w:rsid w:val="10DEF3E1"/>
    <w:rsid w:val="10E7EEA2"/>
    <w:rsid w:val="10EEC3E7"/>
    <w:rsid w:val="10FE0D3F"/>
    <w:rsid w:val="10FFC9CB"/>
    <w:rsid w:val="1104F7F0"/>
    <w:rsid w:val="111716EF"/>
    <w:rsid w:val="11187985"/>
    <w:rsid w:val="1121E183"/>
    <w:rsid w:val="1128C4DC"/>
    <w:rsid w:val="112941AB"/>
    <w:rsid w:val="112F4518"/>
    <w:rsid w:val="11362D3B"/>
    <w:rsid w:val="113C2B7B"/>
    <w:rsid w:val="113CA21F"/>
    <w:rsid w:val="113EF4AD"/>
    <w:rsid w:val="11453E40"/>
    <w:rsid w:val="114609D0"/>
    <w:rsid w:val="1156CE62"/>
    <w:rsid w:val="1159CF6C"/>
    <w:rsid w:val="116EAB9F"/>
    <w:rsid w:val="116FB8CF"/>
    <w:rsid w:val="11744F08"/>
    <w:rsid w:val="118999CA"/>
    <w:rsid w:val="118F97D1"/>
    <w:rsid w:val="11AC4B04"/>
    <w:rsid w:val="11B341DA"/>
    <w:rsid w:val="11B5DFF6"/>
    <w:rsid w:val="11BC9FB6"/>
    <w:rsid w:val="11BE41A2"/>
    <w:rsid w:val="11C52F32"/>
    <w:rsid w:val="11D6236B"/>
    <w:rsid w:val="11E5CDB9"/>
    <w:rsid w:val="11F09D99"/>
    <w:rsid w:val="11F86452"/>
    <w:rsid w:val="11FB5934"/>
    <w:rsid w:val="11FBFAE7"/>
    <w:rsid w:val="12017321"/>
    <w:rsid w:val="120FDE7A"/>
    <w:rsid w:val="1212213A"/>
    <w:rsid w:val="1224F523"/>
    <w:rsid w:val="1233BEBB"/>
    <w:rsid w:val="123BA175"/>
    <w:rsid w:val="123F9A0A"/>
    <w:rsid w:val="125B8B8C"/>
    <w:rsid w:val="1260C3D5"/>
    <w:rsid w:val="12662E8E"/>
    <w:rsid w:val="126699FA"/>
    <w:rsid w:val="12780A63"/>
    <w:rsid w:val="127BF006"/>
    <w:rsid w:val="127DD26A"/>
    <w:rsid w:val="1292806B"/>
    <w:rsid w:val="12A08C1D"/>
    <w:rsid w:val="12A33ACE"/>
    <w:rsid w:val="12C016F8"/>
    <w:rsid w:val="12C3252F"/>
    <w:rsid w:val="12C43FA6"/>
    <w:rsid w:val="12C71235"/>
    <w:rsid w:val="12CC0F6C"/>
    <w:rsid w:val="12D11CF6"/>
    <w:rsid w:val="12E3CE79"/>
    <w:rsid w:val="12E4FE50"/>
    <w:rsid w:val="12F87713"/>
    <w:rsid w:val="12FB2C0A"/>
    <w:rsid w:val="1302D5D0"/>
    <w:rsid w:val="130A89E7"/>
    <w:rsid w:val="1323E0B3"/>
    <w:rsid w:val="132789B8"/>
    <w:rsid w:val="1340C5D0"/>
    <w:rsid w:val="134A1830"/>
    <w:rsid w:val="13533198"/>
    <w:rsid w:val="137A49BD"/>
    <w:rsid w:val="138D0434"/>
    <w:rsid w:val="138FAE7E"/>
    <w:rsid w:val="13A27BDB"/>
    <w:rsid w:val="13A3168D"/>
    <w:rsid w:val="13C59798"/>
    <w:rsid w:val="13CC7524"/>
    <w:rsid w:val="13CFD035"/>
    <w:rsid w:val="13E0F6F2"/>
    <w:rsid w:val="13E3C985"/>
    <w:rsid w:val="13E72360"/>
    <w:rsid w:val="13E8899D"/>
    <w:rsid w:val="13EA6DD1"/>
    <w:rsid w:val="13ED3186"/>
    <w:rsid w:val="13EF63A8"/>
    <w:rsid w:val="14006431"/>
    <w:rsid w:val="140947F5"/>
    <w:rsid w:val="142137C1"/>
    <w:rsid w:val="1423159F"/>
    <w:rsid w:val="14275F58"/>
    <w:rsid w:val="1447992A"/>
    <w:rsid w:val="144EAEF0"/>
    <w:rsid w:val="14617CF5"/>
    <w:rsid w:val="148B7273"/>
    <w:rsid w:val="148CAC31"/>
    <w:rsid w:val="148E0D16"/>
    <w:rsid w:val="149DD45F"/>
    <w:rsid w:val="14A2C86F"/>
    <w:rsid w:val="14AC641A"/>
    <w:rsid w:val="14AD9822"/>
    <w:rsid w:val="14B8B262"/>
    <w:rsid w:val="14BB9FE4"/>
    <w:rsid w:val="14BEBE74"/>
    <w:rsid w:val="14BF59DB"/>
    <w:rsid w:val="14C217E2"/>
    <w:rsid w:val="14C90B55"/>
    <w:rsid w:val="14D571C8"/>
    <w:rsid w:val="14D9D14B"/>
    <w:rsid w:val="150219A9"/>
    <w:rsid w:val="150603F0"/>
    <w:rsid w:val="1519EAFF"/>
    <w:rsid w:val="151FF375"/>
    <w:rsid w:val="152D1D02"/>
    <w:rsid w:val="1533C7BF"/>
    <w:rsid w:val="153609B0"/>
    <w:rsid w:val="153AE332"/>
    <w:rsid w:val="153C48A7"/>
    <w:rsid w:val="153D67B6"/>
    <w:rsid w:val="153E5999"/>
    <w:rsid w:val="15550B26"/>
    <w:rsid w:val="15593188"/>
    <w:rsid w:val="156A70CE"/>
    <w:rsid w:val="156F8C65"/>
    <w:rsid w:val="157D19F0"/>
    <w:rsid w:val="15841551"/>
    <w:rsid w:val="1587DD44"/>
    <w:rsid w:val="1591ECDE"/>
    <w:rsid w:val="1595D0B3"/>
    <w:rsid w:val="15960655"/>
    <w:rsid w:val="1599F68C"/>
    <w:rsid w:val="159B30DE"/>
    <w:rsid w:val="159F3B9A"/>
    <w:rsid w:val="15AFD695"/>
    <w:rsid w:val="15B19A31"/>
    <w:rsid w:val="15B5A687"/>
    <w:rsid w:val="15B8C7BA"/>
    <w:rsid w:val="15BD6349"/>
    <w:rsid w:val="15C6DA9E"/>
    <w:rsid w:val="15CE6C11"/>
    <w:rsid w:val="15D845BF"/>
    <w:rsid w:val="16042EAA"/>
    <w:rsid w:val="160F46DA"/>
    <w:rsid w:val="16113FCC"/>
    <w:rsid w:val="161AFC1E"/>
    <w:rsid w:val="16263CC7"/>
    <w:rsid w:val="163E792F"/>
    <w:rsid w:val="164C67CB"/>
    <w:rsid w:val="1653141A"/>
    <w:rsid w:val="166FDFB4"/>
    <w:rsid w:val="1670241F"/>
    <w:rsid w:val="1671A8D7"/>
    <w:rsid w:val="1679A612"/>
    <w:rsid w:val="167BCE3F"/>
    <w:rsid w:val="1693ED8E"/>
    <w:rsid w:val="16947371"/>
    <w:rsid w:val="16969B91"/>
    <w:rsid w:val="16980D6C"/>
    <w:rsid w:val="16984082"/>
    <w:rsid w:val="16BE106D"/>
    <w:rsid w:val="16C4FF27"/>
    <w:rsid w:val="16C70EFB"/>
    <w:rsid w:val="16CB1CAB"/>
    <w:rsid w:val="16CBFC42"/>
    <w:rsid w:val="16D0D729"/>
    <w:rsid w:val="16D6CADF"/>
    <w:rsid w:val="16D8C0EE"/>
    <w:rsid w:val="16E02375"/>
    <w:rsid w:val="16F3E97D"/>
    <w:rsid w:val="16FBCEBF"/>
    <w:rsid w:val="16FDC92D"/>
    <w:rsid w:val="1705B924"/>
    <w:rsid w:val="170C861A"/>
    <w:rsid w:val="171B5098"/>
    <w:rsid w:val="171CA2EB"/>
    <w:rsid w:val="172484E1"/>
    <w:rsid w:val="172EDA1A"/>
    <w:rsid w:val="173E19D3"/>
    <w:rsid w:val="17402428"/>
    <w:rsid w:val="17478EC8"/>
    <w:rsid w:val="1747F7E2"/>
    <w:rsid w:val="174CD0D3"/>
    <w:rsid w:val="1756E0F2"/>
    <w:rsid w:val="175DDA10"/>
    <w:rsid w:val="17634EAB"/>
    <w:rsid w:val="177189B1"/>
    <w:rsid w:val="1776F16E"/>
    <w:rsid w:val="177BC512"/>
    <w:rsid w:val="17988E27"/>
    <w:rsid w:val="179C26DB"/>
    <w:rsid w:val="17A08AB8"/>
    <w:rsid w:val="17ABD6CA"/>
    <w:rsid w:val="17B2CD41"/>
    <w:rsid w:val="17BB3A73"/>
    <w:rsid w:val="17BB6E8D"/>
    <w:rsid w:val="17D746F1"/>
    <w:rsid w:val="17DDAA96"/>
    <w:rsid w:val="17ECF62C"/>
    <w:rsid w:val="17F4F687"/>
    <w:rsid w:val="17F5C204"/>
    <w:rsid w:val="180E46E3"/>
    <w:rsid w:val="18109838"/>
    <w:rsid w:val="1816E994"/>
    <w:rsid w:val="18359181"/>
    <w:rsid w:val="1839B8CB"/>
    <w:rsid w:val="1851F0C0"/>
    <w:rsid w:val="1853B6D7"/>
    <w:rsid w:val="1855404F"/>
    <w:rsid w:val="185FDF1D"/>
    <w:rsid w:val="186CC578"/>
    <w:rsid w:val="18728FA1"/>
    <w:rsid w:val="18795E10"/>
    <w:rsid w:val="18865157"/>
    <w:rsid w:val="1899584E"/>
    <w:rsid w:val="18AE1D3E"/>
    <w:rsid w:val="18C07ADA"/>
    <w:rsid w:val="18C6CF38"/>
    <w:rsid w:val="18CC3328"/>
    <w:rsid w:val="18CF0CF8"/>
    <w:rsid w:val="18D48A49"/>
    <w:rsid w:val="18F2F902"/>
    <w:rsid w:val="18F85C5E"/>
    <w:rsid w:val="1902CB0A"/>
    <w:rsid w:val="1917FFA1"/>
    <w:rsid w:val="191C94C2"/>
    <w:rsid w:val="19234989"/>
    <w:rsid w:val="19279F60"/>
    <w:rsid w:val="192E8BA7"/>
    <w:rsid w:val="19429C49"/>
    <w:rsid w:val="195DF2DE"/>
    <w:rsid w:val="1973D659"/>
    <w:rsid w:val="19958403"/>
    <w:rsid w:val="19AC5158"/>
    <w:rsid w:val="19AF28D9"/>
    <w:rsid w:val="19B18959"/>
    <w:rsid w:val="19B26675"/>
    <w:rsid w:val="19B370C9"/>
    <w:rsid w:val="19B5CEEF"/>
    <w:rsid w:val="19B8E5EE"/>
    <w:rsid w:val="19C170CC"/>
    <w:rsid w:val="19C94142"/>
    <w:rsid w:val="19D0E9A3"/>
    <w:rsid w:val="19D4224C"/>
    <w:rsid w:val="19D620D7"/>
    <w:rsid w:val="19DC18E6"/>
    <w:rsid w:val="19DD731D"/>
    <w:rsid w:val="19E0E6E8"/>
    <w:rsid w:val="19E10C7A"/>
    <w:rsid w:val="1A056105"/>
    <w:rsid w:val="1A0CADAF"/>
    <w:rsid w:val="1A100E04"/>
    <w:rsid w:val="1A1A8ECB"/>
    <w:rsid w:val="1A26E2AD"/>
    <w:rsid w:val="1A2DED94"/>
    <w:rsid w:val="1A44DFE9"/>
    <w:rsid w:val="1A56C055"/>
    <w:rsid w:val="1A5AFF84"/>
    <w:rsid w:val="1A648C60"/>
    <w:rsid w:val="1A66B845"/>
    <w:rsid w:val="1A6E444E"/>
    <w:rsid w:val="1A6F9F15"/>
    <w:rsid w:val="1A78D98B"/>
    <w:rsid w:val="1A914DE3"/>
    <w:rsid w:val="1A977D40"/>
    <w:rsid w:val="1A9FFB73"/>
    <w:rsid w:val="1AA36299"/>
    <w:rsid w:val="1AA6FDF6"/>
    <w:rsid w:val="1AAE2436"/>
    <w:rsid w:val="1AB906AF"/>
    <w:rsid w:val="1ABD0518"/>
    <w:rsid w:val="1AC817E7"/>
    <w:rsid w:val="1AD0B4C9"/>
    <w:rsid w:val="1AD21C58"/>
    <w:rsid w:val="1AF1F5B7"/>
    <w:rsid w:val="1AF51E2A"/>
    <w:rsid w:val="1B001F31"/>
    <w:rsid w:val="1B0066C8"/>
    <w:rsid w:val="1B0E5D07"/>
    <w:rsid w:val="1B1391C8"/>
    <w:rsid w:val="1B280E5C"/>
    <w:rsid w:val="1B2FEBDD"/>
    <w:rsid w:val="1B30093E"/>
    <w:rsid w:val="1B37BA47"/>
    <w:rsid w:val="1B5755BA"/>
    <w:rsid w:val="1B6B2532"/>
    <w:rsid w:val="1B6ECE97"/>
    <w:rsid w:val="1B71E9B4"/>
    <w:rsid w:val="1B7D113C"/>
    <w:rsid w:val="1B833511"/>
    <w:rsid w:val="1B9A0234"/>
    <w:rsid w:val="1B9E9774"/>
    <w:rsid w:val="1BA0A2A9"/>
    <w:rsid w:val="1BB62F56"/>
    <w:rsid w:val="1BBEC592"/>
    <w:rsid w:val="1BC4CB7A"/>
    <w:rsid w:val="1BC7D11C"/>
    <w:rsid w:val="1BD29B55"/>
    <w:rsid w:val="1BDE15F4"/>
    <w:rsid w:val="1BE8BCC5"/>
    <w:rsid w:val="1BF423C6"/>
    <w:rsid w:val="1BFA454B"/>
    <w:rsid w:val="1C0015FA"/>
    <w:rsid w:val="1C00CA50"/>
    <w:rsid w:val="1C11EAEE"/>
    <w:rsid w:val="1C131736"/>
    <w:rsid w:val="1C2866B7"/>
    <w:rsid w:val="1C334DA1"/>
    <w:rsid w:val="1C454C7D"/>
    <w:rsid w:val="1C49A4B0"/>
    <w:rsid w:val="1C549FAF"/>
    <w:rsid w:val="1C5AB95C"/>
    <w:rsid w:val="1C5D15E9"/>
    <w:rsid w:val="1C7263B0"/>
    <w:rsid w:val="1C7C24B6"/>
    <w:rsid w:val="1C8329B1"/>
    <w:rsid w:val="1C871D54"/>
    <w:rsid w:val="1C9491F8"/>
    <w:rsid w:val="1CA1BD90"/>
    <w:rsid w:val="1CA42494"/>
    <w:rsid w:val="1CAA9FCF"/>
    <w:rsid w:val="1CC9A941"/>
    <w:rsid w:val="1CCE6527"/>
    <w:rsid w:val="1CDD07A9"/>
    <w:rsid w:val="1CDE4ACA"/>
    <w:rsid w:val="1CDFB89A"/>
    <w:rsid w:val="1CE0A286"/>
    <w:rsid w:val="1CEE2A7C"/>
    <w:rsid w:val="1CF8AEC9"/>
    <w:rsid w:val="1CFA9B88"/>
    <w:rsid w:val="1CFB72FA"/>
    <w:rsid w:val="1D05DD15"/>
    <w:rsid w:val="1D0CF5F2"/>
    <w:rsid w:val="1D130F5C"/>
    <w:rsid w:val="1D1A2323"/>
    <w:rsid w:val="1D1BA0DD"/>
    <w:rsid w:val="1D2543D4"/>
    <w:rsid w:val="1D266935"/>
    <w:rsid w:val="1D34D6BA"/>
    <w:rsid w:val="1D34D8D3"/>
    <w:rsid w:val="1D37872F"/>
    <w:rsid w:val="1D3B3DC6"/>
    <w:rsid w:val="1D3C0097"/>
    <w:rsid w:val="1D53C6C5"/>
    <w:rsid w:val="1D643E67"/>
    <w:rsid w:val="1D72F32B"/>
    <w:rsid w:val="1D74378F"/>
    <w:rsid w:val="1D75DAA7"/>
    <w:rsid w:val="1D7B69F3"/>
    <w:rsid w:val="1D86BB40"/>
    <w:rsid w:val="1D988908"/>
    <w:rsid w:val="1DA185C6"/>
    <w:rsid w:val="1DAE294A"/>
    <w:rsid w:val="1DB02E9B"/>
    <w:rsid w:val="1DB5FAEF"/>
    <w:rsid w:val="1DC87ED5"/>
    <w:rsid w:val="1DDA3054"/>
    <w:rsid w:val="1DDB7BE6"/>
    <w:rsid w:val="1DFEE2E0"/>
    <w:rsid w:val="1E071C81"/>
    <w:rsid w:val="1E1ED038"/>
    <w:rsid w:val="1E216FD6"/>
    <w:rsid w:val="1E340D1E"/>
    <w:rsid w:val="1E48E455"/>
    <w:rsid w:val="1E49BB73"/>
    <w:rsid w:val="1E505C2D"/>
    <w:rsid w:val="1E514BC2"/>
    <w:rsid w:val="1E52ACCC"/>
    <w:rsid w:val="1E5F6142"/>
    <w:rsid w:val="1E6D9E29"/>
    <w:rsid w:val="1E795D25"/>
    <w:rsid w:val="1E7EE9FF"/>
    <w:rsid w:val="1E96FE61"/>
    <w:rsid w:val="1EC6E945"/>
    <w:rsid w:val="1EEC64AB"/>
    <w:rsid w:val="1EF00E5E"/>
    <w:rsid w:val="1EF628C1"/>
    <w:rsid w:val="1F05CBA4"/>
    <w:rsid w:val="1F175CC7"/>
    <w:rsid w:val="1F2743C2"/>
    <w:rsid w:val="1F29BC7D"/>
    <w:rsid w:val="1F2F664D"/>
    <w:rsid w:val="1F3BFFC8"/>
    <w:rsid w:val="1F4457FC"/>
    <w:rsid w:val="1F52DEA5"/>
    <w:rsid w:val="1F594064"/>
    <w:rsid w:val="1F5A6497"/>
    <w:rsid w:val="1F5AB0EC"/>
    <w:rsid w:val="1F5D412D"/>
    <w:rsid w:val="1F635732"/>
    <w:rsid w:val="1F84464B"/>
    <w:rsid w:val="1F876FCF"/>
    <w:rsid w:val="1F9A6596"/>
    <w:rsid w:val="1FA62374"/>
    <w:rsid w:val="1FA9D4EE"/>
    <w:rsid w:val="1FA9EFDA"/>
    <w:rsid w:val="1FB36479"/>
    <w:rsid w:val="1FB5098A"/>
    <w:rsid w:val="1FD7C754"/>
    <w:rsid w:val="1FEF4176"/>
    <w:rsid w:val="1FF4E56D"/>
    <w:rsid w:val="1FFBE599"/>
    <w:rsid w:val="200E361C"/>
    <w:rsid w:val="200EBFE7"/>
    <w:rsid w:val="201CC75F"/>
    <w:rsid w:val="201D9002"/>
    <w:rsid w:val="201F4D12"/>
    <w:rsid w:val="20240C16"/>
    <w:rsid w:val="203DDF06"/>
    <w:rsid w:val="20437366"/>
    <w:rsid w:val="2043E035"/>
    <w:rsid w:val="20488046"/>
    <w:rsid w:val="204CF8B7"/>
    <w:rsid w:val="2074BDC0"/>
    <w:rsid w:val="20A19C05"/>
    <w:rsid w:val="20AD7D9C"/>
    <w:rsid w:val="20B197F1"/>
    <w:rsid w:val="20BD56B9"/>
    <w:rsid w:val="20BF9042"/>
    <w:rsid w:val="20C15648"/>
    <w:rsid w:val="20CB060B"/>
    <w:rsid w:val="20CE47F6"/>
    <w:rsid w:val="20D023DD"/>
    <w:rsid w:val="20D4BE8B"/>
    <w:rsid w:val="20E07DE4"/>
    <w:rsid w:val="20EF2365"/>
    <w:rsid w:val="20FAC70F"/>
    <w:rsid w:val="20FB0C49"/>
    <w:rsid w:val="21017CED"/>
    <w:rsid w:val="210EF1A1"/>
    <w:rsid w:val="211A32AC"/>
    <w:rsid w:val="2138542C"/>
    <w:rsid w:val="213BD5A4"/>
    <w:rsid w:val="213C0DC3"/>
    <w:rsid w:val="2144F669"/>
    <w:rsid w:val="21454DEC"/>
    <w:rsid w:val="214589A1"/>
    <w:rsid w:val="214FC9B3"/>
    <w:rsid w:val="215BAE93"/>
    <w:rsid w:val="217118AD"/>
    <w:rsid w:val="218CB914"/>
    <w:rsid w:val="2190AB28"/>
    <w:rsid w:val="21A7A4F2"/>
    <w:rsid w:val="21AAC1CC"/>
    <w:rsid w:val="21CD81A6"/>
    <w:rsid w:val="21CE9F23"/>
    <w:rsid w:val="21D7B0AF"/>
    <w:rsid w:val="21D7F65B"/>
    <w:rsid w:val="21F37B86"/>
    <w:rsid w:val="21F41308"/>
    <w:rsid w:val="2201EF51"/>
    <w:rsid w:val="22074452"/>
    <w:rsid w:val="22097F76"/>
    <w:rsid w:val="220EAEE9"/>
    <w:rsid w:val="22189F22"/>
    <w:rsid w:val="2218A6D2"/>
    <w:rsid w:val="2220AC9A"/>
    <w:rsid w:val="22286603"/>
    <w:rsid w:val="2234BD72"/>
    <w:rsid w:val="22532784"/>
    <w:rsid w:val="225D711C"/>
    <w:rsid w:val="22657177"/>
    <w:rsid w:val="226DD71C"/>
    <w:rsid w:val="22706AA8"/>
    <w:rsid w:val="227E4CF4"/>
    <w:rsid w:val="2286333C"/>
    <w:rsid w:val="22901857"/>
    <w:rsid w:val="22912F60"/>
    <w:rsid w:val="22AB2905"/>
    <w:rsid w:val="22C67F87"/>
    <w:rsid w:val="22CA3599"/>
    <w:rsid w:val="22CC0F57"/>
    <w:rsid w:val="22D5C504"/>
    <w:rsid w:val="22DD732D"/>
    <w:rsid w:val="22E058C1"/>
    <w:rsid w:val="22E0DA62"/>
    <w:rsid w:val="22E7E876"/>
    <w:rsid w:val="22EB7008"/>
    <w:rsid w:val="22EF5A34"/>
    <w:rsid w:val="22F6D9D0"/>
    <w:rsid w:val="22F7A58D"/>
    <w:rsid w:val="22FE67CD"/>
    <w:rsid w:val="230870A1"/>
    <w:rsid w:val="230F38A9"/>
    <w:rsid w:val="2310BA00"/>
    <w:rsid w:val="23163DF0"/>
    <w:rsid w:val="231BE86D"/>
    <w:rsid w:val="231FD363"/>
    <w:rsid w:val="2330E94C"/>
    <w:rsid w:val="233E7916"/>
    <w:rsid w:val="23446555"/>
    <w:rsid w:val="234F91F9"/>
    <w:rsid w:val="2351D178"/>
    <w:rsid w:val="2359C93C"/>
    <w:rsid w:val="235C83F3"/>
    <w:rsid w:val="2374A544"/>
    <w:rsid w:val="2376CDCA"/>
    <w:rsid w:val="23775441"/>
    <w:rsid w:val="238680A7"/>
    <w:rsid w:val="238FBF39"/>
    <w:rsid w:val="2397D9D7"/>
    <w:rsid w:val="239BB25D"/>
    <w:rsid w:val="239F1341"/>
    <w:rsid w:val="23A13294"/>
    <w:rsid w:val="23A7D1F2"/>
    <w:rsid w:val="23AA7F4A"/>
    <w:rsid w:val="23B558E9"/>
    <w:rsid w:val="23B78FB1"/>
    <w:rsid w:val="23C27C92"/>
    <w:rsid w:val="23CBADB1"/>
    <w:rsid w:val="23D2D27F"/>
    <w:rsid w:val="23EB1FC0"/>
    <w:rsid w:val="23F4283C"/>
    <w:rsid w:val="23FBD021"/>
    <w:rsid w:val="240BA74B"/>
    <w:rsid w:val="24187574"/>
    <w:rsid w:val="241F6AB6"/>
    <w:rsid w:val="24285010"/>
    <w:rsid w:val="2452076F"/>
    <w:rsid w:val="24608DB5"/>
    <w:rsid w:val="246D7059"/>
    <w:rsid w:val="24702256"/>
    <w:rsid w:val="24703440"/>
    <w:rsid w:val="2488CA8E"/>
    <w:rsid w:val="248E3C61"/>
    <w:rsid w:val="249BFED0"/>
    <w:rsid w:val="24A0917A"/>
    <w:rsid w:val="24B35F4B"/>
    <w:rsid w:val="24D118AA"/>
    <w:rsid w:val="24D8E7E9"/>
    <w:rsid w:val="24DE303B"/>
    <w:rsid w:val="24E2D636"/>
    <w:rsid w:val="25040A30"/>
    <w:rsid w:val="2505C2E5"/>
    <w:rsid w:val="25168C80"/>
    <w:rsid w:val="2521AF4C"/>
    <w:rsid w:val="253775BA"/>
    <w:rsid w:val="254DB98B"/>
    <w:rsid w:val="25568E06"/>
    <w:rsid w:val="2566993A"/>
    <w:rsid w:val="256EDE15"/>
    <w:rsid w:val="2571E912"/>
    <w:rsid w:val="25752844"/>
    <w:rsid w:val="2578374C"/>
    <w:rsid w:val="2578E38D"/>
    <w:rsid w:val="2586AEB2"/>
    <w:rsid w:val="258CADC9"/>
    <w:rsid w:val="25A19F79"/>
    <w:rsid w:val="25A2A8AE"/>
    <w:rsid w:val="25A3B2FA"/>
    <w:rsid w:val="25A4CFA9"/>
    <w:rsid w:val="25A6EB18"/>
    <w:rsid w:val="25A99ED7"/>
    <w:rsid w:val="25AEC8E4"/>
    <w:rsid w:val="25B4DFF9"/>
    <w:rsid w:val="25BEFFF8"/>
    <w:rsid w:val="25C075DC"/>
    <w:rsid w:val="25E4F508"/>
    <w:rsid w:val="25F27C15"/>
    <w:rsid w:val="25FC2999"/>
    <w:rsid w:val="25FF553D"/>
    <w:rsid w:val="260E98D5"/>
    <w:rsid w:val="260FD6C0"/>
    <w:rsid w:val="26178CC6"/>
    <w:rsid w:val="2619B683"/>
    <w:rsid w:val="2628A376"/>
    <w:rsid w:val="26314ED4"/>
    <w:rsid w:val="263D763A"/>
    <w:rsid w:val="263E6F8B"/>
    <w:rsid w:val="2641929E"/>
    <w:rsid w:val="264F43BA"/>
    <w:rsid w:val="264F8418"/>
    <w:rsid w:val="264FA9F1"/>
    <w:rsid w:val="26646624"/>
    <w:rsid w:val="2682495E"/>
    <w:rsid w:val="26874736"/>
    <w:rsid w:val="268BFA46"/>
    <w:rsid w:val="268CA696"/>
    <w:rsid w:val="269D582A"/>
    <w:rsid w:val="26A2E184"/>
    <w:rsid w:val="26A3700E"/>
    <w:rsid w:val="26B38542"/>
    <w:rsid w:val="26B39876"/>
    <w:rsid w:val="26C2FC48"/>
    <w:rsid w:val="26C83D97"/>
    <w:rsid w:val="26C93B0D"/>
    <w:rsid w:val="26D94F4D"/>
    <w:rsid w:val="26E75F69"/>
    <w:rsid w:val="26FFE1B0"/>
    <w:rsid w:val="271E0346"/>
    <w:rsid w:val="27225876"/>
    <w:rsid w:val="272C97FC"/>
    <w:rsid w:val="273966FD"/>
    <w:rsid w:val="27421EF8"/>
    <w:rsid w:val="274920FE"/>
    <w:rsid w:val="2755D4BA"/>
    <w:rsid w:val="27627156"/>
    <w:rsid w:val="276A1255"/>
    <w:rsid w:val="277B2BFB"/>
    <w:rsid w:val="277E45A4"/>
    <w:rsid w:val="27829C93"/>
    <w:rsid w:val="2788E6AE"/>
    <w:rsid w:val="279D6C22"/>
    <w:rsid w:val="27A2AAC1"/>
    <w:rsid w:val="27A2C28E"/>
    <w:rsid w:val="27A5A6F6"/>
    <w:rsid w:val="27AB90DB"/>
    <w:rsid w:val="27B5824B"/>
    <w:rsid w:val="27B890F4"/>
    <w:rsid w:val="27D265DE"/>
    <w:rsid w:val="27D68FA4"/>
    <w:rsid w:val="27E27D46"/>
    <w:rsid w:val="27EE3011"/>
    <w:rsid w:val="27F05913"/>
    <w:rsid w:val="27F3212E"/>
    <w:rsid w:val="27F6A229"/>
    <w:rsid w:val="27F7A6C3"/>
    <w:rsid w:val="27FA4F17"/>
    <w:rsid w:val="27FB98D0"/>
    <w:rsid w:val="2802F5B4"/>
    <w:rsid w:val="280EA2A8"/>
    <w:rsid w:val="281FB338"/>
    <w:rsid w:val="2824AEA6"/>
    <w:rsid w:val="2834B32E"/>
    <w:rsid w:val="2836A0BB"/>
    <w:rsid w:val="2837961E"/>
    <w:rsid w:val="283AFB52"/>
    <w:rsid w:val="283D2BA5"/>
    <w:rsid w:val="2851D183"/>
    <w:rsid w:val="285B8BCF"/>
    <w:rsid w:val="2863E529"/>
    <w:rsid w:val="28715F50"/>
    <w:rsid w:val="287806B8"/>
    <w:rsid w:val="287DD118"/>
    <w:rsid w:val="28872115"/>
    <w:rsid w:val="288D866F"/>
    <w:rsid w:val="288E875C"/>
    <w:rsid w:val="288FF8D2"/>
    <w:rsid w:val="289DD76E"/>
    <w:rsid w:val="289E0295"/>
    <w:rsid w:val="28B16E87"/>
    <w:rsid w:val="28B979BD"/>
    <w:rsid w:val="28CA9AC1"/>
    <w:rsid w:val="28D423B9"/>
    <w:rsid w:val="28E2571D"/>
    <w:rsid w:val="28E90C37"/>
    <w:rsid w:val="29100433"/>
    <w:rsid w:val="29141BA8"/>
    <w:rsid w:val="2920BA04"/>
    <w:rsid w:val="29227CD1"/>
    <w:rsid w:val="292313A0"/>
    <w:rsid w:val="29239685"/>
    <w:rsid w:val="2937AB35"/>
    <w:rsid w:val="29395CD6"/>
    <w:rsid w:val="2949AE13"/>
    <w:rsid w:val="294A4010"/>
    <w:rsid w:val="29629C7E"/>
    <w:rsid w:val="29691CE5"/>
    <w:rsid w:val="296D86A5"/>
    <w:rsid w:val="29720451"/>
    <w:rsid w:val="2984CC86"/>
    <w:rsid w:val="298EBA83"/>
    <w:rsid w:val="29A3FB2A"/>
    <w:rsid w:val="29A43B4A"/>
    <w:rsid w:val="29AEA189"/>
    <w:rsid w:val="29D86EF7"/>
    <w:rsid w:val="29E769DB"/>
    <w:rsid w:val="29E792DB"/>
    <w:rsid w:val="29F67C0E"/>
    <w:rsid w:val="29FACE9C"/>
    <w:rsid w:val="29FDFA0A"/>
    <w:rsid w:val="2A083293"/>
    <w:rsid w:val="2A0E1031"/>
    <w:rsid w:val="2A233092"/>
    <w:rsid w:val="2A274899"/>
    <w:rsid w:val="2A2EFA20"/>
    <w:rsid w:val="2A31D07C"/>
    <w:rsid w:val="2A421100"/>
    <w:rsid w:val="2A446DE1"/>
    <w:rsid w:val="2A470109"/>
    <w:rsid w:val="2A861C19"/>
    <w:rsid w:val="2AA7C9ED"/>
    <w:rsid w:val="2AA88F07"/>
    <w:rsid w:val="2AC94D6F"/>
    <w:rsid w:val="2ACC608F"/>
    <w:rsid w:val="2AD05ABD"/>
    <w:rsid w:val="2AD44E77"/>
    <w:rsid w:val="2AD4D900"/>
    <w:rsid w:val="2ADC6756"/>
    <w:rsid w:val="2AE9F139"/>
    <w:rsid w:val="2AEE2DA9"/>
    <w:rsid w:val="2B04928A"/>
    <w:rsid w:val="2B0A216E"/>
    <w:rsid w:val="2B31681F"/>
    <w:rsid w:val="2B3278B9"/>
    <w:rsid w:val="2B369111"/>
    <w:rsid w:val="2B39EF81"/>
    <w:rsid w:val="2B3F9E6B"/>
    <w:rsid w:val="2B42DA72"/>
    <w:rsid w:val="2B434EA2"/>
    <w:rsid w:val="2B5A4CAD"/>
    <w:rsid w:val="2B600A92"/>
    <w:rsid w:val="2B6320AA"/>
    <w:rsid w:val="2B677A2B"/>
    <w:rsid w:val="2B6F2B00"/>
    <w:rsid w:val="2B76944A"/>
    <w:rsid w:val="2B932C91"/>
    <w:rsid w:val="2B99C2BC"/>
    <w:rsid w:val="2B99F337"/>
    <w:rsid w:val="2B9BEDB8"/>
    <w:rsid w:val="2B9C338A"/>
    <w:rsid w:val="2BC4A574"/>
    <w:rsid w:val="2BC93DC4"/>
    <w:rsid w:val="2BCC06D7"/>
    <w:rsid w:val="2BD13BC0"/>
    <w:rsid w:val="2BD19F15"/>
    <w:rsid w:val="2BD6978A"/>
    <w:rsid w:val="2BD93D97"/>
    <w:rsid w:val="2BD94F17"/>
    <w:rsid w:val="2BD9CF77"/>
    <w:rsid w:val="2BDFABE1"/>
    <w:rsid w:val="2BF3B8E8"/>
    <w:rsid w:val="2BF5775B"/>
    <w:rsid w:val="2BFA58F3"/>
    <w:rsid w:val="2BFC1815"/>
    <w:rsid w:val="2BFFA182"/>
    <w:rsid w:val="2C0AE31D"/>
    <w:rsid w:val="2C0C6509"/>
    <w:rsid w:val="2C29494A"/>
    <w:rsid w:val="2C2A0ABB"/>
    <w:rsid w:val="2C326F47"/>
    <w:rsid w:val="2C342453"/>
    <w:rsid w:val="2C3C49C8"/>
    <w:rsid w:val="2C445363"/>
    <w:rsid w:val="2C4552D0"/>
    <w:rsid w:val="2C4F140F"/>
    <w:rsid w:val="2C4FE9A8"/>
    <w:rsid w:val="2C507524"/>
    <w:rsid w:val="2C647AE1"/>
    <w:rsid w:val="2C66152E"/>
    <w:rsid w:val="2C67A459"/>
    <w:rsid w:val="2C6AB037"/>
    <w:rsid w:val="2C6C13F4"/>
    <w:rsid w:val="2C6E6F04"/>
    <w:rsid w:val="2CA47090"/>
    <w:rsid w:val="2CA490CA"/>
    <w:rsid w:val="2CA61A59"/>
    <w:rsid w:val="2CAD4B75"/>
    <w:rsid w:val="2CB6A7C0"/>
    <w:rsid w:val="2CC8B675"/>
    <w:rsid w:val="2CCDD343"/>
    <w:rsid w:val="2CD59FEC"/>
    <w:rsid w:val="2CD818AF"/>
    <w:rsid w:val="2CDA0F84"/>
    <w:rsid w:val="2CE80BE6"/>
    <w:rsid w:val="2CEACA77"/>
    <w:rsid w:val="2CEC4D7A"/>
    <w:rsid w:val="2CFF48A3"/>
    <w:rsid w:val="2D0FB570"/>
    <w:rsid w:val="2D1C6972"/>
    <w:rsid w:val="2D1F9D68"/>
    <w:rsid w:val="2D224F69"/>
    <w:rsid w:val="2D328877"/>
    <w:rsid w:val="2D4866B9"/>
    <w:rsid w:val="2D56707F"/>
    <w:rsid w:val="2D5CD35F"/>
    <w:rsid w:val="2D6E5AA1"/>
    <w:rsid w:val="2D787989"/>
    <w:rsid w:val="2D7C0132"/>
    <w:rsid w:val="2D8637CD"/>
    <w:rsid w:val="2DA47569"/>
    <w:rsid w:val="2DAB85A3"/>
    <w:rsid w:val="2DAEBC52"/>
    <w:rsid w:val="2DC01AFE"/>
    <w:rsid w:val="2DC0414A"/>
    <w:rsid w:val="2DC702B3"/>
    <w:rsid w:val="2DDE839C"/>
    <w:rsid w:val="2DF3A9FF"/>
    <w:rsid w:val="2DF64F27"/>
    <w:rsid w:val="2E056BF5"/>
    <w:rsid w:val="2E0626DE"/>
    <w:rsid w:val="2E06C353"/>
    <w:rsid w:val="2E28DA33"/>
    <w:rsid w:val="2E3406A8"/>
    <w:rsid w:val="2E3868EA"/>
    <w:rsid w:val="2E3885D1"/>
    <w:rsid w:val="2E3B3F64"/>
    <w:rsid w:val="2E40ABD2"/>
    <w:rsid w:val="2E50E0AC"/>
    <w:rsid w:val="2E597188"/>
    <w:rsid w:val="2E618EA1"/>
    <w:rsid w:val="2E90C3FC"/>
    <w:rsid w:val="2E92B4FB"/>
    <w:rsid w:val="2E932B80"/>
    <w:rsid w:val="2E9BF4F8"/>
    <w:rsid w:val="2EC13461"/>
    <w:rsid w:val="2EC2AB74"/>
    <w:rsid w:val="2EE5BE4E"/>
    <w:rsid w:val="2EEA349F"/>
    <w:rsid w:val="2EEC8083"/>
    <w:rsid w:val="2F00CE08"/>
    <w:rsid w:val="2F035129"/>
    <w:rsid w:val="2F05A025"/>
    <w:rsid w:val="2F20AD4F"/>
    <w:rsid w:val="2F23A5C1"/>
    <w:rsid w:val="2F3B0A86"/>
    <w:rsid w:val="2F3ECE02"/>
    <w:rsid w:val="2F52C2D3"/>
    <w:rsid w:val="2F53F4B1"/>
    <w:rsid w:val="2F5C3B0B"/>
    <w:rsid w:val="2F5E7423"/>
    <w:rsid w:val="2F61B0B6"/>
    <w:rsid w:val="2F73A00A"/>
    <w:rsid w:val="2F76819A"/>
    <w:rsid w:val="2F79C774"/>
    <w:rsid w:val="2F7BAEDB"/>
    <w:rsid w:val="2F7E0921"/>
    <w:rsid w:val="2FA73F0D"/>
    <w:rsid w:val="2FA73FCC"/>
    <w:rsid w:val="2FA7B6EA"/>
    <w:rsid w:val="2FA98DF0"/>
    <w:rsid w:val="2FB8AB56"/>
    <w:rsid w:val="2FBA4424"/>
    <w:rsid w:val="2FDAE39B"/>
    <w:rsid w:val="2FE1045C"/>
    <w:rsid w:val="2FE2F867"/>
    <w:rsid w:val="2FE8887B"/>
    <w:rsid w:val="2FEA1B3D"/>
    <w:rsid w:val="2FF41AE4"/>
    <w:rsid w:val="2FF96F96"/>
    <w:rsid w:val="3005044C"/>
    <w:rsid w:val="300EFAF2"/>
    <w:rsid w:val="30275C80"/>
    <w:rsid w:val="3034BE45"/>
    <w:rsid w:val="303B69CB"/>
    <w:rsid w:val="303FACCB"/>
    <w:rsid w:val="3044BA63"/>
    <w:rsid w:val="304B9237"/>
    <w:rsid w:val="304EA9CD"/>
    <w:rsid w:val="30517619"/>
    <w:rsid w:val="30522D24"/>
    <w:rsid w:val="305EA02A"/>
    <w:rsid w:val="306C0709"/>
    <w:rsid w:val="3072DF34"/>
    <w:rsid w:val="307E825D"/>
    <w:rsid w:val="30813C48"/>
    <w:rsid w:val="3084B70C"/>
    <w:rsid w:val="3084E3DE"/>
    <w:rsid w:val="3089E6EE"/>
    <w:rsid w:val="3090C3AC"/>
    <w:rsid w:val="309B267C"/>
    <w:rsid w:val="309C5D31"/>
    <w:rsid w:val="30A4CC0A"/>
    <w:rsid w:val="30A52793"/>
    <w:rsid w:val="30AC6B8B"/>
    <w:rsid w:val="30AFA96A"/>
    <w:rsid w:val="30B14FEB"/>
    <w:rsid w:val="30B41C7B"/>
    <w:rsid w:val="30B52868"/>
    <w:rsid w:val="30B84DE7"/>
    <w:rsid w:val="30C2DDD5"/>
    <w:rsid w:val="30C345DA"/>
    <w:rsid w:val="30C9C4EF"/>
    <w:rsid w:val="30CB5D9F"/>
    <w:rsid w:val="30DF8599"/>
    <w:rsid w:val="30E0ABAF"/>
    <w:rsid w:val="30F82A32"/>
    <w:rsid w:val="30FBD08A"/>
    <w:rsid w:val="30FF8D34"/>
    <w:rsid w:val="310F2921"/>
    <w:rsid w:val="3112E545"/>
    <w:rsid w:val="3119D6B3"/>
    <w:rsid w:val="31267390"/>
    <w:rsid w:val="312B4021"/>
    <w:rsid w:val="31302686"/>
    <w:rsid w:val="3138908A"/>
    <w:rsid w:val="313A9FC0"/>
    <w:rsid w:val="31523791"/>
    <w:rsid w:val="3152D139"/>
    <w:rsid w:val="3155AE39"/>
    <w:rsid w:val="3156FAFB"/>
    <w:rsid w:val="315DC0E0"/>
    <w:rsid w:val="31675921"/>
    <w:rsid w:val="3168779A"/>
    <w:rsid w:val="3176FD29"/>
    <w:rsid w:val="317C8223"/>
    <w:rsid w:val="31848390"/>
    <w:rsid w:val="319302C8"/>
    <w:rsid w:val="319BEF03"/>
    <w:rsid w:val="319F3E71"/>
    <w:rsid w:val="31AC6848"/>
    <w:rsid w:val="31D0321F"/>
    <w:rsid w:val="31E00FF8"/>
    <w:rsid w:val="31ECDF6E"/>
    <w:rsid w:val="31F25DB3"/>
    <w:rsid w:val="31F87E33"/>
    <w:rsid w:val="31FB9AEA"/>
    <w:rsid w:val="320C36D3"/>
    <w:rsid w:val="320C9E7B"/>
    <w:rsid w:val="321B062B"/>
    <w:rsid w:val="322084E0"/>
    <w:rsid w:val="3220D9F0"/>
    <w:rsid w:val="322EF318"/>
    <w:rsid w:val="324D721D"/>
    <w:rsid w:val="32544D74"/>
    <w:rsid w:val="3254AFA0"/>
    <w:rsid w:val="325BA58C"/>
    <w:rsid w:val="325F1984"/>
    <w:rsid w:val="32610790"/>
    <w:rsid w:val="3268031B"/>
    <w:rsid w:val="3272BC99"/>
    <w:rsid w:val="327B316E"/>
    <w:rsid w:val="32947946"/>
    <w:rsid w:val="32A184FD"/>
    <w:rsid w:val="32B3E294"/>
    <w:rsid w:val="32BAFA86"/>
    <w:rsid w:val="32C6ECD4"/>
    <w:rsid w:val="32D29283"/>
    <w:rsid w:val="32DF0D45"/>
    <w:rsid w:val="32E35AA1"/>
    <w:rsid w:val="32E9A5C5"/>
    <w:rsid w:val="330B1A68"/>
    <w:rsid w:val="331C0106"/>
    <w:rsid w:val="331E8D15"/>
    <w:rsid w:val="333434EA"/>
    <w:rsid w:val="3335CE63"/>
    <w:rsid w:val="333EB461"/>
    <w:rsid w:val="33406866"/>
    <w:rsid w:val="3347F15B"/>
    <w:rsid w:val="3358AADA"/>
    <w:rsid w:val="335C67AE"/>
    <w:rsid w:val="33601220"/>
    <w:rsid w:val="3365DF07"/>
    <w:rsid w:val="33686C30"/>
    <w:rsid w:val="3384BEEB"/>
    <w:rsid w:val="33943AA9"/>
    <w:rsid w:val="339AB305"/>
    <w:rsid w:val="339F22AB"/>
    <w:rsid w:val="33BF8AC2"/>
    <w:rsid w:val="33C5D759"/>
    <w:rsid w:val="33CC220E"/>
    <w:rsid w:val="33E3D775"/>
    <w:rsid w:val="33F86EC2"/>
    <w:rsid w:val="33FFFC53"/>
    <w:rsid w:val="3404C8DA"/>
    <w:rsid w:val="34068216"/>
    <w:rsid w:val="34088D29"/>
    <w:rsid w:val="3429F185"/>
    <w:rsid w:val="342E8C02"/>
    <w:rsid w:val="3436F842"/>
    <w:rsid w:val="34375131"/>
    <w:rsid w:val="34398C55"/>
    <w:rsid w:val="3443292B"/>
    <w:rsid w:val="344646BD"/>
    <w:rsid w:val="344ABB37"/>
    <w:rsid w:val="344DAE9F"/>
    <w:rsid w:val="34506C15"/>
    <w:rsid w:val="3452BBD6"/>
    <w:rsid w:val="345969AC"/>
    <w:rsid w:val="345AFBD6"/>
    <w:rsid w:val="346C1470"/>
    <w:rsid w:val="34798EB4"/>
    <w:rsid w:val="347C8025"/>
    <w:rsid w:val="347D1816"/>
    <w:rsid w:val="347FDA34"/>
    <w:rsid w:val="349728E5"/>
    <w:rsid w:val="34A0DBC2"/>
    <w:rsid w:val="34A285BE"/>
    <w:rsid w:val="34A4D354"/>
    <w:rsid w:val="34ADED7D"/>
    <w:rsid w:val="34B12A74"/>
    <w:rsid w:val="34B160A5"/>
    <w:rsid w:val="34B5C536"/>
    <w:rsid w:val="34B8DF51"/>
    <w:rsid w:val="34BD62BD"/>
    <w:rsid w:val="34C1C1A7"/>
    <w:rsid w:val="34E0211A"/>
    <w:rsid w:val="34E0A6AB"/>
    <w:rsid w:val="34E19349"/>
    <w:rsid w:val="34FBF517"/>
    <w:rsid w:val="3500FDEC"/>
    <w:rsid w:val="350DC593"/>
    <w:rsid w:val="351D6CDD"/>
    <w:rsid w:val="35245135"/>
    <w:rsid w:val="3527B113"/>
    <w:rsid w:val="353EAE61"/>
    <w:rsid w:val="353EDD40"/>
    <w:rsid w:val="353F4DE6"/>
    <w:rsid w:val="354DB8EE"/>
    <w:rsid w:val="354EEDA0"/>
    <w:rsid w:val="354FE918"/>
    <w:rsid w:val="3555CE55"/>
    <w:rsid w:val="355E6386"/>
    <w:rsid w:val="35682D88"/>
    <w:rsid w:val="35720426"/>
    <w:rsid w:val="3577F25E"/>
    <w:rsid w:val="3581E684"/>
    <w:rsid w:val="35899A46"/>
    <w:rsid w:val="3589CF20"/>
    <w:rsid w:val="35914966"/>
    <w:rsid w:val="3594B7C3"/>
    <w:rsid w:val="3596D0AF"/>
    <w:rsid w:val="359BBB73"/>
    <w:rsid w:val="359E6070"/>
    <w:rsid w:val="359FB1C3"/>
    <w:rsid w:val="35ADDAF3"/>
    <w:rsid w:val="35AE2A2F"/>
    <w:rsid w:val="35AF0233"/>
    <w:rsid w:val="35B71FE4"/>
    <w:rsid w:val="35BC8D53"/>
    <w:rsid w:val="35BF224C"/>
    <w:rsid w:val="35CA4AAD"/>
    <w:rsid w:val="35D0D77E"/>
    <w:rsid w:val="35ED0E08"/>
    <w:rsid w:val="3604F1DB"/>
    <w:rsid w:val="36072E95"/>
    <w:rsid w:val="3618F2C7"/>
    <w:rsid w:val="361EFDA5"/>
    <w:rsid w:val="36214B2A"/>
    <w:rsid w:val="362F5334"/>
    <w:rsid w:val="363356E9"/>
    <w:rsid w:val="363E3B10"/>
    <w:rsid w:val="3652C2D2"/>
    <w:rsid w:val="36583D31"/>
    <w:rsid w:val="365A0563"/>
    <w:rsid w:val="366D18DB"/>
    <w:rsid w:val="366EDA7E"/>
    <w:rsid w:val="3679D44F"/>
    <w:rsid w:val="367EDEAC"/>
    <w:rsid w:val="368338CD"/>
    <w:rsid w:val="368C4109"/>
    <w:rsid w:val="36A3C6ED"/>
    <w:rsid w:val="36AAE0E0"/>
    <w:rsid w:val="36B2E089"/>
    <w:rsid w:val="36BDAAE9"/>
    <w:rsid w:val="36C62FD2"/>
    <w:rsid w:val="36C8C200"/>
    <w:rsid w:val="36D8D4FD"/>
    <w:rsid w:val="36DC5057"/>
    <w:rsid w:val="36EA1E62"/>
    <w:rsid w:val="36EA8FDA"/>
    <w:rsid w:val="36EFB456"/>
    <w:rsid w:val="36F580FE"/>
    <w:rsid w:val="37021872"/>
    <w:rsid w:val="3708E54E"/>
    <w:rsid w:val="3710BB0A"/>
    <w:rsid w:val="3712586B"/>
    <w:rsid w:val="3713CC96"/>
    <w:rsid w:val="3729CB21"/>
    <w:rsid w:val="3733F277"/>
    <w:rsid w:val="37365179"/>
    <w:rsid w:val="373C23CE"/>
    <w:rsid w:val="373D157D"/>
    <w:rsid w:val="374768E8"/>
    <w:rsid w:val="374ED05C"/>
    <w:rsid w:val="375323E8"/>
    <w:rsid w:val="3759F9EB"/>
    <w:rsid w:val="37640BB7"/>
    <w:rsid w:val="376815FE"/>
    <w:rsid w:val="3774B845"/>
    <w:rsid w:val="377E8140"/>
    <w:rsid w:val="377EEB61"/>
    <w:rsid w:val="37822C23"/>
    <w:rsid w:val="3788E9DD"/>
    <w:rsid w:val="37AB2079"/>
    <w:rsid w:val="37B38FEC"/>
    <w:rsid w:val="37B8C998"/>
    <w:rsid w:val="37CFAA00"/>
    <w:rsid w:val="37DBF0CF"/>
    <w:rsid w:val="37DF54D3"/>
    <w:rsid w:val="37E3824E"/>
    <w:rsid w:val="37EA33F1"/>
    <w:rsid w:val="3802E0D6"/>
    <w:rsid w:val="380A4153"/>
    <w:rsid w:val="38191229"/>
    <w:rsid w:val="3825C370"/>
    <w:rsid w:val="38353EED"/>
    <w:rsid w:val="38354076"/>
    <w:rsid w:val="3843F4A8"/>
    <w:rsid w:val="384E181F"/>
    <w:rsid w:val="386BFFAB"/>
    <w:rsid w:val="387096F2"/>
    <w:rsid w:val="38715B35"/>
    <w:rsid w:val="3878436B"/>
    <w:rsid w:val="387B1E09"/>
    <w:rsid w:val="387F6FA1"/>
    <w:rsid w:val="3884A9C4"/>
    <w:rsid w:val="388BB74E"/>
    <w:rsid w:val="388C2DF1"/>
    <w:rsid w:val="389631C6"/>
    <w:rsid w:val="38A2481C"/>
    <w:rsid w:val="38A38684"/>
    <w:rsid w:val="38A74E20"/>
    <w:rsid w:val="38AA86A7"/>
    <w:rsid w:val="38AC9D9B"/>
    <w:rsid w:val="38B6DEB9"/>
    <w:rsid w:val="38C3AA56"/>
    <w:rsid w:val="38C6ED78"/>
    <w:rsid w:val="38CAE9C0"/>
    <w:rsid w:val="38CC61CB"/>
    <w:rsid w:val="38DB58AF"/>
    <w:rsid w:val="38DB88F0"/>
    <w:rsid w:val="38E4C078"/>
    <w:rsid w:val="38E7BE72"/>
    <w:rsid w:val="38FEE0AD"/>
    <w:rsid w:val="390197DC"/>
    <w:rsid w:val="39127B04"/>
    <w:rsid w:val="3913206C"/>
    <w:rsid w:val="391C067A"/>
    <w:rsid w:val="3926ED1D"/>
    <w:rsid w:val="39350722"/>
    <w:rsid w:val="393D8AD6"/>
    <w:rsid w:val="394F37BA"/>
    <w:rsid w:val="39525856"/>
    <w:rsid w:val="39560F45"/>
    <w:rsid w:val="396A60D2"/>
    <w:rsid w:val="396C3905"/>
    <w:rsid w:val="396EAECD"/>
    <w:rsid w:val="3989EFB5"/>
    <w:rsid w:val="399D4B09"/>
    <w:rsid w:val="39A88C77"/>
    <w:rsid w:val="39A88E3E"/>
    <w:rsid w:val="39C82753"/>
    <w:rsid w:val="3A158550"/>
    <w:rsid w:val="3A1CED57"/>
    <w:rsid w:val="3A38E137"/>
    <w:rsid w:val="3A3AB319"/>
    <w:rsid w:val="3A3B51A1"/>
    <w:rsid w:val="3A3F465F"/>
    <w:rsid w:val="3A427FC8"/>
    <w:rsid w:val="3A48966C"/>
    <w:rsid w:val="3A64C182"/>
    <w:rsid w:val="3A66DF45"/>
    <w:rsid w:val="3A6BC385"/>
    <w:rsid w:val="3A719BC8"/>
    <w:rsid w:val="3A766218"/>
    <w:rsid w:val="3A93A5BD"/>
    <w:rsid w:val="3A9D7B6C"/>
    <w:rsid w:val="3AB65224"/>
    <w:rsid w:val="3ABCA613"/>
    <w:rsid w:val="3AD057FE"/>
    <w:rsid w:val="3AD95026"/>
    <w:rsid w:val="3AEAAC56"/>
    <w:rsid w:val="3AF50C27"/>
    <w:rsid w:val="3AFBD729"/>
    <w:rsid w:val="3AFDA786"/>
    <w:rsid w:val="3B058FBB"/>
    <w:rsid w:val="3B0C257F"/>
    <w:rsid w:val="3B1BE225"/>
    <w:rsid w:val="3B2A4291"/>
    <w:rsid w:val="3B2BB407"/>
    <w:rsid w:val="3B347102"/>
    <w:rsid w:val="3B4DB0FA"/>
    <w:rsid w:val="3B53D1DA"/>
    <w:rsid w:val="3B62478C"/>
    <w:rsid w:val="3B63493E"/>
    <w:rsid w:val="3B654FFE"/>
    <w:rsid w:val="3B68BA92"/>
    <w:rsid w:val="3B7442F5"/>
    <w:rsid w:val="3B78BA4A"/>
    <w:rsid w:val="3BAA7682"/>
    <w:rsid w:val="3BABD391"/>
    <w:rsid w:val="3BAD88BA"/>
    <w:rsid w:val="3BC524D4"/>
    <w:rsid w:val="3BC5EE92"/>
    <w:rsid w:val="3BEC63EC"/>
    <w:rsid w:val="3BF3486F"/>
    <w:rsid w:val="3BFB8F19"/>
    <w:rsid w:val="3BFE1ED4"/>
    <w:rsid w:val="3C096337"/>
    <w:rsid w:val="3C0BB72A"/>
    <w:rsid w:val="3C0E02EE"/>
    <w:rsid w:val="3C0E9A38"/>
    <w:rsid w:val="3C1035B8"/>
    <w:rsid w:val="3C24DF38"/>
    <w:rsid w:val="3C284E3D"/>
    <w:rsid w:val="3C28E329"/>
    <w:rsid w:val="3C310421"/>
    <w:rsid w:val="3C32B159"/>
    <w:rsid w:val="3C32FD74"/>
    <w:rsid w:val="3C3ABC22"/>
    <w:rsid w:val="3C561D40"/>
    <w:rsid w:val="3C567A82"/>
    <w:rsid w:val="3C65E684"/>
    <w:rsid w:val="3C75210C"/>
    <w:rsid w:val="3C7B67FA"/>
    <w:rsid w:val="3C814433"/>
    <w:rsid w:val="3C8E25B7"/>
    <w:rsid w:val="3C9C4DC0"/>
    <w:rsid w:val="3C9E2BEB"/>
    <w:rsid w:val="3CBB8C48"/>
    <w:rsid w:val="3CC1E555"/>
    <w:rsid w:val="3CC5E10E"/>
    <w:rsid w:val="3CE87FD2"/>
    <w:rsid w:val="3D20D0B5"/>
    <w:rsid w:val="3D2C148B"/>
    <w:rsid w:val="3D386B64"/>
    <w:rsid w:val="3D3D1A88"/>
    <w:rsid w:val="3D4B5A51"/>
    <w:rsid w:val="3D4E5CFD"/>
    <w:rsid w:val="3D58434A"/>
    <w:rsid w:val="3D5D1D97"/>
    <w:rsid w:val="3D71AE24"/>
    <w:rsid w:val="3D7AFCA7"/>
    <w:rsid w:val="3D8B3ABF"/>
    <w:rsid w:val="3D934A73"/>
    <w:rsid w:val="3D9AA844"/>
    <w:rsid w:val="3DA92379"/>
    <w:rsid w:val="3DAC0D44"/>
    <w:rsid w:val="3DB03BD7"/>
    <w:rsid w:val="3DE613B7"/>
    <w:rsid w:val="3DF22BA2"/>
    <w:rsid w:val="3E11C8F4"/>
    <w:rsid w:val="3E1302B0"/>
    <w:rsid w:val="3E2C24A3"/>
    <w:rsid w:val="3E45228C"/>
    <w:rsid w:val="3E54BA75"/>
    <w:rsid w:val="3E581DE4"/>
    <w:rsid w:val="3E5F66D5"/>
    <w:rsid w:val="3E63A682"/>
    <w:rsid w:val="3E65F46C"/>
    <w:rsid w:val="3E84212F"/>
    <w:rsid w:val="3EACE4B4"/>
    <w:rsid w:val="3EC0BBF4"/>
    <w:rsid w:val="3ECF4E21"/>
    <w:rsid w:val="3EEB72A4"/>
    <w:rsid w:val="3EED87C5"/>
    <w:rsid w:val="3EF0549C"/>
    <w:rsid w:val="3EF8783A"/>
    <w:rsid w:val="3EFA8D4B"/>
    <w:rsid w:val="3F0280BA"/>
    <w:rsid w:val="3F06F3F4"/>
    <w:rsid w:val="3F0D1A56"/>
    <w:rsid w:val="3F2596C0"/>
    <w:rsid w:val="3F32C83C"/>
    <w:rsid w:val="3F3E9E16"/>
    <w:rsid w:val="3F45B4FE"/>
    <w:rsid w:val="3F4AD263"/>
    <w:rsid w:val="3F4FFC38"/>
    <w:rsid w:val="3F56CF1D"/>
    <w:rsid w:val="3F5D01F7"/>
    <w:rsid w:val="3F5D4981"/>
    <w:rsid w:val="3F61900B"/>
    <w:rsid w:val="3F656208"/>
    <w:rsid w:val="3F6A2A6A"/>
    <w:rsid w:val="3F83B5BC"/>
    <w:rsid w:val="3F9D6722"/>
    <w:rsid w:val="3FB22C57"/>
    <w:rsid w:val="3FCD26B0"/>
    <w:rsid w:val="3FCE7DE6"/>
    <w:rsid w:val="3FD098D3"/>
    <w:rsid w:val="3FDB32ED"/>
    <w:rsid w:val="3FDFDC1F"/>
    <w:rsid w:val="3FE38E76"/>
    <w:rsid w:val="3FEEFE24"/>
    <w:rsid w:val="3FFEC419"/>
    <w:rsid w:val="4014691A"/>
    <w:rsid w:val="401A4D0F"/>
    <w:rsid w:val="40213D0D"/>
    <w:rsid w:val="4022BD10"/>
    <w:rsid w:val="40430FD1"/>
    <w:rsid w:val="406A7E37"/>
    <w:rsid w:val="40732599"/>
    <w:rsid w:val="4074A923"/>
    <w:rsid w:val="407D9EE2"/>
    <w:rsid w:val="4088DB19"/>
    <w:rsid w:val="40909CCB"/>
    <w:rsid w:val="40B72F43"/>
    <w:rsid w:val="40B80A9F"/>
    <w:rsid w:val="40BAE39C"/>
    <w:rsid w:val="40BAEB06"/>
    <w:rsid w:val="40BD89E1"/>
    <w:rsid w:val="40C92EC5"/>
    <w:rsid w:val="40DB4391"/>
    <w:rsid w:val="40DFF700"/>
    <w:rsid w:val="40E1B3E8"/>
    <w:rsid w:val="40E6F845"/>
    <w:rsid w:val="40EA1C55"/>
    <w:rsid w:val="40F15948"/>
    <w:rsid w:val="40FEB0E9"/>
    <w:rsid w:val="410E18C5"/>
    <w:rsid w:val="4111418E"/>
    <w:rsid w:val="4117BE73"/>
    <w:rsid w:val="41207104"/>
    <w:rsid w:val="41305380"/>
    <w:rsid w:val="4142FCED"/>
    <w:rsid w:val="414D775B"/>
    <w:rsid w:val="41522A0E"/>
    <w:rsid w:val="415B8D82"/>
    <w:rsid w:val="415F6F33"/>
    <w:rsid w:val="41614297"/>
    <w:rsid w:val="416A3B8F"/>
    <w:rsid w:val="416A72F4"/>
    <w:rsid w:val="417EF6E0"/>
    <w:rsid w:val="41835C5A"/>
    <w:rsid w:val="418537E2"/>
    <w:rsid w:val="418EF0A1"/>
    <w:rsid w:val="4193073F"/>
    <w:rsid w:val="41933404"/>
    <w:rsid w:val="41A0D168"/>
    <w:rsid w:val="41A6B52D"/>
    <w:rsid w:val="41E5C5F5"/>
    <w:rsid w:val="41FE9BBD"/>
    <w:rsid w:val="42005D0B"/>
    <w:rsid w:val="420BB3A5"/>
    <w:rsid w:val="4212DA7E"/>
    <w:rsid w:val="421446D4"/>
    <w:rsid w:val="42164AA2"/>
    <w:rsid w:val="421F6F7D"/>
    <w:rsid w:val="4221CE20"/>
    <w:rsid w:val="422AA0FA"/>
    <w:rsid w:val="423E7F11"/>
    <w:rsid w:val="42559EB0"/>
    <w:rsid w:val="425725A4"/>
    <w:rsid w:val="4263CCC0"/>
    <w:rsid w:val="427A2196"/>
    <w:rsid w:val="42836FC2"/>
    <w:rsid w:val="42861C64"/>
    <w:rsid w:val="42873854"/>
    <w:rsid w:val="42878A5E"/>
    <w:rsid w:val="4287C1B7"/>
    <w:rsid w:val="429EB3B6"/>
    <w:rsid w:val="42A8DD88"/>
    <w:rsid w:val="42AA4339"/>
    <w:rsid w:val="42B23627"/>
    <w:rsid w:val="42B32421"/>
    <w:rsid w:val="42B9779F"/>
    <w:rsid w:val="42C04250"/>
    <w:rsid w:val="42CE69D7"/>
    <w:rsid w:val="42D78C41"/>
    <w:rsid w:val="42EE0683"/>
    <w:rsid w:val="42F29CCA"/>
    <w:rsid w:val="42F8D5BB"/>
    <w:rsid w:val="43043001"/>
    <w:rsid w:val="43133B6F"/>
    <w:rsid w:val="431450EC"/>
    <w:rsid w:val="43159B2D"/>
    <w:rsid w:val="4324B265"/>
    <w:rsid w:val="43269BC0"/>
    <w:rsid w:val="432F863F"/>
    <w:rsid w:val="433B5EB5"/>
    <w:rsid w:val="433B7599"/>
    <w:rsid w:val="4345E0E9"/>
    <w:rsid w:val="434672A1"/>
    <w:rsid w:val="43485D14"/>
    <w:rsid w:val="434B5501"/>
    <w:rsid w:val="4352FBA5"/>
    <w:rsid w:val="4357A47A"/>
    <w:rsid w:val="436E42C2"/>
    <w:rsid w:val="4374B7B7"/>
    <w:rsid w:val="4374F4BF"/>
    <w:rsid w:val="437941AC"/>
    <w:rsid w:val="437F57E6"/>
    <w:rsid w:val="43937F0F"/>
    <w:rsid w:val="43A187A8"/>
    <w:rsid w:val="43BD9E81"/>
    <w:rsid w:val="43BF9341"/>
    <w:rsid w:val="43C8E6B3"/>
    <w:rsid w:val="43D31CBA"/>
    <w:rsid w:val="43DA366F"/>
    <w:rsid w:val="43E1BBC4"/>
    <w:rsid w:val="43ECA485"/>
    <w:rsid w:val="43EF77F6"/>
    <w:rsid w:val="43F075CB"/>
    <w:rsid w:val="43FC5EE2"/>
    <w:rsid w:val="44024AAC"/>
    <w:rsid w:val="44214A0B"/>
    <w:rsid w:val="44277051"/>
    <w:rsid w:val="442E6AE4"/>
    <w:rsid w:val="44320CF5"/>
    <w:rsid w:val="443E48D6"/>
    <w:rsid w:val="4451E817"/>
    <w:rsid w:val="445411A3"/>
    <w:rsid w:val="4460B977"/>
    <w:rsid w:val="44654577"/>
    <w:rsid w:val="4466E99A"/>
    <w:rsid w:val="4471FF1A"/>
    <w:rsid w:val="4479E36C"/>
    <w:rsid w:val="447F2A37"/>
    <w:rsid w:val="4480676C"/>
    <w:rsid w:val="449BFFF9"/>
    <w:rsid w:val="44A441BF"/>
    <w:rsid w:val="44A6298B"/>
    <w:rsid w:val="44A93813"/>
    <w:rsid w:val="44A98E2A"/>
    <w:rsid w:val="44AD1DF1"/>
    <w:rsid w:val="44B551BB"/>
    <w:rsid w:val="44D1DCF4"/>
    <w:rsid w:val="44F034DB"/>
    <w:rsid w:val="44F67C3D"/>
    <w:rsid w:val="45030B46"/>
    <w:rsid w:val="45038D96"/>
    <w:rsid w:val="450F779D"/>
    <w:rsid w:val="450FFB92"/>
    <w:rsid w:val="45141489"/>
    <w:rsid w:val="451F4F36"/>
    <w:rsid w:val="4523E3BA"/>
    <w:rsid w:val="4549E9C3"/>
    <w:rsid w:val="45615810"/>
    <w:rsid w:val="45668E19"/>
    <w:rsid w:val="4566C1FA"/>
    <w:rsid w:val="4568BE39"/>
    <w:rsid w:val="4571F071"/>
    <w:rsid w:val="457525A7"/>
    <w:rsid w:val="457619FC"/>
    <w:rsid w:val="457A373C"/>
    <w:rsid w:val="458460A5"/>
    <w:rsid w:val="459113E1"/>
    <w:rsid w:val="45A7935B"/>
    <w:rsid w:val="45A96787"/>
    <w:rsid w:val="45B6A1D1"/>
    <w:rsid w:val="45CB358E"/>
    <w:rsid w:val="45CCFFCF"/>
    <w:rsid w:val="45CEDAD1"/>
    <w:rsid w:val="45D554B6"/>
    <w:rsid w:val="45E01C37"/>
    <w:rsid w:val="45E2F0FF"/>
    <w:rsid w:val="45E53559"/>
    <w:rsid w:val="45E6485E"/>
    <w:rsid w:val="45F5C632"/>
    <w:rsid w:val="45FB0832"/>
    <w:rsid w:val="45FFE927"/>
    <w:rsid w:val="462153C5"/>
    <w:rsid w:val="46274ED6"/>
    <w:rsid w:val="462810A5"/>
    <w:rsid w:val="462DA17B"/>
    <w:rsid w:val="46333350"/>
    <w:rsid w:val="46350344"/>
    <w:rsid w:val="46460018"/>
    <w:rsid w:val="464B2340"/>
    <w:rsid w:val="46708371"/>
    <w:rsid w:val="467BF18C"/>
    <w:rsid w:val="467D83F6"/>
    <w:rsid w:val="468784E0"/>
    <w:rsid w:val="4687EC77"/>
    <w:rsid w:val="4692B1F6"/>
    <w:rsid w:val="46974959"/>
    <w:rsid w:val="469C4DDA"/>
    <w:rsid w:val="469C6EA8"/>
    <w:rsid w:val="469D6F33"/>
    <w:rsid w:val="46B3899D"/>
    <w:rsid w:val="46D7D39C"/>
    <w:rsid w:val="46DED99F"/>
    <w:rsid w:val="46E06272"/>
    <w:rsid w:val="46EEDEE0"/>
    <w:rsid w:val="46F06437"/>
    <w:rsid w:val="471259E0"/>
    <w:rsid w:val="47133DD9"/>
    <w:rsid w:val="4732F76C"/>
    <w:rsid w:val="473512BB"/>
    <w:rsid w:val="47382E86"/>
    <w:rsid w:val="47390B79"/>
    <w:rsid w:val="473FF6E0"/>
    <w:rsid w:val="47582D4C"/>
    <w:rsid w:val="47628B08"/>
    <w:rsid w:val="476C82B9"/>
    <w:rsid w:val="476E140C"/>
    <w:rsid w:val="477D0575"/>
    <w:rsid w:val="478994EA"/>
    <w:rsid w:val="478A9126"/>
    <w:rsid w:val="478DCBD2"/>
    <w:rsid w:val="47AD49D6"/>
    <w:rsid w:val="47B2F972"/>
    <w:rsid w:val="47BB4D8E"/>
    <w:rsid w:val="47BCD216"/>
    <w:rsid w:val="47C2EF5D"/>
    <w:rsid w:val="47CF3C74"/>
    <w:rsid w:val="47E69D37"/>
    <w:rsid w:val="47E91BAA"/>
    <w:rsid w:val="47F2686F"/>
    <w:rsid w:val="480ABCDA"/>
    <w:rsid w:val="48113F19"/>
    <w:rsid w:val="482353B7"/>
    <w:rsid w:val="482CCA35"/>
    <w:rsid w:val="4833101B"/>
    <w:rsid w:val="48370B10"/>
    <w:rsid w:val="4841599C"/>
    <w:rsid w:val="4847F010"/>
    <w:rsid w:val="4850A4FE"/>
    <w:rsid w:val="48594FA8"/>
    <w:rsid w:val="4881A195"/>
    <w:rsid w:val="4896B9F3"/>
    <w:rsid w:val="4898514D"/>
    <w:rsid w:val="489F2293"/>
    <w:rsid w:val="48A18FBF"/>
    <w:rsid w:val="48A47334"/>
    <w:rsid w:val="48A538E6"/>
    <w:rsid w:val="48A65033"/>
    <w:rsid w:val="48A9D6AB"/>
    <w:rsid w:val="48AAFBCB"/>
    <w:rsid w:val="48BD539E"/>
    <w:rsid w:val="48C3FBDF"/>
    <w:rsid w:val="48D01621"/>
    <w:rsid w:val="48D86E97"/>
    <w:rsid w:val="48E19024"/>
    <w:rsid w:val="48E2723B"/>
    <w:rsid w:val="48F4E431"/>
    <w:rsid w:val="4916808B"/>
    <w:rsid w:val="491AE8E5"/>
    <w:rsid w:val="491BCBA5"/>
    <w:rsid w:val="492CF62A"/>
    <w:rsid w:val="492DECBD"/>
    <w:rsid w:val="49363219"/>
    <w:rsid w:val="49415712"/>
    <w:rsid w:val="49616627"/>
    <w:rsid w:val="496EF069"/>
    <w:rsid w:val="49759C7B"/>
    <w:rsid w:val="4976ECFC"/>
    <w:rsid w:val="49822DAA"/>
    <w:rsid w:val="4992923E"/>
    <w:rsid w:val="49A43934"/>
    <w:rsid w:val="49A6DDCA"/>
    <w:rsid w:val="49ADBA14"/>
    <w:rsid w:val="49B4EF5A"/>
    <w:rsid w:val="49C28D39"/>
    <w:rsid w:val="49C44E9C"/>
    <w:rsid w:val="49CC9B0D"/>
    <w:rsid w:val="49E0FD8C"/>
    <w:rsid w:val="49E55F27"/>
    <w:rsid w:val="49E8D8CF"/>
    <w:rsid w:val="49EFA050"/>
    <w:rsid w:val="4A140BAE"/>
    <w:rsid w:val="4A174B72"/>
    <w:rsid w:val="4A20B1A6"/>
    <w:rsid w:val="4A244618"/>
    <w:rsid w:val="4A2D62CF"/>
    <w:rsid w:val="4A2DC674"/>
    <w:rsid w:val="4A59A586"/>
    <w:rsid w:val="4A63C6D7"/>
    <w:rsid w:val="4A6F23BA"/>
    <w:rsid w:val="4A6F9E13"/>
    <w:rsid w:val="4A744018"/>
    <w:rsid w:val="4A78D596"/>
    <w:rsid w:val="4A811437"/>
    <w:rsid w:val="4A9C8ECE"/>
    <w:rsid w:val="4AA016AC"/>
    <w:rsid w:val="4AA9D588"/>
    <w:rsid w:val="4AC2D566"/>
    <w:rsid w:val="4AD360A1"/>
    <w:rsid w:val="4AD3D62F"/>
    <w:rsid w:val="4AD73FE1"/>
    <w:rsid w:val="4AE2066C"/>
    <w:rsid w:val="4B06D432"/>
    <w:rsid w:val="4B08A512"/>
    <w:rsid w:val="4B0C582A"/>
    <w:rsid w:val="4B4048BE"/>
    <w:rsid w:val="4B4AE54A"/>
    <w:rsid w:val="4B4C4F5B"/>
    <w:rsid w:val="4B4CB35E"/>
    <w:rsid w:val="4B4CFC92"/>
    <w:rsid w:val="4B586905"/>
    <w:rsid w:val="4B6A5A19"/>
    <w:rsid w:val="4B7AEB6A"/>
    <w:rsid w:val="4B9CEC6C"/>
    <w:rsid w:val="4BB17A28"/>
    <w:rsid w:val="4BB5F614"/>
    <w:rsid w:val="4BBE879A"/>
    <w:rsid w:val="4BC21BC7"/>
    <w:rsid w:val="4BC9E31E"/>
    <w:rsid w:val="4BCBE2DD"/>
    <w:rsid w:val="4BDB8710"/>
    <w:rsid w:val="4BDFD0E5"/>
    <w:rsid w:val="4BFB95C5"/>
    <w:rsid w:val="4BFFE9FC"/>
    <w:rsid w:val="4C022FFF"/>
    <w:rsid w:val="4C19D799"/>
    <w:rsid w:val="4C1EAB39"/>
    <w:rsid w:val="4C2421B1"/>
    <w:rsid w:val="4C429B01"/>
    <w:rsid w:val="4C4796C2"/>
    <w:rsid w:val="4C4BBA1D"/>
    <w:rsid w:val="4C4D863E"/>
    <w:rsid w:val="4C4EA88F"/>
    <w:rsid w:val="4C4EB603"/>
    <w:rsid w:val="4C619B9C"/>
    <w:rsid w:val="4C689208"/>
    <w:rsid w:val="4C73F28D"/>
    <w:rsid w:val="4C7E8348"/>
    <w:rsid w:val="4C84C539"/>
    <w:rsid w:val="4C84C834"/>
    <w:rsid w:val="4C85DF8A"/>
    <w:rsid w:val="4C8AE40D"/>
    <w:rsid w:val="4C922B61"/>
    <w:rsid w:val="4C987B90"/>
    <w:rsid w:val="4CC5FD03"/>
    <w:rsid w:val="4CD524E1"/>
    <w:rsid w:val="4CE67CC8"/>
    <w:rsid w:val="4CE9126B"/>
    <w:rsid w:val="4CF5612B"/>
    <w:rsid w:val="4CF888BE"/>
    <w:rsid w:val="4D19C0F8"/>
    <w:rsid w:val="4D27F2DA"/>
    <w:rsid w:val="4D2AE812"/>
    <w:rsid w:val="4D302AFF"/>
    <w:rsid w:val="4D365721"/>
    <w:rsid w:val="4D3F81CA"/>
    <w:rsid w:val="4D56DFF1"/>
    <w:rsid w:val="4D58462C"/>
    <w:rsid w:val="4D5B4A75"/>
    <w:rsid w:val="4D7084FA"/>
    <w:rsid w:val="4D73C98D"/>
    <w:rsid w:val="4D7C9392"/>
    <w:rsid w:val="4D82C321"/>
    <w:rsid w:val="4D9491C7"/>
    <w:rsid w:val="4D94B119"/>
    <w:rsid w:val="4D97F921"/>
    <w:rsid w:val="4D9BC7E5"/>
    <w:rsid w:val="4D9DF46F"/>
    <w:rsid w:val="4D9F2E7A"/>
    <w:rsid w:val="4DACD60A"/>
    <w:rsid w:val="4DAF200F"/>
    <w:rsid w:val="4DB1D0D8"/>
    <w:rsid w:val="4DBD406B"/>
    <w:rsid w:val="4DC2C021"/>
    <w:rsid w:val="4DD3312B"/>
    <w:rsid w:val="4DDA4CEF"/>
    <w:rsid w:val="4DE82A18"/>
    <w:rsid w:val="4E0B1669"/>
    <w:rsid w:val="4E2A2285"/>
    <w:rsid w:val="4E3139ED"/>
    <w:rsid w:val="4E44B50B"/>
    <w:rsid w:val="4E4D7245"/>
    <w:rsid w:val="4E687251"/>
    <w:rsid w:val="4E6BA739"/>
    <w:rsid w:val="4E8B4DD1"/>
    <w:rsid w:val="4E9445EA"/>
    <w:rsid w:val="4E98FCB7"/>
    <w:rsid w:val="4EAFF7A4"/>
    <w:rsid w:val="4EB36AC7"/>
    <w:rsid w:val="4EB4E6B4"/>
    <w:rsid w:val="4EB5A96F"/>
    <w:rsid w:val="4EB5F3C1"/>
    <w:rsid w:val="4EBA08FC"/>
    <w:rsid w:val="4EBFA225"/>
    <w:rsid w:val="4EC8EAF7"/>
    <w:rsid w:val="4EC96BFA"/>
    <w:rsid w:val="4ECCB3BC"/>
    <w:rsid w:val="4ECCD10A"/>
    <w:rsid w:val="4ED1E560"/>
    <w:rsid w:val="4EDB9BA8"/>
    <w:rsid w:val="4EDD5C3B"/>
    <w:rsid w:val="4EDF8BDE"/>
    <w:rsid w:val="4EEB0015"/>
    <w:rsid w:val="4EF13105"/>
    <w:rsid w:val="4EF53855"/>
    <w:rsid w:val="4EFF9BD5"/>
    <w:rsid w:val="4F0C9EBE"/>
    <w:rsid w:val="4F0F7C4F"/>
    <w:rsid w:val="4F16D969"/>
    <w:rsid w:val="4F1FE0C0"/>
    <w:rsid w:val="4F2E73EB"/>
    <w:rsid w:val="4F32DE02"/>
    <w:rsid w:val="4F3F8751"/>
    <w:rsid w:val="4F3FA6E8"/>
    <w:rsid w:val="4F4750BA"/>
    <w:rsid w:val="4F55B5CA"/>
    <w:rsid w:val="4F65A30A"/>
    <w:rsid w:val="4F690F3D"/>
    <w:rsid w:val="4F6CF076"/>
    <w:rsid w:val="4F716143"/>
    <w:rsid w:val="4F8919FC"/>
    <w:rsid w:val="4F8A53B4"/>
    <w:rsid w:val="4F9ECE6D"/>
    <w:rsid w:val="4F9F0BC8"/>
    <w:rsid w:val="4F9F3174"/>
    <w:rsid w:val="4FAB0B34"/>
    <w:rsid w:val="4FB22AE0"/>
    <w:rsid w:val="4FB30B23"/>
    <w:rsid w:val="4FB4090D"/>
    <w:rsid w:val="4FBB8954"/>
    <w:rsid w:val="4FC0BB12"/>
    <w:rsid w:val="4FC7D7F2"/>
    <w:rsid w:val="4FD6BEEB"/>
    <w:rsid w:val="4FDBDA4E"/>
    <w:rsid w:val="4FDE0E96"/>
    <w:rsid w:val="4FF1B930"/>
    <w:rsid w:val="4FFD7FD5"/>
    <w:rsid w:val="500BE62C"/>
    <w:rsid w:val="5010DEB8"/>
    <w:rsid w:val="501DB21B"/>
    <w:rsid w:val="5027F599"/>
    <w:rsid w:val="5042C383"/>
    <w:rsid w:val="50435551"/>
    <w:rsid w:val="505AC026"/>
    <w:rsid w:val="5062BABB"/>
    <w:rsid w:val="5087069E"/>
    <w:rsid w:val="508F52AC"/>
    <w:rsid w:val="5091F952"/>
    <w:rsid w:val="50A06517"/>
    <w:rsid w:val="50A3F520"/>
    <w:rsid w:val="50B107C7"/>
    <w:rsid w:val="50BF97CF"/>
    <w:rsid w:val="50C951A1"/>
    <w:rsid w:val="50D021F0"/>
    <w:rsid w:val="50D3F284"/>
    <w:rsid w:val="50E2DF22"/>
    <w:rsid w:val="50E706BA"/>
    <w:rsid w:val="50F79CAA"/>
    <w:rsid w:val="50FB5933"/>
    <w:rsid w:val="51058BF6"/>
    <w:rsid w:val="510E422D"/>
    <w:rsid w:val="51191B38"/>
    <w:rsid w:val="511C8FBB"/>
    <w:rsid w:val="512CA430"/>
    <w:rsid w:val="512EC0DD"/>
    <w:rsid w:val="513208E2"/>
    <w:rsid w:val="5138BC15"/>
    <w:rsid w:val="514CAE7E"/>
    <w:rsid w:val="5151AEFE"/>
    <w:rsid w:val="515200BB"/>
    <w:rsid w:val="515D36D1"/>
    <w:rsid w:val="516B2CFD"/>
    <w:rsid w:val="51766DEA"/>
    <w:rsid w:val="51827FD6"/>
    <w:rsid w:val="518CCD29"/>
    <w:rsid w:val="518F22A0"/>
    <w:rsid w:val="519426DC"/>
    <w:rsid w:val="51ACAF19"/>
    <w:rsid w:val="51ACF13B"/>
    <w:rsid w:val="51B2173E"/>
    <w:rsid w:val="51FF29DF"/>
    <w:rsid w:val="520BA690"/>
    <w:rsid w:val="5221E000"/>
    <w:rsid w:val="52348258"/>
    <w:rsid w:val="52463998"/>
    <w:rsid w:val="5250F97E"/>
    <w:rsid w:val="5253A1D2"/>
    <w:rsid w:val="525FE04D"/>
    <w:rsid w:val="526421A5"/>
    <w:rsid w:val="5269C8EE"/>
    <w:rsid w:val="52793A00"/>
    <w:rsid w:val="52885E81"/>
    <w:rsid w:val="52AE16E7"/>
    <w:rsid w:val="52C35A18"/>
    <w:rsid w:val="52D4A0F8"/>
    <w:rsid w:val="52D685BB"/>
    <w:rsid w:val="52E30B1B"/>
    <w:rsid w:val="52ED29AE"/>
    <w:rsid w:val="52F076EF"/>
    <w:rsid w:val="530C1393"/>
    <w:rsid w:val="53134FAA"/>
    <w:rsid w:val="5315B883"/>
    <w:rsid w:val="533D373F"/>
    <w:rsid w:val="533D5E90"/>
    <w:rsid w:val="5344005F"/>
    <w:rsid w:val="534E1EEB"/>
    <w:rsid w:val="535DF04B"/>
    <w:rsid w:val="53616FFB"/>
    <w:rsid w:val="5361740B"/>
    <w:rsid w:val="536A24A0"/>
    <w:rsid w:val="5373951F"/>
    <w:rsid w:val="537AF59B"/>
    <w:rsid w:val="537F1545"/>
    <w:rsid w:val="5382D192"/>
    <w:rsid w:val="53922C62"/>
    <w:rsid w:val="53BC5AE4"/>
    <w:rsid w:val="53C08AF7"/>
    <w:rsid w:val="53C2C7E0"/>
    <w:rsid w:val="53D0E078"/>
    <w:rsid w:val="53EFD366"/>
    <w:rsid w:val="53F63A22"/>
    <w:rsid w:val="540AF771"/>
    <w:rsid w:val="5411CB40"/>
    <w:rsid w:val="541B3C2D"/>
    <w:rsid w:val="542AA0A9"/>
    <w:rsid w:val="542ABAD4"/>
    <w:rsid w:val="542C7F04"/>
    <w:rsid w:val="543F4B4D"/>
    <w:rsid w:val="54484B69"/>
    <w:rsid w:val="54511833"/>
    <w:rsid w:val="54512A94"/>
    <w:rsid w:val="545AAD5C"/>
    <w:rsid w:val="545C71A1"/>
    <w:rsid w:val="545EFAA8"/>
    <w:rsid w:val="5464E43A"/>
    <w:rsid w:val="5465C058"/>
    <w:rsid w:val="546F398C"/>
    <w:rsid w:val="5472106C"/>
    <w:rsid w:val="547C229F"/>
    <w:rsid w:val="547EDB7C"/>
    <w:rsid w:val="547F659E"/>
    <w:rsid w:val="5480A62A"/>
    <w:rsid w:val="548BB8BC"/>
    <w:rsid w:val="548D9662"/>
    <w:rsid w:val="54922E0C"/>
    <w:rsid w:val="549C3998"/>
    <w:rsid w:val="54A24CF7"/>
    <w:rsid w:val="54C6AF6E"/>
    <w:rsid w:val="54C94634"/>
    <w:rsid w:val="54DF8DD0"/>
    <w:rsid w:val="54E82E22"/>
    <w:rsid w:val="54EC2755"/>
    <w:rsid w:val="5503D8EF"/>
    <w:rsid w:val="55139743"/>
    <w:rsid w:val="5521796F"/>
    <w:rsid w:val="552C80EB"/>
    <w:rsid w:val="55303C7A"/>
    <w:rsid w:val="5534AFDE"/>
    <w:rsid w:val="553D5A24"/>
    <w:rsid w:val="553EEEAD"/>
    <w:rsid w:val="55478AD1"/>
    <w:rsid w:val="554BB66B"/>
    <w:rsid w:val="554CFA8E"/>
    <w:rsid w:val="554DA71E"/>
    <w:rsid w:val="55548134"/>
    <w:rsid w:val="555E5DBF"/>
    <w:rsid w:val="556869FD"/>
    <w:rsid w:val="557818E8"/>
    <w:rsid w:val="5580D581"/>
    <w:rsid w:val="55962370"/>
    <w:rsid w:val="559BD219"/>
    <w:rsid w:val="55AB4FC0"/>
    <w:rsid w:val="55AF30A1"/>
    <w:rsid w:val="55AFF63F"/>
    <w:rsid w:val="55BD84F9"/>
    <w:rsid w:val="55D8D989"/>
    <w:rsid w:val="55EADD42"/>
    <w:rsid w:val="55F77267"/>
    <w:rsid w:val="56005E77"/>
    <w:rsid w:val="56054A0D"/>
    <w:rsid w:val="5612A371"/>
    <w:rsid w:val="561DDD31"/>
    <w:rsid w:val="562EA167"/>
    <w:rsid w:val="56338212"/>
    <w:rsid w:val="564483FC"/>
    <w:rsid w:val="56463F17"/>
    <w:rsid w:val="564EC59B"/>
    <w:rsid w:val="565D6BEA"/>
    <w:rsid w:val="566729CA"/>
    <w:rsid w:val="5672F18D"/>
    <w:rsid w:val="5683111B"/>
    <w:rsid w:val="568476EF"/>
    <w:rsid w:val="568E75AA"/>
    <w:rsid w:val="568EDD9C"/>
    <w:rsid w:val="56A71FB7"/>
    <w:rsid w:val="56ACC235"/>
    <w:rsid w:val="56BEF7D8"/>
    <w:rsid w:val="56EEB58B"/>
    <w:rsid w:val="56FEAAC4"/>
    <w:rsid w:val="570D1539"/>
    <w:rsid w:val="571471AA"/>
    <w:rsid w:val="571810A1"/>
    <w:rsid w:val="571CF284"/>
    <w:rsid w:val="571F27E0"/>
    <w:rsid w:val="573004B4"/>
    <w:rsid w:val="5732ACA4"/>
    <w:rsid w:val="5732D1B0"/>
    <w:rsid w:val="57360822"/>
    <w:rsid w:val="57474317"/>
    <w:rsid w:val="574AEDFA"/>
    <w:rsid w:val="574DEBE6"/>
    <w:rsid w:val="575E48CF"/>
    <w:rsid w:val="577AA7F8"/>
    <w:rsid w:val="578000AC"/>
    <w:rsid w:val="57806189"/>
    <w:rsid w:val="578724C6"/>
    <w:rsid w:val="578B5C9D"/>
    <w:rsid w:val="578BB4C5"/>
    <w:rsid w:val="5795DF12"/>
    <w:rsid w:val="57A9E5F5"/>
    <w:rsid w:val="57B0A945"/>
    <w:rsid w:val="57B9E38C"/>
    <w:rsid w:val="57C7FAB6"/>
    <w:rsid w:val="57D4F58A"/>
    <w:rsid w:val="57D67DD0"/>
    <w:rsid w:val="57DCB4B6"/>
    <w:rsid w:val="57DEC345"/>
    <w:rsid w:val="57E30CAC"/>
    <w:rsid w:val="57EA49C0"/>
    <w:rsid w:val="5803EF0B"/>
    <w:rsid w:val="582A4593"/>
    <w:rsid w:val="582C6E55"/>
    <w:rsid w:val="58360F01"/>
    <w:rsid w:val="58492FEB"/>
    <w:rsid w:val="584A66F2"/>
    <w:rsid w:val="58602EC6"/>
    <w:rsid w:val="586690A5"/>
    <w:rsid w:val="5868AD4C"/>
    <w:rsid w:val="586A349D"/>
    <w:rsid w:val="587177CA"/>
    <w:rsid w:val="5877B136"/>
    <w:rsid w:val="5882D116"/>
    <w:rsid w:val="5892344F"/>
    <w:rsid w:val="58A16222"/>
    <w:rsid w:val="58AB684A"/>
    <w:rsid w:val="58AE2366"/>
    <w:rsid w:val="58B11EA1"/>
    <w:rsid w:val="58B193CE"/>
    <w:rsid w:val="58CB5256"/>
    <w:rsid w:val="58CC8C28"/>
    <w:rsid w:val="58E601C5"/>
    <w:rsid w:val="58E6FD18"/>
    <w:rsid w:val="58FAAF35"/>
    <w:rsid w:val="590483E7"/>
    <w:rsid w:val="5923A783"/>
    <w:rsid w:val="59242038"/>
    <w:rsid w:val="592905A7"/>
    <w:rsid w:val="59355FC1"/>
    <w:rsid w:val="5941FA0E"/>
    <w:rsid w:val="594486C0"/>
    <w:rsid w:val="5944D6A8"/>
    <w:rsid w:val="594C96D3"/>
    <w:rsid w:val="594E4A45"/>
    <w:rsid w:val="59518B00"/>
    <w:rsid w:val="5954EC63"/>
    <w:rsid w:val="595CB1E0"/>
    <w:rsid w:val="59648F62"/>
    <w:rsid w:val="596688AD"/>
    <w:rsid w:val="596DCFA4"/>
    <w:rsid w:val="5981CE04"/>
    <w:rsid w:val="5993855E"/>
    <w:rsid w:val="599844B1"/>
    <w:rsid w:val="599C28AC"/>
    <w:rsid w:val="599D073E"/>
    <w:rsid w:val="599DABC4"/>
    <w:rsid w:val="59A5A3FE"/>
    <w:rsid w:val="59AD0B8E"/>
    <w:rsid w:val="59AEA25C"/>
    <w:rsid w:val="59B3F5B8"/>
    <w:rsid w:val="59BB492F"/>
    <w:rsid w:val="59BCAF12"/>
    <w:rsid w:val="59FC369C"/>
    <w:rsid w:val="5A0212AA"/>
    <w:rsid w:val="5A02F5D5"/>
    <w:rsid w:val="5A0301D5"/>
    <w:rsid w:val="5A038469"/>
    <w:rsid w:val="5A0F6A7E"/>
    <w:rsid w:val="5A19C425"/>
    <w:rsid w:val="5A1CA192"/>
    <w:rsid w:val="5A1D9BC6"/>
    <w:rsid w:val="5A203B25"/>
    <w:rsid w:val="5A2C5557"/>
    <w:rsid w:val="5A35B87F"/>
    <w:rsid w:val="5A398E85"/>
    <w:rsid w:val="5A3E63C7"/>
    <w:rsid w:val="5A4D5716"/>
    <w:rsid w:val="5A5125AF"/>
    <w:rsid w:val="5A6067AF"/>
    <w:rsid w:val="5A61D101"/>
    <w:rsid w:val="5A68176E"/>
    <w:rsid w:val="5A730D71"/>
    <w:rsid w:val="5A7E1D8B"/>
    <w:rsid w:val="5A85744E"/>
    <w:rsid w:val="5A87D01A"/>
    <w:rsid w:val="5A9C2FE8"/>
    <w:rsid w:val="5AA99D52"/>
    <w:rsid w:val="5AAEBF6D"/>
    <w:rsid w:val="5AAFF86A"/>
    <w:rsid w:val="5AB72662"/>
    <w:rsid w:val="5AC73AC9"/>
    <w:rsid w:val="5AC80FAD"/>
    <w:rsid w:val="5ACF9E81"/>
    <w:rsid w:val="5AD36299"/>
    <w:rsid w:val="5ADA3176"/>
    <w:rsid w:val="5ADC8864"/>
    <w:rsid w:val="5ADE75B3"/>
    <w:rsid w:val="5ADF587E"/>
    <w:rsid w:val="5AF3C29F"/>
    <w:rsid w:val="5AF9D0A6"/>
    <w:rsid w:val="5B0D62E4"/>
    <w:rsid w:val="5B0DB09A"/>
    <w:rsid w:val="5B311CAC"/>
    <w:rsid w:val="5B35FDD6"/>
    <w:rsid w:val="5B3C59CF"/>
    <w:rsid w:val="5B4B31AF"/>
    <w:rsid w:val="5B55789C"/>
    <w:rsid w:val="5B5B9A02"/>
    <w:rsid w:val="5B616F31"/>
    <w:rsid w:val="5B64E337"/>
    <w:rsid w:val="5B66AD7B"/>
    <w:rsid w:val="5B68419D"/>
    <w:rsid w:val="5B905830"/>
    <w:rsid w:val="5B966807"/>
    <w:rsid w:val="5B97C919"/>
    <w:rsid w:val="5B9AD8BE"/>
    <w:rsid w:val="5B9E229B"/>
    <w:rsid w:val="5B9FB85A"/>
    <w:rsid w:val="5BA378FC"/>
    <w:rsid w:val="5BAEFE90"/>
    <w:rsid w:val="5BBC79C5"/>
    <w:rsid w:val="5BBCEA26"/>
    <w:rsid w:val="5BBFD557"/>
    <w:rsid w:val="5BD21599"/>
    <w:rsid w:val="5BDBE31D"/>
    <w:rsid w:val="5C0087BD"/>
    <w:rsid w:val="5C07B4CA"/>
    <w:rsid w:val="5C194EDE"/>
    <w:rsid w:val="5C20EB92"/>
    <w:rsid w:val="5C217401"/>
    <w:rsid w:val="5C30A7AE"/>
    <w:rsid w:val="5C358DB8"/>
    <w:rsid w:val="5C39D284"/>
    <w:rsid w:val="5C582533"/>
    <w:rsid w:val="5C642918"/>
    <w:rsid w:val="5C6488DA"/>
    <w:rsid w:val="5C68793F"/>
    <w:rsid w:val="5C79513B"/>
    <w:rsid w:val="5C7DB250"/>
    <w:rsid w:val="5C84ECF3"/>
    <w:rsid w:val="5C9E2E13"/>
    <w:rsid w:val="5CAA9425"/>
    <w:rsid w:val="5CAB74BC"/>
    <w:rsid w:val="5CD7DFEC"/>
    <w:rsid w:val="5CDE30D3"/>
    <w:rsid w:val="5CFA5CE6"/>
    <w:rsid w:val="5D1032BD"/>
    <w:rsid w:val="5D1D9F56"/>
    <w:rsid w:val="5D217597"/>
    <w:rsid w:val="5D2820AB"/>
    <w:rsid w:val="5D37BD93"/>
    <w:rsid w:val="5D3A9E4F"/>
    <w:rsid w:val="5D3ADC3B"/>
    <w:rsid w:val="5D3F657A"/>
    <w:rsid w:val="5D3FF582"/>
    <w:rsid w:val="5D4587E8"/>
    <w:rsid w:val="5D5FE03F"/>
    <w:rsid w:val="5D63A466"/>
    <w:rsid w:val="5D6EAEF6"/>
    <w:rsid w:val="5D71ECE4"/>
    <w:rsid w:val="5D7B03C6"/>
    <w:rsid w:val="5D868E67"/>
    <w:rsid w:val="5D9187DB"/>
    <w:rsid w:val="5D96E218"/>
    <w:rsid w:val="5D971E7B"/>
    <w:rsid w:val="5DA0348C"/>
    <w:rsid w:val="5DA5949D"/>
    <w:rsid w:val="5DAC680A"/>
    <w:rsid w:val="5DB83C4E"/>
    <w:rsid w:val="5DBCB7EE"/>
    <w:rsid w:val="5DC3DFB3"/>
    <w:rsid w:val="5DD0D488"/>
    <w:rsid w:val="5DD5F338"/>
    <w:rsid w:val="5DD78738"/>
    <w:rsid w:val="5DDCB107"/>
    <w:rsid w:val="5DE07EBA"/>
    <w:rsid w:val="5DE63739"/>
    <w:rsid w:val="5DE82D8D"/>
    <w:rsid w:val="5DF15A23"/>
    <w:rsid w:val="5DFE6795"/>
    <w:rsid w:val="5E162DE4"/>
    <w:rsid w:val="5E1A7ED1"/>
    <w:rsid w:val="5E1ACD6F"/>
    <w:rsid w:val="5E1DA8BC"/>
    <w:rsid w:val="5E287587"/>
    <w:rsid w:val="5E2D53FF"/>
    <w:rsid w:val="5E30465E"/>
    <w:rsid w:val="5E479B0D"/>
    <w:rsid w:val="5E6D1004"/>
    <w:rsid w:val="5E8160B5"/>
    <w:rsid w:val="5E832757"/>
    <w:rsid w:val="5E8BA401"/>
    <w:rsid w:val="5EB0C515"/>
    <w:rsid w:val="5EB5F3A3"/>
    <w:rsid w:val="5EC1D5C3"/>
    <w:rsid w:val="5EC3B7E3"/>
    <w:rsid w:val="5ECFCE8E"/>
    <w:rsid w:val="5ED27CF3"/>
    <w:rsid w:val="5EE2D64B"/>
    <w:rsid w:val="5EE44382"/>
    <w:rsid w:val="5EF2F389"/>
    <w:rsid w:val="5EF30AB0"/>
    <w:rsid w:val="5EFA8F57"/>
    <w:rsid w:val="5F02C731"/>
    <w:rsid w:val="5F18C0B5"/>
    <w:rsid w:val="5F1B8EEF"/>
    <w:rsid w:val="5F1EB970"/>
    <w:rsid w:val="5F1FBBDC"/>
    <w:rsid w:val="5F268B44"/>
    <w:rsid w:val="5F26949A"/>
    <w:rsid w:val="5F27CF49"/>
    <w:rsid w:val="5F4027F8"/>
    <w:rsid w:val="5F41B193"/>
    <w:rsid w:val="5F48318B"/>
    <w:rsid w:val="5F55E60F"/>
    <w:rsid w:val="5F5EE2A7"/>
    <w:rsid w:val="5F723835"/>
    <w:rsid w:val="5F7FAF88"/>
    <w:rsid w:val="5F863EC5"/>
    <w:rsid w:val="5F8B4C41"/>
    <w:rsid w:val="5F8FEFF8"/>
    <w:rsid w:val="5FA0FB82"/>
    <w:rsid w:val="5FA2D866"/>
    <w:rsid w:val="5FB27EA3"/>
    <w:rsid w:val="5FC5AC9D"/>
    <w:rsid w:val="5FCBE35B"/>
    <w:rsid w:val="5FD1051F"/>
    <w:rsid w:val="5FD23CC1"/>
    <w:rsid w:val="5FD94DF4"/>
    <w:rsid w:val="5FDC98B1"/>
    <w:rsid w:val="5FE645ED"/>
    <w:rsid w:val="5FF24677"/>
    <w:rsid w:val="5FF66167"/>
    <w:rsid w:val="5FFFB9C4"/>
    <w:rsid w:val="600DDA25"/>
    <w:rsid w:val="601D5392"/>
    <w:rsid w:val="60291279"/>
    <w:rsid w:val="6037F8DA"/>
    <w:rsid w:val="603C1700"/>
    <w:rsid w:val="603F9D8D"/>
    <w:rsid w:val="60405673"/>
    <w:rsid w:val="6040CC4F"/>
    <w:rsid w:val="6059D69D"/>
    <w:rsid w:val="60608A37"/>
    <w:rsid w:val="607C05BF"/>
    <w:rsid w:val="607EF403"/>
    <w:rsid w:val="6089E9A7"/>
    <w:rsid w:val="6092AECF"/>
    <w:rsid w:val="60949CD9"/>
    <w:rsid w:val="609BC5B0"/>
    <w:rsid w:val="60A079DB"/>
    <w:rsid w:val="60A18FC1"/>
    <w:rsid w:val="60ADCB34"/>
    <w:rsid w:val="60B7515D"/>
    <w:rsid w:val="60B7C55B"/>
    <w:rsid w:val="60BE948E"/>
    <w:rsid w:val="60CA5339"/>
    <w:rsid w:val="60CC737D"/>
    <w:rsid w:val="60DAA71B"/>
    <w:rsid w:val="60E1808D"/>
    <w:rsid w:val="60EC7CB5"/>
    <w:rsid w:val="60EF0584"/>
    <w:rsid w:val="61015F3C"/>
    <w:rsid w:val="61082C91"/>
    <w:rsid w:val="6112510B"/>
    <w:rsid w:val="611B3561"/>
    <w:rsid w:val="61254DA3"/>
    <w:rsid w:val="6126315C"/>
    <w:rsid w:val="612F5C3C"/>
    <w:rsid w:val="613C42DC"/>
    <w:rsid w:val="615DC678"/>
    <w:rsid w:val="616259C2"/>
    <w:rsid w:val="61629F7C"/>
    <w:rsid w:val="61648DD6"/>
    <w:rsid w:val="6168807E"/>
    <w:rsid w:val="61688225"/>
    <w:rsid w:val="616C1C97"/>
    <w:rsid w:val="61734C67"/>
    <w:rsid w:val="617C16AD"/>
    <w:rsid w:val="618109F7"/>
    <w:rsid w:val="618CE2B2"/>
    <w:rsid w:val="6193C250"/>
    <w:rsid w:val="6194F637"/>
    <w:rsid w:val="61A51809"/>
    <w:rsid w:val="61B37F05"/>
    <w:rsid w:val="61BEBE04"/>
    <w:rsid w:val="61C09EFD"/>
    <w:rsid w:val="61C84DCC"/>
    <w:rsid w:val="61DC32A8"/>
    <w:rsid w:val="61DCA1E0"/>
    <w:rsid w:val="61DDE4F8"/>
    <w:rsid w:val="61E1E6AA"/>
    <w:rsid w:val="61F1DD22"/>
    <w:rsid w:val="61FEBD05"/>
    <w:rsid w:val="6209B77C"/>
    <w:rsid w:val="6210B965"/>
    <w:rsid w:val="62136032"/>
    <w:rsid w:val="621AC464"/>
    <w:rsid w:val="62317F98"/>
    <w:rsid w:val="624F26AC"/>
    <w:rsid w:val="62502890"/>
    <w:rsid w:val="625A220E"/>
    <w:rsid w:val="625D9071"/>
    <w:rsid w:val="626FD981"/>
    <w:rsid w:val="627237EE"/>
    <w:rsid w:val="62774761"/>
    <w:rsid w:val="627AB927"/>
    <w:rsid w:val="62824E21"/>
    <w:rsid w:val="6285727A"/>
    <w:rsid w:val="628FD715"/>
    <w:rsid w:val="62A6C86C"/>
    <w:rsid w:val="62BB4200"/>
    <w:rsid w:val="62BC31FE"/>
    <w:rsid w:val="62C27C36"/>
    <w:rsid w:val="62CBC926"/>
    <w:rsid w:val="62CFC0BA"/>
    <w:rsid w:val="62D5817D"/>
    <w:rsid w:val="62D581A5"/>
    <w:rsid w:val="62D826DE"/>
    <w:rsid w:val="62E7659C"/>
    <w:rsid w:val="62E8981D"/>
    <w:rsid w:val="62EF5588"/>
    <w:rsid w:val="63017DBD"/>
    <w:rsid w:val="6307FEED"/>
    <w:rsid w:val="631791F1"/>
    <w:rsid w:val="63246593"/>
    <w:rsid w:val="6343DC78"/>
    <w:rsid w:val="63467923"/>
    <w:rsid w:val="6350CEDC"/>
    <w:rsid w:val="6378A591"/>
    <w:rsid w:val="637F7445"/>
    <w:rsid w:val="63836927"/>
    <w:rsid w:val="63A2CD11"/>
    <w:rsid w:val="63A7D2D6"/>
    <w:rsid w:val="63B36CBF"/>
    <w:rsid w:val="63DD12BA"/>
    <w:rsid w:val="63E6DDDB"/>
    <w:rsid w:val="63E7A49D"/>
    <w:rsid w:val="63EDFE49"/>
    <w:rsid w:val="63EFD933"/>
    <w:rsid w:val="63F6AC8C"/>
    <w:rsid w:val="63FE1B6A"/>
    <w:rsid w:val="64170BA3"/>
    <w:rsid w:val="642A45FD"/>
    <w:rsid w:val="643904F1"/>
    <w:rsid w:val="64445E4C"/>
    <w:rsid w:val="6444E486"/>
    <w:rsid w:val="6446411A"/>
    <w:rsid w:val="644B51E7"/>
    <w:rsid w:val="645630A6"/>
    <w:rsid w:val="6464BA3D"/>
    <w:rsid w:val="64676811"/>
    <w:rsid w:val="647A1393"/>
    <w:rsid w:val="6484ACA6"/>
    <w:rsid w:val="648CA432"/>
    <w:rsid w:val="64939645"/>
    <w:rsid w:val="6499D71A"/>
    <w:rsid w:val="649E1720"/>
    <w:rsid w:val="64A6B644"/>
    <w:rsid w:val="64AD618F"/>
    <w:rsid w:val="64B840FF"/>
    <w:rsid w:val="64BFF8D9"/>
    <w:rsid w:val="64CC6E31"/>
    <w:rsid w:val="64D58F8F"/>
    <w:rsid w:val="64DCF184"/>
    <w:rsid w:val="64E1832E"/>
    <w:rsid w:val="64E46DB9"/>
    <w:rsid w:val="64ED0245"/>
    <w:rsid w:val="64ED917A"/>
    <w:rsid w:val="64F1CA5D"/>
    <w:rsid w:val="64F89BCD"/>
    <w:rsid w:val="64FB34E0"/>
    <w:rsid w:val="64FB85DF"/>
    <w:rsid w:val="65069B56"/>
    <w:rsid w:val="6508CAEF"/>
    <w:rsid w:val="65097EEC"/>
    <w:rsid w:val="6511C90E"/>
    <w:rsid w:val="65219590"/>
    <w:rsid w:val="652B98DD"/>
    <w:rsid w:val="653A7EE8"/>
    <w:rsid w:val="653ED69C"/>
    <w:rsid w:val="654C82CD"/>
    <w:rsid w:val="654F07D7"/>
    <w:rsid w:val="65570BEF"/>
    <w:rsid w:val="655B3F48"/>
    <w:rsid w:val="655FB4F9"/>
    <w:rsid w:val="655FDC95"/>
    <w:rsid w:val="657809E9"/>
    <w:rsid w:val="657897B2"/>
    <w:rsid w:val="6578BB92"/>
    <w:rsid w:val="657F617F"/>
    <w:rsid w:val="6583720B"/>
    <w:rsid w:val="658C3814"/>
    <w:rsid w:val="65922734"/>
    <w:rsid w:val="65A2AB94"/>
    <w:rsid w:val="65B47D1E"/>
    <w:rsid w:val="65BDCC87"/>
    <w:rsid w:val="65C4FFC7"/>
    <w:rsid w:val="65D478A3"/>
    <w:rsid w:val="65DCE303"/>
    <w:rsid w:val="65DD3367"/>
    <w:rsid w:val="66076C9B"/>
    <w:rsid w:val="66099F03"/>
    <w:rsid w:val="663912A6"/>
    <w:rsid w:val="663F29EB"/>
    <w:rsid w:val="664B041F"/>
    <w:rsid w:val="664D8CDF"/>
    <w:rsid w:val="665C336C"/>
    <w:rsid w:val="665DD1A1"/>
    <w:rsid w:val="665EB670"/>
    <w:rsid w:val="6665577C"/>
    <w:rsid w:val="66796775"/>
    <w:rsid w:val="66852D03"/>
    <w:rsid w:val="66910DAB"/>
    <w:rsid w:val="66A6DAC8"/>
    <w:rsid w:val="66B28438"/>
    <w:rsid w:val="66B795D7"/>
    <w:rsid w:val="66BFA292"/>
    <w:rsid w:val="66C0D6F9"/>
    <w:rsid w:val="66D0045D"/>
    <w:rsid w:val="66D466FA"/>
    <w:rsid w:val="66DBC53F"/>
    <w:rsid w:val="66E2AD60"/>
    <w:rsid w:val="66F23286"/>
    <w:rsid w:val="66F61283"/>
    <w:rsid w:val="67048EEB"/>
    <w:rsid w:val="67057B73"/>
    <w:rsid w:val="6708326C"/>
    <w:rsid w:val="67101A4D"/>
    <w:rsid w:val="6711A61D"/>
    <w:rsid w:val="6725BE20"/>
    <w:rsid w:val="6726CAE2"/>
    <w:rsid w:val="6729CAF7"/>
    <w:rsid w:val="673C12EE"/>
    <w:rsid w:val="674589D4"/>
    <w:rsid w:val="6748BBC9"/>
    <w:rsid w:val="67522C8E"/>
    <w:rsid w:val="677B9506"/>
    <w:rsid w:val="678699F1"/>
    <w:rsid w:val="67897E29"/>
    <w:rsid w:val="678ABD77"/>
    <w:rsid w:val="67927517"/>
    <w:rsid w:val="679462DD"/>
    <w:rsid w:val="67A94E45"/>
    <w:rsid w:val="67ABBB5F"/>
    <w:rsid w:val="67AC4D33"/>
    <w:rsid w:val="67B2B2E1"/>
    <w:rsid w:val="67B80F3F"/>
    <w:rsid w:val="67C3ACE3"/>
    <w:rsid w:val="67C73B08"/>
    <w:rsid w:val="67CCE303"/>
    <w:rsid w:val="67D2EDF0"/>
    <w:rsid w:val="67DFA75F"/>
    <w:rsid w:val="67E023FD"/>
    <w:rsid w:val="67F7700F"/>
    <w:rsid w:val="68040EF3"/>
    <w:rsid w:val="680F6015"/>
    <w:rsid w:val="68130559"/>
    <w:rsid w:val="6813AFF0"/>
    <w:rsid w:val="68182595"/>
    <w:rsid w:val="682094C0"/>
    <w:rsid w:val="68296880"/>
    <w:rsid w:val="6833B044"/>
    <w:rsid w:val="683D8308"/>
    <w:rsid w:val="684393E9"/>
    <w:rsid w:val="68498DB9"/>
    <w:rsid w:val="684F220C"/>
    <w:rsid w:val="6858A8B7"/>
    <w:rsid w:val="685E6D2A"/>
    <w:rsid w:val="6866C71D"/>
    <w:rsid w:val="686CED60"/>
    <w:rsid w:val="688D9980"/>
    <w:rsid w:val="68918F03"/>
    <w:rsid w:val="68AFD87C"/>
    <w:rsid w:val="68B03164"/>
    <w:rsid w:val="68B19789"/>
    <w:rsid w:val="68B80831"/>
    <w:rsid w:val="68BF1E79"/>
    <w:rsid w:val="68D15C54"/>
    <w:rsid w:val="68D2709C"/>
    <w:rsid w:val="68F24240"/>
    <w:rsid w:val="68F634FF"/>
    <w:rsid w:val="690E0EEA"/>
    <w:rsid w:val="691931B4"/>
    <w:rsid w:val="691A5252"/>
    <w:rsid w:val="69211BAF"/>
    <w:rsid w:val="6927732F"/>
    <w:rsid w:val="693C699A"/>
    <w:rsid w:val="6948B2D4"/>
    <w:rsid w:val="6959899B"/>
    <w:rsid w:val="696E4808"/>
    <w:rsid w:val="696F18C6"/>
    <w:rsid w:val="696F97C9"/>
    <w:rsid w:val="69797CEB"/>
    <w:rsid w:val="69817EDC"/>
    <w:rsid w:val="699C036B"/>
    <w:rsid w:val="699D141F"/>
    <w:rsid w:val="699FDF54"/>
    <w:rsid w:val="69A1191F"/>
    <w:rsid w:val="69A1C0B0"/>
    <w:rsid w:val="69A234E1"/>
    <w:rsid w:val="69BA79E6"/>
    <w:rsid w:val="69C142B5"/>
    <w:rsid w:val="69E6D526"/>
    <w:rsid w:val="69EB66CC"/>
    <w:rsid w:val="69F4AFD0"/>
    <w:rsid w:val="69F6132A"/>
    <w:rsid w:val="69FAB9C8"/>
    <w:rsid w:val="69FAEEEC"/>
    <w:rsid w:val="69FCF322"/>
    <w:rsid w:val="6A19EA16"/>
    <w:rsid w:val="6A37D2BD"/>
    <w:rsid w:val="6A3E5CD9"/>
    <w:rsid w:val="6A437E86"/>
    <w:rsid w:val="6A45BDD1"/>
    <w:rsid w:val="6A4B5339"/>
    <w:rsid w:val="6A4E73D5"/>
    <w:rsid w:val="6A6D77C4"/>
    <w:rsid w:val="6A72A8A6"/>
    <w:rsid w:val="6A7DC915"/>
    <w:rsid w:val="6A8677E3"/>
    <w:rsid w:val="6A8BE8C9"/>
    <w:rsid w:val="6AA227FF"/>
    <w:rsid w:val="6AA4E5A4"/>
    <w:rsid w:val="6AB74C0B"/>
    <w:rsid w:val="6AB80DA8"/>
    <w:rsid w:val="6AE2E6D7"/>
    <w:rsid w:val="6AE63BD9"/>
    <w:rsid w:val="6AE94A39"/>
    <w:rsid w:val="6B227E9A"/>
    <w:rsid w:val="6B3057C1"/>
    <w:rsid w:val="6B3112D9"/>
    <w:rsid w:val="6B337DA2"/>
    <w:rsid w:val="6B36A8CC"/>
    <w:rsid w:val="6B4BEAB4"/>
    <w:rsid w:val="6B53CC90"/>
    <w:rsid w:val="6B5B7AC6"/>
    <w:rsid w:val="6B61381A"/>
    <w:rsid w:val="6B67CEC4"/>
    <w:rsid w:val="6B6F9734"/>
    <w:rsid w:val="6B71C227"/>
    <w:rsid w:val="6B735C19"/>
    <w:rsid w:val="6B769D92"/>
    <w:rsid w:val="6B79B496"/>
    <w:rsid w:val="6B7CDA7F"/>
    <w:rsid w:val="6B808C0F"/>
    <w:rsid w:val="6B8173A2"/>
    <w:rsid w:val="6B973FD4"/>
    <w:rsid w:val="6B9D1CA4"/>
    <w:rsid w:val="6B9F78CF"/>
    <w:rsid w:val="6BA88D4C"/>
    <w:rsid w:val="6BA9D962"/>
    <w:rsid w:val="6BB22F07"/>
    <w:rsid w:val="6BB485A5"/>
    <w:rsid w:val="6BB9DE0C"/>
    <w:rsid w:val="6BC18F3A"/>
    <w:rsid w:val="6BD75886"/>
    <w:rsid w:val="6BE8566E"/>
    <w:rsid w:val="6BF21D77"/>
    <w:rsid w:val="6BF6ACB9"/>
    <w:rsid w:val="6BF76692"/>
    <w:rsid w:val="6BFCFC6A"/>
    <w:rsid w:val="6BFD581F"/>
    <w:rsid w:val="6C0B03F3"/>
    <w:rsid w:val="6C0D0E0A"/>
    <w:rsid w:val="6C0D3085"/>
    <w:rsid w:val="6C0E4B12"/>
    <w:rsid w:val="6C0FA146"/>
    <w:rsid w:val="6C130873"/>
    <w:rsid w:val="6C19CBB0"/>
    <w:rsid w:val="6C1ABF81"/>
    <w:rsid w:val="6C2095B7"/>
    <w:rsid w:val="6C29E302"/>
    <w:rsid w:val="6C2EC7BB"/>
    <w:rsid w:val="6C329185"/>
    <w:rsid w:val="6C5434DA"/>
    <w:rsid w:val="6C54A3D4"/>
    <w:rsid w:val="6C5B9012"/>
    <w:rsid w:val="6C6603F3"/>
    <w:rsid w:val="6C7BD0CB"/>
    <w:rsid w:val="6C7BF640"/>
    <w:rsid w:val="6C81FDE2"/>
    <w:rsid w:val="6C836103"/>
    <w:rsid w:val="6C8A33A7"/>
    <w:rsid w:val="6C9F54A7"/>
    <w:rsid w:val="6CAE204C"/>
    <w:rsid w:val="6CB7FB20"/>
    <w:rsid w:val="6CB889C3"/>
    <w:rsid w:val="6CBD5628"/>
    <w:rsid w:val="6CC067FB"/>
    <w:rsid w:val="6CE514FE"/>
    <w:rsid w:val="6CEE028F"/>
    <w:rsid w:val="6D0BB03A"/>
    <w:rsid w:val="6D1BC71D"/>
    <w:rsid w:val="6D2D4CDB"/>
    <w:rsid w:val="6D2EDFBC"/>
    <w:rsid w:val="6D4F96F0"/>
    <w:rsid w:val="6D62D718"/>
    <w:rsid w:val="6D681ABF"/>
    <w:rsid w:val="6D6A0FB0"/>
    <w:rsid w:val="6D6E6E96"/>
    <w:rsid w:val="6D734EC9"/>
    <w:rsid w:val="6D73BAAC"/>
    <w:rsid w:val="6D779FD0"/>
    <w:rsid w:val="6D8B7D05"/>
    <w:rsid w:val="6D8BE3F9"/>
    <w:rsid w:val="6DB7A221"/>
    <w:rsid w:val="6DBC2C27"/>
    <w:rsid w:val="6DC0AC10"/>
    <w:rsid w:val="6DC98779"/>
    <w:rsid w:val="6DE3F024"/>
    <w:rsid w:val="6DE61428"/>
    <w:rsid w:val="6DEDE802"/>
    <w:rsid w:val="6DFA9D97"/>
    <w:rsid w:val="6DFCAC24"/>
    <w:rsid w:val="6DFF4782"/>
    <w:rsid w:val="6E0561E0"/>
    <w:rsid w:val="6E14BFDE"/>
    <w:rsid w:val="6E160B85"/>
    <w:rsid w:val="6E2E950F"/>
    <w:rsid w:val="6E3AAF57"/>
    <w:rsid w:val="6E430836"/>
    <w:rsid w:val="6E508DFE"/>
    <w:rsid w:val="6E567E8B"/>
    <w:rsid w:val="6E683059"/>
    <w:rsid w:val="6E6CA52B"/>
    <w:rsid w:val="6E73A045"/>
    <w:rsid w:val="6E787F5A"/>
    <w:rsid w:val="6E92778F"/>
    <w:rsid w:val="6E938B0F"/>
    <w:rsid w:val="6E9626A1"/>
    <w:rsid w:val="6E9FD4F8"/>
    <w:rsid w:val="6EABB059"/>
    <w:rsid w:val="6ECA3B32"/>
    <w:rsid w:val="6ECE48CA"/>
    <w:rsid w:val="6EE612EA"/>
    <w:rsid w:val="6EE661B5"/>
    <w:rsid w:val="6F00FE4C"/>
    <w:rsid w:val="6F034716"/>
    <w:rsid w:val="6F0624B3"/>
    <w:rsid w:val="6F113D84"/>
    <w:rsid w:val="6F15B833"/>
    <w:rsid w:val="6F1A6C0B"/>
    <w:rsid w:val="6F1CC50A"/>
    <w:rsid w:val="6F1CE807"/>
    <w:rsid w:val="6F23A7AF"/>
    <w:rsid w:val="6F28EB62"/>
    <w:rsid w:val="6F2C12A1"/>
    <w:rsid w:val="6F2CA768"/>
    <w:rsid w:val="6F2E70F7"/>
    <w:rsid w:val="6F37073C"/>
    <w:rsid w:val="6F39B3B9"/>
    <w:rsid w:val="6F3B453F"/>
    <w:rsid w:val="6F3D9C24"/>
    <w:rsid w:val="6F47B6EC"/>
    <w:rsid w:val="6F48122F"/>
    <w:rsid w:val="6F50F8F3"/>
    <w:rsid w:val="6F6B3C5B"/>
    <w:rsid w:val="6F713624"/>
    <w:rsid w:val="6F71F073"/>
    <w:rsid w:val="6F7D4194"/>
    <w:rsid w:val="6F9A6A85"/>
    <w:rsid w:val="6F9E96A2"/>
    <w:rsid w:val="6F9EBED9"/>
    <w:rsid w:val="6FA6DCD0"/>
    <w:rsid w:val="6FAD2496"/>
    <w:rsid w:val="6FAEB954"/>
    <w:rsid w:val="6FB50453"/>
    <w:rsid w:val="6FB61A5A"/>
    <w:rsid w:val="6FCD2E94"/>
    <w:rsid w:val="6FDD12AC"/>
    <w:rsid w:val="6FDDD88C"/>
    <w:rsid w:val="6FE848DD"/>
    <w:rsid w:val="6FF1E76E"/>
    <w:rsid w:val="6FF7EA9A"/>
    <w:rsid w:val="6FFC3894"/>
    <w:rsid w:val="6FFDCC3C"/>
    <w:rsid w:val="70064FD6"/>
    <w:rsid w:val="7011C698"/>
    <w:rsid w:val="701D08DC"/>
    <w:rsid w:val="702D39BD"/>
    <w:rsid w:val="7037F40C"/>
    <w:rsid w:val="70520F49"/>
    <w:rsid w:val="70602BD0"/>
    <w:rsid w:val="70767F0F"/>
    <w:rsid w:val="70797086"/>
    <w:rsid w:val="707E9D86"/>
    <w:rsid w:val="70835BAB"/>
    <w:rsid w:val="70844A83"/>
    <w:rsid w:val="708855C5"/>
    <w:rsid w:val="708B0578"/>
    <w:rsid w:val="708F5202"/>
    <w:rsid w:val="708FF7D0"/>
    <w:rsid w:val="7092FF96"/>
    <w:rsid w:val="7094AC91"/>
    <w:rsid w:val="7099BCB1"/>
    <w:rsid w:val="709DE092"/>
    <w:rsid w:val="709FD018"/>
    <w:rsid w:val="70AA7EF1"/>
    <w:rsid w:val="70BD65FF"/>
    <w:rsid w:val="70BDA3BB"/>
    <w:rsid w:val="70CC9C42"/>
    <w:rsid w:val="70D570A0"/>
    <w:rsid w:val="70DF2864"/>
    <w:rsid w:val="70E9BB6E"/>
    <w:rsid w:val="70F222DC"/>
    <w:rsid w:val="70FB2CF9"/>
    <w:rsid w:val="70FBF500"/>
    <w:rsid w:val="70FE9885"/>
    <w:rsid w:val="7106EB27"/>
    <w:rsid w:val="710768C2"/>
    <w:rsid w:val="710E83E7"/>
    <w:rsid w:val="71562E4D"/>
    <w:rsid w:val="71669A1E"/>
    <w:rsid w:val="7167C552"/>
    <w:rsid w:val="7172696D"/>
    <w:rsid w:val="71793B21"/>
    <w:rsid w:val="717D9BAA"/>
    <w:rsid w:val="718EC952"/>
    <w:rsid w:val="71A61429"/>
    <w:rsid w:val="71BE2FE1"/>
    <w:rsid w:val="71CA22C6"/>
    <w:rsid w:val="71D31418"/>
    <w:rsid w:val="71D47CBE"/>
    <w:rsid w:val="71D8C7A1"/>
    <w:rsid w:val="71DDC602"/>
    <w:rsid w:val="71E103D0"/>
    <w:rsid w:val="71F92C49"/>
    <w:rsid w:val="72002EE1"/>
    <w:rsid w:val="7206617D"/>
    <w:rsid w:val="7215ABC0"/>
    <w:rsid w:val="721D0E76"/>
    <w:rsid w:val="721EB902"/>
    <w:rsid w:val="72212175"/>
    <w:rsid w:val="7227E27F"/>
    <w:rsid w:val="722CE38A"/>
    <w:rsid w:val="722EF66E"/>
    <w:rsid w:val="725E4359"/>
    <w:rsid w:val="7263D311"/>
    <w:rsid w:val="7264ED2C"/>
    <w:rsid w:val="7273D39B"/>
    <w:rsid w:val="728245AF"/>
    <w:rsid w:val="72853829"/>
    <w:rsid w:val="72863A4F"/>
    <w:rsid w:val="728877F2"/>
    <w:rsid w:val="728A84D3"/>
    <w:rsid w:val="7291C65D"/>
    <w:rsid w:val="7298CA77"/>
    <w:rsid w:val="72A26731"/>
    <w:rsid w:val="72AE5065"/>
    <w:rsid w:val="72C845E9"/>
    <w:rsid w:val="72CF032F"/>
    <w:rsid w:val="72D7886B"/>
    <w:rsid w:val="72EB83C2"/>
    <w:rsid w:val="72EF9648"/>
    <w:rsid w:val="7303B184"/>
    <w:rsid w:val="7308EE2C"/>
    <w:rsid w:val="731F5875"/>
    <w:rsid w:val="73259955"/>
    <w:rsid w:val="732C9248"/>
    <w:rsid w:val="732CDF4A"/>
    <w:rsid w:val="73615820"/>
    <w:rsid w:val="7362496F"/>
    <w:rsid w:val="73636A4E"/>
    <w:rsid w:val="73679AB4"/>
    <w:rsid w:val="736B0D51"/>
    <w:rsid w:val="7372B4B9"/>
    <w:rsid w:val="7382758F"/>
    <w:rsid w:val="7382AFD3"/>
    <w:rsid w:val="739D2CC3"/>
    <w:rsid w:val="73CECF4B"/>
    <w:rsid w:val="73D4DAC2"/>
    <w:rsid w:val="73D8A3E7"/>
    <w:rsid w:val="73DB3CE0"/>
    <w:rsid w:val="74006C5D"/>
    <w:rsid w:val="7403CB40"/>
    <w:rsid w:val="7429E71B"/>
    <w:rsid w:val="7442E912"/>
    <w:rsid w:val="74449159"/>
    <w:rsid w:val="744BD353"/>
    <w:rsid w:val="744F24BD"/>
    <w:rsid w:val="74569E18"/>
    <w:rsid w:val="748D291C"/>
    <w:rsid w:val="7496B6A9"/>
    <w:rsid w:val="7497B696"/>
    <w:rsid w:val="749FA953"/>
    <w:rsid w:val="74ADD0CF"/>
    <w:rsid w:val="74B7D1F9"/>
    <w:rsid w:val="74C5BB71"/>
    <w:rsid w:val="74C620E1"/>
    <w:rsid w:val="74CB2EC0"/>
    <w:rsid w:val="74CBDEDE"/>
    <w:rsid w:val="74CBF45C"/>
    <w:rsid w:val="74EAD6AB"/>
    <w:rsid w:val="74F20333"/>
    <w:rsid w:val="74F5D0A3"/>
    <w:rsid w:val="75084B34"/>
    <w:rsid w:val="751CCFAA"/>
    <w:rsid w:val="752E0162"/>
    <w:rsid w:val="752EAF6C"/>
    <w:rsid w:val="752ECB0A"/>
    <w:rsid w:val="753295FB"/>
    <w:rsid w:val="7536F2DD"/>
    <w:rsid w:val="7543EFA7"/>
    <w:rsid w:val="755B387E"/>
    <w:rsid w:val="7560E945"/>
    <w:rsid w:val="756EAAF0"/>
    <w:rsid w:val="758EEBB4"/>
    <w:rsid w:val="75909F22"/>
    <w:rsid w:val="75A3F17A"/>
    <w:rsid w:val="75A6BA4B"/>
    <w:rsid w:val="75B9A30B"/>
    <w:rsid w:val="75C46A85"/>
    <w:rsid w:val="75CB7B60"/>
    <w:rsid w:val="75DD56C9"/>
    <w:rsid w:val="75E89219"/>
    <w:rsid w:val="75EDF079"/>
    <w:rsid w:val="75F65B14"/>
    <w:rsid w:val="762D78A5"/>
    <w:rsid w:val="76357E1C"/>
    <w:rsid w:val="764A3458"/>
    <w:rsid w:val="76503A66"/>
    <w:rsid w:val="76529E62"/>
    <w:rsid w:val="765DBAC3"/>
    <w:rsid w:val="76799A2F"/>
    <w:rsid w:val="767A3239"/>
    <w:rsid w:val="76862CC9"/>
    <w:rsid w:val="7690B77B"/>
    <w:rsid w:val="76933BFF"/>
    <w:rsid w:val="769ED8FE"/>
    <w:rsid w:val="76A3BA6F"/>
    <w:rsid w:val="76A4B4DA"/>
    <w:rsid w:val="76A76432"/>
    <w:rsid w:val="76C1B85C"/>
    <w:rsid w:val="76C28EDD"/>
    <w:rsid w:val="76C42E2C"/>
    <w:rsid w:val="76DAB0D6"/>
    <w:rsid w:val="76DE453D"/>
    <w:rsid w:val="76EEBD5E"/>
    <w:rsid w:val="76EFA6B9"/>
    <w:rsid w:val="76F5CDD9"/>
    <w:rsid w:val="77028C59"/>
    <w:rsid w:val="770F59C6"/>
    <w:rsid w:val="7716F58F"/>
    <w:rsid w:val="771996F2"/>
    <w:rsid w:val="771F3DA7"/>
    <w:rsid w:val="771F471B"/>
    <w:rsid w:val="7723420E"/>
    <w:rsid w:val="7739299B"/>
    <w:rsid w:val="773C411C"/>
    <w:rsid w:val="773EFDF2"/>
    <w:rsid w:val="773F4BF4"/>
    <w:rsid w:val="7753133D"/>
    <w:rsid w:val="77561958"/>
    <w:rsid w:val="77574F81"/>
    <w:rsid w:val="77665979"/>
    <w:rsid w:val="77668EC7"/>
    <w:rsid w:val="7777AE88"/>
    <w:rsid w:val="77854EBD"/>
    <w:rsid w:val="77942ADF"/>
    <w:rsid w:val="77AA5FB3"/>
    <w:rsid w:val="77B93F31"/>
    <w:rsid w:val="77CAE6F4"/>
    <w:rsid w:val="77CF036F"/>
    <w:rsid w:val="77D54666"/>
    <w:rsid w:val="77DBBD5A"/>
    <w:rsid w:val="77E31D22"/>
    <w:rsid w:val="77E493D3"/>
    <w:rsid w:val="77ED287A"/>
    <w:rsid w:val="782637EE"/>
    <w:rsid w:val="78281CB6"/>
    <w:rsid w:val="784BC82B"/>
    <w:rsid w:val="784FE46D"/>
    <w:rsid w:val="7869E5DA"/>
    <w:rsid w:val="7870E9DB"/>
    <w:rsid w:val="78902507"/>
    <w:rsid w:val="7891F7C7"/>
    <w:rsid w:val="78928D23"/>
    <w:rsid w:val="78AD44AB"/>
    <w:rsid w:val="78B07273"/>
    <w:rsid w:val="78B490E7"/>
    <w:rsid w:val="78BCE192"/>
    <w:rsid w:val="78C7BCD4"/>
    <w:rsid w:val="78C93209"/>
    <w:rsid w:val="78C9FC47"/>
    <w:rsid w:val="78D268B5"/>
    <w:rsid w:val="78D61DF7"/>
    <w:rsid w:val="78F351A2"/>
    <w:rsid w:val="78F4B1D7"/>
    <w:rsid w:val="79088D58"/>
    <w:rsid w:val="79182C98"/>
    <w:rsid w:val="791D1497"/>
    <w:rsid w:val="79238B2A"/>
    <w:rsid w:val="7924F1C0"/>
    <w:rsid w:val="79283CE7"/>
    <w:rsid w:val="79421BFF"/>
    <w:rsid w:val="794E50E6"/>
    <w:rsid w:val="79510A36"/>
    <w:rsid w:val="7951E462"/>
    <w:rsid w:val="79638417"/>
    <w:rsid w:val="7973F077"/>
    <w:rsid w:val="797818A9"/>
    <w:rsid w:val="797D672A"/>
    <w:rsid w:val="798DF9CB"/>
    <w:rsid w:val="798FF3A8"/>
    <w:rsid w:val="799FBCB1"/>
    <w:rsid w:val="79A967FB"/>
    <w:rsid w:val="79AD1053"/>
    <w:rsid w:val="79C03B5B"/>
    <w:rsid w:val="79C58178"/>
    <w:rsid w:val="79CF67E9"/>
    <w:rsid w:val="79D533C0"/>
    <w:rsid w:val="79D577AF"/>
    <w:rsid w:val="79D6F89B"/>
    <w:rsid w:val="79DAD4D4"/>
    <w:rsid w:val="79DC6032"/>
    <w:rsid w:val="79E54A39"/>
    <w:rsid w:val="79F35D93"/>
    <w:rsid w:val="79F5D01D"/>
    <w:rsid w:val="79F7A183"/>
    <w:rsid w:val="79FE057F"/>
    <w:rsid w:val="7A002BA4"/>
    <w:rsid w:val="7A0573C3"/>
    <w:rsid w:val="7A28EF5C"/>
    <w:rsid w:val="7A2A1939"/>
    <w:rsid w:val="7A329821"/>
    <w:rsid w:val="7A3C94E5"/>
    <w:rsid w:val="7A480EC0"/>
    <w:rsid w:val="7A4C9B42"/>
    <w:rsid w:val="7A775228"/>
    <w:rsid w:val="7A856BE9"/>
    <w:rsid w:val="7A9CB6BA"/>
    <w:rsid w:val="7A9F2F10"/>
    <w:rsid w:val="7AA4D8F5"/>
    <w:rsid w:val="7AB0E5F0"/>
    <w:rsid w:val="7AB2B519"/>
    <w:rsid w:val="7AB40438"/>
    <w:rsid w:val="7AB88DF7"/>
    <w:rsid w:val="7ABE3DAC"/>
    <w:rsid w:val="7AC54ED1"/>
    <w:rsid w:val="7AC8D1DE"/>
    <w:rsid w:val="7ACD910C"/>
    <w:rsid w:val="7ADA3741"/>
    <w:rsid w:val="7ADBB784"/>
    <w:rsid w:val="7ADF131D"/>
    <w:rsid w:val="7AE318A7"/>
    <w:rsid w:val="7AE3CDE0"/>
    <w:rsid w:val="7AE64A07"/>
    <w:rsid w:val="7AFE1847"/>
    <w:rsid w:val="7B051565"/>
    <w:rsid w:val="7B05EF5C"/>
    <w:rsid w:val="7B06E042"/>
    <w:rsid w:val="7B0BF45D"/>
    <w:rsid w:val="7B16231E"/>
    <w:rsid w:val="7B1EE68C"/>
    <w:rsid w:val="7B287E6F"/>
    <w:rsid w:val="7B2BCF50"/>
    <w:rsid w:val="7B2E49AF"/>
    <w:rsid w:val="7B300191"/>
    <w:rsid w:val="7B3570C4"/>
    <w:rsid w:val="7B3BA4FF"/>
    <w:rsid w:val="7B4B3046"/>
    <w:rsid w:val="7B60B590"/>
    <w:rsid w:val="7B72C5B0"/>
    <w:rsid w:val="7B7AA314"/>
    <w:rsid w:val="7B82D2FB"/>
    <w:rsid w:val="7B876A79"/>
    <w:rsid w:val="7B98E082"/>
    <w:rsid w:val="7B9D8087"/>
    <w:rsid w:val="7B9F0719"/>
    <w:rsid w:val="7BAECF00"/>
    <w:rsid w:val="7BB21A24"/>
    <w:rsid w:val="7BB55CD4"/>
    <w:rsid w:val="7BC0E53D"/>
    <w:rsid w:val="7BCA298B"/>
    <w:rsid w:val="7BCB9822"/>
    <w:rsid w:val="7BCBC3FE"/>
    <w:rsid w:val="7BD355D9"/>
    <w:rsid w:val="7BDA4C16"/>
    <w:rsid w:val="7BE8A0DE"/>
    <w:rsid w:val="7BEEFC41"/>
    <w:rsid w:val="7BF6380B"/>
    <w:rsid w:val="7BF6839E"/>
    <w:rsid w:val="7BFADFBE"/>
    <w:rsid w:val="7BFAE4E1"/>
    <w:rsid w:val="7C014994"/>
    <w:rsid w:val="7C018D84"/>
    <w:rsid w:val="7C06B18A"/>
    <w:rsid w:val="7C090452"/>
    <w:rsid w:val="7C13C3CB"/>
    <w:rsid w:val="7C19AF38"/>
    <w:rsid w:val="7C1E25BB"/>
    <w:rsid w:val="7C23E14A"/>
    <w:rsid w:val="7C23F60E"/>
    <w:rsid w:val="7C3976C1"/>
    <w:rsid w:val="7C3C516C"/>
    <w:rsid w:val="7C599807"/>
    <w:rsid w:val="7C678C05"/>
    <w:rsid w:val="7C6ABA64"/>
    <w:rsid w:val="7C799D6F"/>
    <w:rsid w:val="7C870FB5"/>
    <w:rsid w:val="7C96B216"/>
    <w:rsid w:val="7CA30F0F"/>
    <w:rsid w:val="7CB4BE45"/>
    <w:rsid w:val="7CBA8A60"/>
    <w:rsid w:val="7CBDADBE"/>
    <w:rsid w:val="7CC03BC5"/>
    <w:rsid w:val="7CCA65A5"/>
    <w:rsid w:val="7CD789E6"/>
    <w:rsid w:val="7CD79C92"/>
    <w:rsid w:val="7CD8B276"/>
    <w:rsid w:val="7CDDD686"/>
    <w:rsid w:val="7CFC73A4"/>
    <w:rsid w:val="7CFEBAA2"/>
    <w:rsid w:val="7D0708AB"/>
    <w:rsid w:val="7D08B017"/>
    <w:rsid w:val="7D1E5A96"/>
    <w:rsid w:val="7D1E633C"/>
    <w:rsid w:val="7D28437C"/>
    <w:rsid w:val="7D30B868"/>
    <w:rsid w:val="7D30C2EF"/>
    <w:rsid w:val="7D318C27"/>
    <w:rsid w:val="7D32E1F6"/>
    <w:rsid w:val="7D33786F"/>
    <w:rsid w:val="7D39AD20"/>
    <w:rsid w:val="7D4C6653"/>
    <w:rsid w:val="7D50FAD6"/>
    <w:rsid w:val="7D690FBA"/>
    <w:rsid w:val="7D747F46"/>
    <w:rsid w:val="7D79EAEC"/>
    <w:rsid w:val="7D814B6C"/>
    <w:rsid w:val="7D8C4C72"/>
    <w:rsid w:val="7D918D44"/>
    <w:rsid w:val="7DA07DC7"/>
    <w:rsid w:val="7DB27C9C"/>
    <w:rsid w:val="7DD7A0AD"/>
    <w:rsid w:val="7DDD2288"/>
    <w:rsid w:val="7DDEF805"/>
    <w:rsid w:val="7DE9EFCD"/>
    <w:rsid w:val="7DF1AD92"/>
    <w:rsid w:val="7DF205EC"/>
    <w:rsid w:val="7E151C3A"/>
    <w:rsid w:val="7E157C06"/>
    <w:rsid w:val="7E193D0C"/>
    <w:rsid w:val="7E21FFED"/>
    <w:rsid w:val="7E2A63DD"/>
    <w:rsid w:val="7E3D5BD9"/>
    <w:rsid w:val="7E4FF8A3"/>
    <w:rsid w:val="7E53BEDE"/>
    <w:rsid w:val="7E5915A6"/>
    <w:rsid w:val="7E5C361F"/>
    <w:rsid w:val="7E71FFC8"/>
    <w:rsid w:val="7E723B6A"/>
    <w:rsid w:val="7E8B00C5"/>
    <w:rsid w:val="7E92A3AA"/>
    <w:rsid w:val="7E948622"/>
    <w:rsid w:val="7E9A2A0D"/>
    <w:rsid w:val="7EA04A74"/>
    <w:rsid w:val="7EA2D90C"/>
    <w:rsid w:val="7EA31E2C"/>
    <w:rsid w:val="7EA4DBEA"/>
    <w:rsid w:val="7EB617B4"/>
    <w:rsid w:val="7ECC4C21"/>
    <w:rsid w:val="7EE33F1A"/>
    <w:rsid w:val="7F003F7E"/>
    <w:rsid w:val="7F08A792"/>
    <w:rsid w:val="7F112A4C"/>
    <w:rsid w:val="7F172654"/>
    <w:rsid w:val="7F1AE405"/>
    <w:rsid w:val="7F1DE412"/>
    <w:rsid w:val="7F26FDCD"/>
    <w:rsid w:val="7F31E0E4"/>
    <w:rsid w:val="7F3994A3"/>
    <w:rsid w:val="7F3A6DDE"/>
    <w:rsid w:val="7F3BE9B9"/>
    <w:rsid w:val="7F58AA55"/>
    <w:rsid w:val="7F5C7C6B"/>
    <w:rsid w:val="7F5FD3B9"/>
    <w:rsid w:val="7F66E7CF"/>
    <w:rsid w:val="7F682D9D"/>
    <w:rsid w:val="7F6DD741"/>
    <w:rsid w:val="7F6EE1AA"/>
    <w:rsid w:val="7F75D07B"/>
    <w:rsid w:val="7F774D7F"/>
    <w:rsid w:val="7F7E74EC"/>
    <w:rsid w:val="7F888133"/>
    <w:rsid w:val="7F8C3284"/>
    <w:rsid w:val="7F921080"/>
    <w:rsid w:val="7F9D91BB"/>
    <w:rsid w:val="7FA23AC0"/>
    <w:rsid w:val="7FAE6EDA"/>
    <w:rsid w:val="7FBE69DE"/>
    <w:rsid w:val="7FC34C95"/>
    <w:rsid w:val="7FD15E7B"/>
    <w:rsid w:val="7FDEB401"/>
    <w:rsid w:val="7FE7D299"/>
    <w:rsid w:val="7FFC353D"/>
    <w:rsid w:val="7FFE21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EB1CA2"/>
  <w15:chartTrackingRefBased/>
  <w15:docId w15:val="{1D6854A1-12EA-4F25-ADB0-B4DCDE2E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27"/>
    <w:rPr>
      <w:rFonts w:ascii="Calibri" w:eastAsia="Calibri" w:hAnsi="Calibri" w:cs="Myanmar Text"/>
    </w:rPr>
  </w:style>
  <w:style w:type="paragraph" w:styleId="Heading1">
    <w:name w:val="heading 1"/>
    <w:basedOn w:val="Normal"/>
    <w:next w:val="Text1"/>
    <w:link w:val="Heading1Char"/>
    <w:uiPriority w:val="9"/>
    <w:qFormat/>
    <w:rsid w:val="007B4D63"/>
    <w:pPr>
      <w:keepNext/>
      <w:numPr>
        <w:numId w:val="9"/>
      </w:numPr>
      <w:tabs>
        <w:tab w:val="clear" w:pos="850"/>
        <w:tab w:val="num" w:pos="1984"/>
      </w:tabs>
      <w:spacing w:before="360" w:after="120" w:line="240" w:lineRule="auto"/>
      <w:ind w:left="1984" w:hanging="567"/>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rsid w:val="007B4D63"/>
    <w:pPr>
      <w:keepNext/>
      <w:numPr>
        <w:ilvl w:val="1"/>
        <w:numId w:val="9"/>
      </w:numPr>
      <w:tabs>
        <w:tab w:val="clear" w:pos="850"/>
        <w:tab w:val="num" w:pos="1984"/>
      </w:tabs>
      <w:spacing w:before="120" w:after="120" w:line="240" w:lineRule="auto"/>
      <w:ind w:left="1984" w:hanging="567"/>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rsid w:val="007B4D63"/>
    <w:pPr>
      <w:keepNext/>
      <w:numPr>
        <w:ilvl w:val="2"/>
        <w:numId w:val="9"/>
      </w:numPr>
      <w:tabs>
        <w:tab w:val="clear" w:pos="850"/>
        <w:tab w:val="num" w:pos="1984"/>
      </w:tabs>
      <w:spacing w:before="120" w:after="120" w:line="240" w:lineRule="auto"/>
      <w:ind w:left="1984" w:hanging="567"/>
      <w:jc w:val="both"/>
      <w:outlineLvl w:val="2"/>
    </w:pPr>
    <w:rPr>
      <w:rFonts w:ascii="Times New Roman" w:eastAsia="Times New Roman" w:hAnsi="Times New Roman" w:cs="Times New Roman"/>
      <w:bCs/>
      <w:i/>
      <w:sz w:val="24"/>
    </w:rPr>
  </w:style>
  <w:style w:type="paragraph" w:styleId="Heading4">
    <w:name w:val="heading 4"/>
    <w:basedOn w:val="Text1"/>
    <w:next w:val="Text1"/>
    <w:link w:val="Heading4Char"/>
    <w:uiPriority w:val="9"/>
    <w:unhideWhenUsed/>
    <w:qFormat/>
    <w:rsid w:val="00645BC7"/>
    <w:pPr>
      <w:ind w:left="680" w:firstLine="6"/>
      <w:outlineLvl w:val="3"/>
    </w:pPr>
    <w:rPr>
      <w:b/>
      <w:bCs/>
    </w:rPr>
  </w:style>
  <w:style w:type="paragraph" w:styleId="Heading5">
    <w:name w:val="heading 5"/>
    <w:basedOn w:val="Normal"/>
    <w:next w:val="Normal"/>
    <w:link w:val="Heading5Char"/>
    <w:uiPriority w:val="9"/>
    <w:unhideWhenUsed/>
    <w:qFormat/>
    <w:rsid w:val="00645BC7"/>
    <w:pPr>
      <w:keepNext/>
      <w:keepLines/>
      <w:spacing w:before="40" w:after="0" w:line="240" w:lineRule="auto"/>
      <w:jc w:val="both"/>
      <w:outlineLvl w:val="4"/>
    </w:pPr>
    <w:rPr>
      <w:rFonts w:ascii="Cambria" w:eastAsia="Times New Roman" w:hAnsi="Cambria"/>
      <w:color w:val="365F9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C7"/>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rsid w:val="00645BC7"/>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645BC7"/>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rsid w:val="00645BC7"/>
    <w:rPr>
      <w:rFonts w:ascii="Times New Roman" w:eastAsia="Calibri" w:hAnsi="Times New Roman" w:cs="Times New Roman"/>
      <w:b/>
      <w:bCs/>
      <w:sz w:val="24"/>
    </w:rPr>
  </w:style>
  <w:style w:type="character" w:customStyle="1" w:styleId="Heading5Char">
    <w:name w:val="Heading 5 Char"/>
    <w:basedOn w:val="DefaultParagraphFont"/>
    <w:link w:val="Heading5"/>
    <w:uiPriority w:val="9"/>
    <w:rsid w:val="00645BC7"/>
    <w:rPr>
      <w:rFonts w:ascii="Cambria" w:eastAsia="Times New Roman" w:hAnsi="Cambria" w:cs="Myanmar Text"/>
      <w:color w:val="365F91"/>
      <w:sz w:val="24"/>
    </w:rPr>
  </w:style>
  <w:style w:type="numbering" w:customStyle="1" w:styleId="NoList1">
    <w:name w:val="No List1"/>
    <w:next w:val="NoList"/>
    <w:uiPriority w:val="99"/>
    <w:semiHidden/>
    <w:unhideWhenUsed/>
    <w:rsid w:val="00645BC7"/>
  </w:style>
  <w:style w:type="paragraph" w:styleId="Header">
    <w:name w:val="header"/>
    <w:basedOn w:val="Normal"/>
    <w:link w:val="HeaderChar"/>
    <w:uiPriority w:val="99"/>
    <w:unhideWhenUsed/>
    <w:rsid w:val="00645BC7"/>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645BC7"/>
    <w:rPr>
      <w:rFonts w:ascii="Times New Roman" w:eastAsia="Calibri" w:hAnsi="Times New Roman" w:cs="Times New Roman"/>
      <w:sz w:val="24"/>
    </w:rPr>
  </w:style>
  <w:style w:type="paragraph" w:styleId="Footer">
    <w:name w:val="footer"/>
    <w:basedOn w:val="Normal"/>
    <w:link w:val="FooterChar"/>
    <w:uiPriority w:val="99"/>
    <w:unhideWhenUsed/>
    <w:rsid w:val="00645BC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645BC7"/>
    <w:rPr>
      <w:rFonts w:ascii="Times New Roman" w:eastAsia="Calibri" w:hAnsi="Times New Roman" w:cs="Times New Roman"/>
      <w:sz w:val="24"/>
    </w:rPr>
  </w:style>
  <w:style w:type="paragraph" w:styleId="FootnoteText">
    <w:name w:val="footnote text"/>
    <w:basedOn w:val="Normal"/>
    <w:link w:val="FootnoteTextChar"/>
    <w:uiPriority w:val="99"/>
    <w:unhideWhenUsed/>
    <w:rsid w:val="006E0EA2"/>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45BC7"/>
    <w:rPr>
      <w:rFonts w:ascii="Times New Roman" w:eastAsia="Calibri" w:hAnsi="Times New Roman" w:cs="Times New Roman"/>
      <w:sz w:val="20"/>
      <w:szCs w:val="20"/>
    </w:rPr>
  </w:style>
  <w:style w:type="paragraph" w:styleId="TOCHeading">
    <w:name w:val="TOC Heading"/>
    <w:basedOn w:val="Normal"/>
    <w:next w:val="Normal"/>
    <w:uiPriority w:val="39"/>
    <w:semiHidden/>
    <w:unhideWhenUsed/>
    <w:qFormat/>
    <w:rsid w:val="00645BC7"/>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rsid w:val="00645BC7"/>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rsid w:val="00645BC7"/>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rsid w:val="00645BC7"/>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rsid w:val="00645BC7"/>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rsid w:val="00645BC7"/>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rsid w:val="00645BC7"/>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645BC7"/>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unhideWhenUsed/>
    <w:rsid w:val="006E0EA2"/>
    <w:rPr>
      <w:shd w:val="clear" w:color="auto" w:fill="auto"/>
      <w:vertAlign w:val="superscript"/>
    </w:rPr>
  </w:style>
  <w:style w:type="paragraph" w:customStyle="1" w:styleId="HeaderSensitivity">
    <w:name w:val="Header Sensitivity"/>
    <w:basedOn w:val="Normal"/>
    <w:rsid w:val="00645BC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CF7AB7"/>
    <w:pPr>
      <w:spacing w:after="120" w:line="240" w:lineRule="auto"/>
      <w:jc w:val="right"/>
    </w:pPr>
    <w:rPr>
      <w:rFonts w:ascii="Times New Roman" w:hAnsi="Times New Roman" w:cs="Times New Roman"/>
      <w:sz w:val="28"/>
    </w:rPr>
  </w:style>
  <w:style w:type="paragraph" w:customStyle="1" w:styleId="FooterSensitivity">
    <w:name w:val="Footer Sensitivity"/>
    <w:basedOn w:val="Normal"/>
    <w:rsid w:val="00645BC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rsid w:val="00645BC7"/>
    <w:pPr>
      <w:spacing w:before="120" w:after="120" w:line="240" w:lineRule="auto"/>
      <w:ind w:left="850"/>
      <w:jc w:val="both"/>
    </w:pPr>
    <w:rPr>
      <w:rFonts w:ascii="Times New Roman" w:hAnsi="Times New Roman" w:cs="Times New Roman"/>
      <w:sz w:val="24"/>
    </w:rPr>
  </w:style>
  <w:style w:type="paragraph" w:customStyle="1" w:styleId="Text2">
    <w:name w:val="Text 2"/>
    <w:basedOn w:val="Normal"/>
    <w:rsid w:val="00645BC7"/>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645BC7"/>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645BC7"/>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645BC7"/>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645BC7"/>
    <w:pPr>
      <w:spacing w:before="120" w:after="120" w:line="240" w:lineRule="auto"/>
    </w:pPr>
    <w:rPr>
      <w:rFonts w:ascii="Times New Roman" w:hAnsi="Times New Roman" w:cs="Times New Roman"/>
      <w:sz w:val="24"/>
    </w:rPr>
  </w:style>
  <w:style w:type="paragraph" w:customStyle="1" w:styleId="NormalRight">
    <w:name w:val="Normal Right"/>
    <w:basedOn w:val="Normal"/>
    <w:rsid w:val="00645BC7"/>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645BC7"/>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645BC7"/>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645BC7"/>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645BC7"/>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645BC7"/>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645BC7"/>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7B4D63"/>
    <w:pPr>
      <w:numPr>
        <w:numId w:val="3"/>
      </w:numPr>
      <w:tabs>
        <w:tab w:val="clear" w:pos="850"/>
        <w:tab w:val="num" w:pos="3118"/>
      </w:tabs>
      <w:ind w:left="3118" w:hanging="567"/>
    </w:pPr>
  </w:style>
  <w:style w:type="paragraph" w:customStyle="1" w:styleId="Tiret1">
    <w:name w:val="Tiret 1"/>
    <w:basedOn w:val="Point1"/>
    <w:rsid w:val="007B4D63"/>
    <w:pPr>
      <w:numPr>
        <w:numId w:val="4"/>
      </w:numPr>
      <w:tabs>
        <w:tab w:val="clear" w:pos="1417"/>
        <w:tab w:val="num" w:pos="850"/>
      </w:tabs>
      <w:ind w:left="850" w:hanging="850"/>
    </w:pPr>
  </w:style>
  <w:style w:type="paragraph" w:customStyle="1" w:styleId="Tiret2">
    <w:name w:val="Tiret 2"/>
    <w:basedOn w:val="Point2"/>
    <w:rsid w:val="007B4D63"/>
    <w:pPr>
      <w:numPr>
        <w:numId w:val="5"/>
      </w:numPr>
      <w:tabs>
        <w:tab w:val="clear" w:pos="1984"/>
        <w:tab w:val="num" w:pos="850"/>
      </w:tabs>
      <w:ind w:left="850" w:hanging="850"/>
    </w:pPr>
  </w:style>
  <w:style w:type="paragraph" w:customStyle="1" w:styleId="Tiret3">
    <w:name w:val="Tiret 3"/>
    <w:basedOn w:val="Point3"/>
    <w:rsid w:val="007B4D63"/>
    <w:pPr>
      <w:numPr>
        <w:numId w:val="6"/>
      </w:numPr>
      <w:tabs>
        <w:tab w:val="clear" w:pos="2551"/>
        <w:tab w:val="num" w:pos="850"/>
      </w:tabs>
      <w:ind w:left="850" w:hanging="850"/>
    </w:pPr>
  </w:style>
  <w:style w:type="paragraph" w:customStyle="1" w:styleId="Tiret4">
    <w:name w:val="Tiret 4"/>
    <w:basedOn w:val="Point4"/>
    <w:rsid w:val="007B4D63"/>
    <w:pPr>
      <w:numPr>
        <w:numId w:val="7"/>
      </w:numPr>
      <w:tabs>
        <w:tab w:val="clear" w:pos="3118"/>
        <w:tab w:val="num" w:pos="850"/>
      </w:tabs>
      <w:ind w:left="850" w:hanging="850"/>
    </w:pPr>
  </w:style>
  <w:style w:type="paragraph" w:customStyle="1" w:styleId="PointDouble0">
    <w:name w:val="PointDouble 0"/>
    <w:basedOn w:val="Normal"/>
    <w:rsid w:val="00645BC7"/>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645BC7"/>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645BC7"/>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645BC7"/>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645BC7"/>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645BC7"/>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645BC7"/>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645BC7"/>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645BC7"/>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645BC7"/>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7B4D63"/>
    <w:pPr>
      <w:numPr>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2">
    <w:name w:val="NumPar 2"/>
    <w:basedOn w:val="Normal"/>
    <w:next w:val="Text1"/>
    <w:rsid w:val="007B4D63"/>
    <w:pPr>
      <w:numPr>
        <w:ilvl w:val="1"/>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3">
    <w:name w:val="NumPar 3"/>
    <w:basedOn w:val="Normal"/>
    <w:next w:val="Text1"/>
    <w:rsid w:val="007B4D63"/>
    <w:pPr>
      <w:numPr>
        <w:ilvl w:val="2"/>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4">
    <w:name w:val="NumPar 4"/>
    <w:basedOn w:val="Normal"/>
    <w:next w:val="Text1"/>
    <w:rsid w:val="007B4D63"/>
    <w:pPr>
      <w:numPr>
        <w:ilvl w:val="3"/>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ManualNumPar1">
    <w:name w:val="Manual NumPar 1"/>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645BC7"/>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645BC7"/>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645BC7"/>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645BC7"/>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645BC7"/>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645BC7"/>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645BC7"/>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645BC7"/>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645BC7"/>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9D0F6E"/>
    <w:rPr>
      <w:color w:val="0000FF"/>
      <w:bdr w:val="none" w:sz="0" w:space="0" w:color="auto"/>
      <w:shd w:val="clear" w:color="auto" w:fill="auto"/>
    </w:rPr>
  </w:style>
  <w:style w:type="character" w:customStyle="1" w:styleId="Marker1">
    <w:name w:val="Marker1"/>
    <w:rsid w:val="00645BC7"/>
    <w:rPr>
      <w:color w:val="008000"/>
      <w:shd w:val="clear" w:color="auto" w:fill="auto"/>
    </w:rPr>
  </w:style>
  <w:style w:type="character" w:customStyle="1" w:styleId="Marker2">
    <w:name w:val="Marker2"/>
    <w:rsid w:val="00645BC7"/>
    <w:rPr>
      <w:color w:val="FF0000"/>
      <w:shd w:val="clear" w:color="auto" w:fill="auto"/>
    </w:rPr>
  </w:style>
  <w:style w:type="paragraph" w:customStyle="1" w:styleId="Point0number">
    <w:name w:val="Point 0 (number)"/>
    <w:basedOn w:val="Normal"/>
    <w:rsid w:val="007B4D63"/>
    <w:pPr>
      <w:numPr>
        <w:numId w:val="10"/>
      </w:numPr>
      <w:tabs>
        <w:tab w:val="clear" w:pos="850"/>
        <w:tab w:val="num" w:pos="2551"/>
      </w:tabs>
      <w:spacing w:before="120" w:after="120" w:line="240" w:lineRule="auto"/>
      <w:ind w:left="2551" w:hanging="567"/>
      <w:jc w:val="both"/>
    </w:pPr>
    <w:rPr>
      <w:rFonts w:ascii="Times New Roman" w:hAnsi="Times New Roman" w:cs="Times New Roman"/>
      <w:sz w:val="24"/>
    </w:rPr>
  </w:style>
  <w:style w:type="paragraph" w:customStyle="1" w:styleId="Point1number">
    <w:name w:val="Point 1 (number)"/>
    <w:basedOn w:val="Normal"/>
    <w:rsid w:val="007B4D63"/>
    <w:pPr>
      <w:numPr>
        <w:ilvl w:val="2"/>
        <w:numId w:val="10"/>
      </w:numPr>
      <w:tabs>
        <w:tab w:val="clear" w:pos="1417"/>
        <w:tab w:val="num" w:pos="2551"/>
      </w:tabs>
      <w:spacing w:before="120" w:after="120" w:line="240" w:lineRule="auto"/>
      <w:ind w:left="2551"/>
      <w:jc w:val="both"/>
    </w:pPr>
    <w:rPr>
      <w:rFonts w:ascii="Times New Roman" w:hAnsi="Times New Roman" w:cs="Times New Roman"/>
      <w:sz w:val="24"/>
    </w:rPr>
  </w:style>
  <w:style w:type="paragraph" w:customStyle="1" w:styleId="Point2number">
    <w:name w:val="Point 2 (number)"/>
    <w:basedOn w:val="Normal"/>
    <w:rsid w:val="007B4D63"/>
    <w:pPr>
      <w:numPr>
        <w:ilvl w:val="4"/>
        <w:numId w:val="10"/>
      </w:numPr>
      <w:tabs>
        <w:tab w:val="clear" w:pos="1984"/>
        <w:tab w:val="num" w:pos="2551"/>
      </w:tabs>
      <w:spacing w:before="120" w:after="120" w:line="240" w:lineRule="auto"/>
      <w:ind w:left="2551"/>
      <w:jc w:val="both"/>
    </w:pPr>
    <w:rPr>
      <w:rFonts w:ascii="Times New Roman" w:hAnsi="Times New Roman" w:cs="Times New Roman"/>
      <w:sz w:val="24"/>
    </w:rPr>
  </w:style>
  <w:style w:type="paragraph" w:customStyle="1" w:styleId="Point3number">
    <w:name w:val="Point 3 (number)"/>
    <w:basedOn w:val="Normal"/>
    <w:rsid w:val="00645BC7"/>
    <w:pPr>
      <w:numPr>
        <w:ilvl w:val="6"/>
        <w:numId w:val="1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7B4D63"/>
    <w:pPr>
      <w:numPr>
        <w:ilvl w:val="1"/>
        <w:numId w:val="10"/>
      </w:numPr>
      <w:tabs>
        <w:tab w:val="clear" w:pos="850"/>
        <w:tab w:val="num" w:pos="2551"/>
      </w:tabs>
      <w:spacing w:before="120" w:after="120" w:line="240" w:lineRule="auto"/>
      <w:ind w:left="2551" w:hanging="567"/>
      <w:jc w:val="both"/>
    </w:pPr>
    <w:rPr>
      <w:rFonts w:ascii="Times New Roman" w:hAnsi="Times New Roman" w:cs="Times New Roman"/>
      <w:sz w:val="24"/>
    </w:rPr>
  </w:style>
  <w:style w:type="paragraph" w:customStyle="1" w:styleId="Point1letter">
    <w:name w:val="Point 1 (letter)"/>
    <w:basedOn w:val="Normal"/>
    <w:rsid w:val="007B4D63"/>
    <w:pPr>
      <w:numPr>
        <w:ilvl w:val="3"/>
        <w:numId w:val="10"/>
      </w:numPr>
      <w:tabs>
        <w:tab w:val="clear" w:pos="1417"/>
        <w:tab w:val="num" w:pos="2551"/>
      </w:tabs>
      <w:spacing w:before="120" w:after="120" w:line="240" w:lineRule="auto"/>
      <w:ind w:left="2551"/>
      <w:jc w:val="both"/>
    </w:pPr>
    <w:rPr>
      <w:rFonts w:ascii="Times New Roman" w:hAnsi="Times New Roman" w:cs="Times New Roman"/>
      <w:sz w:val="24"/>
    </w:rPr>
  </w:style>
  <w:style w:type="paragraph" w:customStyle="1" w:styleId="Point2letter">
    <w:name w:val="Point 2 (letter)"/>
    <w:basedOn w:val="Normal"/>
    <w:rsid w:val="007B4D63"/>
    <w:pPr>
      <w:numPr>
        <w:ilvl w:val="5"/>
        <w:numId w:val="10"/>
      </w:numPr>
      <w:tabs>
        <w:tab w:val="clear" w:pos="1984"/>
        <w:tab w:val="num" w:pos="2551"/>
      </w:tabs>
      <w:spacing w:before="120" w:after="120" w:line="240" w:lineRule="auto"/>
      <w:ind w:left="2551"/>
      <w:jc w:val="both"/>
    </w:pPr>
    <w:rPr>
      <w:rFonts w:ascii="Times New Roman" w:hAnsi="Times New Roman" w:cs="Times New Roman"/>
      <w:sz w:val="24"/>
    </w:rPr>
  </w:style>
  <w:style w:type="paragraph" w:customStyle="1" w:styleId="Point3letter">
    <w:name w:val="Point 3 (letter)"/>
    <w:basedOn w:val="Normal"/>
    <w:rsid w:val="00645BC7"/>
    <w:pPr>
      <w:numPr>
        <w:ilvl w:val="7"/>
        <w:numId w:val="1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7B4D63"/>
    <w:pPr>
      <w:numPr>
        <w:ilvl w:val="8"/>
        <w:numId w:val="10"/>
      </w:numPr>
      <w:tabs>
        <w:tab w:val="clear" w:pos="3118"/>
        <w:tab w:val="num" w:pos="2551"/>
      </w:tabs>
      <w:spacing w:before="120" w:after="120" w:line="240" w:lineRule="auto"/>
      <w:ind w:left="2551"/>
      <w:jc w:val="both"/>
    </w:pPr>
    <w:rPr>
      <w:rFonts w:ascii="Times New Roman" w:hAnsi="Times New Roman" w:cs="Times New Roman"/>
      <w:sz w:val="24"/>
    </w:rPr>
  </w:style>
  <w:style w:type="paragraph" w:customStyle="1" w:styleId="Bullet0">
    <w:name w:val="Bullet 0"/>
    <w:basedOn w:val="Normal"/>
    <w:rsid w:val="007B4D63"/>
    <w:pPr>
      <w:numPr>
        <w:numId w:val="11"/>
      </w:numPr>
      <w:tabs>
        <w:tab w:val="clear" w:pos="850"/>
        <w:tab w:val="num" w:pos="3118"/>
      </w:tabs>
      <w:spacing w:before="120" w:after="120" w:line="240" w:lineRule="auto"/>
      <w:ind w:left="3118" w:hanging="567"/>
      <w:jc w:val="both"/>
    </w:pPr>
    <w:rPr>
      <w:rFonts w:ascii="Times New Roman" w:hAnsi="Times New Roman" w:cs="Times New Roman"/>
      <w:sz w:val="24"/>
    </w:rPr>
  </w:style>
  <w:style w:type="paragraph" w:customStyle="1" w:styleId="Bullet1">
    <w:name w:val="Bullet 1"/>
    <w:basedOn w:val="Normal"/>
    <w:rsid w:val="007B4D63"/>
    <w:pPr>
      <w:numPr>
        <w:numId w:val="12"/>
      </w:numPr>
      <w:tabs>
        <w:tab w:val="clear" w:pos="1417"/>
        <w:tab w:val="num" w:pos="709"/>
      </w:tabs>
      <w:spacing w:before="120" w:after="120" w:line="240" w:lineRule="auto"/>
      <w:ind w:left="709" w:hanging="709"/>
      <w:jc w:val="both"/>
    </w:pPr>
    <w:rPr>
      <w:rFonts w:ascii="Times New Roman" w:hAnsi="Times New Roman" w:cs="Times New Roman"/>
      <w:sz w:val="24"/>
    </w:rPr>
  </w:style>
  <w:style w:type="paragraph" w:customStyle="1" w:styleId="Bullet2">
    <w:name w:val="Bullet 2"/>
    <w:basedOn w:val="Normal"/>
    <w:rsid w:val="007B4D63"/>
    <w:pPr>
      <w:numPr>
        <w:numId w:val="13"/>
      </w:numPr>
      <w:tabs>
        <w:tab w:val="clear" w:pos="1984"/>
        <w:tab w:val="num" w:pos="850"/>
      </w:tabs>
      <w:spacing w:before="120" w:after="120" w:line="240" w:lineRule="auto"/>
      <w:ind w:left="850" w:hanging="850"/>
      <w:jc w:val="both"/>
    </w:pPr>
    <w:rPr>
      <w:rFonts w:ascii="Times New Roman" w:hAnsi="Times New Roman" w:cs="Times New Roman"/>
      <w:sz w:val="24"/>
    </w:rPr>
  </w:style>
  <w:style w:type="paragraph" w:customStyle="1" w:styleId="Bullet3">
    <w:name w:val="Bullet 3"/>
    <w:basedOn w:val="Normal"/>
    <w:rsid w:val="007B4D63"/>
    <w:pPr>
      <w:numPr>
        <w:numId w:val="14"/>
      </w:numPr>
      <w:tabs>
        <w:tab w:val="clear" w:pos="2551"/>
        <w:tab w:val="num" w:pos="360"/>
      </w:tabs>
      <w:spacing w:before="120" w:after="120" w:line="240" w:lineRule="auto"/>
      <w:ind w:left="360" w:hanging="360"/>
      <w:jc w:val="both"/>
    </w:pPr>
    <w:rPr>
      <w:rFonts w:ascii="Times New Roman" w:hAnsi="Times New Roman" w:cs="Times New Roman"/>
      <w:sz w:val="24"/>
    </w:rPr>
  </w:style>
  <w:style w:type="paragraph" w:customStyle="1" w:styleId="Bullet4">
    <w:name w:val="Bullet 4"/>
    <w:basedOn w:val="Normal"/>
    <w:rsid w:val="007B4D63"/>
    <w:pPr>
      <w:numPr>
        <w:numId w:val="15"/>
      </w:numPr>
      <w:tabs>
        <w:tab w:val="clear" w:pos="3118"/>
        <w:tab w:val="num" w:pos="643"/>
      </w:tabs>
      <w:spacing w:before="120" w:after="120" w:line="240" w:lineRule="auto"/>
      <w:ind w:left="643" w:hanging="360"/>
      <w:jc w:val="both"/>
    </w:pPr>
    <w:rPr>
      <w:rFonts w:ascii="Times New Roman" w:hAnsi="Times New Roman" w:cs="Times New Roman"/>
      <w:sz w:val="24"/>
    </w:rPr>
  </w:style>
  <w:style w:type="paragraph" w:customStyle="1" w:styleId="Langue">
    <w:name w:val="Langue"/>
    <w:basedOn w:val="Normal"/>
    <w:next w:val="Rfrenceinterne"/>
    <w:rsid w:val="00645BC7"/>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645BC7"/>
    <w:pPr>
      <w:spacing w:after="0" w:line="240" w:lineRule="auto"/>
    </w:pPr>
    <w:rPr>
      <w:rFonts w:ascii="Arial" w:hAnsi="Arial" w:cs="Arial"/>
      <w:sz w:val="24"/>
    </w:rPr>
  </w:style>
  <w:style w:type="paragraph" w:customStyle="1" w:styleId="Emission">
    <w:name w:val="Emission"/>
    <w:basedOn w:val="Normal"/>
    <w:next w:val="Rfrenceinstitutionnelle"/>
    <w:rsid w:val="00645BC7"/>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rsid w:val="00645BC7"/>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rsid w:val="00645BC7"/>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rsid w:val="00645BC7"/>
    <w:pPr>
      <w:spacing w:after="0" w:line="240" w:lineRule="auto"/>
      <w:jc w:val="both"/>
    </w:pPr>
    <w:rPr>
      <w:rFonts w:ascii="Times New Roman" w:hAnsi="Times New Roman" w:cs="Times New Roman"/>
      <w:sz w:val="24"/>
    </w:rPr>
  </w:style>
  <w:style w:type="paragraph" w:customStyle="1" w:styleId="Disclaimer">
    <w:name w:val="Disclaimer"/>
    <w:basedOn w:val="Normal"/>
    <w:rsid w:val="00645BC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CF7AB7"/>
    <w:pPr>
      <w:spacing w:after="0"/>
      <w:ind w:left="5103"/>
    </w:pPr>
    <w:rPr>
      <w:rFonts w:ascii="Times New Roman" w:eastAsiaTheme="minorHAnsi" w:hAnsi="Times New Roman" w:cs="Times New Roman"/>
      <w:sz w:val="28"/>
    </w:rPr>
  </w:style>
  <w:style w:type="paragraph" w:customStyle="1" w:styleId="DateMarking">
    <w:name w:val="DateMarking"/>
    <w:basedOn w:val="Normal"/>
    <w:rsid w:val="00CF7AB7"/>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CF7AB7"/>
    <w:pPr>
      <w:spacing w:after="0"/>
      <w:ind w:left="5103"/>
    </w:pPr>
    <w:rPr>
      <w:rFonts w:ascii="Times New Roman" w:eastAsiaTheme="minorHAnsi" w:hAnsi="Times New Roman" w:cs="Times New Roman"/>
      <w:i/>
      <w:sz w:val="28"/>
    </w:rPr>
  </w:style>
  <w:style w:type="paragraph" w:customStyle="1" w:styleId="Annexetitreexpos">
    <w:name w:val="Annexe titre (exposé)"/>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645BC7"/>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645BC7"/>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645BC7"/>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645BC7"/>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7B4D63"/>
    <w:pPr>
      <w:numPr>
        <w:numId w:val="16"/>
      </w:numPr>
      <w:tabs>
        <w:tab w:val="clear" w:pos="709"/>
        <w:tab w:val="num" w:pos="926"/>
      </w:tabs>
      <w:spacing w:before="120" w:after="120" w:line="240" w:lineRule="auto"/>
      <w:ind w:left="926" w:hanging="360"/>
      <w:jc w:val="both"/>
    </w:pPr>
    <w:rPr>
      <w:rFonts w:ascii="Times New Roman" w:hAnsi="Times New Roman" w:cs="Times New Roman"/>
      <w:sz w:val="24"/>
    </w:rPr>
  </w:style>
  <w:style w:type="paragraph" w:customStyle="1" w:styleId="Corrigendum">
    <w:name w:val="Corrigendum"/>
    <w:basedOn w:val="Normal"/>
    <w:next w:val="Normal"/>
    <w:rsid w:val="00645BC7"/>
    <w:pPr>
      <w:spacing w:after="240" w:line="240" w:lineRule="auto"/>
    </w:pPr>
    <w:rPr>
      <w:rFonts w:ascii="Times New Roman" w:hAnsi="Times New Roman" w:cs="Times New Roman"/>
      <w:sz w:val="24"/>
    </w:rPr>
  </w:style>
  <w:style w:type="paragraph" w:customStyle="1" w:styleId="Datedadoption">
    <w:name w:val="Date d'adoption"/>
    <w:basedOn w:val="Normal"/>
    <w:next w:val="IntrtEEE"/>
    <w:rsid w:val="00645BC7"/>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645BC7"/>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645BC7"/>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645BC7"/>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645BC7"/>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645BC7"/>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645BC7"/>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rsid w:val="00645BC7"/>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645BC7"/>
    <w:pPr>
      <w:spacing w:after="0" w:line="240" w:lineRule="auto"/>
      <w:ind w:left="5103"/>
    </w:pPr>
    <w:rPr>
      <w:rFonts w:ascii="Times New Roman" w:hAnsi="Times New Roman" w:cs="Times New Roman"/>
      <w:sz w:val="24"/>
    </w:rPr>
  </w:style>
  <w:style w:type="paragraph" w:customStyle="1" w:styleId="Statut">
    <w:name w:val="Statut"/>
    <w:basedOn w:val="Normal"/>
    <w:next w:val="Typedudocument"/>
    <w:rsid w:val="00645BC7"/>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rsid w:val="00645BC7"/>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rsid w:val="00645BC7"/>
    <w:pPr>
      <w:spacing w:before="360" w:after="180" w:line="240" w:lineRule="auto"/>
      <w:jc w:val="center"/>
    </w:pPr>
    <w:rPr>
      <w:rFonts w:ascii="Times New Roman" w:hAnsi="Times New Roman" w:cs="Times New Roman"/>
      <w:b/>
      <w:sz w:val="24"/>
    </w:rPr>
  </w:style>
  <w:style w:type="character" w:customStyle="1" w:styleId="Added">
    <w:name w:val="Added"/>
    <w:rsid w:val="00645BC7"/>
    <w:rPr>
      <w:b/>
      <w:u w:val="single"/>
      <w:shd w:val="clear" w:color="auto" w:fill="auto"/>
    </w:rPr>
  </w:style>
  <w:style w:type="character" w:customStyle="1" w:styleId="Deleted">
    <w:name w:val="Deleted"/>
    <w:rsid w:val="00645BC7"/>
    <w:rPr>
      <w:strike/>
      <w:dstrike w:val="0"/>
      <w:shd w:val="clear" w:color="auto" w:fill="auto"/>
    </w:rPr>
  </w:style>
  <w:style w:type="paragraph" w:customStyle="1" w:styleId="Address">
    <w:name w:val="Address"/>
    <w:basedOn w:val="Normal"/>
    <w:next w:val="Normal"/>
    <w:rsid w:val="00645BC7"/>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645BC7"/>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rsid w:val="00645BC7"/>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645BC7"/>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645BC7"/>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rsid w:val="00645BC7"/>
  </w:style>
  <w:style w:type="paragraph" w:customStyle="1" w:styleId="RfrenceinterinstitutionnellePagedecouverture">
    <w:name w:val="Référence interinstitutionnelle (Page de couverture)"/>
    <w:basedOn w:val="Rfrenceinterinstitutionnelle"/>
    <w:next w:val="Confidentialit"/>
    <w:rsid w:val="00645BC7"/>
  </w:style>
  <w:style w:type="paragraph" w:customStyle="1" w:styleId="StatutPagedecouverture">
    <w:name w:val="Statut (Page de couverture)"/>
    <w:basedOn w:val="Statut"/>
    <w:next w:val="TypedudocumentPagedecouverture"/>
    <w:rsid w:val="00645BC7"/>
  </w:style>
  <w:style w:type="paragraph" w:customStyle="1" w:styleId="TypedudocumentPagedecouverture">
    <w:name w:val="Type du document (Page de couverture)"/>
    <w:basedOn w:val="Typedudocument"/>
    <w:next w:val="AccompagnantPagedecouverture"/>
    <w:rsid w:val="00645BC7"/>
  </w:style>
  <w:style w:type="paragraph" w:customStyle="1" w:styleId="Volume">
    <w:name w:val="Volume"/>
    <w:basedOn w:val="Normal"/>
    <w:next w:val="Confidentialit"/>
    <w:rsid w:val="00645BC7"/>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645BC7"/>
    <w:pPr>
      <w:spacing w:after="240"/>
    </w:pPr>
  </w:style>
  <w:style w:type="paragraph" w:customStyle="1" w:styleId="Accompagnant">
    <w:name w:val="Accompagnant"/>
    <w:basedOn w:val="Normal"/>
    <w:next w:val="Typeacteprincipal"/>
    <w:rsid w:val="00645BC7"/>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rsid w:val="00645BC7"/>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645BC7"/>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645BC7"/>
  </w:style>
  <w:style w:type="paragraph" w:customStyle="1" w:styleId="AccompagnantPagedecouverture">
    <w:name w:val="Accompagnant (Page de couverture)"/>
    <w:basedOn w:val="Accompagnant"/>
    <w:next w:val="TypeacteprincipalPagedecouverture"/>
    <w:rsid w:val="00645BC7"/>
  </w:style>
  <w:style w:type="paragraph" w:customStyle="1" w:styleId="TypeacteprincipalPagedecouverture">
    <w:name w:val="Type acte principal (Page de couverture)"/>
    <w:basedOn w:val="Typeacteprincipal"/>
    <w:next w:val="ObjetacteprincipalPagedecouverture"/>
    <w:rsid w:val="00645BC7"/>
  </w:style>
  <w:style w:type="paragraph" w:customStyle="1" w:styleId="ObjetacteprincipalPagedecouverture">
    <w:name w:val="Objet acte principal (Page de couverture)"/>
    <w:basedOn w:val="Objetacteprincipal"/>
    <w:next w:val="Rfrencecroise"/>
    <w:rsid w:val="00645BC7"/>
  </w:style>
  <w:style w:type="paragraph" w:customStyle="1" w:styleId="LanguesfaisantfoiPagedecouverture">
    <w:name w:val="Langues faisant foi (Page de couverture)"/>
    <w:basedOn w:val="Normal"/>
    <w:next w:val="Normal"/>
    <w:rsid w:val="00645BC7"/>
    <w:pPr>
      <w:spacing w:before="360" w:after="0" w:line="240" w:lineRule="auto"/>
      <w:jc w:val="center"/>
    </w:pPr>
    <w:rPr>
      <w:rFonts w:ascii="Times New Roman" w:hAnsi="Times New Roman" w:cs="Times New Roman"/>
      <w:sz w:val="24"/>
    </w:rPr>
  </w:style>
  <w:style w:type="character" w:styleId="CommentReference">
    <w:name w:val="annotation reference"/>
    <w:uiPriority w:val="99"/>
    <w:unhideWhenUsed/>
    <w:rsid w:val="00645BC7"/>
    <w:rPr>
      <w:sz w:val="16"/>
      <w:szCs w:val="16"/>
    </w:rPr>
  </w:style>
  <w:style w:type="paragraph" w:styleId="CommentText">
    <w:name w:val="annotation text"/>
    <w:basedOn w:val="Normal"/>
    <w:link w:val="CommentTextChar"/>
    <w:uiPriority w:val="99"/>
    <w:unhideWhenUsed/>
    <w:rsid w:val="00645BC7"/>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645BC7"/>
    <w:rPr>
      <w:rFonts w:ascii="Times New Roman" w:eastAsia="Calibri"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645BC7"/>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645BC7"/>
    <w:rPr>
      <w:rFonts w:ascii="Calibri" w:eastAsia="Calibri" w:hAnsi="Calibri" w:cs="Myanmar Text"/>
    </w:rPr>
  </w:style>
  <w:style w:type="character" w:styleId="IntenseEmphasis">
    <w:name w:val="Intense Emphasis"/>
    <w:uiPriority w:val="21"/>
    <w:qFormat/>
    <w:rsid w:val="00645BC7"/>
    <w:rPr>
      <w:i/>
      <w:iCs/>
      <w:color w:val="4F81BD"/>
    </w:rPr>
  </w:style>
  <w:style w:type="paragraph" w:styleId="BalloonText">
    <w:name w:val="Balloon Text"/>
    <w:basedOn w:val="Normal"/>
    <w:link w:val="BalloonTextChar"/>
    <w:uiPriority w:val="99"/>
    <w:semiHidden/>
    <w:unhideWhenUsed/>
    <w:rsid w:val="00645BC7"/>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BC7"/>
    <w:rPr>
      <w:rFonts w:ascii="Segoe UI" w:eastAsia="Calibri" w:hAnsi="Segoe UI" w:cs="Segoe UI"/>
      <w:sz w:val="18"/>
      <w:szCs w:val="18"/>
    </w:rPr>
  </w:style>
  <w:style w:type="paragraph" w:styleId="ListBullet">
    <w:name w:val="List Bullet"/>
    <w:basedOn w:val="Normal"/>
    <w:uiPriority w:val="99"/>
    <w:semiHidden/>
    <w:unhideWhenUsed/>
    <w:rsid w:val="007B4D63"/>
    <w:pPr>
      <w:numPr>
        <w:numId w:val="18"/>
      </w:numPr>
      <w:tabs>
        <w:tab w:val="clear" w:pos="360"/>
      </w:tabs>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rsid w:val="007B4D63"/>
    <w:pPr>
      <w:numPr>
        <w:numId w:val="19"/>
      </w:numPr>
      <w:tabs>
        <w:tab w:val="clear" w:pos="643"/>
      </w:tabs>
      <w:spacing w:before="120" w:after="120" w:line="240" w:lineRule="auto"/>
      <w:ind w:left="720"/>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7B4D63"/>
    <w:pPr>
      <w:numPr>
        <w:numId w:val="20"/>
      </w:numPr>
      <w:tabs>
        <w:tab w:val="clear" w:pos="926"/>
      </w:tabs>
      <w:spacing w:before="120" w:after="120" w:line="240" w:lineRule="auto"/>
      <w:ind w:left="720"/>
      <w:contextualSpacing/>
      <w:jc w:val="both"/>
    </w:pPr>
    <w:rPr>
      <w:rFonts w:ascii="Times New Roman" w:hAnsi="Times New Roman" w:cs="Times New Roman"/>
      <w:sz w:val="24"/>
    </w:rPr>
  </w:style>
  <w:style w:type="paragraph" w:styleId="ListBullet4">
    <w:name w:val="List Bullet 4"/>
    <w:basedOn w:val="Normal"/>
    <w:uiPriority w:val="99"/>
    <w:semiHidden/>
    <w:unhideWhenUsed/>
    <w:rsid w:val="007B4D63"/>
    <w:pPr>
      <w:numPr>
        <w:numId w:val="21"/>
      </w:numPr>
      <w:tabs>
        <w:tab w:val="clear" w:pos="1209"/>
      </w:tabs>
      <w:spacing w:before="120" w:after="120" w:line="240" w:lineRule="auto"/>
      <w:ind w:left="720"/>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645BC7"/>
    <w:rPr>
      <w:b/>
      <w:bCs/>
    </w:rPr>
  </w:style>
  <w:style w:type="character" w:customStyle="1" w:styleId="CommentSubjectChar">
    <w:name w:val="Comment Subject Char"/>
    <w:basedOn w:val="CommentTextChar"/>
    <w:link w:val="CommentSubject"/>
    <w:uiPriority w:val="99"/>
    <w:semiHidden/>
    <w:rsid w:val="00645BC7"/>
    <w:rPr>
      <w:rFonts w:ascii="Times New Roman" w:eastAsia="Calibri" w:hAnsi="Times New Roman" w:cs="Times New Roman"/>
      <w:b/>
      <w:bCs/>
      <w:sz w:val="20"/>
      <w:szCs w:val="20"/>
    </w:rPr>
  </w:style>
  <w:style w:type="paragraph" w:styleId="Revision">
    <w:name w:val="Revision"/>
    <w:hidden/>
    <w:uiPriority w:val="99"/>
    <w:semiHidden/>
    <w:rsid w:val="00645BC7"/>
    <w:pPr>
      <w:spacing w:after="0" w:line="240" w:lineRule="auto"/>
    </w:pPr>
    <w:rPr>
      <w:rFonts w:ascii="Times New Roman" w:eastAsia="Calibri" w:hAnsi="Times New Roman" w:cs="Times New Roman"/>
      <w:sz w:val="24"/>
    </w:rPr>
  </w:style>
  <w:style w:type="character" w:styleId="Hyperlink">
    <w:name w:val="Hyperlink"/>
    <w:uiPriority w:val="99"/>
    <w:unhideWhenUsed/>
    <w:rsid w:val="00645BC7"/>
    <w:rPr>
      <w:color w:val="0000FF"/>
      <w:u w:val="single"/>
    </w:rPr>
  </w:style>
  <w:style w:type="paragraph" w:customStyle="1" w:styleId="paragraph">
    <w:name w:val="paragraph"/>
    <w:basedOn w:val="Normal"/>
    <w:rsid w:val="00645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45BC7"/>
  </w:style>
  <w:style w:type="character" w:customStyle="1" w:styleId="normaltextrun">
    <w:name w:val="normaltextrun"/>
    <w:basedOn w:val="DefaultParagraphFont"/>
    <w:rsid w:val="00645BC7"/>
  </w:style>
  <w:style w:type="paragraph" w:customStyle="1" w:styleId="FooterCoverPage">
    <w:name w:val="Footer Cover Page"/>
    <w:basedOn w:val="Normal"/>
    <w:link w:val="FooterCoverPageChar"/>
    <w:rsid w:val="00645BC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645BC7"/>
    <w:rPr>
      <w:rFonts w:ascii="Times New Roman" w:eastAsia="Calibri" w:hAnsi="Times New Roman" w:cs="Times New Roman"/>
      <w:sz w:val="24"/>
    </w:rPr>
  </w:style>
  <w:style w:type="paragraph" w:customStyle="1" w:styleId="HeaderCoverPage">
    <w:name w:val="Header Cover Page"/>
    <w:basedOn w:val="Normal"/>
    <w:link w:val="HeaderCoverPageChar"/>
    <w:rsid w:val="00645BC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645BC7"/>
    <w:rPr>
      <w:rFonts w:ascii="Times New Roman" w:eastAsia="Calibri" w:hAnsi="Times New Roman" w:cs="Times New Roman"/>
      <w:sz w:val="24"/>
    </w:rPr>
  </w:style>
  <w:style w:type="numbering" w:customStyle="1" w:styleId="NoList2">
    <w:name w:val="No List2"/>
    <w:next w:val="NoList"/>
    <w:uiPriority w:val="99"/>
    <w:semiHidden/>
    <w:unhideWhenUsed/>
    <w:rsid w:val="00645BC7"/>
  </w:style>
  <w:style w:type="paragraph" w:customStyle="1" w:styleId="Titreobjet">
    <w:name w:val="Titre objet"/>
    <w:basedOn w:val="Normal"/>
    <w:next w:val="IntrtEEE"/>
    <w:rsid w:val="00645BC7"/>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rsid w:val="00645BC7"/>
  </w:style>
  <w:style w:type="numbering" w:customStyle="1" w:styleId="NoList3">
    <w:name w:val="No List3"/>
    <w:next w:val="NoList"/>
    <w:uiPriority w:val="99"/>
    <w:semiHidden/>
    <w:unhideWhenUsed/>
    <w:rsid w:val="00645BC7"/>
  </w:style>
  <w:style w:type="character" w:customStyle="1" w:styleId="findhit">
    <w:name w:val="findhit"/>
    <w:basedOn w:val="DefaultParagraphFont"/>
    <w:rsid w:val="00645BC7"/>
  </w:style>
  <w:style w:type="numbering" w:customStyle="1" w:styleId="NoList4">
    <w:name w:val="No List4"/>
    <w:next w:val="NoList"/>
    <w:uiPriority w:val="99"/>
    <w:semiHidden/>
    <w:unhideWhenUsed/>
    <w:rsid w:val="00645BC7"/>
  </w:style>
  <w:style w:type="paragraph" w:customStyle="1" w:styleId="TechnicalBlock">
    <w:name w:val="Technical Block"/>
    <w:basedOn w:val="Normal"/>
    <w:link w:val="TechnicalBlockChar"/>
    <w:rsid w:val="00645BC7"/>
    <w:pPr>
      <w:spacing w:after="240" w:line="240" w:lineRule="auto"/>
      <w:jc w:val="center"/>
    </w:pPr>
  </w:style>
  <w:style w:type="character" w:customStyle="1" w:styleId="TechnicalBlockChar">
    <w:name w:val="Technical Block Char"/>
    <w:basedOn w:val="DefaultParagraphFont"/>
    <w:link w:val="TechnicalBlock"/>
    <w:rsid w:val="00645BC7"/>
    <w:rPr>
      <w:rFonts w:ascii="Calibri" w:eastAsia="Calibri" w:hAnsi="Calibri" w:cs="Myanmar Text"/>
    </w:rPr>
  </w:style>
  <w:style w:type="paragraph" w:customStyle="1" w:styleId="EntText">
    <w:name w:val="EntText"/>
    <w:basedOn w:val="Normal"/>
    <w:rsid w:val="009D0F6E"/>
    <w:pPr>
      <w:spacing w:before="120" w:after="120" w:line="360" w:lineRule="auto"/>
    </w:pPr>
    <w:rPr>
      <w:rFonts w:ascii="Times New Roman" w:eastAsiaTheme="minorHAnsi" w:hAnsi="Times New Roman" w:cs="Times New Roman"/>
      <w:sz w:val="24"/>
    </w:rPr>
  </w:style>
  <w:style w:type="paragraph" w:customStyle="1" w:styleId="Lignefinal">
    <w:name w:val="Ligne final"/>
    <w:basedOn w:val="Normal"/>
    <w:next w:val="Normal"/>
    <w:rsid w:val="009D0F6E"/>
    <w:pPr>
      <w:pBdr>
        <w:bottom w:val="single" w:sz="4" w:space="0" w:color="000000"/>
      </w:pBdr>
      <w:spacing w:before="360" w:after="120" w:line="360" w:lineRule="auto"/>
      <w:ind w:left="3400" w:right="3400"/>
      <w:jc w:val="center"/>
    </w:pPr>
    <w:rPr>
      <w:rFonts w:ascii="Times New Roman" w:eastAsiaTheme="minorHAnsi" w:hAnsi="Times New Roman" w:cs="Times New Roman"/>
      <w:b/>
      <w:sz w:val="24"/>
    </w:rPr>
  </w:style>
  <w:style w:type="paragraph" w:customStyle="1" w:styleId="pj">
    <w:name w:val="p.j."/>
    <w:basedOn w:val="Normal"/>
    <w:link w:val="pjChar"/>
    <w:rsid w:val="00645BC7"/>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645BC7"/>
    <w:rPr>
      <w:rFonts w:ascii="Times New Roman" w:eastAsia="Calibri" w:hAnsi="Times New Roman" w:cs="Times New Roman"/>
      <w:sz w:val="24"/>
    </w:rPr>
  </w:style>
  <w:style w:type="paragraph" w:customStyle="1" w:styleId="nbbordered">
    <w:name w:val="nb bordered"/>
    <w:basedOn w:val="Normal"/>
    <w:link w:val="nbborderedChar"/>
    <w:rsid w:val="00645BC7"/>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645BC7"/>
    <w:rPr>
      <w:rFonts w:ascii="Times New Roman" w:eastAsia="Calibri" w:hAnsi="Times New Roman" w:cs="Times New Roman"/>
      <w:b/>
      <w:sz w:val="24"/>
    </w:rPr>
  </w:style>
  <w:style w:type="paragraph" w:customStyle="1" w:styleId="HeaderCouncil">
    <w:name w:val="Header Council"/>
    <w:basedOn w:val="Normal"/>
    <w:link w:val="HeaderCouncilChar"/>
    <w:rsid w:val="00645BC7"/>
    <w:pPr>
      <w:spacing w:after="0"/>
    </w:pPr>
    <w:rPr>
      <w:sz w:val="2"/>
    </w:rPr>
  </w:style>
  <w:style w:type="character" w:customStyle="1" w:styleId="HeaderCouncilChar">
    <w:name w:val="Header Council Char"/>
    <w:basedOn w:val="DefaultParagraphFont"/>
    <w:link w:val="HeaderCouncil"/>
    <w:rsid w:val="00645BC7"/>
    <w:rPr>
      <w:rFonts w:ascii="Calibri" w:eastAsia="Calibri" w:hAnsi="Calibri" w:cs="Myanmar Text"/>
      <w:sz w:val="2"/>
    </w:rPr>
  </w:style>
  <w:style w:type="paragraph" w:customStyle="1" w:styleId="HeaderCouncilLarge">
    <w:name w:val="Header Council Large"/>
    <w:basedOn w:val="Normal"/>
    <w:link w:val="HeaderCouncilLargeChar"/>
    <w:rsid w:val="00645BC7"/>
    <w:pPr>
      <w:spacing w:after="440"/>
    </w:pPr>
    <w:rPr>
      <w:sz w:val="2"/>
    </w:rPr>
  </w:style>
  <w:style w:type="character" w:customStyle="1" w:styleId="HeaderCouncilLargeChar">
    <w:name w:val="Header Council Large Char"/>
    <w:basedOn w:val="DefaultParagraphFont"/>
    <w:link w:val="HeaderCouncilLarge"/>
    <w:rsid w:val="00645BC7"/>
    <w:rPr>
      <w:rFonts w:ascii="Calibri" w:eastAsia="Calibri" w:hAnsi="Calibri" w:cs="Myanmar Text"/>
      <w:sz w:val="2"/>
    </w:rPr>
  </w:style>
  <w:style w:type="paragraph" w:customStyle="1" w:styleId="FooterCouncil">
    <w:name w:val="Footer Council"/>
    <w:basedOn w:val="Normal"/>
    <w:link w:val="FooterCouncilChar"/>
    <w:rsid w:val="00645BC7"/>
    <w:pPr>
      <w:spacing w:after="0"/>
    </w:pPr>
    <w:rPr>
      <w:sz w:val="2"/>
    </w:rPr>
  </w:style>
  <w:style w:type="character" w:customStyle="1" w:styleId="FooterCouncilChar">
    <w:name w:val="Footer Council Char"/>
    <w:basedOn w:val="DefaultParagraphFont"/>
    <w:link w:val="FooterCouncil"/>
    <w:rsid w:val="00645BC7"/>
    <w:rPr>
      <w:rFonts w:ascii="Calibri" w:eastAsia="Calibri" w:hAnsi="Calibri" w:cs="Myanmar Text"/>
      <w:sz w:val="2"/>
    </w:rPr>
  </w:style>
  <w:style w:type="paragraph" w:customStyle="1" w:styleId="FooterText">
    <w:name w:val="Footer Text"/>
    <w:basedOn w:val="Normal"/>
    <w:rsid w:val="00645BC7"/>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45BC7"/>
    <w:rPr>
      <w:color w:val="808080"/>
    </w:rPr>
  </w:style>
  <w:style w:type="character" w:styleId="FollowedHyperlink">
    <w:name w:val="FollowedHyperlink"/>
    <w:basedOn w:val="DefaultParagraphFont"/>
    <w:uiPriority w:val="99"/>
    <w:semiHidden/>
    <w:unhideWhenUsed/>
    <w:rsid w:val="00645BC7"/>
    <w:rPr>
      <w:color w:val="800080" w:themeColor="followedHyperlink"/>
      <w:u w:val="single"/>
    </w:rPr>
  </w:style>
  <w:style w:type="character" w:customStyle="1" w:styleId="Mention1">
    <w:name w:val="Mention1"/>
    <w:basedOn w:val="DefaultParagraphFont"/>
    <w:uiPriority w:val="99"/>
    <w:unhideWhenUsed/>
    <w:rsid w:val="006F1419"/>
    <w:rPr>
      <w:color w:val="2B579A"/>
      <w:shd w:val="clear" w:color="auto" w:fill="E1DFD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0">
    <w:name w:val="Mention20"/>
    <w:basedOn w:val="DefaultParagraphFont"/>
    <w:uiPriority w:val="99"/>
    <w:unhideWhenUsed/>
    <w:rsid w:val="005B2317"/>
    <w:rPr>
      <w:color w:val="2B579A"/>
      <w:shd w:val="clear" w:color="auto" w:fill="E1DFDD"/>
    </w:rPr>
  </w:style>
  <w:style w:type="character" w:customStyle="1" w:styleId="Mention2">
    <w:name w:val="Mention2"/>
    <w:basedOn w:val="DefaultParagraphFont"/>
    <w:uiPriority w:val="99"/>
    <w:unhideWhenUsed/>
    <w:rsid w:val="005E589F"/>
    <w:rPr>
      <w:color w:val="2B579A"/>
      <w:shd w:val="clear" w:color="auto" w:fill="E1DFDD"/>
    </w:rPr>
  </w:style>
  <w:style w:type="character" w:customStyle="1" w:styleId="Mention3">
    <w:name w:val="Mention3"/>
    <w:basedOn w:val="DefaultParagraphFont"/>
    <w:uiPriority w:val="99"/>
    <w:unhideWhenUsed/>
    <w:rsid w:val="00786228"/>
    <w:rPr>
      <w:color w:val="2B579A"/>
      <w:shd w:val="clear" w:color="auto" w:fill="E1DFDD"/>
    </w:rPr>
  </w:style>
  <w:style w:type="character" w:customStyle="1" w:styleId="Mention30">
    <w:name w:val="Mention30"/>
    <w:basedOn w:val="DefaultParagraphFont"/>
    <w:uiPriority w:val="99"/>
    <w:unhideWhenUsed/>
    <w:rsid w:val="00786228"/>
    <w:rPr>
      <w:color w:val="2B579A"/>
      <w:shd w:val="clear" w:color="auto" w:fill="E1DFDD"/>
    </w:rPr>
  </w:style>
  <w:style w:type="character" w:customStyle="1" w:styleId="Mention4">
    <w:name w:val="Mention4"/>
    <w:basedOn w:val="DefaultParagraphFont"/>
    <w:uiPriority w:val="99"/>
    <w:unhideWhenUsed/>
    <w:rsid w:val="008504B0"/>
    <w:rPr>
      <w:color w:val="2B579A"/>
      <w:shd w:val="clear" w:color="auto" w:fill="E1DFDD"/>
    </w:rPr>
  </w:style>
  <w:style w:type="character" w:customStyle="1" w:styleId="Mention10">
    <w:name w:val="Mention10"/>
    <w:basedOn w:val="DefaultParagraphFont"/>
    <w:uiPriority w:val="99"/>
    <w:unhideWhenUsed/>
    <w:rsid w:val="00EB31FF"/>
    <w:rPr>
      <w:color w:val="2B579A"/>
      <w:shd w:val="clear" w:color="auto" w:fill="E6E6E6"/>
    </w:rPr>
  </w:style>
  <w:style w:type="character" w:customStyle="1" w:styleId="ui-provider">
    <w:name w:val="ui-provider"/>
    <w:basedOn w:val="DefaultParagraphFont"/>
    <w:rsid w:val="00EB31FF"/>
  </w:style>
  <w:style w:type="character" w:customStyle="1" w:styleId="Mention100">
    <w:name w:val="Mention100"/>
    <w:basedOn w:val="DefaultParagraphFont"/>
    <w:uiPriority w:val="99"/>
    <w:unhideWhenUsed/>
    <w:rsid w:val="00EB31FF"/>
    <w:rPr>
      <w:color w:val="2B579A"/>
      <w:shd w:val="clear" w:color="auto" w:fill="E6E6E6"/>
    </w:rPr>
  </w:style>
  <w:style w:type="paragraph" w:customStyle="1" w:styleId="Default">
    <w:name w:val="Default"/>
    <w:rsid w:val="00EB31FF"/>
    <w:pPr>
      <w:autoSpaceDE w:val="0"/>
      <w:autoSpaceDN w:val="0"/>
      <w:adjustRightInd w:val="0"/>
      <w:spacing w:after="0" w:line="240" w:lineRule="auto"/>
    </w:pPr>
    <w:rPr>
      <w:rFonts w:ascii="Calibri" w:hAnsi="Calibri" w:cs="Calibri"/>
      <w:color w:val="000000"/>
      <w:sz w:val="24"/>
      <w:szCs w:val="24"/>
    </w:rPr>
  </w:style>
  <w:style w:type="character" w:customStyle="1" w:styleId="contentcontrolboundarysink">
    <w:name w:val="contentcontrolboundarysink"/>
    <w:basedOn w:val="DefaultParagraphFont"/>
    <w:rsid w:val="00EB31FF"/>
  </w:style>
  <w:style w:type="character" w:customStyle="1" w:styleId="Mention5">
    <w:name w:val="Mention5"/>
    <w:basedOn w:val="DefaultParagraphFont"/>
    <w:uiPriority w:val="99"/>
    <w:unhideWhenUsed/>
    <w:rsid w:val="00EB31FF"/>
    <w:rPr>
      <w:color w:val="2B579A"/>
      <w:shd w:val="clear" w:color="auto" w:fill="E1DFDD"/>
    </w:rPr>
  </w:style>
  <w:style w:type="character" w:customStyle="1" w:styleId="Mention50">
    <w:name w:val="Mention50"/>
    <w:basedOn w:val="DefaultParagraphFont"/>
    <w:uiPriority w:val="99"/>
    <w:unhideWhenUsed/>
    <w:rsid w:val="00EB31FF"/>
    <w:rPr>
      <w:color w:val="2B579A"/>
      <w:shd w:val="clear" w:color="auto" w:fill="E1DFDD"/>
    </w:rPr>
  </w:style>
  <w:style w:type="character" w:customStyle="1" w:styleId="Mention6">
    <w:name w:val="Mention6"/>
    <w:basedOn w:val="DefaultParagraphFont"/>
    <w:uiPriority w:val="99"/>
    <w:unhideWhenUsed/>
    <w:rsid w:val="00EB31FF"/>
    <w:rPr>
      <w:color w:val="2B579A"/>
      <w:shd w:val="clear" w:color="auto" w:fill="E1DFDD"/>
    </w:rPr>
  </w:style>
  <w:style w:type="character" w:customStyle="1" w:styleId="Mention7">
    <w:name w:val="Mention7"/>
    <w:basedOn w:val="DefaultParagraphFont"/>
    <w:uiPriority w:val="99"/>
    <w:unhideWhenUsed/>
    <w:rsid w:val="00EB31FF"/>
    <w:rPr>
      <w:color w:val="2B579A"/>
      <w:shd w:val="clear" w:color="auto" w:fill="E6E6E6"/>
    </w:rPr>
  </w:style>
  <w:style w:type="character" w:customStyle="1" w:styleId="Mention8">
    <w:name w:val="Mention8"/>
    <w:basedOn w:val="DefaultParagraphFont"/>
    <w:uiPriority w:val="99"/>
    <w:unhideWhenUsed/>
    <w:rsid w:val="00EB31FF"/>
    <w:rPr>
      <w:color w:val="2B579A"/>
      <w:shd w:val="clear" w:color="auto" w:fill="E1DFDD"/>
    </w:rPr>
  </w:style>
  <w:style w:type="character" w:customStyle="1" w:styleId="cf01">
    <w:name w:val="cf01"/>
    <w:basedOn w:val="DefaultParagraphFont"/>
    <w:rsid w:val="00EB31FF"/>
    <w:rPr>
      <w:rFonts w:ascii="Segoe UI" w:hAnsi="Segoe UI" w:cs="Segoe UI" w:hint="default"/>
      <w:sz w:val="18"/>
      <w:szCs w:val="18"/>
    </w:rPr>
  </w:style>
  <w:style w:type="character" w:styleId="Strong">
    <w:name w:val="Strong"/>
    <w:basedOn w:val="DefaultParagraphFont"/>
    <w:uiPriority w:val="22"/>
    <w:qFormat/>
    <w:rsid w:val="00EB31FF"/>
    <w:rPr>
      <w:b/>
      <w:bCs/>
    </w:rPr>
  </w:style>
  <w:style w:type="character" w:customStyle="1" w:styleId="Mention60">
    <w:name w:val="Mention60"/>
    <w:basedOn w:val="DefaultParagraphFont"/>
    <w:uiPriority w:val="99"/>
    <w:unhideWhenUsed/>
    <w:rsid w:val="00EB31FF"/>
    <w:rPr>
      <w:color w:val="2B579A"/>
      <w:shd w:val="clear" w:color="auto" w:fill="E1DFDD"/>
    </w:rPr>
  </w:style>
  <w:style w:type="paragraph" w:customStyle="1" w:styleId="xmsonormal">
    <w:name w:val="x_msonormal"/>
    <w:basedOn w:val="Normal"/>
    <w:rsid w:val="00EB31FF"/>
    <w:pPr>
      <w:spacing w:after="0" w:line="240" w:lineRule="auto"/>
    </w:pPr>
    <w:rPr>
      <w:rFonts w:ascii="Times New Roman" w:eastAsiaTheme="minorHAnsi" w:hAnsi="Times New Roman" w:cs="Times New Roman"/>
      <w:sz w:val="24"/>
      <w:szCs w:val="24"/>
    </w:rPr>
  </w:style>
  <w:style w:type="character" w:customStyle="1" w:styleId="cf21">
    <w:name w:val="cf21"/>
    <w:basedOn w:val="DefaultParagraphFont"/>
    <w:rsid w:val="00EB31FF"/>
    <w:rPr>
      <w:rFonts w:ascii="Segoe UI" w:hAnsi="Segoe UI" w:cs="Segoe UI" w:hint="default"/>
      <w:color w:val="006100"/>
    </w:rPr>
  </w:style>
  <w:style w:type="paragraph" w:customStyle="1" w:styleId="Style1">
    <w:name w:val="Style1"/>
    <w:basedOn w:val="Normal"/>
    <w:link w:val="Style1Char"/>
    <w:qFormat/>
    <w:rsid w:val="003911CA"/>
    <w:pPr>
      <w:spacing w:before="120" w:after="120"/>
    </w:pPr>
    <w:rPr>
      <w:rFonts w:ascii="Times New Roman" w:hAnsi="Times New Roman" w:cs="Times New Roman"/>
      <w:b/>
      <w:sz w:val="24"/>
      <w:szCs w:val="24"/>
    </w:rPr>
  </w:style>
  <w:style w:type="character" w:customStyle="1" w:styleId="Style1Char">
    <w:name w:val="Style1 Char"/>
    <w:basedOn w:val="DefaultParagraphFont"/>
    <w:link w:val="Style1"/>
    <w:rsid w:val="003911CA"/>
    <w:rPr>
      <w:rFonts w:ascii="Times New Roman" w:eastAsia="Calibri" w:hAnsi="Times New Roman" w:cs="Times New Roman"/>
      <w:b/>
      <w:sz w:val="24"/>
      <w:szCs w:val="24"/>
    </w:rPr>
  </w:style>
  <w:style w:type="character" w:customStyle="1" w:styleId="Mention9">
    <w:name w:val="Mention9"/>
    <w:basedOn w:val="DefaultParagraphFont"/>
    <w:uiPriority w:val="99"/>
    <w:unhideWhenUsed/>
    <w:rsid w:val="00BD7C39"/>
    <w:rPr>
      <w:color w:val="2B579A"/>
      <w:shd w:val="clear" w:color="auto" w:fill="E1DFDD"/>
    </w:rPr>
  </w:style>
  <w:style w:type="paragraph" w:customStyle="1" w:styleId="LegalNumPar">
    <w:name w:val="LegalNumPar"/>
    <w:basedOn w:val="Normal"/>
    <w:rsid w:val="005441B2"/>
    <w:pPr>
      <w:numPr>
        <w:numId w:val="93"/>
      </w:numPr>
      <w:spacing w:after="160" w:line="259" w:lineRule="auto"/>
    </w:pPr>
    <w:rPr>
      <w:rFonts w:asciiTheme="minorHAnsi" w:eastAsiaTheme="minorHAnsi" w:hAnsiTheme="minorHAnsi" w:cstheme="minorBidi"/>
    </w:rPr>
  </w:style>
  <w:style w:type="paragraph" w:customStyle="1" w:styleId="LegalNumPar2">
    <w:name w:val="LegalNumPar2"/>
    <w:basedOn w:val="Normal"/>
    <w:rsid w:val="005441B2"/>
    <w:pPr>
      <w:numPr>
        <w:ilvl w:val="1"/>
        <w:numId w:val="93"/>
      </w:numPr>
      <w:spacing w:after="160" w:line="259" w:lineRule="auto"/>
    </w:pPr>
    <w:rPr>
      <w:rFonts w:asciiTheme="minorHAnsi" w:eastAsiaTheme="minorHAnsi" w:hAnsiTheme="minorHAnsi" w:cstheme="minorBidi"/>
    </w:rPr>
  </w:style>
  <w:style w:type="paragraph" w:customStyle="1" w:styleId="LegalNumPar3">
    <w:name w:val="LegalNumPar3"/>
    <w:basedOn w:val="Normal"/>
    <w:rsid w:val="005441B2"/>
    <w:pPr>
      <w:numPr>
        <w:ilvl w:val="2"/>
        <w:numId w:val="93"/>
      </w:numPr>
      <w:spacing w:after="160" w:line="259" w:lineRule="auto"/>
    </w:pPr>
    <w:rPr>
      <w:rFonts w:asciiTheme="minorHAnsi" w:eastAsiaTheme="minorHAnsi" w:hAnsiTheme="minorHAnsi" w:cstheme="minorBidi"/>
    </w:rPr>
  </w:style>
  <w:style w:type="paragraph" w:styleId="PlainText">
    <w:name w:val="Plain Text"/>
    <w:basedOn w:val="Normal"/>
    <w:link w:val="PlainTextChar"/>
    <w:uiPriority w:val="99"/>
    <w:unhideWhenUsed/>
    <w:rsid w:val="0007130A"/>
    <w:pPr>
      <w:spacing w:after="0" w:line="240" w:lineRule="auto"/>
    </w:pPr>
    <w:rPr>
      <w:rFonts w:eastAsiaTheme="minorHAnsi" w:cs="Calibri"/>
      <w14:ligatures w14:val="standardContextual"/>
    </w:rPr>
  </w:style>
  <w:style w:type="character" w:customStyle="1" w:styleId="PlainTextChar">
    <w:name w:val="Plain Text Char"/>
    <w:basedOn w:val="DefaultParagraphFont"/>
    <w:link w:val="PlainText"/>
    <w:uiPriority w:val="99"/>
    <w:rsid w:val="0007130A"/>
    <w:rPr>
      <w:rFonts w:ascii="Calibri" w:hAnsi="Calibri" w:cs="Calibri"/>
      <w14:ligatures w14:val="standardContextual"/>
    </w:rPr>
  </w:style>
  <w:style w:type="character" w:customStyle="1" w:styleId="Mention11">
    <w:name w:val="Mention11"/>
    <w:basedOn w:val="DefaultParagraphFont"/>
    <w:uiPriority w:val="99"/>
    <w:unhideWhenUsed/>
    <w:rsid w:val="000C75B6"/>
    <w:rPr>
      <w:color w:val="2B579A"/>
      <w:shd w:val="clear" w:color="auto" w:fill="E1DFDD"/>
    </w:rPr>
  </w:style>
  <w:style w:type="character" w:customStyle="1" w:styleId="Mention12">
    <w:name w:val="Mention12"/>
    <w:basedOn w:val="DefaultParagraphFont"/>
    <w:uiPriority w:val="99"/>
    <w:unhideWhenUsed/>
    <w:rsid w:val="003568E5"/>
    <w:rPr>
      <w:color w:val="2B579A"/>
      <w:shd w:val="clear" w:color="auto" w:fill="E1DFDD"/>
    </w:rPr>
  </w:style>
  <w:style w:type="character" w:customStyle="1" w:styleId="UnresolvedMention1">
    <w:name w:val="Unresolved Mention1"/>
    <w:basedOn w:val="DefaultParagraphFont"/>
    <w:uiPriority w:val="99"/>
    <w:semiHidden/>
    <w:unhideWhenUsed/>
    <w:rsid w:val="009016E9"/>
    <w:rPr>
      <w:color w:val="605E5C"/>
      <w:shd w:val="clear" w:color="auto" w:fill="E1DFDD"/>
    </w:rPr>
  </w:style>
  <w:style w:type="character" w:customStyle="1" w:styleId="UnresolvedMention2">
    <w:name w:val="Unresolved Mention2"/>
    <w:basedOn w:val="DefaultParagraphFont"/>
    <w:uiPriority w:val="99"/>
    <w:semiHidden/>
    <w:unhideWhenUsed/>
    <w:rsid w:val="004F7E15"/>
    <w:rPr>
      <w:color w:val="605E5C"/>
      <w:shd w:val="clear" w:color="auto" w:fill="E1DFDD"/>
    </w:rPr>
  </w:style>
  <w:style w:type="character" w:customStyle="1" w:styleId="Mention13">
    <w:name w:val="Mention13"/>
    <w:basedOn w:val="DefaultParagraphFont"/>
    <w:uiPriority w:val="99"/>
    <w:unhideWhenUsed/>
    <w:rsid w:val="004F7E15"/>
    <w:rPr>
      <w:color w:val="2B579A"/>
      <w:shd w:val="clear" w:color="auto" w:fill="E1DFDD"/>
    </w:rPr>
  </w:style>
  <w:style w:type="character" w:customStyle="1" w:styleId="UnresolvedMention3">
    <w:name w:val="Unresolved Mention3"/>
    <w:basedOn w:val="DefaultParagraphFont"/>
    <w:uiPriority w:val="99"/>
    <w:semiHidden/>
    <w:unhideWhenUsed/>
    <w:rsid w:val="00D854CE"/>
    <w:rPr>
      <w:color w:val="605E5C"/>
      <w:shd w:val="clear" w:color="auto" w:fill="E1DFDD"/>
    </w:rPr>
  </w:style>
  <w:style w:type="character" w:customStyle="1" w:styleId="Mention">
    <w:name w:val="Mention"/>
    <w:basedOn w:val="DefaultParagraphFont"/>
    <w:uiPriority w:val="99"/>
    <w:unhideWhenUsed/>
    <w:rsid w:val="002B4EB1"/>
    <w:rPr>
      <w:color w:val="2B579A"/>
      <w:shd w:val="clear" w:color="auto" w:fill="E1DFDD"/>
    </w:rPr>
  </w:style>
  <w:style w:type="paragraph" w:styleId="NormalWeb">
    <w:name w:val="Normal (Web)"/>
    <w:basedOn w:val="Normal"/>
    <w:uiPriority w:val="99"/>
    <w:semiHidden/>
    <w:unhideWhenUsed/>
    <w:rsid w:val="00B80EC6"/>
    <w:rPr>
      <w:rFonts w:ascii="Times New Roman" w:hAnsi="Times New Roman" w:cs="Times New Roman"/>
      <w:sz w:val="24"/>
      <w:szCs w:val="24"/>
    </w:rPr>
  </w:style>
  <w:style w:type="paragraph" w:customStyle="1" w:styleId="P68B1DB1-Normal1">
    <w:name w:val="P68B1DB1-Normal1"/>
    <w:basedOn w:val="Normal"/>
    <w:rPr>
      <w:rFonts w:ascii="Times New Roman" w:hAnsi="Times New Roman" w:cs="Times New Roman"/>
      <w:b/>
    </w:rPr>
  </w:style>
  <w:style w:type="paragraph" w:customStyle="1" w:styleId="P68B1DB1-Normal2">
    <w:name w:val="P68B1DB1-Normal2"/>
    <w:basedOn w:val="Normal"/>
    <w:rPr>
      <w:rFonts w:ascii="Times New Roman" w:hAnsi="Times New Roman"/>
      <w:b/>
      <w:sz w:val="24"/>
    </w:rPr>
  </w:style>
  <w:style w:type="paragraph" w:customStyle="1" w:styleId="P68B1DB1-ListParagraph3">
    <w:name w:val="P68B1DB1-ListParagraph3"/>
    <w:basedOn w:val="ListParagraph"/>
    <w:rPr>
      <w:rFonts w:ascii="Times New Roman" w:hAnsi="Times New Roman"/>
      <w:b/>
      <w:sz w:val="24"/>
    </w:rPr>
  </w:style>
  <w:style w:type="paragraph" w:customStyle="1" w:styleId="P68B1DB1-Normal4">
    <w:name w:val="P68B1DB1-Normal4"/>
    <w:basedOn w:val="Normal"/>
    <w:rPr>
      <w:rFonts w:ascii="Times New Roman" w:hAnsi="Times New Roman"/>
      <w:sz w:val="24"/>
    </w:rPr>
  </w:style>
  <w:style w:type="paragraph" w:customStyle="1" w:styleId="P68B1DB1-Normal5">
    <w:name w:val="P68B1DB1-Normal5"/>
    <w:basedOn w:val="Normal"/>
    <w:rPr>
      <w:rFonts w:ascii="Times New Roman" w:hAnsi="Times New Roman"/>
      <w:sz w:val="24"/>
      <w:szCs w:val="24"/>
    </w:rPr>
  </w:style>
  <w:style w:type="paragraph" w:customStyle="1" w:styleId="P68B1DB1-Normal6">
    <w:name w:val="P68B1DB1-Normal6"/>
    <w:basedOn w:val="Normal"/>
    <w:rPr>
      <w:rFonts w:ascii="Cambria" w:hAnsi="Cambria"/>
      <w:color w:val="365F91"/>
      <w:sz w:val="24"/>
    </w:rPr>
  </w:style>
  <w:style w:type="paragraph" w:customStyle="1" w:styleId="P68B1DB1-Normal7">
    <w:name w:val="P68B1DB1-Normal7"/>
    <w:basedOn w:val="Normal"/>
    <w:rPr>
      <w:rFonts w:ascii="Times New Roman" w:hAnsi="Times New Roman"/>
      <w:b/>
      <w:sz w:val="18"/>
    </w:rPr>
  </w:style>
  <w:style w:type="paragraph" w:customStyle="1" w:styleId="P68B1DB1-Normal8">
    <w:name w:val="P68B1DB1-Normal8"/>
    <w:basedOn w:val="Normal"/>
    <w:rPr>
      <w:rFonts w:ascii="Times New Roman" w:hAnsi="Times New Roman"/>
      <w:sz w:val="18"/>
    </w:rPr>
  </w:style>
  <w:style w:type="paragraph" w:customStyle="1" w:styleId="P68B1DB1-Normal9">
    <w:name w:val="P68B1DB1-Normal9"/>
    <w:basedOn w:val="Normal"/>
    <w:rPr>
      <w:color w:val="006100"/>
      <w:sz w:val="18"/>
    </w:rPr>
  </w:style>
  <w:style w:type="paragraph" w:customStyle="1" w:styleId="P68B1DB1-Normal10">
    <w:name w:val="P68B1DB1-Normal10"/>
    <w:basedOn w:val="Normal"/>
    <w:rPr>
      <w:color w:val="006100"/>
      <w:sz w:val="18"/>
      <w:szCs w:val="18"/>
    </w:rPr>
  </w:style>
  <w:style w:type="paragraph" w:customStyle="1" w:styleId="P68B1DB1-Normal11">
    <w:name w:val="P68B1DB1-Normal11"/>
    <w:basedOn w:val="Normal"/>
    <w:rPr>
      <w:sz w:val="24"/>
    </w:rPr>
  </w:style>
  <w:style w:type="paragraph" w:customStyle="1" w:styleId="P68B1DB1-LegalNumPar212">
    <w:name w:val="P68B1DB1-LegalNumPar212"/>
    <w:basedOn w:val="LegalNumPar2"/>
    <w:rPr>
      <w:rFonts w:ascii="Times New Roman" w:hAnsi="Times New Roman" w:cs="Times New Roman"/>
      <w:sz w:val="24"/>
      <w:szCs w:val="24"/>
    </w:rPr>
  </w:style>
  <w:style w:type="paragraph" w:customStyle="1" w:styleId="P68B1DB1-LegalNumPar13">
    <w:name w:val="P68B1DB1-LegalNumPar13"/>
    <w:basedOn w:val="LegalNumPar"/>
    <w:rPr>
      <w:rFonts w:ascii="Times New Roman" w:hAnsi="Times New Roman" w:cs="Times New Roman"/>
      <w:sz w:val="24"/>
      <w:szCs w:val="24"/>
    </w:rPr>
  </w:style>
  <w:style w:type="paragraph" w:customStyle="1" w:styleId="P68B1DB1-LegalNumPar14">
    <w:name w:val="P68B1DB1-LegalNumPar14"/>
    <w:basedOn w:val="LegalNumPar"/>
    <w:rPr>
      <w:sz w:val="24"/>
      <w:szCs w:val="24"/>
    </w:rPr>
  </w:style>
  <w:style w:type="paragraph" w:customStyle="1" w:styleId="P68B1DB1-Normal15">
    <w:name w:val="P68B1DB1-Normal15"/>
    <w:basedOn w:val="Normal"/>
    <w:rPr>
      <w:rFonts w:ascii="Times New Roman" w:eastAsia="Times New Roman" w:hAnsi="Times New Roman" w:cs="Times New Roman"/>
      <w:sz w:val="24"/>
      <w:szCs w:val="24"/>
    </w:rPr>
  </w:style>
  <w:style w:type="paragraph" w:customStyle="1" w:styleId="P68B1DB1-Normal16">
    <w:name w:val="P68B1DB1-Normal16"/>
    <w:basedOn w:val="Normal"/>
    <w:rPr>
      <w:rFonts w:ascii="Times New Roman" w:hAnsi="Times New Roman"/>
      <w:b/>
      <w:sz w:val="20"/>
    </w:rPr>
  </w:style>
  <w:style w:type="paragraph" w:customStyle="1" w:styleId="P68B1DB1-Normal17">
    <w:name w:val="P68B1DB1-Normal17"/>
    <w:basedOn w:val="Normal"/>
    <w:rPr>
      <w:rFonts w:eastAsia="Times New Roman" w:cs="Calibri"/>
      <w:color w:val="006100"/>
      <w:sz w:val="18"/>
      <w:szCs w:val="18"/>
    </w:rPr>
  </w:style>
  <w:style w:type="paragraph" w:customStyle="1" w:styleId="P68B1DB1-Normal18">
    <w:name w:val="P68B1DB1-Normal18"/>
    <w:basedOn w:val="Normal"/>
    <w:rPr>
      <w:rFonts w:ascii="Times New Roman" w:hAnsi="Times New Roman" w:cs="Times New Roman"/>
      <w:sz w:val="24"/>
    </w:rPr>
  </w:style>
  <w:style w:type="paragraph" w:customStyle="1" w:styleId="P68B1DB1-ListParagraph19">
    <w:name w:val="P68B1DB1-ListParagraph19"/>
    <w:basedOn w:val="ListParagraph"/>
    <w:rPr>
      <w:rFonts w:ascii="Times New Roman" w:hAnsi="Times New Roman"/>
      <w:sz w:val="24"/>
    </w:rPr>
  </w:style>
  <w:style w:type="paragraph" w:customStyle="1" w:styleId="P68B1DB1-ListParagraph20">
    <w:name w:val="P68B1DB1-ListParagraph20"/>
    <w:basedOn w:val="ListParagraph"/>
    <w:rPr>
      <w:color w:val="006100"/>
      <w:sz w:val="18"/>
    </w:rPr>
  </w:style>
  <w:style w:type="paragraph" w:customStyle="1" w:styleId="P68B1DB1-xmsonormal21">
    <w:name w:val="P68B1DB1-xmsonormal21"/>
    <w:basedOn w:val="xmsonormal"/>
    <w:rPr>
      <w:rFonts w:ascii="Calibri" w:hAnsi="Calibri"/>
      <w:color w:val="006100"/>
      <w:sz w:val="18"/>
    </w:rPr>
  </w:style>
  <w:style w:type="paragraph" w:customStyle="1" w:styleId="P68B1DB1-Normal22">
    <w:name w:val="P68B1DB1-Normal22"/>
    <w:basedOn w:val="Normal"/>
    <w:rPr>
      <w:sz w:val="24"/>
      <w:szCs w:val="24"/>
    </w:rPr>
  </w:style>
  <w:style w:type="paragraph" w:customStyle="1" w:styleId="P68B1DB1-Normal23">
    <w:name w:val="P68B1DB1-Normal23"/>
    <w:basedOn w:val="Normal"/>
    <w:rPr>
      <w:color w:val="006100"/>
    </w:rPr>
  </w:style>
  <w:style w:type="paragraph" w:customStyle="1" w:styleId="P68B1DB1-Normal24">
    <w:name w:val="P68B1DB1-Normal24"/>
    <w:basedOn w:val="Normal"/>
    <w:rPr>
      <w:sz w:val="18"/>
      <w:szCs w:val="18"/>
    </w:rPr>
  </w:style>
  <w:style w:type="paragraph" w:customStyle="1" w:styleId="P68B1DB1-Normal25">
    <w:name w:val="P68B1DB1-Normal25"/>
    <w:basedOn w:val="Normal"/>
    <w:rPr>
      <w:rFonts w:ascii="Times New Roman" w:hAnsi="Times New Roman"/>
      <w:b/>
      <w:sz w:val="24"/>
      <w:u w:val="single"/>
    </w:rPr>
  </w:style>
  <w:style w:type="paragraph" w:customStyle="1" w:styleId="P68B1DB1-paragraph26">
    <w:name w:val="P68B1DB1-paragraph26"/>
    <w:basedOn w:val="paragraph"/>
    <w:rPr>
      <w:rFonts w:ascii="Calibri" w:hAnsi="Calibri"/>
      <w:color w:val="006100"/>
      <w:sz w:val="18"/>
    </w:rPr>
  </w:style>
  <w:style w:type="paragraph" w:customStyle="1" w:styleId="P68B1DB1-paragraph27">
    <w:name w:val="P68B1DB1-paragraph27"/>
    <w:basedOn w:val="paragraph"/>
    <w:rPr>
      <w:rFonts w:ascii="Calibri" w:hAnsi="Calibri"/>
      <w:color w:val="006100"/>
      <w:sz w:val="18"/>
      <w:szCs w:val="18"/>
    </w:rPr>
  </w:style>
  <w:style w:type="paragraph" w:customStyle="1" w:styleId="P68B1DB1-paragraph28">
    <w:name w:val="P68B1DB1-paragraph28"/>
    <w:basedOn w:val="paragraph"/>
    <w:rPr>
      <w:rFonts w:ascii="Calibri" w:eastAsia="Calibri" w:hAnsi="Calibri" w:cs="Myanmar Text"/>
      <w:color w:val="006100"/>
      <w:sz w:val="18"/>
      <w:szCs w:val="22"/>
    </w:rPr>
  </w:style>
  <w:style w:type="paragraph" w:customStyle="1" w:styleId="P68B1DB1-Default29">
    <w:name w:val="P68B1DB1-Default29"/>
    <w:basedOn w:val="Default"/>
    <w:rPr>
      <w:rFonts w:ascii="Times New Roman" w:hAnsi="Times New Roman"/>
    </w:rPr>
  </w:style>
  <w:style w:type="paragraph" w:customStyle="1" w:styleId="P68B1DB1-Normal30">
    <w:name w:val="P68B1DB1-Normal30"/>
    <w:basedOn w:val="Normal"/>
    <w:rPr>
      <w:rFonts w:asciiTheme="minorHAnsi" w:eastAsiaTheme="minorEastAsia" w:hAnsiTheme="minorHAnsi" w:cstheme="minorBidi"/>
      <w:color w:val="006100"/>
      <w:sz w:val="18"/>
      <w:szCs w:val="18"/>
    </w:rPr>
  </w:style>
  <w:style w:type="paragraph" w:customStyle="1" w:styleId="P68B1DB1-PlainText31">
    <w:name w:val="P68B1DB1-PlainText31"/>
    <w:basedOn w:val="PlainText"/>
    <w:rPr>
      <w:rFonts w:ascii="Times New Roman" w:eastAsia="Times New Roman" w:hAnsi="Times New Roman" w:cs="Times New Roman"/>
      <w:sz w:val="24"/>
      <w:szCs w:val="24"/>
    </w:rPr>
  </w:style>
  <w:style w:type="paragraph" w:customStyle="1" w:styleId="P68B1DB1-Normal32">
    <w:name w:val="P68B1DB1-Normal32"/>
    <w:basedOn w:val="Normal"/>
    <w:rPr>
      <w:rFonts w:ascii="Times New Roman" w:hAnsi="Times New Roman"/>
      <w:color w:val="000000" w:themeColor="text1"/>
      <w:sz w:val="24"/>
    </w:rPr>
  </w:style>
  <w:style w:type="paragraph" w:customStyle="1" w:styleId="P68B1DB1-Normal33">
    <w:name w:val="P68B1DB1-Normal33"/>
    <w:basedOn w:val="Normal"/>
    <w:rPr>
      <w:rFonts w:asciiTheme="minorHAnsi" w:hAnsiTheme="minorHAnsi"/>
      <w:color w:val="006100"/>
      <w:sz w:val="18"/>
    </w:rPr>
  </w:style>
  <w:style w:type="paragraph" w:customStyle="1" w:styleId="P68B1DB1-ListParagraph34">
    <w:name w:val="P68B1DB1-ListParagraph34"/>
    <w:basedOn w:val="ListParagraph"/>
    <w:rPr>
      <w:rFonts w:asciiTheme="minorHAnsi" w:hAnsiTheme="minorHAnsi"/>
      <w:color w:val="006100"/>
      <w:sz w:val="18"/>
    </w:rPr>
  </w:style>
  <w:style w:type="paragraph" w:customStyle="1" w:styleId="P68B1DB1-Normal35">
    <w:name w:val="P68B1DB1-Normal35"/>
    <w:basedOn w:val="Normal"/>
    <w:rPr>
      <w:sz w:val="18"/>
    </w:rPr>
  </w:style>
  <w:style w:type="paragraph" w:customStyle="1" w:styleId="P68B1DB1-LegalNumPar36">
    <w:name w:val="P68B1DB1-LegalNumPar36"/>
    <w:basedOn w:val="LegalNumPar"/>
    <w:rPr>
      <w:sz w:val="24"/>
    </w:rPr>
  </w:style>
  <w:style w:type="paragraph" w:customStyle="1" w:styleId="P68B1DB1-Normal37">
    <w:name w:val="P68B1DB1-Normal37"/>
    <w:basedOn w:val="Normal"/>
    <w:rPr>
      <w:rFonts w:ascii="Times New Roman" w:hAnsi="Times New Roman"/>
    </w:rPr>
  </w:style>
  <w:style w:type="paragraph" w:customStyle="1" w:styleId="P68B1DB1-ListParagraph38">
    <w:name w:val="P68B1DB1-ListParagraph38"/>
    <w:basedOn w:val="ListParagraph"/>
    <w:rPr>
      <w:color w:val="006100"/>
      <w:sz w:val="18"/>
      <w:szCs w:val="18"/>
    </w:rPr>
  </w:style>
  <w:style w:type="paragraph" w:customStyle="1" w:styleId="P68B1DB1-ListParagraph39">
    <w:name w:val="P68B1DB1-ListParagraph39"/>
    <w:basedOn w:val="ListParagraph"/>
    <w:rPr>
      <w:rFonts w:ascii="Times New Roman" w:hAnsi="Times New Roman"/>
    </w:rPr>
  </w:style>
  <w:style w:type="paragraph" w:customStyle="1" w:styleId="P68B1DB1-ListParagraph40">
    <w:name w:val="P68B1DB1-ListParagraph40"/>
    <w:basedOn w:val="ListParagraph"/>
    <w:rPr>
      <w:rFonts w:ascii="Times New Roman" w:hAnsi="Times New Roman"/>
      <w:sz w:val="24"/>
      <w:szCs w:val="24"/>
    </w:rPr>
  </w:style>
  <w:style w:type="paragraph" w:customStyle="1" w:styleId="P68B1DB1-ListParagraph41">
    <w:name w:val="P68B1DB1-ListParagraph41"/>
    <w:basedOn w:val="ListParagraph"/>
    <w:rPr>
      <w:rFonts w:ascii="Times New Roman" w:hAnsi="Times New Roman"/>
      <w:color w:val="000000" w:themeColor="text1"/>
      <w:sz w:val="24"/>
      <w:szCs w:val="24"/>
    </w:rPr>
  </w:style>
  <w:style w:type="paragraph" w:customStyle="1" w:styleId="P68B1DB1-Normal42">
    <w:name w:val="P68B1DB1-Normal42"/>
    <w:basedOn w:val="Normal"/>
    <w:rPr>
      <w:rFonts w:ascii="Times New Roman" w:hAnsi="Times New Roman"/>
      <w:b/>
    </w:rPr>
  </w:style>
  <w:style w:type="paragraph" w:customStyle="1" w:styleId="P68B1DB1-Normal43">
    <w:name w:val="P68B1DB1-Normal43"/>
    <w:basedOn w:val="Normal"/>
    <w:rPr>
      <w:rFonts w:asciiTheme="minorHAnsi" w:hAnsiTheme="minorHAnsi"/>
      <w:sz w:val="18"/>
    </w:rPr>
  </w:style>
  <w:style w:type="paragraph" w:customStyle="1" w:styleId="P68B1DB1-Normal44">
    <w:name w:val="P68B1DB1-Normal44"/>
    <w:basedOn w:val="Normal"/>
    <w:rPr>
      <w:rFonts w:ascii="Times New Roman" w:hAnsi="Times New Roman"/>
      <w:i/>
      <w:color w:val="4F81BD"/>
      <w:sz w:val="24"/>
    </w:rPr>
  </w:style>
  <w:style w:type="paragraph" w:customStyle="1" w:styleId="P68B1DB1-Normal45">
    <w:name w:val="P68B1DB1-Normal45"/>
    <w:basedOn w:val="Normal"/>
    <w:rPr>
      <w:color w:val="006100"/>
      <w:sz w:val="18"/>
    </w:rPr>
  </w:style>
  <w:style w:type="paragraph" w:customStyle="1" w:styleId="P68B1DB1-ListParagraph46">
    <w:name w:val="P68B1DB1-ListParagraph46"/>
    <w:basedOn w:val="ListParagraph"/>
    <w:rPr>
      <w:rFonts w:ascii="Times New Roman" w:hAnsi="Times New Roman"/>
      <w:i/>
      <w:sz w:val="24"/>
    </w:rPr>
  </w:style>
  <w:style w:type="paragraph" w:customStyle="1" w:styleId="P68B1DB1-ListParagraph47">
    <w:name w:val="P68B1DB1-ListParagraph47"/>
    <w:basedOn w:val="ListParagraph"/>
    <w:rPr>
      <w:rFonts w:eastAsia="Times New Roman" w:cs="Calibri"/>
      <w:color w:val="006100"/>
      <w:sz w:val="18"/>
      <w:szCs w:val="18"/>
    </w:rPr>
  </w:style>
  <w:style w:type="paragraph" w:customStyle="1" w:styleId="P68B1DB1-Normal48">
    <w:name w:val="P68B1DB1-Normal48"/>
    <w:basedOn w:val="Normal"/>
    <w:rPr>
      <w:rFonts w:ascii="Times New Roman" w:hAnsi="Times New Roman"/>
      <w:b/>
      <w:smallCaps/>
      <w:sz w:val="24"/>
    </w:rPr>
  </w:style>
  <w:style w:type="paragraph" w:customStyle="1" w:styleId="P68B1DB1-Normal49">
    <w:name w:val="P68B1DB1-Normal49"/>
    <w:basedOn w:val="Normal"/>
    <w:rPr>
      <w:rFonts w:ascii="Times New Roman" w:hAnsi="Times New Roman"/>
      <w:sz w:val="18"/>
      <w:szCs w:val="18"/>
    </w:rPr>
  </w:style>
  <w:style w:type="paragraph" w:customStyle="1" w:styleId="P68B1DB1-Normal50">
    <w:name w:val="P68B1DB1-Normal50"/>
    <w:basedOn w:val="Normal"/>
    <w:rPr>
      <w:rFonts w:ascii="Times New Roman" w:hAnsi="Times New Roman"/>
      <w:sz w:val="20"/>
    </w:rPr>
  </w:style>
  <w:style w:type="paragraph" w:customStyle="1" w:styleId="P68B1DB1-Normal51">
    <w:name w:val="P68B1DB1-Normal51"/>
    <w:basedOn w:val="Normal"/>
    <w:rPr>
      <w:rFonts w:ascii="Times New Roman" w:eastAsia="Times New Roman" w:hAnsi="Times New Roman" w:cs="Times New Roman"/>
      <w:sz w:val="18"/>
      <w:szCs w:val="18"/>
    </w:rPr>
  </w:style>
  <w:style w:type="paragraph" w:customStyle="1" w:styleId="P68B1DB1-Normal52">
    <w:name w:val="P68B1DB1-Normal52"/>
    <w:basedOn w:val="Normal"/>
    <w:rPr>
      <w:rFonts w:ascii="Times New Roman" w:eastAsia="Times New Roman" w:hAnsi="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126">
      <w:bodyDiv w:val="1"/>
      <w:marLeft w:val="0"/>
      <w:marRight w:val="0"/>
      <w:marTop w:val="0"/>
      <w:marBottom w:val="0"/>
      <w:divBdr>
        <w:top w:val="none" w:sz="0" w:space="0" w:color="auto"/>
        <w:left w:val="none" w:sz="0" w:space="0" w:color="auto"/>
        <w:bottom w:val="none" w:sz="0" w:space="0" w:color="auto"/>
        <w:right w:val="none" w:sz="0" w:space="0" w:color="auto"/>
      </w:divBdr>
    </w:div>
    <w:div w:id="216361478">
      <w:bodyDiv w:val="1"/>
      <w:marLeft w:val="0"/>
      <w:marRight w:val="0"/>
      <w:marTop w:val="0"/>
      <w:marBottom w:val="0"/>
      <w:divBdr>
        <w:top w:val="none" w:sz="0" w:space="0" w:color="auto"/>
        <w:left w:val="none" w:sz="0" w:space="0" w:color="auto"/>
        <w:bottom w:val="none" w:sz="0" w:space="0" w:color="auto"/>
        <w:right w:val="none" w:sz="0" w:space="0" w:color="auto"/>
      </w:divBdr>
    </w:div>
    <w:div w:id="413359547">
      <w:bodyDiv w:val="1"/>
      <w:marLeft w:val="0"/>
      <w:marRight w:val="0"/>
      <w:marTop w:val="0"/>
      <w:marBottom w:val="0"/>
      <w:divBdr>
        <w:top w:val="none" w:sz="0" w:space="0" w:color="auto"/>
        <w:left w:val="none" w:sz="0" w:space="0" w:color="auto"/>
        <w:bottom w:val="none" w:sz="0" w:space="0" w:color="auto"/>
        <w:right w:val="none" w:sz="0" w:space="0" w:color="auto"/>
      </w:divBdr>
    </w:div>
    <w:div w:id="577175763">
      <w:bodyDiv w:val="1"/>
      <w:marLeft w:val="0"/>
      <w:marRight w:val="0"/>
      <w:marTop w:val="0"/>
      <w:marBottom w:val="0"/>
      <w:divBdr>
        <w:top w:val="none" w:sz="0" w:space="0" w:color="auto"/>
        <w:left w:val="none" w:sz="0" w:space="0" w:color="auto"/>
        <w:bottom w:val="none" w:sz="0" w:space="0" w:color="auto"/>
        <w:right w:val="none" w:sz="0" w:space="0" w:color="auto"/>
      </w:divBdr>
    </w:div>
    <w:div w:id="814223350">
      <w:bodyDiv w:val="1"/>
      <w:marLeft w:val="0"/>
      <w:marRight w:val="0"/>
      <w:marTop w:val="0"/>
      <w:marBottom w:val="0"/>
      <w:divBdr>
        <w:top w:val="none" w:sz="0" w:space="0" w:color="auto"/>
        <w:left w:val="none" w:sz="0" w:space="0" w:color="auto"/>
        <w:bottom w:val="none" w:sz="0" w:space="0" w:color="auto"/>
        <w:right w:val="none" w:sz="0" w:space="0" w:color="auto"/>
      </w:divBdr>
    </w:div>
    <w:div w:id="1251506913">
      <w:bodyDiv w:val="1"/>
      <w:marLeft w:val="0"/>
      <w:marRight w:val="0"/>
      <w:marTop w:val="0"/>
      <w:marBottom w:val="0"/>
      <w:divBdr>
        <w:top w:val="none" w:sz="0" w:space="0" w:color="auto"/>
        <w:left w:val="none" w:sz="0" w:space="0" w:color="auto"/>
        <w:bottom w:val="none" w:sz="0" w:space="0" w:color="auto"/>
        <w:right w:val="none" w:sz="0" w:space="0" w:color="auto"/>
      </w:divBdr>
    </w:div>
    <w:div w:id="1288971928">
      <w:bodyDiv w:val="1"/>
      <w:marLeft w:val="0"/>
      <w:marRight w:val="0"/>
      <w:marTop w:val="0"/>
      <w:marBottom w:val="0"/>
      <w:divBdr>
        <w:top w:val="none" w:sz="0" w:space="0" w:color="auto"/>
        <w:left w:val="none" w:sz="0" w:space="0" w:color="auto"/>
        <w:bottom w:val="none" w:sz="0" w:space="0" w:color="auto"/>
        <w:right w:val="none" w:sz="0" w:space="0" w:color="auto"/>
      </w:divBdr>
    </w:div>
    <w:div w:id="1377271437">
      <w:bodyDiv w:val="1"/>
      <w:marLeft w:val="0"/>
      <w:marRight w:val="0"/>
      <w:marTop w:val="0"/>
      <w:marBottom w:val="0"/>
      <w:divBdr>
        <w:top w:val="none" w:sz="0" w:space="0" w:color="auto"/>
        <w:left w:val="none" w:sz="0" w:space="0" w:color="auto"/>
        <w:bottom w:val="none" w:sz="0" w:space="0" w:color="auto"/>
        <w:right w:val="none" w:sz="0" w:space="0" w:color="auto"/>
      </w:divBdr>
    </w:div>
    <w:div w:id="1449544998">
      <w:bodyDiv w:val="1"/>
      <w:marLeft w:val="0"/>
      <w:marRight w:val="0"/>
      <w:marTop w:val="0"/>
      <w:marBottom w:val="0"/>
      <w:divBdr>
        <w:top w:val="none" w:sz="0" w:space="0" w:color="auto"/>
        <w:left w:val="none" w:sz="0" w:space="0" w:color="auto"/>
        <w:bottom w:val="none" w:sz="0" w:space="0" w:color="auto"/>
        <w:right w:val="none" w:sz="0" w:space="0" w:color="auto"/>
      </w:divBdr>
    </w:div>
    <w:div w:id="1665008935">
      <w:bodyDiv w:val="1"/>
      <w:marLeft w:val="0"/>
      <w:marRight w:val="0"/>
      <w:marTop w:val="0"/>
      <w:marBottom w:val="0"/>
      <w:divBdr>
        <w:top w:val="none" w:sz="0" w:space="0" w:color="auto"/>
        <w:left w:val="none" w:sz="0" w:space="0" w:color="auto"/>
        <w:bottom w:val="none" w:sz="0" w:space="0" w:color="auto"/>
        <w:right w:val="none" w:sz="0" w:space="0" w:color="auto"/>
      </w:divBdr>
    </w:div>
    <w:div w:id="1837914676">
      <w:bodyDiv w:val="1"/>
      <w:marLeft w:val="0"/>
      <w:marRight w:val="0"/>
      <w:marTop w:val="0"/>
      <w:marBottom w:val="0"/>
      <w:divBdr>
        <w:top w:val="none" w:sz="0" w:space="0" w:color="auto"/>
        <w:left w:val="none" w:sz="0" w:space="0" w:color="auto"/>
        <w:bottom w:val="none" w:sz="0" w:space="0" w:color="auto"/>
        <w:right w:val="none" w:sz="0" w:space="0" w:color="auto"/>
      </w:divBdr>
    </w:div>
    <w:div w:id="1917855640">
      <w:bodyDiv w:val="1"/>
      <w:marLeft w:val="0"/>
      <w:marRight w:val="0"/>
      <w:marTop w:val="0"/>
      <w:marBottom w:val="0"/>
      <w:divBdr>
        <w:top w:val="none" w:sz="0" w:space="0" w:color="auto"/>
        <w:left w:val="none" w:sz="0" w:space="0" w:color="auto"/>
        <w:bottom w:val="none" w:sz="0" w:space="0" w:color="auto"/>
        <w:right w:val="none" w:sz="0" w:space="0" w:color="auto"/>
      </w:divBdr>
    </w:div>
    <w:div w:id="1933317314">
      <w:bodyDiv w:val="1"/>
      <w:marLeft w:val="0"/>
      <w:marRight w:val="0"/>
      <w:marTop w:val="0"/>
      <w:marBottom w:val="0"/>
      <w:divBdr>
        <w:top w:val="none" w:sz="0" w:space="0" w:color="auto"/>
        <w:left w:val="none" w:sz="0" w:space="0" w:color="auto"/>
        <w:bottom w:val="none" w:sz="0" w:space="0" w:color="auto"/>
        <w:right w:val="none" w:sz="0" w:space="0" w:color="auto"/>
      </w:divBdr>
      <w:divsChild>
        <w:div w:id="53937571">
          <w:marLeft w:val="0"/>
          <w:marRight w:val="0"/>
          <w:marTop w:val="0"/>
          <w:marBottom w:val="0"/>
          <w:divBdr>
            <w:top w:val="none" w:sz="0" w:space="0" w:color="auto"/>
            <w:left w:val="none" w:sz="0" w:space="0" w:color="auto"/>
            <w:bottom w:val="none" w:sz="0" w:space="0" w:color="auto"/>
            <w:right w:val="none" w:sz="0" w:space="0" w:color="auto"/>
          </w:divBdr>
          <w:divsChild>
            <w:div w:id="1047997980">
              <w:marLeft w:val="0"/>
              <w:marRight w:val="0"/>
              <w:marTop w:val="0"/>
              <w:marBottom w:val="0"/>
              <w:divBdr>
                <w:top w:val="none" w:sz="0" w:space="0" w:color="auto"/>
                <w:left w:val="none" w:sz="0" w:space="0" w:color="auto"/>
                <w:bottom w:val="none" w:sz="0" w:space="0" w:color="auto"/>
                <w:right w:val="none" w:sz="0" w:space="0" w:color="auto"/>
              </w:divBdr>
            </w:div>
          </w:divsChild>
        </w:div>
        <w:div w:id="113251107">
          <w:marLeft w:val="0"/>
          <w:marRight w:val="0"/>
          <w:marTop w:val="0"/>
          <w:marBottom w:val="0"/>
          <w:divBdr>
            <w:top w:val="none" w:sz="0" w:space="0" w:color="auto"/>
            <w:left w:val="none" w:sz="0" w:space="0" w:color="auto"/>
            <w:bottom w:val="none" w:sz="0" w:space="0" w:color="auto"/>
            <w:right w:val="none" w:sz="0" w:space="0" w:color="auto"/>
          </w:divBdr>
          <w:divsChild>
            <w:div w:id="913785100">
              <w:marLeft w:val="0"/>
              <w:marRight w:val="0"/>
              <w:marTop w:val="0"/>
              <w:marBottom w:val="0"/>
              <w:divBdr>
                <w:top w:val="none" w:sz="0" w:space="0" w:color="auto"/>
                <w:left w:val="none" w:sz="0" w:space="0" w:color="auto"/>
                <w:bottom w:val="none" w:sz="0" w:space="0" w:color="auto"/>
                <w:right w:val="none" w:sz="0" w:space="0" w:color="auto"/>
              </w:divBdr>
            </w:div>
          </w:divsChild>
        </w:div>
        <w:div w:id="141121442">
          <w:marLeft w:val="0"/>
          <w:marRight w:val="0"/>
          <w:marTop w:val="0"/>
          <w:marBottom w:val="0"/>
          <w:divBdr>
            <w:top w:val="none" w:sz="0" w:space="0" w:color="auto"/>
            <w:left w:val="none" w:sz="0" w:space="0" w:color="auto"/>
            <w:bottom w:val="none" w:sz="0" w:space="0" w:color="auto"/>
            <w:right w:val="none" w:sz="0" w:space="0" w:color="auto"/>
          </w:divBdr>
          <w:divsChild>
            <w:div w:id="136071877">
              <w:marLeft w:val="0"/>
              <w:marRight w:val="0"/>
              <w:marTop w:val="0"/>
              <w:marBottom w:val="0"/>
              <w:divBdr>
                <w:top w:val="none" w:sz="0" w:space="0" w:color="auto"/>
                <w:left w:val="none" w:sz="0" w:space="0" w:color="auto"/>
                <w:bottom w:val="none" w:sz="0" w:space="0" w:color="auto"/>
                <w:right w:val="none" w:sz="0" w:space="0" w:color="auto"/>
              </w:divBdr>
            </w:div>
          </w:divsChild>
        </w:div>
        <w:div w:id="152643879">
          <w:marLeft w:val="0"/>
          <w:marRight w:val="0"/>
          <w:marTop w:val="0"/>
          <w:marBottom w:val="0"/>
          <w:divBdr>
            <w:top w:val="none" w:sz="0" w:space="0" w:color="auto"/>
            <w:left w:val="none" w:sz="0" w:space="0" w:color="auto"/>
            <w:bottom w:val="none" w:sz="0" w:space="0" w:color="auto"/>
            <w:right w:val="none" w:sz="0" w:space="0" w:color="auto"/>
          </w:divBdr>
          <w:divsChild>
            <w:div w:id="1574968105">
              <w:marLeft w:val="0"/>
              <w:marRight w:val="0"/>
              <w:marTop w:val="0"/>
              <w:marBottom w:val="0"/>
              <w:divBdr>
                <w:top w:val="none" w:sz="0" w:space="0" w:color="auto"/>
                <w:left w:val="none" w:sz="0" w:space="0" w:color="auto"/>
                <w:bottom w:val="none" w:sz="0" w:space="0" w:color="auto"/>
                <w:right w:val="none" w:sz="0" w:space="0" w:color="auto"/>
              </w:divBdr>
            </w:div>
          </w:divsChild>
        </w:div>
        <w:div w:id="406810764">
          <w:marLeft w:val="0"/>
          <w:marRight w:val="0"/>
          <w:marTop w:val="0"/>
          <w:marBottom w:val="0"/>
          <w:divBdr>
            <w:top w:val="none" w:sz="0" w:space="0" w:color="auto"/>
            <w:left w:val="none" w:sz="0" w:space="0" w:color="auto"/>
            <w:bottom w:val="none" w:sz="0" w:space="0" w:color="auto"/>
            <w:right w:val="none" w:sz="0" w:space="0" w:color="auto"/>
          </w:divBdr>
          <w:divsChild>
            <w:div w:id="1056931813">
              <w:marLeft w:val="0"/>
              <w:marRight w:val="0"/>
              <w:marTop w:val="0"/>
              <w:marBottom w:val="0"/>
              <w:divBdr>
                <w:top w:val="none" w:sz="0" w:space="0" w:color="auto"/>
                <w:left w:val="none" w:sz="0" w:space="0" w:color="auto"/>
                <w:bottom w:val="none" w:sz="0" w:space="0" w:color="auto"/>
                <w:right w:val="none" w:sz="0" w:space="0" w:color="auto"/>
              </w:divBdr>
            </w:div>
          </w:divsChild>
        </w:div>
        <w:div w:id="576524845">
          <w:marLeft w:val="0"/>
          <w:marRight w:val="0"/>
          <w:marTop w:val="0"/>
          <w:marBottom w:val="0"/>
          <w:divBdr>
            <w:top w:val="none" w:sz="0" w:space="0" w:color="auto"/>
            <w:left w:val="none" w:sz="0" w:space="0" w:color="auto"/>
            <w:bottom w:val="none" w:sz="0" w:space="0" w:color="auto"/>
            <w:right w:val="none" w:sz="0" w:space="0" w:color="auto"/>
          </w:divBdr>
          <w:divsChild>
            <w:div w:id="1132287964">
              <w:marLeft w:val="0"/>
              <w:marRight w:val="0"/>
              <w:marTop w:val="0"/>
              <w:marBottom w:val="0"/>
              <w:divBdr>
                <w:top w:val="none" w:sz="0" w:space="0" w:color="auto"/>
                <w:left w:val="none" w:sz="0" w:space="0" w:color="auto"/>
                <w:bottom w:val="none" w:sz="0" w:space="0" w:color="auto"/>
                <w:right w:val="none" w:sz="0" w:space="0" w:color="auto"/>
              </w:divBdr>
            </w:div>
          </w:divsChild>
        </w:div>
        <w:div w:id="1195924803">
          <w:marLeft w:val="0"/>
          <w:marRight w:val="0"/>
          <w:marTop w:val="0"/>
          <w:marBottom w:val="0"/>
          <w:divBdr>
            <w:top w:val="none" w:sz="0" w:space="0" w:color="auto"/>
            <w:left w:val="none" w:sz="0" w:space="0" w:color="auto"/>
            <w:bottom w:val="none" w:sz="0" w:space="0" w:color="auto"/>
            <w:right w:val="none" w:sz="0" w:space="0" w:color="auto"/>
          </w:divBdr>
          <w:divsChild>
            <w:div w:id="44567565">
              <w:marLeft w:val="0"/>
              <w:marRight w:val="0"/>
              <w:marTop w:val="0"/>
              <w:marBottom w:val="0"/>
              <w:divBdr>
                <w:top w:val="none" w:sz="0" w:space="0" w:color="auto"/>
                <w:left w:val="none" w:sz="0" w:space="0" w:color="auto"/>
                <w:bottom w:val="none" w:sz="0" w:space="0" w:color="auto"/>
                <w:right w:val="none" w:sz="0" w:space="0" w:color="auto"/>
              </w:divBdr>
            </w:div>
            <w:div w:id="1545679595">
              <w:marLeft w:val="0"/>
              <w:marRight w:val="0"/>
              <w:marTop w:val="0"/>
              <w:marBottom w:val="0"/>
              <w:divBdr>
                <w:top w:val="none" w:sz="0" w:space="0" w:color="auto"/>
                <w:left w:val="none" w:sz="0" w:space="0" w:color="auto"/>
                <w:bottom w:val="none" w:sz="0" w:space="0" w:color="auto"/>
                <w:right w:val="none" w:sz="0" w:space="0" w:color="auto"/>
              </w:divBdr>
            </w:div>
          </w:divsChild>
        </w:div>
        <w:div w:id="1283538526">
          <w:marLeft w:val="0"/>
          <w:marRight w:val="0"/>
          <w:marTop w:val="0"/>
          <w:marBottom w:val="0"/>
          <w:divBdr>
            <w:top w:val="none" w:sz="0" w:space="0" w:color="auto"/>
            <w:left w:val="none" w:sz="0" w:space="0" w:color="auto"/>
            <w:bottom w:val="none" w:sz="0" w:space="0" w:color="auto"/>
            <w:right w:val="none" w:sz="0" w:space="0" w:color="auto"/>
          </w:divBdr>
          <w:divsChild>
            <w:div w:id="83770211">
              <w:marLeft w:val="0"/>
              <w:marRight w:val="0"/>
              <w:marTop w:val="0"/>
              <w:marBottom w:val="0"/>
              <w:divBdr>
                <w:top w:val="none" w:sz="0" w:space="0" w:color="auto"/>
                <w:left w:val="none" w:sz="0" w:space="0" w:color="auto"/>
                <w:bottom w:val="none" w:sz="0" w:space="0" w:color="auto"/>
                <w:right w:val="none" w:sz="0" w:space="0" w:color="auto"/>
              </w:divBdr>
            </w:div>
          </w:divsChild>
        </w:div>
        <w:div w:id="1283805101">
          <w:marLeft w:val="0"/>
          <w:marRight w:val="0"/>
          <w:marTop w:val="0"/>
          <w:marBottom w:val="0"/>
          <w:divBdr>
            <w:top w:val="none" w:sz="0" w:space="0" w:color="auto"/>
            <w:left w:val="none" w:sz="0" w:space="0" w:color="auto"/>
            <w:bottom w:val="none" w:sz="0" w:space="0" w:color="auto"/>
            <w:right w:val="none" w:sz="0" w:space="0" w:color="auto"/>
          </w:divBdr>
          <w:divsChild>
            <w:div w:id="374356764">
              <w:marLeft w:val="0"/>
              <w:marRight w:val="0"/>
              <w:marTop w:val="0"/>
              <w:marBottom w:val="0"/>
              <w:divBdr>
                <w:top w:val="none" w:sz="0" w:space="0" w:color="auto"/>
                <w:left w:val="none" w:sz="0" w:space="0" w:color="auto"/>
                <w:bottom w:val="none" w:sz="0" w:space="0" w:color="auto"/>
                <w:right w:val="none" w:sz="0" w:space="0" w:color="auto"/>
              </w:divBdr>
            </w:div>
          </w:divsChild>
        </w:div>
        <w:div w:id="1610235038">
          <w:marLeft w:val="0"/>
          <w:marRight w:val="0"/>
          <w:marTop w:val="0"/>
          <w:marBottom w:val="0"/>
          <w:divBdr>
            <w:top w:val="none" w:sz="0" w:space="0" w:color="auto"/>
            <w:left w:val="none" w:sz="0" w:space="0" w:color="auto"/>
            <w:bottom w:val="none" w:sz="0" w:space="0" w:color="auto"/>
            <w:right w:val="none" w:sz="0" w:space="0" w:color="auto"/>
          </w:divBdr>
          <w:divsChild>
            <w:div w:id="2006860467">
              <w:marLeft w:val="0"/>
              <w:marRight w:val="0"/>
              <w:marTop w:val="0"/>
              <w:marBottom w:val="0"/>
              <w:divBdr>
                <w:top w:val="none" w:sz="0" w:space="0" w:color="auto"/>
                <w:left w:val="none" w:sz="0" w:space="0" w:color="auto"/>
                <w:bottom w:val="none" w:sz="0" w:space="0" w:color="auto"/>
                <w:right w:val="none" w:sz="0" w:space="0" w:color="auto"/>
              </w:divBdr>
            </w:div>
          </w:divsChild>
        </w:div>
        <w:div w:id="2076318789">
          <w:marLeft w:val="0"/>
          <w:marRight w:val="0"/>
          <w:marTop w:val="0"/>
          <w:marBottom w:val="0"/>
          <w:divBdr>
            <w:top w:val="none" w:sz="0" w:space="0" w:color="auto"/>
            <w:left w:val="none" w:sz="0" w:space="0" w:color="auto"/>
            <w:bottom w:val="none" w:sz="0" w:space="0" w:color="auto"/>
            <w:right w:val="none" w:sz="0" w:space="0" w:color="auto"/>
          </w:divBdr>
          <w:divsChild>
            <w:div w:id="8752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header" Target="header144.xml"/><Relationship Id="rId303" Type="http://schemas.openxmlformats.org/officeDocument/2006/relationships/footer" Target="footer145.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324" Type="http://schemas.openxmlformats.org/officeDocument/2006/relationships/footer" Target="footer156.xml"/><Relationship Id="rId345" Type="http://schemas.openxmlformats.org/officeDocument/2006/relationships/header" Target="header167.xml"/><Relationship Id="rId366" Type="http://schemas.openxmlformats.org/officeDocument/2006/relationships/footer" Target="footer177.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header" Target="header118.xml"/><Relationship Id="rId107" Type="http://schemas.openxmlformats.org/officeDocument/2006/relationships/header" Target="header48.xml"/><Relationship Id="rId268" Type="http://schemas.openxmlformats.org/officeDocument/2006/relationships/footer" Target="footer128.xml"/><Relationship Id="rId289" Type="http://schemas.openxmlformats.org/officeDocument/2006/relationships/header" Target="header139.xml"/><Relationship Id="rId11" Type="http://schemas.openxmlformats.org/officeDocument/2006/relationships/endnotes" Target="endnotes.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314" Type="http://schemas.openxmlformats.org/officeDocument/2006/relationships/header" Target="header152.xml"/><Relationship Id="rId335" Type="http://schemas.openxmlformats.org/officeDocument/2006/relationships/header" Target="header162.xml"/><Relationship Id="rId356" Type="http://schemas.openxmlformats.org/officeDocument/2006/relationships/footer" Target="footer172.xml"/><Relationship Id="rId377" Type="http://schemas.openxmlformats.org/officeDocument/2006/relationships/footer" Target="footer182.xml"/><Relationship Id="rId5" Type="http://schemas.openxmlformats.org/officeDocument/2006/relationships/customXml" Target="../customXml/item5.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footer" Target="footer112.xml"/><Relationship Id="rId258" Type="http://schemas.openxmlformats.org/officeDocument/2006/relationships/footer" Target="footer123.xml"/><Relationship Id="rId279" Type="http://schemas.openxmlformats.org/officeDocument/2006/relationships/footer" Target="footer133.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header" Target="header140.xml"/><Relationship Id="rId304" Type="http://schemas.openxmlformats.org/officeDocument/2006/relationships/footer" Target="footer146.xml"/><Relationship Id="rId325" Type="http://schemas.openxmlformats.org/officeDocument/2006/relationships/header" Target="header157.xml"/><Relationship Id="rId346" Type="http://schemas.openxmlformats.org/officeDocument/2006/relationships/header" Target="header168.xml"/><Relationship Id="rId367" Type="http://schemas.openxmlformats.org/officeDocument/2006/relationships/header" Target="header178.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header" Target="header119.xml"/><Relationship Id="rId269" Type="http://schemas.openxmlformats.org/officeDocument/2006/relationships/header" Target="header129.xml"/><Relationship Id="rId12" Type="http://schemas.openxmlformats.org/officeDocument/2006/relationships/image" Target="media/image1.emf"/><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footer" Target="footer134.xml"/><Relationship Id="rId315" Type="http://schemas.openxmlformats.org/officeDocument/2006/relationships/footer" Target="footer151.xml"/><Relationship Id="rId336" Type="http://schemas.openxmlformats.org/officeDocument/2006/relationships/footer" Target="footer162.xml"/><Relationship Id="rId357" Type="http://schemas.openxmlformats.org/officeDocument/2006/relationships/header" Target="header173.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378" Type="http://schemas.openxmlformats.org/officeDocument/2006/relationships/footer" Target="footer183.xml"/><Relationship Id="rId6" Type="http://schemas.openxmlformats.org/officeDocument/2006/relationships/numbering" Target="numbering.xml"/><Relationship Id="rId238" Type="http://schemas.openxmlformats.org/officeDocument/2006/relationships/footer" Target="footer113.xml"/><Relationship Id="rId259" Type="http://schemas.openxmlformats.org/officeDocument/2006/relationships/header" Target="header124.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29.xml"/><Relationship Id="rId291" Type="http://schemas.openxmlformats.org/officeDocument/2006/relationships/footer" Target="footer139.xml"/><Relationship Id="rId305" Type="http://schemas.openxmlformats.org/officeDocument/2006/relationships/header" Target="header147.xml"/><Relationship Id="rId326" Type="http://schemas.openxmlformats.org/officeDocument/2006/relationships/header" Target="header158.xml"/><Relationship Id="rId347" Type="http://schemas.openxmlformats.org/officeDocument/2006/relationships/footer" Target="footer167.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368" Type="http://schemas.openxmlformats.org/officeDocument/2006/relationships/footer" Target="footer178.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footer" Target="footer118.xml"/><Relationship Id="rId13" Type="http://schemas.openxmlformats.org/officeDocument/2006/relationships/header" Target="header1.xml"/><Relationship Id="rId109" Type="http://schemas.openxmlformats.org/officeDocument/2006/relationships/header" Target="header49.xml"/><Relationship Id="rId260" Type="http://schemas.openxmlformats.org/officeDocument/2006/relationships/header" Target="header125.xml"/><Relationship Id="rId281" Type="http://schemas.openxmlformats.org/officeDocument/2006/relationships/header" Target="header135.xml"/><Relationship Id="rId316" Type="http://schemas.openxmlformats.org/officeDocument/2006/relationships/footer" Target="footer152.xml"/><Relationship Id="rId337" Type="http://schemas.openxmlformats.org/officeDocument/2006/relationships/header" Target="header163.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358" Type="http://schemas.openxmlformats.org/officeDocument/2006/relationships/header" Target="header174.xml"/><Relationship Id="rId379" Type="http://schemas.openxmlformats.org/officeDocument/2006/relationships/header" Target="header184.xml"/><Relationship Id="rId7" Type="http://schemas.openxmlformats.org/officeDocument/2006/relationships/styles" Target="style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header" Target="header114.xml"/><Relationship Id="rId250" Type="http://schemas.openxmlformats.org/officeDocument/2006/relationships/footer" Target="footer119.xml"/><Relationship Id="rId271" Type="http://schemas.openxmlformats.org/officeDocument/2006/relationships/header" Target="header130.xml"/><Relationship Id="rId292" Type="http://schemas.openxmlformats.org/officeDocument/2006/relationships/footer" Target="footer140.xml"/><Relationship Id="rId306" Type="http://schemas.openxmlformats.org/officeDocument/2006/relationships/footer" Target="footer147.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327" Type="http://schemas.openxmlformats.org/officeDocument/2006/relationships/footer" Target="footer157.xml"/><Relationship Id="rId348" Type="http://schemas.openxmlformats.org/officeDocument/2006/relationships/footer" Target="footer168.xml"/><Relationship Id="rId369" Type="http://schemas.openxmlformats.org/officeDocument/2006/relationships/header" Target="header179.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208" Type="http://schemas.openxmlformats.org/officeDocument/2006/relationships/footer" Target="footer98.xml"/><Relationship Id="rId229" Type="http://schemas.openxmlformats.org/officeDocument/2006/relationships/header" Target="header109.xml"/><Relationship Id="rId380" Type="http://schemas.openxmlformats.org/officeDocument/2006/relationships/footer" Target="footer184.xml"/><Relationship Id="rId240" Type="http://schemas.openxmlformats.org/officeDocument/2006/relationships/footer" Target="footer114.xml"/><Relationship Id="rId261" Type="http://schemas.openxmlformats.org/officeDocument/2006/relationships/footer" Target="footer124.xml"/><Relationship Id="rId14" Type="http://schemas.openxmlformats.org/officeDocument/2006/relationships/header" Target="header2.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282" Type="http://schemas.openxmlformats.org/officeDocument/2006/relationships/footer" Target="footer135.xml"/><Relationship Id="rId317" Type="http://schemas.openxmlformats.org/officeDocument/2006/relationships/header" Target="header153.xml"/><Relationship Id="rId338" Type="http://schemas.openxmlformats.org/officeDocument/2006/relationships/footer" Target="footer163.xml"/><Relationship Id="rId359" Type="http://schemas.openxmlformats.org/officeDocument/2006/relationships/footer" Target="footer173.xml"/><Relationship Id="rId8" Type="http://schemas.openxmlformats.org/officeDocument/2006/relationships/settings" Target="settings.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219" Type="http://schemas.openxmlformats.org/officeDocument/2006/relationships/footer" Target="footer103.xml"/><Relationship Id="rId370" Type="http://schemas.openxmlformats.org/officeDocument/2006/relationships/header" Target="header180.xml"/><Relationship Id="rId230" Type="http://schemas.openxmlformats.org/officeDocument/2006/relationships/header" Target="header110.xml"/><Relationship Id="rId251" Type="http://schemas.openxmlformats.org/officeDocument/2006/relationships/header" Target="header120.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272" Type="http://schemas.openxmlformats.org/officeDocument/2006/relationships/header" Target="header131.xml"/><Relationship Id="rId293" Type="http://schemas.openxmlformats.org/officeDocument/2006/relationships/header" Target="header141.xml"/><Relationship Id="rId307" Type="http://schemas.openxmlformats.org/officeDocument/2006/relationships/header" Target="header148.xml"/><Relationship Id="rId328" Type="http://schemas.openxmlformats.org/officeDocument/2006/relationships/footer" Target="footer158.xml"/><Relationship Id="rId349" Type="http://schemas.openxmlformats.org/officeDocument/2006/relationships/header" Target="header169.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95" Type="http://schemas.openxmlformats.org/officeDocument/2006/relationships/footer" Target="footer91.xml"/><Relationship Id="rId209" Type="http://schemas.openxmlformats.org/officeDocument/2006/relationships/header" Target="header99.xml"/><Relationship Id="rId360" Type="http://schemas.openxmlformats.org/officeDocument/2006/relationships/footer" Target="footer174.xml"/><Relationship Id="rId381" Type="http://schemas.openxmlformats.org/officeDocument/2006/relationships/fontTable" Target="fontTable.xml"/><Relationship Id="rId220" Type="http://schemas.openxmlformats.org/officeDocument/2006/relationships/footer" Target="footer104.xml"/><Relationship Id="rId241" Type="http://schemas.openxmlformats.org/officeDocument/2006/relationships/header" Target="header115.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262" Type="http://schemas.openxmlformats.org/officeDocument/2006/relationships/footer" Target="footer125.xml"/><Relationship Id="rId283" Type="http://schemas.openxmlformats.org/officeDocument/2006/relationships/header" Target="header136.xml"/><Relationship Id="rId318" Type="http://schemas.openxmlformats.org/officeDocument/2006/relationships/footer" Target="footer153.xml"/><Relationship Id="rId339" Type="http://schemas.openxmlformats.org/officeDocument/2006/relationships/header" Target="header164.xml"/><Relationship Id="rId78" Type="http://schemas.openxmlformats.org/officeDocument/2006/relationships/footer" Target="footer33.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64" Type="http://schemas.openxmlformats.org/officeDocument/2006/relationships/header" Target="header77.xml"/><Relationship Id="rId185" Type="http://schemas.openxmlformats.org/officeDocument/2006/relationships/header" Target="header87.xml"/><Relationship Id="rId350" Type="http://schemas.openxmlformats.org/officeDocument/2006/relationships/footer" Target="footer169.xml"/><Relationship Id="rId371" Type="http://schemas.openxmlformats.org/officeDocument/2006/relationships/footer" Target="footer179.xml"/><Relationship Id="rId9" Type="http://schemas.openxmlformats.org/officeDocument/2006/relationships/webSettings" Target="webSettings.xml"/><Relationship Id="rId210" Type="http://schemas.openxmlformats.org/officeDocument/2006/relationships/footer" Target="footer99.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footer" Target="footer120.xml"/><Relationship Id="rId273" Type="http://schemas.openxmlformats.org/officeDocument/2006/relationships/footer" Target="footer130.xml"/><Relationship Id="rId294" Type="http://schemas.openxmlformats.org/officeDocument/2006/relationships/footer" Target="footer141.xml"/><Relationship Id="rId308" Type="http://schemas.openxmlformats.org/officeDocument/2006/relationships/header" Target="header149.xml"/><Relationship Id="rId329" Type="http://schemas.openxmlformats.org/officeDocument/2006/relationships/header" Target="header159.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340" Type="http://schemas.openxmlformats.org/officeDocument/2006/relationships/header" Target="header165.xml"/><Relationship Id="rId361" Type="http://schemas.openxmlformats.org/officeDocument/2006/relationships/header" Target="header175.xml"/><Relationship Id="rId196" Type="http://schemas.openxmlformats.org/officeDocument/2006/relationships/footer" Target="footer92.xml"/><Relationship Id="rId200" Type="http://schemas.openxmlformats.org/officeDocument/2006/relationships/header" Target="header95.xml"/><Relationship Id="rId382" Type="http://schemas.openxmlformats.org/officeDocument/2006/relationships/theme" Target="theme/theme1.xml"/><Relationship Id="rId16" Type="http://schemas.openxmlformats.org/officeDocument/2006/relationships/footer" Target="footer2.xml"/><Relationship Id="rId221" Type="http://schemas.openxmlformats.org/officeDocument/2006/relationships/header" Target="header105.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header" Target="header137.xml"/><Relationship Id="rId319" Type="http://schemas.openxmlformats.org/officeDocument/2006/relationships/header" Target="header154.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330" Type="http://schemas.openxmlformats.org/officeDocument/2006/relationships/footer" Target="footer159.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351" Type="http://schemas.openxmlformats.org/officeDocument/2006/relationships/header" Target="header170.xml"/><Relationship Id="rId372" Type="http://schemas.openxmlformats.org/officeDocument/2006/relationships/footer" Target="footer180.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header" Target="header121.xml"/><Relationship Id="rId274" Type="http://schemas.openxmlformats.org/officeDocument/2006/relationships/footer" Target="footer131.xml"/><Relationship Id="rId295" Type="http://schemas.openxmlformats.org/officeDocument/2006/relationships/header" Target="header142.xml"/><Relationship Id="rId309" Type="http://schemas.openxmlformats.org/officeDocument/2006/relationships/footer" Target="footer148.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320" Type="http://schemas.openxmlformats.org/officeDocument/2006/relationships/header" Target="header155.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341" Type="http://schemas.openxmlformats.org/officeDocument/2006/relationships/footer" Target="footer164.xml"/><Relationship Id="rId362" Type="http://schemas.openxmlformats.org/officeDocument/2006/relationships/footer" Target="footer175.xml"/><Relationship Id="rId383" Type="http://schemas.microsoft.com/office/2019/05/relationships/documenttasks" Target="documenttasks/documenttasks1.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footer" Target="footer115.xml"/><Relationship Id="rId264" Type="http://schemas.openxmlformats.org/officeDocument/2006/relationships/footer" Target="footer126.xml"/><Relationship Id="rId285" Type="http://schemas.openxmlformats.org/officeDocument/2006/relationships/footer" Target="footer136.xml"/><Relationship Id="rId17" Type="http://schemas.openxmlformats.org/officeDocument/2006/relationships/header" Target="head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310" Type="http://schemas.openxmlformats.org/officeDocument/2006/relationships/footer" Target="footer149.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331" Type="http://schemas.openxmlformats.org/officeDocument/2006/relationships/header" Target="header160.xml"/><Relationship Id="rId352" Type="http://schemas.openxmlformats.org/officeDocument/2006/relationships/header" Target="header171.xml"/><Relationship Id="rId373" Type="http://schemas.openxmlformats.org/officeDocument/2006/relationships/header" Target="header181.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2.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header" Target="header132.xml"/><Relationship Id="rId296" Type="http://schemas.openxmlformats.org/officeDocument/2006/relationships/header" Target="header143.xml"/><Relationship Id="rId300" Type="http://schemas.openxmlformats.org/officeDocument/2006/relationships/footer" Target="foot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321" Type="http://schemas.openxmlformats.org/officeDocument/2006/relationships/footer" Target="footer154.xml"/><Relationship Id="rId342" Type="http://schemas.openxmlformats.org/officeDocument/2006/relationships/footer" Target="footer165.xml"/><Relationship Id="rId363" Type="http://schemas.openxmlformats.org/officeDocument/2006/relationships/header" Target="header176.xml"/><Relationship Id="rId384" Type="http://schemas.microsoft.com/office/2020/10/relationships/intelligence" Target="intelligence2.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footer" Target="footer116.xml"/><Relationship Id="rId18" Type="http://schemas.openxmlformats.org/officeDocument/2006/relationships/footer" Target="footer3.xml"/><Relationship Id="rId39" Type="http://schemas.openxmlformats.org/officeDocument/2006/relationships/footer" Target="footer13.xml"/><Relationship Id="rId265" Type="http://schemas.openxmlformats.org/officeDocument/2006/relationships/header" Target="header127.xml"/><Relationship Id="rId286" Type="http://schemas.openxmlformats.org/officeDocument/2006/relationships/footer" Target="footer137.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header" Target="header150.xml"/><Relationship Id="rId332" Type="http://schemas.openxmlformats.org/officeDocument/2006/relationships/header" Target="header161.xml"/><Relationship Id="rId353" Type="http://schemas.openxmlformats.org/officeDocument/2006/relationships/footer" Target="footer170.xml"/><Relationship Id="rId374" Type="http://schemas.openxmlformats.org/officeDocument/2006/relationships/footer" Target="footer181.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customXml" Target="../customXml/item2.xml"/><Relationship Id="rId29" Type="http://schemas.openxmlformats.org/officeDocument/2006/relationships/header" Target="header9.xml"/><Relationship Id="rId255" Type="http://schemas.openxmlformats.org/officeDocument/2006/relationships/footer" Target="footer121.xml"/><Relationship Id="rId276" Type="http://schemas.openxmlformats.org/officeDocument/2006/relationships/footer" Target="footer132.xml"/><Relationship Id="rId297" Type="http://schemas.openxmlformats.org/officeDocument/2006/relationships/footer" Target="footer142.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header" Target="header145.xml"/><Relationship Id="rId322" Type="http://schemas.openxmlformats.org/officeDocument/2006/relationships/footer" Target="footer155.xml"/><Relationship Id="rId343" Type="http://schemas.openxmlformats.org/officeDocument/2006/relationships/header" Target="header166.xml"/><Relationship Id="rId364" Type="http://schemas.openxmlformats.org/officeDocument/2006/relationships/header" Target="header177.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header" Target="header94.xml"/><Relationship Id="rId203" Type="http://schemas.openxmlformats.org/officeDocument/2006/relationships/header" Target="header96.xml"/><Relationship Id="rId19" Type="http://schemas.openxmlformats.org/officeDocument/2006/relationships/header" Target="header4.xml"/><Relationship Id="rId224" Type="http://schemas.openxmlformats.org/officeDocument/2006/relationships/header" Target="header107.xml"/><Relationship Id="rId245" Type="http://schemas.openxmlformats.org/officeDocument/2006/relationships/header" Target="header117.xml"/><Relationship Id="rId266" Type="http://schemas.openxmlformats.org/officeDocument/2006/relationships/header" Target="header128.xml"/><Relationship Id="rId287" Type="http://schemas.openxmlformats.org/officeDocument/2006/relationships/header" Target="header138.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312" Type="http://schemas.openxmlformats.org/officeDocument/2006/relationships/footer" Target="footer150.xml"/><Relationship Id="rId333" Type="http://schemas.openxmlformats.org/officeDocument/2006/relationships/footer" Target="footer160.xml"/><Relationship Id="rId354" Type="http://schemas.openxmlformats.org/officeDocument/2006/relationships/footer" Target="footer171.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footer" Target="footer88.xml"/><Relationship Id="rId375" Type="http://schemas.openxmlformats.org/officeDocument/2006/relationships/header" Target="header182.xml"/><Relationship Id="rId3" Type="http://schemas.openxmlformats.org/officeDocument/2006/relationships/customXml" Target="../customXml/item3.xml"/><Relationship Id="rId214" Type="http://schemas.openxmlformats.org/officeDocument/2006/relationships/footer" Target="footer101.xml"/><Relationship Id="rId235" Type="http://schemas.openxmlformats.org/officeDocument/2006/relationships/header" Target="header112.xml"/><Relationship Id="rId256" Type="http://schemas.openxmlformats.org/officeDocument/2006/relationships/footer" Target="footer122.xml"/><Relationship Id="rId277" Type="http://schemas.openxmlformats.org/officeDocument/2006/relationships/header" Target="header133.xml"/><Relationship Id="rId298" Type="http://schemas.openxmlformats.org/officeDocument/2006/relationships/footer" Target="footer143.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302" Type="http://schemas.openxmlformats.org/officeDocument/2006/relationships/header" Target="header146.xml"/><Relationship Id="rId323" Type="http://schemas.openxmlformats.org/officeDocument/2006/relationships/header" Target="header156.xml"/><Relationship Id="rId344" Type="http://schemas.openxmlformats.org/officeDocument/2006/relationships/footer" Target="footer166.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header" Target="header84.xml"/><Relationship Id="rId365" Type="http://schemas.openxmlformats.org/officeDocument/2006/relationships/footer" Target="footer176.xml"/><Relationship Id="rId190" Type="http://schemas.openxmlformats.org/officeDocument/2006/relationships/footer" Target="footer89.xml"/><Relationship Id="rId204" Type="http://schemas.openxmlformats.org/officeDocument/2006/relationships/footer" Target="footer96.xml"/><Relationship Id="rId225" Type="http://schemas.openxmlformats.org/officeDocument/2006/relationships/footer" Target="footer106.xml"/><Relationship Id="rId246" Type="http://schemas.openxmlformats.org/officeDocument/2006/relationships/footer" Target="footer117.xml"/><Relationship Id="rId267" Type="http://schemas.openxmlformats.org/officeDocument/2006/relationships/footer" Target="footer127.xml"/><Relationship Id="rId288" Type="http://schemas.openxmlformats.org/officeDocument/2006/relationships/footer" Target="footer138.xml"/><Relationship Id="rId106" Type="http://schemas.openxmlformats.org/officeDocument/2006/relationships/footer" Target="footer47.xml"/><Relationship Id="rId127" Type="http://schemas.openxmlformats.org/officeDocument/2006/relationships/header" Target="header58.xml"/><Relationship Id="rId313" Type="http://schemas.openxmlformats.org/officeDocument/2006/relationships/header" Target="header151.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94" Type="http://schemas.openxmlformats.org/officeDocument/2006/relationships/footer" Target="footer41.xml"/><Relationship Id="rId148" Type="http://schemas.openxmlformats.org/officeDocument/2006/relationships/footer" Target="footer68.xml"/><Relationship Id="rId169" Type="http://schemas.openxmlformats.org/officeDocument/2006/relationships/header" Target="header79.xml"/><Relationship Id="rId334" Type="http://schemas.openxmlformats.org/officeDocument/2006/relationships/footer" Target="footer161.xml"/><Relationship Id="rId355" Type="http://schemas.openxmlformats.org/officeDocument/2006/relationships/header" Target="header172.xml"/><Relationship Id="rId376" Type="http://schemas.openxmlformats.org/officeDocument/2006/relationships/header" Target="header183.xml"/><Relationship Id="rId4" Type="http://schemas.openxmlformats.org/officeDocument/2006/relationships/customXml" Target="../customXml/item4.xml"/><Relationship Id="rId180" Type="http://schemas.openxmlformats.org/officeDocument/2006/relationships/footer" Target="footer84.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eader" Target="header134.xml"/></Relationships>
</file>

<file path=word/documenttasks/documenttasks1.xml><?xml version="1.0" encoding="utf-8"?>
<t:Tasks xmlns:t="http://schemas.microsoft.com/office/tasks/2019/documenttasks" xmlns:oel="http://schemas.microsoft.com/office/2019/extlst">
  <t:Task id="{5680157B-53D2-48A7-8400-2B113ED038B5}">
    <t:Anchor>
      <t:Comment id="685924280"/>
    </t:Anchor>
    <t:History>
      <t:Event id="{C7B50112-B96F-44C2-A337-7565D8EECBE9}" time="2023-10-24T13:51:44.757Z">
        <t:Attribution userId="S::mario.janiri@ec.europa.eu::38a425da-e9e0-4f39-867b-517d4aa18d3f" userProvider="AD" userName="JANIRI Mario (SG-RECOVER)"/>
        <t:Anchor>
          <t:Comment id="1339592421"/>
        </t:Anchor>
        <t:Create/>
      </t:Event>
      <t:Event id="{585F1370-FDC7-4C74-B742-DB46D92E5709}" time="2023-10-24T13:51:44.757Z">
        <t:Attribution userId="S::mario.janiri@ec.europa.eu::38a425da-e9e0-4f39-867b-517d4aa18d3f" userProvider="AD" userName="JANIRI Mario (SG-RECOVER)"/>
        <t:Anchor>
          <t:Comment id="1339592421"/>
        </t:Anchor>
        <t:Assign userId="S::Vasilis.NIKITAS@ec.europa.eu::2098837e-f110-44fd-9240-213a75053541" userProvider="AD" userName="NIKITAS Vasilis (ECFIN-ATHENS)"/>
      </t:Event>
      <t:Event id="{FB8086E7-B47E-409C-AE99-6A7147B90910}" time="2023-10-24T13:51:44.757Z">
        <t:Attribution userId="S::mario.janiri@ec.europa.eu::38a425da-e9e0-4f39-867b-517d4aa18d3f" userProvider="AD" userName="JANIRI Mario (SG-RECOVER)"/>
        <t:Anchor>
          <t:Comment id="1339592421"/>
        </t:Anchor>
        <t:SetTitle title="…Plans as requested. According to the abovementioned article the Special Urban Plans are approved exclusively by the Court of State (Law 4447/2016 article 8).&quot;. What's your take @NIKITAS Vasilis (ECFIN-ATHENS)? If not sure, we can ask Greece to confirm."/>
      </t:Event>
    </t:History>
  </t:Task>
  <t:Task id="{113DCDD2-F446-41CA-8BD9-991C6559F6D7}">
    <t:Anchor>
      <t:Comment id="720462159"/>
    </t:Anchor>
    <t:History>
      <t:Event id="{1B9C4331-8916-42C1-8F20-4E1371F2CD61}" time="2024-11-28T13:37:42.84Z">
        <t:Attribution userId="S::Claudia.PIFERI@ec.europa.eu::19496a8b-2d91-4010-ae9e-0b90968b4d4f" userProvider="AD" userName="PIFERI Claudia (ECFIN)"/>
        <t:Anchor>
          <t:Comment id="720567990"/>
        </t:Anchor>
        <t:Create/>
      </t:Event>
      <t:Event id="{580ADD4E-0108-4B2A-8BDA-434B61918F39}" time="2024-11-28T13:37:42.84Z">
        <t:Attribution userId="S::Claudia.PIFERI@ec.europa.eu::19496a8b-2d91-4010-ae9e-0b90968b4d4f" userProvider="AD" userName="PIFERI Claudia (ECFIN)"/>
        <t:Anchor>
          <t:Comment id="720567990"/>
        </t:Anchor>
        <t:Assign userId="S::Michael.MAGUIRE@ec.europa.eu::fb49cca5-1801-4286-a4db-b3a10b4a06e6" userProvider="AD" userName="MAGUIRE Michael (ECFIN)"/>
      </t:Event>
      <t:Event id="{CE37B634-5F71-4D65-B114-3B4B67E06C8D}" time="2024-11-28T13:37:42.84Z">
        <t:Attribution userId="S::Claudia.PIFERI@ec.europa.eu::19496a8b-2d91-4010-ae9e-0b90968b4d4f" userProvider="AD" userName="PIFERI Claudia (ECFIN)"/>
        <t:Anchor>
          <t:Comment id="720567990"/>
        </t:Anchor>
        <t:SetTitle title="@MAGUIRE Michael (ECFIN) can you please check this? "/>
      </t:Event>
    </t:History>
  </t:Task>
  <t:Task id="{92D6E254-40BC-42E5-8BAD-111E35F31124}">
    <t:Anchor>
      <t:Comment id="344308136"/>
    </t:Anchor>
    <t:History>
      <t:Event id="{9D3FCE8B-FF9E-4175-882E-C4D984047DBC}" time="2025-06-17T12:42:52.066Z">
        <t:Attribution userId="S::Marie-Luise.RUD@ec.europa.eu::664c74cb-19b7-4b42-a638-679cc1537c10" userProvider="AD" userName="RUD Marie-Luise (ECFIN)"/>
        <t:Anchor>
          <t:Comment id="344308136"/>
        </t:Anchor>
        <t:Create/>
      </t:Event>
      <t:Event id="{78154228-63AB-4022-9B54-B6F4D467A73A}" time="2025-06-17T12:42:52.066Z">
        <t:Attribution userId="S::Marie-Luise.RUD@ec.europa.eu::664c74cb-19b7-4b42-a638-679cc1537c10" userProvider="AD" userName="RUD Marie-Luise (ECFIN)"/>
        <t:Anchor>
          <t:Comment id="344308136"/>
        </t:Anchor>
        <t:Assign userId="S::Jacob.MAINKA@ec.europa.eu::818a6ab9-163e-4235-bb4f-b98a11a1415c" userProvider="AD" userName="MAINKA Jacob (ECFIN)"/>
      </t:Event>
      <t:Event id="{ED27D694-FA3B-4521-8EAE-DB3F22563EC4}" time="2025-06-17T12:42:52.066Z">
        <t:Attribution userId="S::Marie-Luise.RUD@ec.europa.eu::664c74cb-19b7-4b42-a638-679cc1537c10" userProvider="AD" userName="RUD Marie-Luise (ECFIN)"/>
        <t:Anchor>
          <t:Comment id="344308136"/>
        </t:Anchor>
        <t:SetTitle title="@MAINKA Jacob (ECFIN) "/>
      </t:Event>
    </t:History>
  </t:Task>
  <t:Task id="{D251EE32-4BCE-461E-AA41-3DA2F76F636C}">
    <t:Anchor>
      <t:Comment id="953455788"/>
    </t:Anchor>
    <t:History>
      <t:Event id="{C4BEC442-F329-4A82-B237-AB7418B62F3E}" time="2025-06-17T12:43:55.318Z">
        <t:Attribution userId="S::Marie-Luise.RUD@ec.europa.eu::664c74cb-19b7-4b42-a638-679cc1537c10" userProvider="AD" userName="RUD Marie-Luise (ECFIN)"/>
        <t:Anchor>
          <t:Comment id="953455788"/>
        </t:Anchor>
        <t:Create/>
      </t:Event>
      <t:Event id="{766364F5-F92C-4572-991E-04813AC6E970}" time="2025-06-17T12:43:55.318Z">
        <t:Attribution userId="S::Marie-Luise.RUD@ec.europa.eu::664c74cb-19b7-4b42-a638-679cc1537c10" userProvider="AD" userName="RUD Marie-Luise (ECFIN)"/>
        <t:Anchor>
          <t:Comment id="953455788"/>
        </t:Anchor>
        <t:Assign userId="S::Jacob.MAINKA@ec.europa.eu::818a6ab9-163e-4235-bb4f-b98a11a1415c" userProvider="AD" userName="MAINKA Jacob (ECFIN)"/>
      </t:Event>
      <t:Event id="{82252435-CD17-4428-AFB5-7B04685A0060}" time="2025-06-17T12:43:55.318Z">
        <t:Attribution userId="S::Marie-Luise.RUD@ec.europa.eu::664c74cb-19b7-4b42-a638-679cc1537c10" userProvider="AD" userName="RUD Marie-Luise (ECFIN)"/>
        <t:Anchor>
          <t:Comment id="953455788"/>
        </t:Anchor>
        <t:SetTitle title="@MAINKA Jacob (ECFIN) "/>
      </t:Event>
    </t:History>
  </t:Task>
  <t:Task id="{4D3D126A-74E7-458D-97C3-4CD7F6333039}">
    <t:Anchor>
      <t:Comment id="1463338990"/>
    </t:Anchor>
    <t:History>
      <t:Event id="{6CABE625-235F-4525-8145-24F134B04333}" time="2025-06-17T12:54:42.926Z">
        <t:Attribution userId="S::Marie-Luise.RUD@ec.europa.eu::664c74cb-19b7-4b42-a638-679cc1537c10" userProvider="AD" userName="RUD Marie-Luise (ECFIN)"/>
        <t:Anchor>
          <t:Comment id="1463338990"/>
        </t:Anchor>
        <t:Create/>
      </t:Event>
      <t:Event id="{274BBBA7-1D98-4589-9382-A0EB7BD63712}" time="2025-06-17T12:54:42.926Z">
        <t:Attribution userId="S::Marie-Luise.RUD@ec.europa.eu::664c74cb-19b7-4b42-a638-679cc1537c10" userProvider="AD" userName="RUD Marie-Luise (ECFIN)"/>
        <t:Anchor>
          <t:Comment id="1463338990"/>
        </t:Anchor>
        <t:Assign userId="S::Jacob.MAINKA@ec.europa.eu::818a6ab9-163e-4235-bb4f-b98a11a1415c" userProvider="AD" userName="MAINKA Jacob (ECFIN)"/>
      </t:Event>
      <t:Event id="{60CC6BBF-83FE-4D22-BEE2-D91358FB1761}" time="2025-06-17T12:54:42.926Z">
        <t:Attribution userId="S::Marie-Luise.RUD@ec.europa.eu::664c74cb-19b7-4b42-a638-679cc1537c10" userProvider="AD" userName="RUD Marie-Luise (ECFIN)"/>
        <t:Anchor>
          <t:Comment id="1463338990"/>
        </t:Anchor>
        <t:SetTitle title="@MAINKA Jacob (ECFIN) "/>
      </t:Event>
    </t:History>
  </t:Task>
  <t:Task id="{F23A83DB-9E42-46E8-8F65-295A82F0CAFD}">
    <t:Anchor>
      <t:Comment id="1863870751"/>
    </t:Anchor>
    <t:History>
      <t:Event id="{CE7C1B0D-4D04-440E-93F0-78D37EDED79D}" time="2025-06-17T12:44:48.573Z">
        <t:Attribution userId="S::Marie-Luise.RUD@ec.europa.eu::664c74cb-19b7-4b42-a638-679cc1537c10" userProvider="AD" userName="RUD Marie-Luise (ECFIN)"/>
        <t:Anchor>
          <t:Comment id="1863870751"/>
        </t:Anchor>
        <t:Create/>
      </t:Event>
      <t:Event id="{7C936059-1223-47FA-A5EF-23FFDC27511B}" time="2025-06-17T12:44:48.573Z">
        <t:Attribution userId="S::Marie-Luise.RUD@ec.europa.eu::664c74cb-19b7-4b42-a638-679cc1537c10" userProvider="AD" userName="RUD Marie-Luise (ECFIN)"/>
        <t:Anchor>
          <t:Comment id="1863870751"/>
        </t:Anchor>
        <t:Assign userId="S::Jacob.MAINKA@ec.europa.eu::818a6ab9-163e-4235-bb4f-b98a11a1415c" userProvider="AD" userName="MAINKA Jacob (ECFIN)"/>
      </t:Event>
      <t:Event id="{B3E9B17A-D8B2-4642-A0D5-AB2879920A48}" time="2025-06-17T12:44:48.573Z">
        <t:Attribution userId="S::Marie-Luise.RUD@ec.europa.eu::664c74cb-19b7-4b42-a638-679cc1537c10" userProvider="AD" userName="RUD Marie-Luise (ECFIN)"/>
        <t:Anchor>
          <t:Comment id="1863870751"/>
        </t:Anchor>
        <t:SetTitle title="@MAINKA Jacob (ECFIN) "/>
      </t:Event>
    </t:History>
  </t:Task>
  <t:Task id="{CF1557DF-AB89-427B-BD3D-1331B989DAE0}">
    <t:Anchor>
      <t:Comment id="1119121503"/>
    </t:Anchor>
    <t:History>
      <t:Event id="{5EAA257D-AA23-48CF-94AD-22E3A2F295F4}" time="2025-06-17T12:34:44.639Z">
        <t:Attribution userId="S::Marie-Luise.RUD@ec.europa.eu::664c74cb-19b7-4b42-a638-679cc1537c10" userProvider="AD" userName="RUD Marie-Luise (ECFIN)"/>
        <t:Anchor>
          <t:Comment id="1119121503"/>
        </t:Anchor>
        <t:Create/>
      </t:Event>
      <t:Event id="{90807DAD-75F4-455D-80A2-EE97E8B55C73}" time="2025-06-17T12:34:44.639Z">
        <t:Attribution userId="S::Marie-Luise.RUD@ec.europa.eu::664c74cb-19b7-4b42-a638-679cc1537c10" userProvider="AD" userName="RUD Marie-Luise (ECFIN)"/>
        <t:Anchor>
          <t:Comment id="1119121503"/>
        </t:Anchor>
        <t:Assign userId="S::Jacob.MAINKA@ec.europa.eu::818a6ab9-163e-4235-bb4f-b98a11a1415c" userProvider="AD" userName="MAINKA Jacob (ECFIN)"/>
      </t:Event>
      <t:Event id="{C2377F68-ACDD-46E5-8AA2-ED7A864E9C40}" time="2025-06-17T12:34:44.639Z">
        <t:Attribution userId="S::Marie-Luise.RUD@ec.europa.eu::664c74cb-19b7-4b42-a638-679cc1537c10" userProvider="AD" userName="RUD Marie-Luise (ECFIN)"/>
        <t:Anchor>
          <t:Comment id="1119121503"/>
        </t:Anchor>
        <t:SetTitle title="@MAINKA Jacob (ECFIN) could you have a look if this is OK from the green perspectiv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d0ae30-99de-4b75-b374-de0637405ec7" xsi:nil="true"/>
    <lcf76f155ced4ddcb4097134ff3c332f xmlns="11e77377-0db5-45fd-a1ac-9f5e38a33c6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EC_ARES_NUMBER xmlns="e4d0ae30-99de-4b75-b374-de0637405ec7">
      <Url xsi:nil="true"/>
      <Description xsi:nil="true"/>
    </EC_ARES_NUMBER>
    <IconOverlay xmlns="http://schemas.microsoft.com/sharepoint/v4" xsi:nil="true"/>
    <EC_ARES_DATE_TRANSFERRED xmlns="e4d0ae30-99de-4b75-b374-de0637405ec7" xsi:nil="true"/>
    <EC_ARES_TRANSFERRED_BY xmlns="e4d0ae30-99de-4b75-b374-de0637405e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75065C516B24AA4ED9964D7F23498" ma:contentTypeVersion="23" ma:contentTypeDescription="Create a new document." ma:contentTypeScope="" ma:versionID="6a7632b966b2428b289369329218c37b">
  <xsd:schema xmlns:xsd="http://www.w3.org/2001/XMLSchema" xmlns:xs="http://www.w3.org/2001/XMLSchema" xmlns:p="http://schemas.microsoft.com/office/2006/metadata/properties" xmlns:ns1="http://schemas.microsoft.com/sharepoint/v3" xmlns:ns2="11e77377-0db5-45fd-a1ac-9f5e38a33c6f" xmlns:ns3="e4d0ae30-99de-4b75-b374-de0637405ec7" xmlns:ns4="http://schemas.microsoft.com/sharepoint/v4" targetNamespace="http://schemas.microsoft.com/office/2006/metadata/properties" ma:root="true" ma:fieldsID="b6204ff4af2c00b356fb4aa0048497cd" ns1:_="" ns2:_="" ns3:_="" ns4:_="">
    <xsd:import namespace="http://schemas.microsoft.com/sharepoint/v3"/>
    <xsd:import namespace="11e77377-0db5-45fd-a1ac-9f5e38a33c6f"/>
    <xsd:import namespace="e4d0ae30-99de-4b75-b374-de0637405e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EC_ARES_NUMBER" minOccurs="0"/>
                <xsd:element ref="ns3:EC_ARES_DATE_TRANSFERRED" minOccurs="0"/>
                <xsd:element ref="ns3:EC_ARES_TRANSFERRED_BY"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e77377-0db5-45fd-a1ac-9f5e38a3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0ae30-99de-4b75-b374-de0637405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c1a9c5-7436-4665-9c01-4721abda3979}" ma:internalName="TaxCatchAll" ma:showField="CatchAllData" ma:web="e4d0ae30-99de-4b75-b374-de0637405ec7">
      <xsd:complexType>
        <xsd:complexContent>
          <xsd:extension base="dms:MultiChoiceLookup">
            <xsd:sequence>
              <xsd:element name="Value" type="dms:Lookup" maxOccurs="unbounded" minOccurs="0" nillable="true"/>
            </xsd:sequence>
          </xsd:extension>
        </xsd:complexContent>
      </xsd:complexType>
    </xsd:element>
    <xsd:element name="EC_ARES_NUMBER" ma:index="2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6" nillable="true" ma:displayName="Transferred to Ares" ma:format="DateTime" ma:hidden="true" ma:internalName="EC_ARES_DATE_TRANSFERRED">
      <xsd:simpleType>
        <xsd:restriction base="dms:DateTime"/>
      </xsd:simpleType>
    </xsd:element>
    <xsd:element name="EC_ARES_TRANSFERRED_BY" ma:index="2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CBA3-623E-4C54-AB69-D34DBF620255}">
  <ds:schemaRefs>
    <ds:schemaRef ds:uri="http://schemas.microsoft.com/office/2006/metadata/properties"/>
    <ds:schemaRef ds:uri="http://schemas.microsoft.com/office/infopath/2007/PartnerControls"/>
    <ds:schemaRef ds:uri="e4d0ae30-99de-4b75-b374-de0637405ec7"/>
    <ds:schemaRef ds:uri="11e77377-0db5-45fd-a1ac-9f5e38a33c6f"/>
    <ds:schemaRef ds:uri="http://schemas.microsoft.com/sharepoint/v4"/>
  </ds:schemaRefs>
</ds:datastoreItem>
</file>

<file path=customXml/itemProps2.xml><?xml version="1.0" encoding="utf-8"?>
<ds:datastoreItem xmlns:ds="http://schemas.openxmlformats.org/officeDocument/2006/customXml" ds:itemID="{B11A4AF6-6620-48D1-BA95-9E4DE59A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77377-0db5-45fd-a1ac-9f5e38a33c6f"/>
    <ds:schemaRef ds:uri="e4d0ae30-99de-4b75-b374-de0637405e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3354-FE77-4A2F-8630-F8FA03C1CC72}">
  <ds:schemaRefs>
    <ds:schemaRef ds:uri="http://schemas.microsoft.com/sharepoint/v3/contenttype/forms"/>
  </ds:schemaRefs>
</ds:datastoreItem>
</file>

<file path=customXml/itemProps4.xml><?xml version="1.0" encoding="utf-8"?>
<ds:datastoreItem xmlns:ds="http://schemas.openxmlformats.org/officeDocument/2006/customXml" ds:itemID="{8B0CB974-CC9B-4580-B943-C0332C02328A}">
  <ds:schemaRefs>
    <ds:schemaRef ds:uri="http://schemas.microsoft.com/sharepoint/v3/contenttype/forms"/>
  </ds:schemaRefs>
</ds:datastoreItem>
</file>

<file path=customXml/itemProps5.xml><?xml version="1.0" encoding="utf-8"?>
<ds:datastoreItem xmlns:ds="http://schemas.openxmlformats.org/officeDocument/2006/customXml" ds:itemID="{C5358DE4-2E31-456B-BAEF-3EB0C49C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9</Pages>
  <Words>94705</Words>
  <Characters>539825</Characters>
  <Application>Microsoft Office Word</Application>
  <DocSecurity>0</DocSecurity>
  <Lines>4498</Lines>
  <Paragraphs>1266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445</cp:revision>
  <dcterms:created xsi:type="dcterms:W3CDTF">2025-06-24T20:37:00Z</dcterms:created>
  <dcterms:modified xsi:type="dcterms:W3CDTF">2025-07-09T15:26:00Z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4.9.1, Build 20240216</vt:lpwstr>
  </property>
  <property fmtid="{D5CDD505-2E9C-101B-9397-08002B2CF9AE}" pid="3" name="ContentTypeId">
    <vt:lpwstr>0x010100BAF75065C516B24AA4ED9964D7F23498</vt:lpwstr>
  </property>
  <property fmtid="{D5CDD505-2E9C-101B-9397-08002B2CF9AE}" pid="4" name="MSIP_Label_6bd9ddd1-4d20-43f6-abfa-fc3c07406f94_Enabled">
    <vt:lpwstr>true</vt:lpwstr>
  </property>
  <property fmtid="{D5CDD505-2E9C-101B-9397-08002B2CF9AE}" pid="5" name="MSIP_Label_6bd9ddd1-4d20-43f6-abfa-fc3c07406f94_SetDate">
    <vt:lpwstr>2023-09-11T07:57:38Z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8974eb50-0967-4d56-a303-e1962c90295e</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CP-036</vt:lpwstr>
  </property>
  <property fmtid="{D5CDD505-2E9C-101B-9397-08002B2CF9AE}" pid="18" name="MSIP_Label_b1df41d6-74a9-4a97-809c-213cd32520cc_Enabled">
    <vt:lpwstr>true</vt:lpwstr>
  </property>
  <property fmtid="{D5CDD505-2E9C-101B-9397-08002B2CF9AE}" pid="19" name="MSIP_Label_b1df41d6-74a9-4a97-809c-213cd32520cc_SetDate">
    <vt:lpwstr>2023-12-01T14:44:06Z</vt:lpwstr>
  </property>
  <property fmtid="{D5CDD505-2E9C-101B-9397-08002B2CF9AE}" pid="20" name="MSIP_Label_b1df41d6-74a9-4a97-809c-213cd32520cc_Method">
    <vt:lpwstr>Privileged</vt:lpwstr>
  </property>
  <property fmtid="{D5CDD505-2E9C-101B-9397-08002B2CF9AE}" pid="21" name="MSIP_Label_b1df41d6-74a9-4a97-809c-213cd32520cc_Name">
    <vt:lpwstr>GSCEU - NON PUBLIC Label</vt:lpwstr>
  </property>
  <property fmtid="{D5CDD505-2E9C-101B-9397-08002B2CF9AE}" pid="22" name="MSIP_Label_b1df41d6-74a9-4a97-809c-213cd32520cc_SiteId">
    <vt:lpwstr>03ad1c97-0a4d-4e82-8f93-27291a6a0767</vt:lpwstr>
  </property>
  <property fmtid="{D5CDD505-2E9C-101B-9397-08002B2CF9AE}" pid="23" name="MSIP_Label_b1df41d6-74a9-4a97-809c-213cd32520cc_ActionId">
    <vt:lpwstr>bea8d279-aa28-4420-808d-80284cc98536</vt:lpwstr>
  </property>
  <property fmtid="{D5CDD505-2E9C-101B-9397-08002B2CF9AE}" pid="24" name="MSIP_Label_b1df41d6-74a9-4a97-809c-213cd32520cc_ContentBits">
    <vt:lpwstr>0</vt:lpwstr>
  </property>
  <property fmtid="{D5CDD505-2E9C-101B-9397-08002B2CF9AE}" pid="25" name="MediaServiceImageTags">
    <vt:lpwstr/>
  </property>
  <property fmtid="{D5CDD505-2E9C-101B-9397-08002B2CF9AE}" pid="26" name="DocStatus">
    <vt:lpwstr>Green</vt:lpwstr>
  </property>
  <property fmtid="{D5CDD505-2E9C-101B-9397-08002B2CF9AE}" pid="27" name="Last edited using">
    <vt:lpwstr>LW 9.1, Build 20240808</vt:lpwstr>
  </property>
</Properties>
</file>